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7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489"/>
        <w:gridCol w:w="475"/>
        <w:gridCol w:w="497"/>
        <w:gridCol w:w="835"/>
        <w:gridCol w:w="972"/>
        <w:gridCol w:w="2536"/>
        <w:gridCol w:w="284"/>
        <w:gridCol w:w="2409"/>
      </w:tblGrid>
      <w:tr w:rsidR="0077408A" w:rsidRPr="003F3120" w14:paraId="5A7EFB58" w14:textId="77777777" w:rsidTr="007031E0">
        <w:trPr>
          <w:cantSplit/>
          <w:trHeight w:val="57"/>
          <w:jc w:val="right"/>
        </w:trPr>
        <w:tc>
          <w:tcPr>
            <w:tcW w:w="1489" w:type="dxa"/>
          </w:tcPr>
          <w:p w14:paraId="1409D635" w14:textId="77777777" w:rsidR="0077408A" w:rsidRPr="003F3120" w:rsidRDefault="0077408A" w:rsidP="0077408A">
            <w:pPr>
              <w:pStyle w:val="Normal-pool"/>
              <w:rPr>
                <w:rFonts w:ascii="Arial" w:hAnsi="Arial" w:cs="Arial"/>
                <w:sz w:val="27"/>
                <w:szCs w:val="27"/>
                <w:lang w:val="fr-FR"/>
              </w:rPr>
            </w:pPr>
            <w:bookmarkStart w:id="0" w:name="bookmark_49"/>
            <w:r w:rsidRPr="003F3120">
              <w:rPr>
                <w:rFonts w:ascii="Arial" w:hAnsi="Arial" w:cs="Arial"/>
                <w:b/>
                <w:sz w:val="27"/>
                <w:szCs w:val="27"/>
                <w:lang w:val="fr-FR"/>
              </w:rPr>
              <w:t>NATIONS UNIES</w:t>
            </w:r>
          </w:p>
        </w:tc>
        <w:tc>
          <w:tcPr>
            <w:tcW w:w="972" w:type="dxa"/>
            <w:gridSpan w:val="2"/>
            <w:tcBorders>
              <w:left w:val="nil"/>
            </w:tcBorders>
            <w:vAlign w:val="center"/>
          </w:tcPr>
          <w:p w14:paraId="586B6E91" w14:textId="77777777" w:rsidR="0077408A" w:rsidRPr="003F3120" w:rsidRDefault="0077408A" w:rsidP="0077408A">
            <w:pPr>
              <w:pStyle w:val="Normal-pool"/>
              <w:rPr>
                <w:lang w:val="fr-FR"/>
              </w:rPr>
            </w:pPr>
            <w:r w:rsidRPr="003F3120">
              <w:rPr>
                <w:noProof/>
                <w:lang w:val="fr-FR" w:eastAsia="fr-FR"/>
              </w:rPr>
              <w:drawing>
                <wp:inline distT="0" distB="0" distL="0" distR="0" wp14:anchorId="5F6C3E13" wp14:editId="56964C12">
                  <wp:extent cx="537932" cy="468923"/>
                  <wp:effectExtent l="0" t="0" r="0" b="7620"/>
                  <wp:docPr id="29" name="Picture 29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9" cy="4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tcBorders>
              <w:left w:val="nil"/>
            </w:tcBorders>
            <w:vAlign w:val="center"/>
          </w:tcPr>
          <w:p w14:paraId="2C7D9D2C" w14:textId="77777777" w:rsidR="0077408A" w:rsidRPr="003F3120" w:rsidRDefault="0077408A" w:rsidP="0077408A">
            <w:pPr>
              <w:pStyle w:val="Normal-pool"/>
              <w:spacing w:before="160"/>
              <w:rPr>
                <w:lang w:val="fr-FR"/>
              </w:rPr>
            </w:pPr>
            <w:r w:rsidRPr="003F3120">
              <w:rPr>
                <w:noProof/>
                <w:lang w:val="fr-FR" w:eastAsia="fr-FR"/>
              </w:rPr>
              <w:drawing>
                <wp:inline distT="0" distB="0" distL="0" distR="0" wp14:anchorId="5EF14154" wp14:editId="686417D8">
                  <wp:extent cx="362710" cy="4788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E-3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tcBorders>
              <w:left w:val="nil"/>
            </w:tcBorders>
            <w:vAlign w:val="center"/>
          </w:tcPr>
          <w:p w14:paraId="6A037B6C" w14:textId="77777777" w:rsidR="0077408A" w:rsidRPr="003F3120" w:rsidRDefault="0077408A" w:rsidP="0077408A">
            <w:pPr>
              <w:pStyle w:val="Normal-pool"/>
              <w:rPr>
                <w:lang w:val="fr-FR"/>
              </w:rPr>
            </w:pPr>
            <w:r w:rsidRPr="003F3120">
              <w:rPr>
                <w:noProof/>
                <w:lang w:val="fr-FR" w:eastAsia="fr-FR"/>
              </w:rPr>
              <w:drawing>
                <wp:inline distT="0" distB="0" distL="0" distR="0" wp14:anchorId="62F39B9F" wp14:editId="36A62104">
                  <wp:extent cx="574431" cy="475392"/>
                  <wp:effectExtent l="0" t="0" r="0" b="1270"/>
                  <wp:docPr id="31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tcBorders>
              <w:left w:val="nil"/>
            </w:tcBorders>
            <w:vAlign w:val="center"/>
          </w:tcPr>
          <w:p w14:paraId="22A2C14B" w14:textId="77777777" w:rsidR="0077408A" w:rsidRPr="003F3120" w:rsidRDefault="0077408A" w:rsidP="0077408A">
            <w:pPr>
              <w:pStyle w:val="Normal-pool"/>
              <w:rPr>
                <w:lang w:val="fr-FR"/>
              </w:rPr>
            </w:pPr>
            <w:r w:rsidRPr="003F3120">
              <w:rPr>
                <w:noProof/>
                <w:lang w:val="fr-FR" w:eastAsia="fr-FR"/>
              </w:rPr>
              <w:drawing>
                <wp:inline distT="0" distB="0" distL="0" distR="0" wp14:anchorId="1E4D72C4" wp14:editId="1C389AA7">
                  <wp:extent cx="1485900" cy="354965"/>
                  <wp:effectExtent l="0" t="0" r="0" b="6985"/>
                  <wp:docPr id="32" name="Picture 6" descr="F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58DE12AA" w14:textId="77777777" w:rsidR="0077408A" w:rsidRPr="003F3120" w:rsidRDefault="0077408A" w:rsidP="007031E0">
            <w:pPr>
              <w:pStyle w:val="Normal-pool"/>
              <w:tabs>
                <w:tab w:val="clear" w:pos="2381"/>
              </w:tabs>
              <w:spacing w:after="120"/>
              <w:ind w:right="-108"/>
              <w:jc w:val="right"/>
              <w:rPr>
                <w:b/>
                <w:sz w:val="64"/>
                <w:szCs w:val="64"/>
                <w:lang w:val="fr-FR"/>
              </w:rPr>
            </w:pPr>
            <w:r w:rsidRPr="003F3120">
              <w:rPr>
                <w:noProof/>
                <w:lang w:val="fr-FR" w:eastAsia="fr-FR"/>
              </w:rPr>
              <w:drawing>
                <wp:inline distT="0" distB="0" distL="0" distR="0" wp14:anchorId="4291BD27" wp14:editId="6C125BC1">
                  <wp:extent cx="304428" cy="635635"/>
                  <wp:effectExtent l="0" t="0" r="635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UD.gif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"/>
                                    </a14:imgEffect>
                                    <a14:imgEffect>
                                      <a14:brightnessContrast bright="12000" contras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28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3120">
              <w:rPr>
                <w:lang w:val="fr-FR"/>
              </w:rPr>
              <w:tab/>
            </w:r>
            <w:r w:rsidRPr="003F3120">
              <w:rPr>
                <w:rFonts w:ascii="Arial" w:hAnsi="Arial" w:cs="Arial"/>
                <w:b/>
                <w:sz w:val="64"/>
                <w:szCs w:val="64"/>
                <w:lang w:val="fr-FR"/>
              </w:rPr>
              <w:t>BES</w:t>
            </w:r>
          </w:p>
        </w:tc>
      </w:tr>
      <w:tr w:rsidR="0077408A" w:rsidRPr="003F3120" w14:paraId="2C1DC51A" w14:textId="77777777" w:rsidTr="007031E0">
        <w:trPr>
          <w:cantSplit/>
          <w:trHeight w:val="57"/>
          <w:jc w:val="right"/>
        </w:trPr>
        <w:tc>
          <w:tcPr>
            <w:tcW w:w="1489" w:type="dxa"/>
            <w:tcBorders>
              <w:bottom w:val="single" w:sz="2" w:space="0" w:color="auto"/>
            </w:tcBorders>
          </w:tcPr>
          <w:p w14:paraId="547D34E9" w14:textId="77777777" w:rsidR="0077408A" w:rsidRPr="003F3120" w:rsidRDefault="0077408A" w:rsidP="0077408A">
            <w:pPr>
              <w:rPr>
                <w:noProof/>
              </w:rPr>
            </w:pPr>
          </w:p>
        </w:tc>
        <w:tc>
          <w:tcPr>
            <w:tcW w:w="5599" w:type="dxa"/>
            <w:gridSpan w:val="6"/>
            <w:tcBorders>
              <w:bottom w:val="single" w:sz="2" w:space="0" w:color="auto"/>
            </w:tcBorders>
          </w:tcPr>
          <w:p w14:paraId="6263B598" w14:textId="77777777" w:rsidR="0077408A" w:rsidRPr="003F3120" w:rsidRDefault="0077408A" w:rsidP="0077408A">
            <w:pPr>
              <w:rPr>
                <w:b/>
                <w:noProof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263A7817" w14:textId="5D98860B" w:rsidR="0077408A" w:rsidRPr="003F3120" w:rsidRDefault="0077408A" w:rsidP="007031E0">
            <w:pPr>
              <w:pStyle w:val="Normal-pool"/>
              <w:ind w:left="232"/>
              <w:rPr>
                <w:noProof/>
                <w:lang w:val="fr-FR"/>
              </w:rPr>
            </w:pPr>
            <w:r w:rsidRPr="003F3120">
              <w:rPr>
                <w:b/>
                <w:noProof/>
                <w:sz w:val="24"/>
                <w:szCs w:val="24"/>
                <w:lang w:val="fr-FR"/>
              </w:rPr>
              <w:t>IPBES</w:t>
            </w:r>
            <w:r w:rsidRPr="003F3120">
              <w:rPr>
                <w:noProof/>
                <w:lang w:val="fr-FR"/>
              </w:rPr>
              <w:t>/7/10</w:t>
            </w:r>
          </w:p>
        </w:tc>
      </w:tr>
      <w:tr w:rsidR="0077408A" w:rsidRPr="00393028" w14:paraId="16D29020" w14:textId="77777777" w:rsidTr="007031E0">
        <w:trPr>
          <w:cantSplit/>
          <w:trHeight w:val="57"/>
          <w:jc w:val="right"/>
        </w:trPr>
        <w:tc>
          <w:tcPr>
            <w:tcW w:w="1964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0D1F3982" w14:textId="77777777" w:rsidR="0077408A" w:rsidRPr="003F3120" w:rsidRDefault="0077408A" w:rsidP="0077408A">
            <w:pPr>
              <w:spacing w:before="240" w:after="240"/>
              <w:rPr>
                <w:b/>
                <w:noProof/>
                <w:sz w:val="28"/>
                <w:szCs w:val="28"/>
              </w:rPr>
            </w:pPr>
            <w:r w:rsidRPr="003F3120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756EC1C" wp14:editId="7CAC9E59">
                  <wp:extent cx="1111406" cy="519379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01EDF983" w14:textId="012B124B" w:rsidR="0077408A" w:rsidRPr="003F3120" w:rsidRDefault="00D026C5" w:rsidP="0077408A">
            <w:pPr>
              <w:pStyle w:val="Normal-pool"/>
              <w:spacing w:before="120" w:after="240"/>
              <w:rPr>
                <w:rFonts w:ascii="Arial" w:hAnsi="Arial" w:cs="Arial"/>
                <w:noProof/>
                <w:sz w:val="28"/>
                <w:szCs w:val="28"/>
                <w:lang w:val="fr-FR"/>
              </w:rPr>
            </w:pPr>
            <w:hyperlink r:id="rId15" w:tgtFrame="_blank" w:history="1">
              <w:r w:rsidR="0077408A" w:rsidRPr="003F3120">
                <w:rPr>
                  <w:rFonts w:ascii="Arial" w:hAnsi="Arial" w:cs="Arial"/>
                  <w:b/>
                  <w:noProof/>
                  <w:sz w:val="28"/>
                  <w:szCs w:val="28"/>
                  <w:lang w:val="fr-FR"/>
                </w:rPr>
                <w:t>Plateforme intergouvernementale scientifique et politique sur</w:t>
              </w:r>
              <w:r w:rsidR="007031E0">
                <w:rPr>
                  <w:rFonts w:ascii="Arial" w:hAnsi="Arial" w:cs="Arial"/>
                  <w:b/>
                  <w:noProof/>
                  <w:sz w:val="28"/>
                  <w:szCs w:val="28"/>
                  <w:lang w:val="fr-FR"/>
                </w:rPr>
                <w:t xml:space="preserve"> la </w:t>
              </w:r>
              <w:r w:rsidR="0077408A" w:rsidRPr="003F3120">
                <w:rPr>
                  <w:rFonts w:ascii="Arial" w:hAnsi="Arial" w:cs="Arial"/>
                  <w:b/>
                  <w:noProof/>
                  <w:sz w:val="28"/>
                  <w:szCs w:val="28"/>
                  <w:lang w:val="fr-FR"/>
                </w:rPr>
                <w:t>biodiversité et</w:t>
              </w:r>
              <w:r w:rsidR="007031E0">
                <w:rPr>
                  <w:rFonts w:ascii="Arial" w:hAnsi="Arial" w:cs="Arial"/>
                  <w:b/>
                  <w:noProof/>
                  <w:sz w:val="28"/>
                  <w:szCs w:val="28"/>
                  <w:lang w:val="fr-FR"/>
                </w:rPr>
                <w:t xml:space="preserve"> les </w:t>
              </w:r>
              <w:r w:rsidR="0077408A" w:rsidRPr="003F3120">
                <w:rPr>
                  <w:rFonts w:ascii="Arial" w:hAnsi="Arial" w:cs="Arial"/>
                  <w:b/>
                  <w:noProof/>
                  <w:sz w:val="28"/>
                  <w:szCs w:val="28"/>
                  <w:lang w:val="fr-FR"/>
                </w:rPr>
                <w:t>services écosystémiques</w:t>
              </w:r>
            </w:hyperlink>
          </w:p>
        </w:tc>
        <w:tc>
          <w:tcPr>
            <w:tcW w:w="2409" w:type="dxa"/>
            <w:tcBorders>
              <w:top w:val="single" w:sz="2" w:space="0" w:color="auto"/>
              <w:bottom w:val="single" w:sz="24" w:space="0" w:color="auto"/>
            </w:tcBorders>
          </w:tcPr>
          <w:p w14:paraId="2189BC6E" w14:textId="1651C6D0" w:rsidR="0077408A" w:rsidRPr="003F3120" w:rsidRDefault="004F4FD1" w:rsidP="0077408A">
            <w:pPr>
              <w:pStyle w:val="Normal-pool"/>
              <w:spacing w:before="120"/>
              <w:ind w:left="233"/>
              <w:rPr>
                <w:noProof/>
                <w:lang w:val="fr-FR"/>
              </w:rPr>
            </w:pPr>
            <w:r w:rsidRPr="003F3120">
              <w:rPr>
                <w:noProof/>
                <w:lang w:val="fr-FR"/>
              </w:rPr>
              <w:t>Distr. </w:t>
            </w:r>
            <w:r w:rsidR="0077408A" w:rsidRPr="003F3120">
              <w:rPr>
                <w:noProof/>
                <w:lang w:val="fr-FR"/>
              </w:rPr>
              <w:t xml:space="preserve">générale </w:t>
            </w:r>
            <w:r w:rsidR="0077408A" w:rsidRPr="003F3120">
              <w:rPr>
                <w:noProof/>
                <w:lang w:val="fr-FR"/>
              </w:rPr>
              <w:br/>
            </w:r>
            <w:r w:rsidR="007031E0">
              <w:rPr>
                <w:noProof/>
                <w:lang w:val="fr-FR"/>
              </w:rPr>
              <w:t>2</w:t>
            </w:r>
            <w:r w:rsidR="0077408A" w:rsidRPr="003F3120">
              <w:rPr>
                <w:noProof/>
                <w:lang w:val="fr-FR"/>
              </w:rPr>
              <w:t>2 mai 2019</w:t>
            </w:r>
          </w:p>
          <w:p w14:paraId="3C0E9763" w14:textId="7E500DC0" w:rsidR="0077408A" w:rsidRPr="003F3120" w:rsidRDefault="0077408A" w:rsidP="0077408A">
            <w:pPr>
              <w:pStyle w:val="Normal-pool"/>
              <w:spacing w:before="120"/>
              <w:ind w:left="233"/>
              <w:rPr>
                <w:noProof/>
                <w:lang w:val="fr-FR"/>
              </w:rPr>
            </w:pPr>
            <w:r w:rsidRPr="003F3120">
              <w:rPr>
                <w:noProof/>
                <w:lang w:val="fr-FR"/>
              </w:rPr>
              <w:t xml:space="preserve">Français </w:t>
            </w:r>
            <w:r w:rsidRPr="003F3120">
              <w:rPr>
                <w:noProof/>
                <w:lang w:val="fr-FR"/>
              </w:rPr>
              <w:br/>
              <w:t>Original</w:t>
            </w:r>
            <w:r w:rsidR="00FD5D6A">
              <w:rPr>
                <w:noProof/>
                <w:lang w:val="fr-FR"/>
              </w:rPr>
              <w:t> :</w:t>
            </w:r>
            <w:r w:rsidRPr="003F3120">
              <w:rPr>
                <w:noProof/>
                <w:lang w:val="fr-FR"/>
              </w:rPr>
              <w:t xml:space="preserve"> anglais</w:t>
            </w:r>
          </w:p>
        </w:tc>
      </w:tr>
    </w:tbl>
    <w:p w14:paraId="26EFE954" w14:textId="240C0E9A" w:rsidR="0077408A" w:rsidRPr="003F3120" w:rsidRDefault="0077408A" w:rsidP="0077408A">
      <w:pPr>
        <w:pStyle w:val="AATitle"/>
        <w:ind w:left="180" w:right="4160"/>
        <w:rPr>
          <w:noProof/>
          <w:lang w:val="fr-FR"/>
        </w:rPr>
      </w:pPr>
      <w:r w:rsidRPr="003F3120">
        <w:rPr>
          <w:noProof/>
          <w:lang w:val="fr-FR"/>
        </w:rPr>
        <w:t>Plénière de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 xml:space="preserve">Plateforme intergouvernementale </w:t>
      </w:r>
      <w:r w:rsidRPr="003F3120">
        <w:rPr>
          <w:noProof/>
          <w:lang w:val="fr-FR"/>
        </w:rPr>
        <w:br/>
        <w:t>scientifique et politique sur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 xml:space="preserve">biodiversité </w:t>
      </w:r>
      <w:r w:rsidRPr="003F3120">
        <w:rPr>
          <w:noProof/>
          <w:lang w:val="fr-FR"/>
        </w:rPr>
        <w:br/>
        <w:t>et</w:t>
      </w:r>
      <w:r w:rsidR="007031E0">
        <w:rPr>
          <w:noProof/>
          <w:lang w:val="fr-FR"/>
        </w:rPr>
        <w:t xml:space="preserve"> les </w:t>
      </w:r>
      <w:r w:rsidRPr="003F3120">
        <w:rPr>
          <w:noProof/>
          <w:lang w:val="fr-FR"/>
        </w:rPr>
        <w:t>services écosystémiques</w:t>
      </w:r>
    </w:p>
    <w:p w14:paraId="5CD6FCDA" w14:textId="77777777" w:rsidR="0077408A" w:rsidRPr="003F3120" w:rsidRDefault="0077408A" w:rsidP="0077408A">
      <w:pPr>
        <w:pStyle w:val="AATitle"/>
        <w:ind w:left="180" w:right="4160"/>
        <w:rPr>
          <w:noProof/>
          <w:lang w:val="fr-FR"/>
        </w:rPr>
      </w:pPr>
      <w:r w:rsidRPr="003F3120">
        <w:rPr>
          <w:noProof/>
          <w:lang w:val="fr-FR"/>
        </w:rPr>
        <w:t>Septième session</w:t>
      </w:r>
    </w:p>
    <w:p w14:paraId="3EAF2005" w14:textId="77777777" w:rsidR="0077408A" w:rsidRPr="003F3120" w:rsidRDefault="0077408A" w:rsidP="0077408A">
      <w:pPr>
        <w:pStyle w:val="AATitle"/>
        <w:ind w:left="180" w:right="4160"/>
        <w:rPr>
          <w:b w:val="0"/>
          <w:noProof/>
          <w:lang w:val="fr-FR" w:eastAsia="ja-JP"/>
        </w:rPr>
      </w:pPr>
      <w:r w:rsidRPr="003F3120">
        <w:rPr>
          <w:b w:val="0"/>
          <w:noProof/>
          <w:lang w:val="fr-FR" w:eastAsia="ja-JP"/>
        </w:rPr>
        <w:t>Paris, 29 avril – 4 mai 2019</w:t>
      </w:r>
    </w:p>
    <w:bookmarkEnd w:id="0"/>
    <w:p w14:paraId="263DBF01" w14:textId="5460EF56" w:rsidR="0077408A" w:rsidRPr="003F3120" w:rsidRDefault="0077408A" w:rsidP="007031E0">
      <w:pPr>
        <w:pStyle w:val="BBTitle"/>
        <w:rPr>
          <w:noProof/>
          <w:lang w:val="fr-FR"/>
        </w:rPr>
      </w:pPr>
      <w:r w:rsidRPr="003F3120">
        <w:rPr>
          <w:noProof/>
          <w:lang w:val="fr-FR"/>
        </w:rPr>
        <w:t>Rapport de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Plénière de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Plateforme intergouvernementale scientifique et politique sur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biodiversité et</w:t>
      </w:r>
      <w:r w:rsidR="007031E0">
        <w:rPr>
          <w:noProof/>
          <w:lang w:val="fr-FR"/>
        </w:rPr>
        <w:t xml:space="preserve"> les </w:t>
      </w:r>
      <w:r w:rsidRPr="003F3120">
        <w:rPr>
          <w:noProof/>
          <w:lang w:val="fr-FR"/>
        </w:rPr>
        <w:t>services écosystémiques</w:t>
      </w:r>
      <w:r w:rsidR="004F51CB" w:rsidRPr="003F3120">
        <w:rPr>
          <w:noProof/>
          <w:lang w:val="fr-FR"/>
        </w:rPr>
        <w:t xml:space="preserve"> </w:t>
      </w:r>
      <w:r w:rsidRPr="003F3120">
        <w:rPr>
          <w:noProof/>
          <w:lang w:val="fr-FR"/>
        </w:rPr>
        <w:t>sur</w:t>
      </w:r>
      <w:r w:rsidR="007031E0">
        <w:rPr>
          <w:noProof/>
          <w:lang w:val="fr-FR"/>
        </w:rPr>
        <w:t xml:space="preserve"> les </w:t>
      </w:r>
      <w:r w:rsidRPr="003F3120">
        <w:rPr>
          <w:noProof/>
          <w:lang w:val="fr-FR"/>
        </w:rPr>
        <w:t>travaux de sa septième session</w:t>
      </w:r>
    </w:p>
    <w:p w14:paraId="29D55AAA" w14:textId="63F4FDB2" w:rsidR="0077408A" w:rsidRPr="003F3120" w:rsidRDefault="007031E0" w:rsidP="007031E0">
      <w:pPr>
        <w:pStyle w:val="CH1"/>
        <w:rPr>
          <w:rFonts w:eastAsia="SimSun"/>
          <w:noProof/>
          <w:lang w:val="fr-FR"/>
        </w:rPr>
      </w:pPr>
      <w:r>
        <w:rPr>
          <w:rFonts w:eastAsia="SimSun"/>
          <w:noProof/>
          <w:lang w:val="fr-FR"/>
        </w:rPr>
        <w:tab/>
        <w:t>I</w:t>
      </w:r>
      <w:r>
        <w:rPr>
          <w:rFonts w:eastAsia="SimSun"/>
          <w:i/>
          <w:noProof/>
          <w:lang w:val="fr-FR"/>
        </w:rPr>
        <w:t>.</w:t>
      </w:r>
      <w:r>
        <w:rPr>
          <w:rFonts w:eastAsia="SimSun"/>
          <w:i/>
          <w:noProof/>
          <w:lang w:val="fr-FR"/>
        </w:rPr>
        <w:tab/>
      </w:r>
      <w:r w:rsidR="0077408A" w:rsidRPr="007031E0">
        <w:rPr>
          <w:rFonts w:eastAsia="SimSun"/>
        </w:rPr>
        <w:t>Ouverture</w:t>
      </w:r>
      <w:r w:rsidR="0077408A" w:rsidRPr="003F3120">
        <w:rPr>
          <w:rFonts w:eastAsia="SimSun"/>
          <w:noProof/>
          <w:lang w:val="fr-FR"/>
        </w:rPr>
        <w:t xml:space="preserve"> de</w:t>
      </w:r>
      <w:r>
        <w:rPr>
          <w:rFonts w:eastAsia="SimSun"/>
          <w:noProof/>
          <w:lang w:val="fr-FR"/>
        </w:rPr>
        <w:t xml:space="preserve"> la </w:t>
      </w:r>
      <w:r w:rsidR="0077408A" w:rsidRPr="003F3120">
        <w:rPr>
          <w:rFonts w:eastAsia="SimSun"/>
          <w:noProof/>
          <w:lang w:val="fr-FR"/>
        </w:rPr>
        <w:t>session</w:t>
      </w:r>
    </w:p>
    <w:p w14:paraId="7903E24D" w14:textId="496ED2AE" w:rsidR="0077408A" w:rsidRPr="003F3120" w:rsidRDefault="0077408A" w:rsidP="007031E0">
      <w:pPr>
        <w:pStyle w:val="Normalnumber"/>
        <w:rPr>
          <w:rFonts w:eastAsia="SimSun"/>
          <w:noProof/>
          <w:lang w:val="fr-FR"/>
        </w:rPr>
      </w:pPr>
      <w:r w:rsidRPr="003F3120">
        <w:rPr>
          <w:noProof/>
          <w:lang w:val="fr-FR"/>
        </w:rPr>
        <w:t>La septième session de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Plénière de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Plateforme intergouvernementale scientifique et politique sur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biodiversité et</w:t>
      </w:r>
      <w:r w:rsidR="007031E0">
        <w:rPr>
          <w:noProof/>
          <w:lang w:val="fr-FR"/>
        </w:rPr>
        <w:t xml:space="preserve"> les </w:t>
      </w:r>
      <w:r w:rsidRPr="003F3120">
        <w:rPr>
          <w:noProof/>
          <w:lang w:val="fr-FR"/>
        </w:rPr>
        <w:t>services écosystémiques (la « Plateforme ») s</w:t>
      </w:r>
      <w:r w:rsidR="00FA5ADB">
        <w:rPr>
          <w:noProof/>
          <w:lang w:val="fr-FR"/>
        </w:rPr>
        <w:t>’</w:t>
      </w:r>
      <w:r w:rsidRPr="003F3120">
        <w:rPr>
          <w:noProof/>
          <w:lang w:val="fr-FR"/>
        </w:rPr>
        <w:t>est tenue au siège de</w:t>
      </w:r>
      <w:r w:rsidR="006208D3">
        <w:rPr>
          <w:noProof/>
          <w:lang w:val="fr-FR"/>
        </w:rPr>
        <w:t> </w:t>
      </w:r>
      <w:r w:rsidRPr="007031E0">
        <w:t>l</w:t>
      </w:r>
      <w:r w:rsidR="00FA5ADB">
        <w:t>’</w:t>
      </w:r>
      <w:r w:rsidRPr="007031E0">
        <w:t>Organisation</w:t>
      </w:r>
      <w:r w:rsidR="007031E0">
        <w:rPr>
          <w:noProof/>
          <w:lang w:val="fr-FR"/>
        </w:rPr>
        <w:t xml:space="preserve"> des </w:t>
      </w:r>
      <w:r w:rsidRPr="003F3120">
        <w:rPr>
          <w:noProof/>
          <w:lang w:val="fr-FR"/>
        </w:rPr>
        <w:t xml:space="preserve">Nations Unies </w:t>
      </w:r>
      <w:r w:rsidRPr="003F3120">
        <w:rPr>
          <w:lang w:val="fr-FR"/>
        </w:rPr>
        <w:t>pour l</w:t>
      </w:r>
      <w:r w:rsidR="00FA5ADB">
        <w:rPr>
          <w:lang w:val="fr-FR"/>
        </w:rPr>
        <w:t>’</w:t>
      </w:r>
      <w:r w:rsidRPr="003F3120">
        <w:rPr>
          <w:lang w:val="fr-FR"/>
        </w:rPr>
        <w:t>éducation,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science et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culture </w:t>
      </w:r>
      <w:r w:rsidR="00660658">
        <w:rPr>
          <w:lang w:val="fr-FR"/>
        </w:rPr>
        <w:t xml:space="preserve">(UNESCO) </w:t>
      </w:r>
      <w:r w:rsidR="000E701A">
        <w:rPr>
          <w:lang w:val="fr-FR"/>
        </w:rPr>
        <w:t>à Paris, du </w:t>
      </w:r>
      <w:r w:rsidRPr="003F3120">
        <w:rPr>
          <w:lang w:val="fr-FR"/>
        </w:rPr>
        <w:t xml:space="preserve">29 avril </w:t>
      </w:r>
      <w:r w:rsidRPr="003F3120">
        <w:rPr>
          <w:noProof/>
          <w:lang w:val="fr-FR"/>
        </w:rPr>
        <w:t>au 4 mai 2019.</w:t>
      </w:r>
    </w:p>
    <w:p w14:paraId="250DAD2B" w14:textId="117C8F27" w:rsidR="0077408A" w:rsidRPr="003F3120" w:rsidRDefault="0077408A" w:rsidP="007031E0">
      <w:pPr>
        <w:pStyle w:val="Normalnumber"/>
        <w:rPr>
          <w:rFonts w:eastAsia="SimSun"/>
          <w:noProof/>
          <w:lang w:val="fr-FR"/>
        </w:rPr>
      </w:pPr>
      <w:r w:rsidRPr="007031E0">
        <w:t>Après</w:t>
      </w:r>
      <w:r w:rsidRPr="003F3120">
        <w:rPr>
          <w:lang w:val="fr-FR"/>
        </w:rPr>
        <w:t xml:space="preserve"> un spectacle de danse,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session a été ouverte à 10 h 10 par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Président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Plateforme, Sir Robert Watson, qui a souhaité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bienvenue aux participants, remercié l</w:t>
      </w:r>
      <w:r w:rsidR="00FA5ADB">
        <w:rPr>
          <w:lang w:val="fr-FR"/>
        </w:rPr>
        <w:t>’</w:t>
      </w:r>
      <w:r w:rsidRPr="003F3120">
        <w:rPr>
          <w:lang w:val="fr-FR"/>
        </w:rPr>
        <w:t>UNESCO d</w:t>
      </w:r>
      <w:r w:rsidR="00FA5ADB">
        <w:rPr>
          <w:lang w:val="fr-FR"/>
        </w:rPr>
        <w:t>’</w:t>
      </w:r>
      <w:r w:rsidRPr="003F3120">
        <w:rPr>
          <w:lang w:val="fr-FR"/>
        </w:rPr>
        <w:t>avoir accueilli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session et </w:t>
      </w:r>
      <w:r w:rsidR="00660658">
        <w:rPr>
          <w:lang w:val="fr-FR"/>
        </w:rPr>
        <w:t>félicité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Gouvernement français de défendre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cause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biodiversité.</w:t>
      </w:r>
    </w:p>
    <w:p w14:paraId="18B91494" w14:textId="2EE5615C" w:rsidR="0077408A" w:rsidRPr="003F3120" w:rsidRDefault="009D5158" w:rsidP="007031E0">
      <w:pPr>
        <w:pStyle w:val="Normalnumber"/>
        <w:rPr>
          <w:lang w:val="fr-FR"/>
        </w:rPr>
      </w:pPr>
      <w:r w:rsidRPr="003F3120">
        <w:rPr>
          <w:lang w:val="fr-FR"/>
        </w:rPr>
        <w:t xml:space="preserve">Le Président </w:t>
      </w:r>
      <w:r w:rsidR="0077408A" w:rsidRPr="003F3120">
        <w:rPr>
          <w:lang w:val="fr-FR"/>
        </w:rPr>
        <w:t>a déclaré que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 avait accompli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énormes progrès au cours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 xml:space="preserve">sept années </w:t>
      </w:r>
      <w:r w:rsidR="00660658">
        <w:rPr>
          <w:lang w:val="fr-FR"/>
        </w:rPr>
        <w:t xml:space="preserve">qui se sont écoulées depuis sa création </w:t>
      </w:r>
      <w:r w:rsidR="0077408A" w:rsidRPr="003F3120">
        <w:rPr>
          <w:lang w:val="fr-FR"/>
        </w:rPr>
        <w:t xml:space="preserve">et que son </w:t>
      </w:r>
      <w:r w:rsidR="00E60FB8">
        <w:rPr>
          <w:lang w:val="fr-FR"/>
        </w:rPr>
        <w:t xml:space="preserve">premier </w:t>
      </w:r>
      <w:r w:rsidR="0077408A" w:rsidRPr="003F3120">
        <w:rPr>
          <w:lang w:val="fr-FR"/>
        </w:rPr>
        <w:t>programme de travail touchait à sa fin,</w:t>
      </w:r>
      <w:r w:rsidR="0077408A" w:rsidRPr="003F3120">
        <w:rPr>
          <w:b/>
          <w:lang w:val="fr-FR"/>
        </w:rPr>
        <w:t xml:space="preserve"> </w:t>
      </w:r>
      <w:r w:rsidR="0077408A" w:rsidRPr="003F3120">
        <w:rPr>
          <w:lang w:val="fr-FR"/>
        </w:rPr>
        <w:t>un nouveau programme de travail devant être approuvé à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session en cours.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travaux menés par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 étaient à n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en pas douter comparables, tant au niveau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qualité que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pertinence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politiques requises pour s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attaquer à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question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biodiversité, à ceux menés par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experts intergouvernemental sur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évolution du climat s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agissant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question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changements climatiques dus aux activités humaines.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défi que devait relever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 consistait à rehausser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importance accordée à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biodiversité et aux écosystèmes pour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porter au même niveau que celle accordée aux changements climatiques.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rapport sur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évaluation mondiale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services écosystémiques établi par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 était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premier du genre et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éléments de preuves et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messages cl</w:t>
      </w:r>
      <w:r w:rsidR="00660658">
        <w:rPr>
          <w:lang w:val="fr-FR"/>
        </w:rPr>
        <w:t xml:space="preserve">efs </w:t>
      </w:r>
      <w:r w:rsidR="0077408A" w:rsidRPr="003F3120">
        <w:rPr>
          <w:lang w:val="fr-FR"/>
        </w:rPr>
        <w:t>qui</w:t>
      </w:r>
      <w:r w:rsidR="007031E0">
        <w:rPr>
          <w:lang w:val="fr-FR"/>
        </w:rPr>
        <w:t xml:space="preserve"> y </w:t>
      </w:r>
      <w:r w:rsidR="0077408A" w:rsidRPr="003F3120">
        <w:rPr>
          <w:lang w:val="fr-FR"/>
        </w:rPr>
        <w:t>figuraient présideraient à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action solidement étayée</w:t>
      </w:r>
      <w:r w:rsidR="007031E0">
        <w:rPr>
          <w:lang w:val="fr-FR"/>
        </w:rPr>
        <w:t xml:space="preserve"> des </w:t>
      </w:r>
      <w:r w:rsidR="00660658">
        <w:rPr>
          <w:lang w:val="fr-FR"/>
        </w:rPr>
        <w:t>pouvoirs publics</w:t>
      </w:r>
      <w:r w:rsidR="0077408A" w:rsidRPr="003F3120">
        <w:rPr>
          <w:lang w:val="fr-FR"/>
        </w:rPr>
        <w:t>, du secteur privé et du grand public pour assurer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conservation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biodiversité et son utilisation durable.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travaux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 complétaient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mesures prises pour mettre en œuvre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autres accords et objectifs clés. Ils démontraient que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perte de biodiversité n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était pas seulement une question écologique, mais aussi une question économique, sécuritaire, sociale, morale et éthique ainsi que de développement, qui compromettrait, si rien n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était fait,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réalisation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objectifs de développement durable.</w:t>
      </w:r>
      <w:r w:rsidR="007031E0">
        <w:rPr>
          <w:lang w:val="fr-FR"/>
        </w:rPr>
        <w:t xml:space="preserve"> Les </w:t>
      </w:r>
      <w:r w:rsidR="00F84840" w:rsidRPr="003F3120">
        <w:rPr>
          <w:lang w:val="fr-FR"/>
        </w:rPr>
        <w:t xml:space="preserve">jeunes </w:t>
      </w:r>
      <w:r w:rsidR="0077408A" w:rsidRPr="003F3120">
        <w:rPr>
          <w:lang w:val="fr-FR"/>
        </w:rPr>
        <w:t>générations étaient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plus vulnérables et faisaient entendre leur voix à travers toute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planète.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 xml:space="preserve">Président </w:t>
      </w:r>
      <w:r w:rsidR="0077408A" w:rsidRPr="003F3120">
        <w:rPr>
          <w:lang w:val="fr-FR"/>
        </w:rPr>
        <w:t>avait adhéré à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campagne « Une voix pour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Planète » lancée récemment et exhortait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autres participants à faire de même. Il fallait remédier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urgence à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perte de biodiversité, et chacun devait s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y atteler, parallèlement à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lutte contre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changements climatiques du</w:t>
      </w:r>
      <w:r w:rsidR="00660658">
        <w:rPr>
          <w:lang w:val="fr-FR"/>
        </w:rPr>
        <w:t>s</w:t>
      </w:r>
      <w:r w:rsidR="0077408A" w:rsidRPr="003F3120">
        <w:rPr>
          <w:lang w:val="fr-FR"/>
        </w:rPr>
        <w:t xml:space="preserve"> aux activités humaines.</w:t>
      </w:r>
    </w:p>
    <w:p w14:paraId="0F572FF6" w14:textId="36E64EE3" w:rsidR="0077408A" w:rsidRPr="003F3120" w:rsidRDefault="0077408A" w:rsidP="007031E0">
      <w:pPr>
        <w:pStyle w:val="Normalnumber"/>
        <w:rPr>
          <w:lang w:val="fr-FR"/>
        </w:rPr>
      </w:pPr>
      <w:r w:rsidRPr="003F3120">
        <w:rPr>
          <w:lang w:val="fr-FR"/>
        </w:rPr>
        <w:t>La Plénière devait se pencher sur cinq grandes questions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>examen et l</w:t>
      </w:r>
      <w:r w:rsidR="00FA5ADB">
        <w:rPr>
          <w:lang w:val="fr-FR"/>
        </w:rPr>
        <w:t>’</w:t>
      </w:r>
      <w:r w:rsidRPr="003F3120">
        <w:rPr>
          <w:lang w:val="fr-FR"/>
        </w:rPr>
        <w:t>approbation du résumé à l</w:t>
      </w:r>
      <w:r w:rsidR="00FA5ADB">
        <w:rPr>
          <w:lang w:val="fr-FR"/>
        </w:rPr>
        <w:t>’</w:t>
      </w:r>
      <w:r w:rsidRPr="003F3120">
        <w:rPr>
          <w:lang w:val="fr-FR"/>
        </w:rPr>
        <w:t>intention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décideurs de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mondiale, et l</w:t>
      </w:r>
      <w:r w:rsidR="00FA5ADB">
        <w:rPr>
          <w:lang w:val="fr-FR"/>
        </w:rPr>
        <w:t>’</w:t>
      </w:r>
      <w:r w:rsidRPr="003F3120">
        <w:rPr>
          <w:lang w:val="fr-FR"/>
        </w:rPr>
        <w:t>accepta</w:t>
      </w:r>
      <w:r w:rsidR="00FD5D6A">
        <w:rPr>
          <w:lang w:val="fr-FR"/>
        </w:rPr>
        <w:t>tion</w:t>
      </w:r>
      <w:r w:rsidR="007031E0">
        <w:rPr>
          <w:lang w:val="fr-FR"/>
        </w:rPr>
        <w:t xml:space="preserve"> des </w:t>
      </w:r>
      <w:r w:rsidR="00FD5D6A">
        <w:rPr>
          <w:lang w:val="fr-FR"/>
        </w:rPr>
        <w:t xml:space="preserve">chapitres </w:t>
      </w:r>
      <w:r w:rsidR="0051572B">
        <w:rPr>
          <w:lang w:val="fr-FR"/>
        </w:rPr>
        <w:t>correspondants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>examen du rapport du groupe externe d</w:t>
      </w:r>
      <w:r w:rsidR="00FA5ADB">
        <w:rPr>
          <w:lang w:val="fr-FR"/>
        </w:rPr>
        <w:t>’</w:t>
      </w:r>
      <w:r w:rsidRPr="003F3120">
        <w:rPr>
          <w:lang w:val="fr-FR"/>
        </w:rPr>
        <w:t>examen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mesures proposées pour améliorer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fonctionnement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>examen et l</w:t>
      </w:r>
      <w:r w:rsidR="00FA5ADB">
        <w:rPr>
          <w:lang w:val="fr-FR"/>
        </w:rPr>
        <w:t>’</w:t>
      </w:r>
      <w:r w:rsidRPr="003F3120">
        <w:rPr>
          <w:lang w:val="fr-FR"/>
        </w:rPr>
        <w:t>approbation d</w:t>
      </w:r>
      <w:r w:rsidR="00FA5ADB">
        <w:rPr>
          <w:lang w:val="fr-FR"/>
        </w:rPr>
        <w:t>’</w:t>
      </w:r>
      <w:r w:rsidRPr="003F3120">
        <w:rPr>
          <w:lang w:val="fr-FR"/>
        </w:rPr>
        <w:t>un budget viable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>approbation du</w:t>
      </w:r>
      <w:r w:rsidR="006208D3">
        <w:rPr>
          <w:lang w:val="fr-FR"/>
        </w:rPr>
        <w:t> </w:t>
      </w:r>
      <w:r w:rsidRPr="003F3120">
        <w:rPr>
          <w:lang w:val="fr-FR"/>
        </w:rPr>
        <w:t>projet de programme de travail</w:t>
      </w:r>
      <w:r w:rsidR="00FD5D6A">
        <w:rPr>
          <w:lang w:val="fr-FR"/>
        </w:rPr>
        <w:t> ;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sélection d</w:t>
      </w:r>
      <w:r w:rsidR="00FA5ADB">
        <w:rPr>
          <w:lang w:val="fr-FR"/>
        </w:rPr>
        <w:t>’</w:t>
      </w:r>
      <w:r w:rsidRPr="003F3120">
        <w:rPr>
          <w:lang w:val="fr-FR"/>
        </w:rPr>
        <w:t>un nouveau Bureau et du Président.</w:t>
      </w:r>
    </w:p>
    <w:p w14:paraId="1ED79AB4" w14:textId="1FF9AA6B" w:rsidR="0077408A" w:rsidRPr="003F3120" w:rsidRDefault="0077408A" w:rsidP="007031E0">
      <w:pPr>
        <w:pStyle w:val="Normalnumber"/>
        <w:rPr>
          <w:lang w:val="fr-FR"/>
        </w:rPr>
      </w:pPr>
      <w:r w:rsidRPr="003F3120">
        <w:rPr>
          <w:lang w:val="fr-FR"/>
        </w:rPr>
        <w:lastRenderedPageBreak/>
        <w:t>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suite de ces observations,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déclarations liminaires ont été prononcées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Directrice générale de l</w:t>
      </w:r>
      <w:r w:rsidR="00FA5ADB">
        <w:rPr>
          <w:lang w:val="fr-FR"/>
        </w:rPr>
        <w:t>’</w:t>
      </w:r>
      <w:r w:rsidRPr="003F3120">
        <w:rPr>
          <w:lang w:val="fr-FR"/>
        </w:rPr>
        <w:t>UNESCO, Mme Audrey Azoulay</w:t>
      </w:r>
      <w:r w:rsidR="00FD5D6A">
        <w:rPr>
          <w:lang w:val="fr-FR"/>
        </w:rPr>
        <w:t> ;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Secrétaire exécutive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Plateforme, Mme Anne Larigauderie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>Ambassadeur et Représentant permanent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France auprès de l</w:t>
      </w:r>
      <w:r w:rsidR="00FA5ADB">
        <w:rPr>
          <w:lang w:val="fr-FR"/>
        </w:rPr>
        <w:t>’</w:t>
      </w:r>
      <w:r w:rsidRPr="003F3120">
        <w:rPr>
          <w:lang w:val="fr-FR"/>
        </w:rPr>
        <w:t>UNESCO, M. Laurent Stéfanini, qui a pris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parole au nom du Ministre français de l</w:t>
      </w:r>
      <w:r w:rsidR="00FA5ADB">
        <w:rPr>
          <w:lang w:val="fr-FR"/>
        </w:rPr>
        <w:t>’</w:t>
      </w:r>
      <w:r w:rsidRPr="003F3120">
        <w:rPr>
          <w:lang w:val="fr-FR"/>
        </w:rPr>
        <w:t>Europe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affaires étrangères, M. Jean-Yves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Drian.</w:t>
      </w:r>
    </w:p>
    <w:p w14:paraId="5056B6EB" w14:textId="6415855C" w:rsidR="0077408A" w:rsidRPr="003F3120" w:rsidRDefault="0077408A" w:rsidP="007031E0">
      <w:pPr>
        <w:pStyle w:val="Normalnumber"/>
        <w:rPr>
          <w:lang w:val="fr-FR"/>
        </w:rPr>
      </w:pPr>
      <w:r w:rsidRPr="003F3120">
        <w:rPr>
          <w:lang w:val="fr-FR"/>
        </w:rPr>
        <w:t>Dans sa déclaration,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Directrice générale a relevé qu</w:t>
      </w:r>
      <w:r w:rsidR="00FA5ADB">
        <w:rPr>
          <w:lang w:val="fr-FR"/>
        </w:rPr>
        <w:t>’</w:t>
      </w:r>
      <w:r w:rsidRPr="003F3120">
        <w:rPr>
          <w:lang w:val="fr-FR"/>
        </w:rPr>
        <w:t>en 2005,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Conférence internationale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science et gouvernance tenue à l</w:t>
      </w:r>
      <w:r w:rsidR="00FA5ADB">
        <w:rPr>
          <w:lang w:val="fr-FR"/>
        </w:rPr>
        <w:t>’</w:t>
      </w:r>
      <w:r w:rsidRPr="003F3120">
        <w:rPr>
          <w:bCs/>
          <w:lang w:val="fr-FR"/>
        </w:rPr>
        <w:t>UNESCO avait jeté</w:t>
      </w:r>
      <w:r w:rsidR="007031E0">
        <w:rPr>
          <w:bCs/>
          <w:lang w:val="fr-FR"/>
        </w:rPr>
        <w:t xml:space="preserve"> les </w:t>
      </w:r>
      <w:r w:rsidRPr="003F3120">
        <w:rPr>
          <w:bCs/>
          <w:lang w:val="fr-FR"/>
        </w:rPr>
        <w:t>bases d</w:t>
      </w:r>
      <w:r w:rsidR="00FA5ADB">
        <w:rPr>
          <w:bCs/>
          <w:lang w:val="fr-FR"/>
        </w:rPr>
        <w:t>’</w:t>
      </w:r>
      <w:r w:rsidRPr="003F3120">
        <w:rPr>
          <w:bCs/>
          <w:lang w:val="fr-FR"/>
        </w:rPr>
        <w:t>un dialogue entre</w:t>
      </w:r>
      <w:r w:rsidR="007031E0">
        <w:rPr>
          <w:bCs/>
          <w:lang w:val="fr-FR"/>
        </w:rPr>
        <w:t xml:space="preserve"> la </w:t>
      </w:r>
      <w:r w:rsidRPr="003F3120">
        <w:rPr>
          <w:bCs/>
          <w:lang w:val="fr-FR"/>
        </w:rPr>
        <w:t>science et</w:t>
      </w:r>
      <w:r w:rsidR="007031E0">
        <w:rPr>
          <w:bCs/>
          <w:lang w:val="fr-FR"/>
        </w:rPr>
        <w:t xml:space="preserve"> la </w:t>
      </w:r>
      <w:r w:rsidRPr="003F3120">
        <w:rPr>
          <w:bCs/>
          <w:lang w:val="fr-FR"/>
        </w:rPr>
        <w:t>société qui avait finalement conduit à</w:t>
      </w:r>
      <w:r w:rsidR="007031E0">
        <w:rPr>
          <w:bCs/>
          <w:lang w:val="fr-FR"/>
        </w:rPr>
        <w:t xml:space="preserve"> la </w:t>
      </w:r>
      <w:r w:rsidRPr="003F3120">
        <w:rPr>
          <w:bCs/>
          <w:lang w:val="fr-FR"/>
        </w:rPr>
        <w:t>création de</w:t>
      </w:r>
      <w:r w:rsidR="007031E0">
        <w:rPr>
          <w:bCs/>
          <w:lang w:val="fr-FR"/>
        </w:rPr>
        <w:t xml:space="preserve"> la </w:t>
      </w:r>
      <w:r w:rsidRPr="003F3120">
        <w:rPr>
          <w:bCs/>
          <w:lang w:val="fr-FR"/>
        </w:rPr>
        <w:t xml:space="preserve">Plateforme, </w:t>
      </w:r>
      <w:r w:rsidR="0051572B">
        <w:rPr>
          <w:bCs/>
          <w:lang w:val="fr-FR"/>
        </w:rPr>
        <w:t>laquelle</w:t>
      </w:r>
      <w:r w:rsidRPr="003F3120">
        <w:rPr>
          <w:bCs/>
          <w:lang w:val="fr-FR"/>
        </w:rPr>
        <w:t xml:space="preserve"> poursuivait ce dialogue. Il </w:t>
      </w:r>
      <w:r w:rsidR="0051572B">
        <w:rPr>
          <w:bCs/>
          <w:lang w:val="fr-FR"/>
        </w:rPr>
        <w:t xml:space="preserve">fallait </w:t>
      </w:r>
      <w:r w:rsidRPr="003F3120">
        <w:rPr>
          <w:bCs/>
          <w:lang w:val="fr-FR"/>
        </w:rPr>
        <w:t xml:space="preserve">agir </w:t>
      </w:r>
      <w:r w:rsidR="0051572B">
        <w:rPr>
          <w:bCs/>
          <w:lang w:val="fr-FR"/>
        </w:rPr>
        <w:t>d</w:t>
      </w:r>
      <w:r w:rsidR="00FA5ADB">
        <w:rPr>
          <w:bCs/>
          <w:lang w:val="fr-FR"/>
        </w:rPr>
        <w:t>’</w:t>
      </w:r>
      <w:r w:rsidR="0051572B">
        <w:rPr>
          <w:bCs/>
          <w:lang w:val="fr-FR"/>
        </w:rPr>
        <w:t xml:space="preserve">urgence </w:t>
      </w:r>
      <w:r w:rsidRPr="003F3120">
        <w:rPr>
          <w:bCs/>
          <w:lang w:val="fr-FR"/>
        </w:rPr>
        <w:t>pour préserver</w:t>
      </w:r>
      <w:r w:rsidR="007031E0">
        <w:rPr>
          <w:bCs/>
          <w:lang w:val="fr-FR"/>
        </w:rPr>
        <w:t xml:space="preserve"> la </w:t>
      </w:r>
      <w:r w:rsidRPr="003F3120">
        <w:rPr>
          <w:bCs/>
          <w:lang w:val="fr-FR"/>
        </w:rPr>
        <w:t>biodiversité, dont dépendaient</w:t>
      </w:r>
      <w:r w:rsidR="007031E0">
        <w:rPr>
          <w:bCs/>
          <w:lang w:val="fr-FR"/>
        </w:rPr>
        <w:t xml:space="preserve"> la </w:t>
      </w:r>
      <w:r w:rsidRPr="003F3120">
        <w:rPr>
          <w:bCs/>
          <w:lang w:val="fr-FR"/>
        </w:rPr>
        <w:t>diversité culturelle et</w:t>
      </w:r>
      <w:r w:rsidR="007031E0">
        <w:rPr>
          <w:bCs/>
          <w:lang w:val="fr-FR"/>
        </w:rPr>
        <w:t xml:space="preserve"> la </w:t>
      </w:r>
      <w:r w:rsidRPr="003F3120">
        <w:rPr>
          <w:bCs/>
          <w:lang w:val="fr-FR"/>
        </w:rPr>
        <w:t>sécurité humaine.</w:t>
      </w:r>
      <w:r w:rsidR="007031E0">
        <w:rPr>
          <w:bCs/>
          <w:lang w:val="fr-FR"/>
        </w:rPr>
        <w:t xml:space="preserve"> Le </w:t>
      </w:r>
      <w:r w:rsidRPr="003F3120">
        <w:rPr>
          <w:bCs/>
          <w:lang w:val="fr-FR"/>
        </w:rPr>
        <w:t>lancement imminent de l</w:t>
      </w:r>
      <w:r w:rsidR="00FA5ADB">
        <w:rPr>
          <w:bCs/>
          <w:lang w:val="fr-FR"/>
        </w:rPr>
        <w:t>’</w:t>
      </w:r>
      <w:r w:rsidRPr="003F3120">
        <w:rPr>
          <w:bCs/>
          <w:lang w:val="fr-FR"/>
        </w:rPr>
        <w:t>évaluation mondiale concourrait à favoriser une telle action. Pour relever ce défi,</w:t>
      </w:r>
      <w:r w:rsidR="007031E0">
        <w:rPr>
          <w:bCs/>
          <w:lang w:val="fr-FR"/>
        </w:rPr>
        <w:t xml:space="preserve"> la </w:t>
      </w:r>
      <w:r w:rsidRPr="003F3120">
        <w:rPr>
          <w:bCs/>
          <w:lang w:val="fr-FR"/>
        </w:rPr>
        <w:t>science devait être placée au cœur</w:t>
      </w:r>
      <w:r w:rsidR="007031E0">
        <w:rPr>
          <w:bCs/>
          <w:lang w:val="fr-FR"/>
        </w:rPr>
        <w:t xml:space="preserve"> des </w:t>
      </w:r>
      <w:r w:rsidRPr="003F3120">
        <w:rPr>
          <w:bCs/>
          <w:lang w:val="fr-FR"/>
        </w:rPr>
        <w:t>politiques publiques et diffusée plus largement auprès du grand public. L</w:t>
      </w:r>
      <w:r w:rsidR="00FA5ADB">
        <w:rPr>
          <w:bCs/>
          <w:lang w:val="fr-FR"/>
        </w:rPr>
        <w:t>’</w:t>
      </w:r>
      <w:r w:rsidRPr="003F3120">
        <w:rPr>
          <w:bCs/>
          <w:lang w:val="fr-FR"/>
        </w:rPr>
        <w:t xml:space="preserve">UNESCO </w:t>
      </w:r>
      <w:r w:rsidR="004E6D2E">
        <w:rPr>
          <w:bCs/>
          <w:lang w:val="fr-FR"/>
        </w:rPr>
        <w:t>était extrêmement bien placée</w:t>
      </w:r>
      <w:r w:rsidRPr="003F3120">
        <w:rPr>
          <w:bCs/>
          <w:lang w:val="fr-FR"/>
        </w:rPr>
        <w:t xml:space="preserve"> pour appuyer</w:t>
      </w:r>
      <w:r w:rsidR="007031E0">
        <w:rPr>
          <w:bCs/>
          <w:lang w:val="fr-FR"/>
        </w:rPr>
        <w:t xml:space="preserve"> les </w:t>
      </w:r>
      <w:r w:rsidRPr="003F3120">
        <w:rPr>
          <w:bCs/>
          <w:lang w:val="fr-FR"/>
        </w:rPr>
        <w:t>efforts déployés à cette fin en réunissant</w:t>
      </w:r>
      <w:r w:rsidR="007031E0">
        <w:rPr>
          <w:bCs/>
          <w:lang w:val="fr-FR"/>
        </w:rPr>
        <w:t xml:space="preserve"> des </w:t>
      </w:r>
      <w:r w:rsidRPr="003F3120">
        <w:rPr>
          <w:bCs/>
          <w:lang w:val="fr-FR"/>
        </w:rPr>
        <w:t>experts scientifiques,</w:t>
      </w:r>
      <w:r w:rsidR="007031E0">
        <w:rPr>
          <w:bCs/>
          <w:lang w:val="fr-FR"/>
        </w:rPr>
        <w:t xml:space="preserve"> la </w:t>
      </w:r>
      <w:r w:rsidRPr="003F3120">
        <w:rPr>
          <w:bCs/>
          <w:lang w:val="fr-FR"/>
        </w:rPr>
        <w:t>société civile,</w:t>
      </w:r>
      <w:r w:rsidR="007031E0">
        <w:rPr>
          <w:bCs/>
          <w:lang w:val="fr-FR"/>
        </w:rPr>
        <w:t xml:space="preserve"> les </w:t>
      </w:r>
      <w:r w:rsidRPr="003F3120">
        <w:rPr>
          <w:bCs/>
          <w:lang w:val="fr-FR"/>
        </w:rPr>
        <w:t>jeunes et</w:t>
      </w:r>
      <w:r w:rsidR="007031E0">
        <w:rPr>
          <w:bCs/>
          <w:lang w:val="fr-FR"/>
        </w:rPr>
        <w:t xml:space="preserve"> les </w:t>
      </w:r>
      <w:r w:rsidRPr="003F3120">
        <w:rPr>
          <w:bCs/>
          <w:lang w:val="fr-FR"/>
        </w:rPr>
        <w:t>gouvernements et en promouvant l</w:t>
      </w:r>
      <w:r w:rsidR="00FA5ADB">
        <w:rPr>
          <w:bCs/>
          <w:lang w:val="fr-FR"/>
        </w:rPr>
        <w:t>’</w:t>
      </w:r>
      <w:r w:rsidRPr="003F3120">
        <w:rPr>
          <w:bCs/>
          <w:lang w:val="fr-FR"/>
        </w:rPr>
        <w:t>éducation au développement durable. Elle</w:t>
      </w:r>
      <w:r w:rsidR="006208D3">
        <w:rPr>
          <w:bCs/>
          <w:lang w:val="fr-FR"/>
        </w:rPr>
        <w:t> </w:t>
      </w:r>
      <w:r w:rsidRPr="003F3120">
        <w:rPr>
          <w:bCs/>
          <w:lang w:val="fr-FR"/>
        </w:rPr>
        <w:t>soutenait également</w:t>
      </w:r>
      <w:r w:rsidR="007031E0">
        <w:rPr>
          <w:bCs/>
          <w:lang w:val="fr-FR"/>
        </w:rPr>
        <w:t xml:space="preserve"> la </w:t>
      </w:r>
      <w:r w:rsidRPr="003F3120">
        <w:rPr>
          <w:bCs/>
          <w:lang w:val="fr-FR"/>
        </w:rPr>
        <w:t>durabilité par</w:t>
      </w:r>
      <w:r w:rsidR="007031E0">
        <w:rPr>
          <w:bCs/>
          <w:lang w:val="fr-FR"/>
        </w:rPr>
        <w:t xml:space="preserve"> la </w:t>
      </w:r>
      <w:r w:rsidRPr="003F3120">
        <w:rPr>
          <w:bCs/>
          <w:lang w:val="fr-FR"/>
        </w:rPr>
        <w:t>création de réserves de</w:t>
      </w:r>
      <w:r w:rsidR="007031E0">
        <w:rPr>
          <w:bCs/>
          <w:lang w:val="fr-FR"/>
        </w:rPr>
        <w:t xml:space="preserve"> la </w:t>
      </w:r>
      <w:r w:rsidRPr="003F3120">
        <w:rPr>
          <w:bCs/>
          <w:lang w:val="fr-FR"/>
        </w:rPr>
        <w:t>biosphère, de sites patrimoniaux naturels mondiaux et de géoparcs mondiaux et</w:t>
      </w:r>
      <w:r w:rsidR="007031E0">
        <w:rPr>
          <w:bCs/>
          <w:lang w:val="fr-FR"/>
        </w:rPr>
        <w:t xml:space="preserve"> le </w:t>
      </w:r>
      <w:r w:rsidRPr="003F3120">
        <w:rPr>
          <w:bCs/>
          <w:lang w:val="fr-FR"/>
        </w:rPr>
        <w:t>développement</w:t>
      </w:r>
      <w:r w:rsidR="007031E0">
        <w:rPr>
          <w:bCs/>
          <w:lang w:val="fr-FR"/>
        </w:rPr>
        <w:t xml:space="preserve"> des </w:t>
      </w:r>
      <w:r w:rsidRPr="003F3120">
        <w:rPr>
          <w:bCs/>
          <w:lang w:val="fr-FR"/>
        </w:rPr>
        <w:t>connaissances et de</w:t>
      </w:r>
      <w:r w:rsidR="007031E0">
        <w:rPr>
          <w:bCs/>
          <w:lang w:val="fr-FR"/>
        </w:rPr>
        <w:t xml:space="preserve"> la </w:t>
      </w:r>
      <w:r w:rsidRPr="003F3120">
        <w:rPr>
          <w:bCs/>
          <w:lang w:val="fr-FR"/>
        </w:rPr>
        <w:t>coopération. Elle tirait parti</w:t>
      </w:r>
      <w:r w:rsidR="007031E0">
        <w:rPr>
          <w:bCs/>
          <w:lang w:val="fr-FR"/>
        </w:rPr>
        <w:t xml:space="preserve"> des </w:t>
      </w:r>
      <w:r w:rsidRPr="003F3120">
        <w:rPr>
          <w:bCs/>
          <w:lang w:val="fr-FR"/>
        </w:rPr>
        <w:t>savoirs autochtones et locaux de concert avec</w:t>
      </w:r>
      <w:r w:rsidR="007031E0">
        <w:rPr>
          <w:bCs/>
          <w:lang w:val="fr-FR"/>
        </w:rPr>
        <w:t xml:space="preserve"> la </w:t>
      </w:r>
      <w:r w:rsidRPr="003F3120">
        <w:rPr>
          <w:bCs/>
          <w:lang w:val="fr-FR"/>
        </w:rPr>
        <w:t>Plateforme, comme</w:t>
      </w:r>
      <w:r w:rsidR="006208D3">
        <w:rPr>
          <w:bCs/>
          <w:lang w:val="fr-FR"/>
        </w:rPr>
        <w:t> </w:t>
      </w:r>
      <w:r w:rsidRPr="003F3120">
        <w:rPr>
          <w:bCs/>
          <w:lang w:val="fr-FR"/>
        </w:rPr>
        <w:t>indiqué dans l</w:t>
      </w:r>
      <w:r w:rsidR="00FA5ADB">
        <w:rPr>
          <w:bCs/>
          <w:lang w:val="fr-FR"/>
        </w:rPr>
        <w:t>’</w:t>
      </w:r>
      <w:r w:rsidRPr="003F3120">
        <w:rPr>
          <w:bCs/>
          <w:lang w:val="fr-FR"/>
        </w:rPr>
        <w:t>évaluation mondiale.</w:t>
      </w:r>
    </w:p>
    <w:p w14:paraId="29B432CF" w14:textId="0062EE45" w:rsidR="0077408A" w:rsidRPr="003F3120" w:rsidRDefault="0077408A" w:rsidP="007031E0">
      <w:pPr>
        <w:pStyle w:val="Normalnumber"/>
        <w:rPr>
          <w:lang w:val="fr-FR"/>
        </w:rPr>
      </w:pPr>
      <w:r w:rsidRPr="003F3120">
        <w:rPr>
          <w:bCs/>
          <w:lang w:val="fr-FR"/>
        </w:rPr>
        <w:t>L</w:t>
      </w:r>
      <w:r w:rsidR="00FA5ADB">
        <w:rPr>
          <w:bCs/>
          <w:lang w:val="fr-FR"/>
        </w:rPr>
        <w:t>’</w:t>
      </w:r>
      <w:r w:rsidRPr="003F3120">
        <w:rPr>
          <w:bCs/>
          <w:lang w:val="fr-FR"/>
        </w:rPr>
        <w:t>UNESCO avait soutenu</w:t>
      </w:r>
      <w:r w:rsidR="007031E0">
        <w:rPr>
          <w:bCs/>
          <w:lang w:val="fr-FR"/>
        </w:rPr>
        <w:t xml:space="preserve"> la </w:t>
      </w:r>
      <w:r w:rsidRPr="003F3120">
        <w:rPr>
          <w:bCs/>
          <w:lang w:val="fr-FR"/>
        </w:rPr>
        <w:t>Plateforme dès</w:t>
      </w:r>
      <w:r w:rsidR="007031E0">
        <w:rPr>
          <w:bCs/>
          <w:lang w:val="fr-FR"/>
        </w:rPr>
        <w:t xml:space="preserve"> le </w:t>
      </w:r>
      <w:r w:rsidRPr="003F3120">
        <w:rPr>
          <w:bCs/>
          <w:lang w:val="fr-FR"/>
        </w:rPr>
        <w:t>début, en partenariat avec</w:t>
      </w:r>
      <w:r w:rsidR="007031E0">
        <w:rPr>
          <w:bCs/>
          <w:lang w:val="fr-FR"/>
        </w:rPr>
        <w:t xml:space="preserve"> le </w:t>
      </w:r>
      <w:r w:rsidRPr="003F3120">
        <w:rPr>
          <w:bCs/>
          <w:lang w:val="fr-FR"/>
        </w:rPr>
        <w:t>Programme</w:t>
      </w:r>
      <w:r w:rsidR="007031E0">
        <w:rPr>
          <w:bCs/>
          <w:lang w:val="fr-FR"/>
        </w:rPr>
        <w:t xml:space="preserve"> des </w:t>
      </w:r>
      <w:r w:rsidRPr="003F3120">
        <w:rPr>
          <w:bCs/>
          <w:lang w:val="fr-FR"/>
        </w:rPr>
        <w:t>Nations Unies pour l</w:t>
      </w:r>
      <w:r w:rsidR="00FA5ADB">
        <w:rPr>
          <w:bCs/>
          <w:lang w:val="fr-FR"/>
        </w:rPr>
        <w:t>’</w:t>
      </w:r>
      <w:r w:rsidRPr="003F3120">
        <w:rPr>
          <w:bCs/>
          <w:lang w:val="fr-FR"/>
        </w:rPr>
        <w:t>environnement (PNUE), l</w:t>
      </w:r>
      <w:r w:rsidR="00FA5ADB">
        <w:rPr>
          <w:bCs/>
          <w:lang w:val="fr-FR"/>
        </w:rPr>
        <w:t>’</w:t>
      </w:r>
      <w:r w:rsidRPr="003F3120">
        <w:rPr>
          <w:bCs/>
          <w:lang w:val="fr-FR"/>
        </w:rPr>
        <w:t>Organisation</w:t>
      </w:r>
      <w:r w:rsidR="007031E0">
        <w:rPr>
          <w:bCs/>
          <w:lang w:val="fr-FR"/>
        </w:rPr>
        <w:t xml:space="preserve"> des </w:t>
      </w:r>
      <w:r w:rsidRPr="003F3120">
        <w:rPr>
          <w:bCs/>
          <w:lang w:val="fr-FR"/>
        </w:rPr>
        <w:t>Nations Unies pour l</w:t>
      </w:r>
      <w:r w:rsidR="00FA5ADB">
        <w:rPr>
          <w:bCs/>
          <w:lang w:val="fr-FR"/>
        </w:rPr>
        <w:t>’</w:t>
      </w:r>
      <w:r w:rsidRPr="003F3120">
        <w:rPr>
          <w:bCs/>
          <w:lang w:val="fr-FR"/>
        </w:rPr>
        <w:t>alimentation et l</w:t>
      </w:r>
      <w:r w:rsidR="00FA5ADB">
        <w:rPr>
          <w:bCs/>
          <w:lang w:val="fr-FR"/>
        </w:rPr>
        <w:t>’</w:t>
      </w:r>
      <w:r w:rsidRPr="003F3120">
        <w:rPr>
          <w:bCs/>
          <w:lang w:val="fr-FR"/>
        </w:rPr>
        <w:t xml:space="preserve">agriculture </w:t>
      </w:r>
      <w:r w:rsidRPr="003F3120">
        <w:rPr>
          <w:lang w:val="fr-FR"/>
        </w:rPr>
        <w:t>(FAO)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Programme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 Unies pour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développement (PNUD).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système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Nations Unies </w:t>
      </w:r>
      <w:r w:rsidR="004E6D2E">
        <w:rPr>
          <w:lang w:val="fr-FR"/>
        </w:rPr>
        <w:t>restait déterminé</w:t>
      </w:r>
      <w:r w:rsidRPr="003F3120">
        <w:rPr>
          <w:lang w:val="fr-FR"/>
        </w:rPr>
        <w:t xml:space="preserve"> à relever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 xml:space="preserve">défi </w:t>
      </w:r>
      <w:r w:rsidR="004E6D2E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protection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biodiversité. Chaque minute comptait,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moment d</w:t>
      </w:r>
      <w:r w:rsidR="00FA5ADB">
        <w:rPr>
          <w:lang w:val="fr-FR"/>
        </w:rPr>
        <w:t>’</w:t>
      </w:r>
      <w:r w:rsidRPr="003F3120">
        <w:rPr>
          <w:lang w:val="fr-FR"/>
        </w:rPr>
        <w:t>agir était venu.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monde nous regardait, en</w:t>
      </w:r>
      <w:r w:rsidR="006208D3">
        <w:rPr>
          <w:lang w:val="fr-FR"/>
        </w:rPr>
        <w:t> </w:t>
      </w:r>
      <w:r w:rsidRPr="003F3120">
        <w:rPr>
          <w:lang w:val="fr-FR"/>
        </w:rPr>
        <w:t>particulier</w:t>
      </w:r>
      <w:r w:rsidR="007031E0">
        <w:rPr>
          <w:lang w:val="fr-FR"/>
        </w:rPr>
        <w:t xml:space="preserve"> les </w:t>
      </w:r>
      <w:r w:rsidR="004E6D2E" w:rsidRPr="003F3120">
        <w:rPr>
          <w:lang w:val="fr-FR"/>
        </w:rPr>
        <w:t xml:space="preserve">jeunes </w:t>
      </w:r>
      <w:r w:rsidR="004E6D2E">
        <w:rPr>
          <w:lang w:val="fr-FR"/>
        </w:rPr>
        <w:t>générations</w:t>
      </w:r>
      <w:r w:rsidRPr="003F3120">
        <w:rPr>
          <w:lang w:val="fr-FR"/>
        </w:rPr>
        <w:t>.</w:t>
      </w:r>
    </w:p>
    <w:p w14:paraId="010DF616" w14:textId="44A4A598" w:rsidR="0077408A" w:rsidRPr="003F3120" w:rsidRDefault="0077408A" w:rsidP="007031E0">
      <w:pPr>
        <w:pStyle w:val="Normalnumber"/>
        <w:rPr>
          <w:lang w:val="fr-FR"/>
        </w:rPr>
      </w:pPr>
      <w:r w:rsidRPr="003F3120">
        <w:rPr>
          <w:lang w:val="fr-FR"/>
        </w:rPr>
        <w:t>Dans sa déclaration,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Secrétaire exécutive a indiqué que près de 800 participants – un chiffre record – assistaient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session en cours, qui représentaient plus de 130 gouvernements et accords multilatéraux sur l</w:t>
      </w:r>
      <w:r w:rsidR="00FA5ADB">
        <w:rPr>
          <w:lang w:val="fr-FR"/>
        </w:rPr>
        <w:t>’</w:t>
      </w:r>
      <w:r w:rsidRPr="003F3120">
        <w:rPr>
          <w:lang w:val="fr-FR"/>
        </w:rPr>
        <w:t>environnement,</w:t>
      </w:r>
      <w:r w:rsidR="007031E0">
        <w:rPr>
          <w:lang w:val="fr-FR"/>
        </w:rPr>
        <w:t xml:space="preserve"> </w:t>
      </w:r>
      <w:r w:rsidR="007031E0" w:rsidRPr="007031E0">
        <w:rPr>
          <w:bCs/>
          <w:lang w:val="fr-FR"/>
        </w:rPr>
        <w:t>la</w:t>
      </w:r>
      <w:r w:rsidR="007031E0">
        <w:rPr>
          <w:lang w:val="fr-FR"/>
        </w:rPr>
        <w:t> </w:t>
      </w:r>
      <w:r w:rsidRPr="003F3120">
        <w:rPr>
          <w:lang w:val="fr-FR"/>
        </w:rPr>
        <w:t>société civile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secteur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entreprises.</w:t>
      </w:r>
    </w:p>
    <w:p w14:paraId="0FA65707" w14:textId="027C79FA" w:rsidR="0077408A" w:rsidRPr="003F3120" w:rsidRDefault="0077408A" w:rsidP="007031E0">
      <w:pPr>
        <w:pStyle w:val="Normalnumber"/>
        <w:rPr>
          <w:lang w:val="fr-FR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évaluation mondiale </w:t>
      </w:r>
      <w:r w:rsidR="004B4104">
        <w:rPr>
          <w:lang w:val="fr-FR"/>
        </w:rPr>
        <w:t xml:space="preserve">qui serait </w:t>
      </w:r>
      <w:r w:rsidRPr="003F3120">
        <w:rPr>
          <w:lang w:val="fr-FR"/>
        </w:rPr>
        <w:t>réalisée prochainement apporterait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réponses, sous-tendues par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chiffres pertinents, aux questions fondamentales de savoir pourquoi il importa</w:t>
      </w:r>
      <w:r w:rsidR="004B4104">
        <w:rPr>
          <w:lang w:val="fr-FR"/>
        </w:rPr>
        <w:t>i</w:t>
      </w:r>
      <w:r w:rsidRPr="003F3120">
        <w:rPr>
          <w:lang w:val="fr-FR"/>
        </w:rPr>
        <w:t>t de protéger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 de l</w:t>
      </w:r>
      <w:r w:rsidR="00FA5ADB">
        <w:rPr>
          <w:lang w:val="fr-FR"/>
        </w:rPr>
        <w:t>’</w:t>
      </w:r>
      <w:r w:rsidRPr="003F3120">
        <w:rPr>
          <w:lang w:val="fr-FR"/>
        </w:rPr>
        <w:t>utiliser de manière durable et pourquoi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était si cruciale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réalisation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objectifs de développement durable. Elle illustrerait également comment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contribuait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qualité de</w:t>
      </w:r>
      <w:r w:rsidR="007031E0">
        <w:rPr>
          <w:lang w:val="fr-FR"/>
        </w:rPr>
        <w:t xml:space="preserve"> </w:t>
      </w:r>
      <w:r w:rsidR="007031E0" w:rsidRPr="007031E0">
        <w:rPr>
          <w:bCs/>
          <w:lang w:val="fr-FR"/>
        </w:rPr>
        <w:t>la</w:t>
      </w:r>
      <w:r w:rsidR="007031E0">
        <w:rPr>
          <w:lang w:val="fr-FR"/>
        </w:rPr>
        <w:t> </w:t>
      </w:r>
      <w:r w:rsidRPr="003F3120">
        <w:rPr>
          <w:lang w:val="fr-FR"/>
        </w:rPr>
        <w:t>vie, à l</w:t>
      </w:r>
      <w:r w:rsidR="00FA5ADB">
        <w:rPr>
          <w:lang w:val="fr-FR"/>
        </w:rPr>
        <w:t>’</w:t>
      </w:r>
      <w:r w:rsidRPr="003F3120">
        <w:rPr>
          <w:lang w:val="fr-FR"/>
        </w:rPr>
        <w:t>identité et au patrimoine culturel de l</w:t>
      </w:r>
      <w:r w:rsidR="00FA5ADB">
        <w:rPr>
          <w:lang w:val="fr-FR"/>
        </w:rPr>
        <w:t>’</w:t>
      </w:r>
      <w:r w:rsidRPr="003F3120">
        <w:rPr>
          <w:lang w:val="fr-FR"/>
        </w:rPr>
        <w:t>humanité. Des</w:t>
      </w:r>
      <w:r w:rsidR="006208D3">
        <w:rPr>
          <w:lang w:val="fr-FR"/>
        </w:rPr>
        <w:t> </w:t>
      </w:r>
      <w:r w:rsidRPr="003F3120">
        <w:rPr>
          <w:lang w:val="fr-FR"/>
        </w:rPr>
        <w:t>centaines de chercheurs et d</w:t>
      </w:r>
      <w:r w:rsidR="00FA5ADB">
        <w:rPr>
          <w:lang w:val="fr-FR"/>
        </w:rPr>
        <w:t>’</w:t>
      </w:r>
      <w:r w:rsidRPr="003F3120">
        <w:rPr>
          <w:lang w:val="fr-FR"/>
        </w:rPr>
        <w:t>experts du monde entier,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compris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détenteurs de savoirs autochtones et locaux, avaient contribué au rapport sur une base volontaire, en incorporant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réponses à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milliers d</w:t>
      </w:r>
      <w:r w:rsidR="00FA5ADB">
        <w:rPr>
          <w:lang w:val="fr-FR"/>
        </w:rPr>
        <w:t>’</w:t>
      </w:r>
      <w:r w:rsidRPr="003F3120">
        <w:rPr>
          <w:lang w:val="fr-FR"/>
        </w:rPr>
        <w:t>observations formulées par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pairs.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évaluation servirait de base scientifique </w:t>
      </w:r>
      <w:r w:rsidR="004B4104">
        <w:rPr>
          <w:lang w:val="fr-FR"/>
        </w:rPr>
        <w:t>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quinzième réunion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Conférence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Parties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Convention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diversité biologique, qui se tiendrait en Chine en 2020. On espérait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travaux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contribueraient à stimuler l</w:t>
      </w:r>
      <w:r w:rsidR="00FA5ADB">
        <w:rPr>
          <w:lang w:val="fr-FR"/>
        </w:rPr>
        <w:t>’</w:t>
      </w:r>
      <w:r w:rsidRPr="003F3120">
        <w:rPr>
          <w:lang w:val="fr-FR"/>
        </w:rPr>
        <w:t>action mondiale en matière de biodiversité, ainsi qu</w:t>
      </w:r>
      <w:r w:rsidR="004B4104">
        <w:rPr>
          <w:lang w:val="fr-FR"/>
        </w:rPr>
        <w:t xml:space="preserve">e </w:t>
      </w:r>
      <w:r w:rsidRPr="003F3120">
        <w:rPr>
          <w:lang w:val="fr-FR"/>
        </w:rPr>
        <w:t>de changements climatiques, avant qu</w:t>
      </w:r>
      <w:r w:rsidR="00FA5ADB">
        <w:rPr>
          <w:lang w:val="fr-FR"/>
        </w:rPr>
        <w:t>’</w:t>
      </w:r>
      <w:r w:rsidRPr="003F3120">
        <w:rPr>
          <w:lang w:val="fr-FR"/>
        </w:rPr>
        <w:t>il ne soit trop tard.</w:t>
      </w:r>
    </w:p>
    <w:p w14:paraId="7B656163" w14:textId="272D1BD8" w:rsidR="0077408A" w:rsidRPr="003F3120" w:rsidRDefault="0077408A" w:rsidP="007031E0">
      <w:pPr>
        <w:pStyle w:val="Normalnumber"/>
        <w:rPr>
          <w:lang w:val="fr-FR"/>
        </w:rPr>
      </w:pPr>
      <w:r w:rsidRPr="003F3120">
        <w:rPr>
          <w:lang w:val="fr-FR"/>
        </w:rPr>
        <w:t>Dans sa déclaration, M. Stéfanini, se félicitant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travaux menés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depuis sa</w:t>
      </w:r>
      <w:r w:rsidR="006208D3">
        <w:rPr>
          <w:lang w:val="fr-FR"/>
        </w:rPr>
        <w:t> </w:t>
      </w:r>
      <w:r w:rsidRPr="003F3120">
        <w:rPr>
          <w:lang w:val="fr-FR"/>
        </w:rPr>
        <w:t>création, a fait observer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services écosystémiques étaient </w:t>
      </w:r>
      <w:r w:rsidR="004B4104">
        <w:rPr>
          <w:lang w:val="fr-FR"/>
        </w:rPr>
        <w:t>en proie</w:t>
      </w:r>
      <w:r w:rsidRPr="003F3120">
        <w:rPr>
          <w:lang w:val="fr-FR"/>
        </w:rPr>
        <w:t xml:space="preserve"> à une</w:t>
      </w:r>
      <w:r w:rsidR="006208D3">
        <w:rPr>
          <w:lang w:val="fr-FR"/>
        </w:rPr>
        <w:t> </w:t>
      </w:r>
      <w:r w:rsidRPr="003F3120">
        <w:rPr>
          <w:lang w:val="fr-FR"/>
        </w:rPr>
        <w:t>crise sans précédent, qui aurait</w:t>
      </w:r>
      <w:r w:rsidR="007031E0">
        <w:rPr>
          <w:lang w:val="fr-FR"/>
        </w:rPr>
        <w:t xml:space="preserve"> des </w:t>
      </w:r>
      <w:r w:rsidR="004B4104">
        <w:rPr>
          <w:lang w:val="fr-FR"/>
        </w:rPr>
        <w:t>répercussions</w:t>
      </w:r>
      <w:r w:rsidRPr="003F3120">
        <w:rPr>
          <w:lang w:val="fr-FR"/>
        </w:rPr>
        <w:t xml:space="preserve"> majeur</w:t>
      </w:r>
      <w:r w:rsidR="004B4104">
        <w:rPr>
          <w:lang w:val="fr-FR"/>
        </w:rPr>
        <w:t>e</w:t>
      </w:r>
      <w:r w:rsidRPr="003F3120">
        <w:rPr>
          <w:lang w:val="fr-FR"/>
        </w:rPr>
        <w:t>s sur l</w:t>
      </w:r>
      <w:r w:rsidR="00FA5ADB">
        <w:rPr>
          <w:lang w:val="fr-FR"/>
        </w:rPr>
        <w:t>’</w:t>
      </w:r>
      <w:r w:rsidRPr="003F3120">
        <w:rPr>
          <w:lang w:val="fr-FR"/>
        </w:rPr>
        <w:t>économie mondiale,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sécurité alimentaire,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développement et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sécurité collective, et sur nombre de domaines dont dépendait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vie humaine elle-même, comme </w:t>
      </w:r>
      <w:r w:rsidRPr="007031E0">
        <w:rPr>
          <w:bCs/>
          <w:lang w:val="fr-FR"/>
        </w:rPr>
        <w:t>l</w:t>
      </w:r>
      <w:r w:rsidR="00FA5ADB">
        <w:rPr>
          <w:bCs/>
          <w:lang w:val="fr-FR"/>
        </w:rPr>
        <w:t>’</w:t>
      </w:r>
      <w:r w:rsidRPr="007031E0">
        <w:rPr>
          <w:bCs/>
          <w:lang w:val="fr-FR"/>
        </w:rPr>
        <w:t>agriculture</w:t>
      </w:r>
      <w:r w:rsidRPr="003F3120">
        <w:rPr>
          <w:lang w:val="fr-FR"/>
        </w:rPr>
        <w:t>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régulation du climat,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qualité de l</w:t>
      </w:r>
      <w:r w:rsidR="00FA5ADB">
        <w:rPr>
          <w:lang w:val="fr-FR"/>
        </w:rPr>
        <w:t>’</w:t>
      </w:r>
      <w:r w:rsidRPr="003F3120">
        <w:rPr>
          <w:lang w:val="fr-FR"/>
        </w:rPr>
        <w:t>air et de l</w:t>
      </w:r>
      <w:r w:rsidR="00FA5ADB">
        <w:rPr>
          <w:lang w:val="fr-FR"/>
        </w:rPr>
        <w:t>’</w:t>
      </w:r>
      <w:r w:rsidRPr="003F3120">
        <w:rPr>
          <w:lang w:val="fr-FR"/>
        </w:rPr>
        <w:t>eau et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pollinisation. Dans un tel contexte,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coopération internationale était essentielle.</w:t>
      </w:r>
    </w:p>
    <w:p w14:paraId="7B5600FE" w14:textId="0F1C37F6" w:rsidR="0077408A" w:rsidRPr="003F3120" w:rsidRDefault="0077408A" w:rsidP="007031E0">
      <w:pPr>
        <w:pStyle w:val="Normalnumber"/>
        <w:rPr>
          <w:lang w:val="fr-FR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mondiale permettrait de mettre en évidence l</w:t>
      </w:r>
      <w:r w:rsidR="00FA5ADB">
        <w:rPr>
          <w:lang w:val="fr-FR"/>
        </w:rPr>
        <w:t>’</w:t>
      </w:r>
      <w:r w:rsidRPr="003F3120">
        <w:rPr>
          <w:lang w:val="fr-FR"/>
        </w:rPr>
        <w:t>urgente nécessité de protéger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 fournirait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base scientifique de l</w:t>
      </w:r>
      <w:r w:rsidR="00FA5ADB">
        <w:rPr>
          <w:lang w:val="fr-FR"/>
        </w:rPr>
        <w:t>’</w:t>
      </w:r>
      <w:r w:rsidRPr="003F3120">
        <w:rPr>
          <w:lang w:val="fr-FR"/>
        </w:rPr>
        <w:t>action nationale et internationale. Elle intervenait à</w:t>
      </w:r>
      <w:r w:rsidR="006208D3">
        <w:rPr>
          <w:lang w:val="fr-FR"/>
        </w:rPr>
        <w:t> </w:t>
      </w:r>
      <w:r w:rsidRPr="003F3120">
        <w:rPr>
          <w:lang w:val="fr-FR"/>
        </w:rPr>
        <w:t>un moment crucial, car de nouveaux engagements aux niveaux national et régional et entre toutes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parties prenantes seraient indispensables </w:t>
      </w:r>
      <w:r w:rsidR="004B4104">
        <w:rPr>
          <w:lang w:val="fr-FR"/>
        </w:rPr>
        <w:t>au</w:t>
      </w:r>
      <w:r w:rsidRPr="003F3120">
        <w:rPr>
          <w:lang w:val="fr-FR"/>
        </w:rPr>
        <w:t xml:space="preserve"> </w:t>
      </w:r>
      <w:r w:rsidRPr="007031E0">
        <w:rPr>
          <w:bCs/>
          <w:lang w:val="fr-FR"/>
        </w:rPr>
        <w:t>succès</w:t>
      </w:r>
      <w:r w:rsidRPr="003F3120">
        <w:rPr>
          <w:lang w:val="fr-FR"/>
        </w:rPr>
        <w:t xml:space="preserve">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quinzième réunion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Conférence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parties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Convention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diversité biologique et pour insuffler un nouvel élan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traitement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questions relatives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biodiversité. À cette fin,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France était résolue à partager l</w:t>
      </w:r>
      <w:r w:rsidR="00FA5ADB">
        <w:rPr>
          <w:lang w:val="fr-FR"/>
        </w:rPr>
        <w:t>’</w:t>
      </w:r>
      <w:r w:rsidRPr="003F3120">
        <w:rPr>
          <w:lang w:val="fr-FR"/>
        </w:rPr>
        <w:t>expérience qu</w:t>
      </w:r>
      <w:r w:rsidR="00FA5ADB">
        <w:rPr>
          <w:lang w:val="fr-FR"/>
        </w:rPr>
        <w:t>’</w:t>
      </w:r>
      <w:r w:rsidRPr="003F3120">
        <w:rPr>
          <w:lang w:val="fr-FR"/>
        </w:rPr>
        <w:t>elle avait acquise dans</w:t>
      </w:r>
      <w:r w:rsidR="007031E0">
        <w:rPr>
          <w:lang w:val="fr-FR"/>
        </w:rPr>
        <w:t xml:space="preserve"> le </w:t>
      </w:r>
      <w:r w:rsidR="001076D1">
        <w:rPr>
          <w:lang w:val="fr-FR"/>
        </w:rPr>
        <w:t>cadre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négociation de l</w:t>
      </w:r>
      <w:r w:rsidR="00FA5ADB">
        <w:rPr>
          <w:lang w:val="fr-FR"/>
        </w:rPr>
        <w:t>’</w:t>
      </w:r>
      <w:r w:rsidRPr="003F3120">
        <w:rPr>
          <w:lang w:val="fr-FR"/>
        </w:rPr>
        <w:t>Accord de Paris. Elle</w:t>
      </w:r>
      <w:r w:rsidR="006208D3">
        <w:rPr>
          <w:lang w:val="fr-FR"/>
        </w:rPr>
        <w:t> </w:t>
      </w:r>
      <w:r w:rsidRPr="003F3120">
        <w:rPr>
          <w:lang w:val="fr-FR"/>
        </w:rPr>
        <w:t>accueil</w:t>
      </w:r>
      <w:r w:rsidR="000E701A">
        <w:rPr>
          <w:lang w:val="fr-FR"/>
        </w:rPr>
        <w:t>lerait bientôt une réunion</w:t>
      </w:r>
      <w:r w:rsidR="007031E0">
        <w:rPr>
          <w:lang w:val="fr-FR"/>
        </w:rPr>
        <w:t xml:space="preserve"> des </w:t>
      </w:r>
      <w:r w:rsidR="000E701A">
        <w:rPr>
          <w:lang w:val="fr-FR"/>
        </w:rPr>
        <w:t>M</w:t>
      </w:r>
      <w:r w:rsidRPr="003F3120">
        <w:rPr>
          <w:lang w:val="fr-FR"/>
        </w:rPr>
        <w:t>inistres de l</w:t>
      </w:r>
      <w:r w:rsidR="00FA5ADB">
        <w:rPr>
          <w:lang w:val="fr-FR"/>
        </w:rPr>
        <w:t>’</w:t>
      </w:r>
      <w:r w:rsidRPr="003F3120">
        <w:rPr>
          <w:lang w:val="fr-FR"/>
        </w:rPr>
        <w:t>environnement du Groupe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Sept, suivie du</w:t>
      </w:r>
      <w:r w:rsidR="006208D3">
        <w:rPr>
          <w:lang w:val="fr-FR"/>
        </w:rPr>
        <w:t> </w:t>
      </w:r>
      <w:r w:rsidRPr="003F3120">
        <w:rPr>
          <w:lang w:val="fr-FR"/>
        </w:rPr>
        <w:t>sommet du Groupe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Sept, au cours duquel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serait une question majeure abordée. En 2020</w:t>
      </w:r>
      <w:r w:rsidR="00F84840" w:rsidRPr="003F3120">
        <w:rPr>
          <w:lang w:val="fr-FR"/>
        </w:rPr>
        <w:t>,</w:t>
      </w:r>
      <w:r w:rsidRPr="003F3120">
        <w:rPr>
          <w:lang w:val="fr-FR"/>
        </w:rPr>
        <w:t xml:space="preserve"> elle accueillerait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Congrès mondial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nature de l</w:t>
      </w:r>
      <w:r w:rsidR="00FA5ADB">
        <w:rPr>
          <w:lang w:val="fr-FR"/>
        </w:rPr>
        <w:t>’</w:t>
      </w:r>
      <w:r w:rsidRPr="003F3120">
        <w:rPr>
          <w:lang w:val="fr-FR"/>
        </w:rPr>
        <w:t>Union internationale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conservation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nature et de ses ressources.</w:t>
      </w:r>
    </w:p>
    <w:p w14:paraId="2D7119C5" w14:textId="35D8FB29" w:rsidR="0077408A" w:rsidRPr="003F3120" w:rsidRDefault="0077408A" w:rsidP="007031E0">
      <w:pPr>
        <w:pStyle w:val="Normalnumber"/>
        <w:keepLines/>
        <w:rPr>
          <w:lang w:val="fr-FR"/>
        </w:rPr>
      </w:pPr>
      <w:r w:rsidRPr="003F3120">
        <w:rPr>
          <w:lang w:val="fr-FR"/>
        </w:rPr>
        <w:lastRenderedPageBreak/>
        <w:t>Les mesures prises par</w:t>
      </w:r>
      <w:r w:rsidR="007031E0">
        <w:rPr>
          <w:lang w:val="fr-FR"/>
        </w:rPr>
        <w:t xml:space="preserve"> les </w:t>
      </w:r>
      <w:r w:rsidR="00D37511">
        <w:rPr>
          <w:lang w:val="fr-FR"/>
        </w:rPr>
        <w:t xml:space="preserve">seuls </w:t>
      </w:r>
      <w:r w:rsidRPr="003F3120">
        <w:rPr>
          <w:lang w:val="fr-FR"/>
        </w:rPr>
        <w:t>États ne suffiraient pas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toutes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parties prenantes devaient être </w:t>
      </w:r>
      <w:r w:rsidR="00D37511">
        <w:rPr>
          <w:lang w:val="fr-FR"/>
        </w:rPr>
        <w:t>associées</w:t>
      </w:r>
      <w:r w:rsidRPr="003F3120">
        <w:rPr>
          <w:lang w:val="fr-FR"/>
        </w:rPr>
        <w:t>, dont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communauté de chercheurs,</w:t>
      </w:r>
      <w:r w:rsidR="007031E0">
        <w:rPr>
          <w:lang w:val="fr-FR"/>
        </w:rPr>
        <w:t xml:space="preserve"> les </w:t>
      </w:r>
      <w:r w:rsidRPr="007031E0">
        <w:rPr>
          <w:bCs/>
          <w:lang w:val="fr-FR"/>
        </w:rPr>
        <w:t>autorités</w:t>
      </w:r>
      <w:r w:rsidRPr="003F3120">
        <w:rPr>
          <w:lang w:val="fr-FR"/>
        </w:rPr>
        <w:t xml:space="preserve"> locales,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secteur privé,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organisations non gouvernementales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public.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secteurs industriels et financiers étaient également encouragés à prendre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engagements en faveur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protection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biodiversité, notamment par l</w:t>
      </w:r>
      <w:r w:rsidR="00FA5ADB">
        <w:rPr>
          <w:lang w:val="fr-FR"/>
        </w:rPr>
        <w:t>’</w:t>
      </w:r>
      <w:r w:rsidRPr="003F3120">
        <w:rPr>
          <w:lang w:val="fr-FR"/>
        </w:rPr>
        <w:t>intermédiaire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organisations telles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FAO, l</w:t>
      </w:r>
      <w:r w:rsidR="00FA5ADB">
        <w:rPr>
          <w:lang w:val="fr-FR"/>
        </w:rPr>
        <w:t>’</w:t>
      </w:r>
      <w:r w:rsidRPr="003F3120">
        <w:rPr>
          <w:lang w:val="fr-FR"/>
        </w:rPr>
        <w:t>Organisation mondiale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Santé et l</w:t>
      </w:r>
      <w:r w:rsidR="00FA5ADB">
        <w:rPr>
          <w:lang w:val="fr-FR"/>
        </w:rPr>
        <w:t>’</w:t>
      </w:r>
      <w:r w:rsidRPr="003F3120">
        <w:rPr>
          <w:lang w:val="fr-FR"/>
        </w:rPr>
        <w:t>Organisation mondiale du commerce. L</w:t>
      </w:r>
      <w:r w:rsidR="00FA5ADB">
        <w:rPr>
          <w:lang w:val="fr-FR"/>
        </w:rPr>
        <w:t>’</w:t>
      </w:r>
      <w:r w:rsidRPr="003F3120">
        <w:rPr>
          <w:lang w:val="fr-FR"/>
        </w:rPr>
        <w:t>aide publique au développement était aussi essentielle.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France avait accru et maintiendrait son </w:t>
      </w:r>
      <w:r w:rsidR="00D37511">
        <w:rPr>
          <w:lang w:val="fr-FR"/>
        </w:rPr>
        <w:t>appui</w:t>
      </w:r>
      <w:r w:rsidRPr="003F3120">
        <w:rPr>
          <w:lang w:val="fr-FR"/>
        </w:rPr>
        <w:t xml:space="preserve"> financier </w:t>
      </w:r>
      <w:r w:rsidR="00D37511">
        <w:rPr>
          <w:lang w:val="fr-FR"/>
        </w:rPr>
        <w:t>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protection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biodiversité.</w:t>
      </w:r>
    </w:p>
    <w:p w14:paraId="66F65A07" w14:textId="01CB2753" w:rsidR="0077408A" w:rsidRPr="003F3120" w:rsidRDefault="0077408A" w:rsidP="00ED6939">
      <w:pPr>
        <w:pStyle w:val="Normalnumber"/>
        <w:rPr>
          <w:noProof/>
          <w:lang w:val="fr-FR"/>
        </w:rPr>
      </w:pPr>
      <w:r w:rsidRPr="003F3120">
        <w:rPr>
          <w:lang w:val="fr-FR"/>
        </w:rPr>
        <w:t>À l</w:t>
      </w:r>
      <w:r w:rsidR="00FA5ADB">
        <w:rPr>
          <w:lang w:val="fr-FR"/>
        </w:rPr>
        <w:t>’</w:t>
      </w:r>
      <w:r w:rsidRPr="003F3120">
        <w:rPr>
          <w:lang w:val="fr-FR"/>
        </w:rPr>
        <w:t>issue de ces déclarations, un film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en France a été projeté.</w:t>
      </w:r>
    </w:p>
    <w:p w14:paraId="13E8B8FB" w14:textId="0C45DBDA" w:rsidR="0077408A" w:rsidRPr="003F3120" w:rsidRDefault="0077408A" w:rsidP="00ED6939">
      <w:pPr>
        <w:pStyle w:val="Normalnumber"/>
        <w:rPr>
          <w:i/>
          <w:noProof/>
          <w:lang w:val="fr-FR"/>
        </w:rPr>
      </w:pPr>
      <w:r w:rsidRPr="003F3120">
        <w:rPr>
          <w:noProof/>
          <w:lang w:val="fr-FR"/>
        </w:rPr>
        <w:t>Des représentants, intervenant au nom</w:t>
      </w:r>
      <w:r w:rsidR="007031E0">
        <w:rPr>
          <w:noProof/>
          <w:lang w:val="fr-FR"/>
        </w:rPr>
        <w:t xml:space="preserve"> des </w:t>
      </w:r>
      <w:r w:rsidRPr="003F3120">
        <w:rPr>
          <w:noProof/>
          <w:lang w:val="fr-FR"/>
        </w:rPr>
        <w:t>groupes régionaux,</w:t>
      </w:r>
      <w:r w:rsidR="007031E0">
        <w:rPr>
          <w:noProof/>
          <w:lang w:val="fr-FR"/>
        </w:rPr>
        <w:t xml:space="preserve"> des </w:t>
      </w:r>
      <w:r w:rsidRPr="003F3120">
        <w:rPr>
          <w:noProof/>
          <w:lang w:val="fr-FR"/>
        </w:rPr>
        <w:t>États-Unis d</w:t>
      </w:r>
      <w:r w:rsidR="00FA5ADB">
        <w:rPr>
          <w:noProof/>
          <w:lang w:val="fr-FR"/>
        </w:rPr>
        <w:t>’</w:t>
      </w:r>
      <w:r w:rsidRPr="003F3120">
        <w:rPr>
          <w:noProof/>
          <w:lang w:val="fr-FR"/>
        </w:rPr>
        <w:t>Amérique, du Groupe de liaison sur</w:t>
      </w:r>
      <w:r w:rsidR="007031E0">
        <w:rPr>
          <w:noProof/>
          <w:lang w:val="fr-FR"/>
        </w:rPr>
        <w:t xml:space="preserve"> les </w:t>
      </w:r>
      <w:r w:rsidRPr="003F3120">
        <w:rPr>
          <w:noProof/>
          <w:lang w:val="fr-FR"/>
        </w:rPr>
        <w:t>conventions concernant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 xml:space="preserve">diversité biologique, </w:t>
      </w:r>
      <w:r w:rsidR="00F84840" w:rsidRPr="003F3120">
        <w:rPr>
          <w:noProof/>
          <w:lang w:val="fr-FR"/>
        </w:rPr>
        <w:t>du Forum international</w:t>
      </w:r>
      <w:r w:rsidR="007031E0">
        <w:rPr>
          <w:noProof/>
          <w:lang w:val="fr-FR"/>
        </w:rPr>
        <w:t xml:space="preserve"> des </w:t>
      </w:r>
      <w:r w:rsidR="00F84840" w:rsidRPr="003F3120">
        <w:rPr>
          <w:noProof/>
          <w:lang w:val="fr-FR"/>
        </w:rPr>
        <w:t>peuples autochtones sur</w:t>
      </w:r>
      <w:r w:rsidR="007031E0">
        <w:rPr>
          <w:noProof/>
          <w:lang w:val="fr-FR"/>
        </w:rPr>
        <w:t xml:space="preserve"> la </w:t>
      </w:r>
      <w:r w:rsidR="00F84840" w:rsidRPr="003F3120">
        <w:rPr>
          <w:noProof/>
          <w:lang w:val="fr-FR"/>
        </w:rPr>
        <w:t>biodiversité et</w:t>
      </w:r>
      <w:r w:rsidR="007031E0">
        <w:rPr>
          <w:noProof/>
          <w:lang w:val="fr-FR"/>
        </w:rPr>
        <w:t xml:space="preserve"> les </w:t>
      </w:r>
      <w:r w:rsidR="00F84840" w:rsidRPr="003F3120">
        <w:rPr>
          <w:noProof/>
          <w:lang w:val="fr-FR"/>
        </w:rPr>
        <w:t xml:space="preserve">services écosystémiques et </w:t>
      </w:r>
      <w:r w:rsidR="00D37511">
        <w:rPr>
          <w:noProof/>
          <w:lang w:val="fr-FR"/>
        </w:rPr>
        <w:t>du</w:t>
      </w:r>
      <w:r w:rsidR="00F84840" w:rsidRPr="003F3120">
        <w:rPr>
          <w:noProof/>
          <w:lang w:val="fr-FR"/>
        </w:rPr>
        <w:t xml:space="preserve"> Réseau à composition non limitée de </w:t>
      </w:r>
      <w:r w:rsidRPr="003F3120">
        <w:rPr>
          <w:noProof/>
          <w:lang w:val="fr-FR"/>
        </w:rPr>
        <w:t>parties prenantes</w:t>
      </w:r>
      <w:r w:rsidR="00F84840" w:rsidRPr="003F3120">
        <w:rPr>
          <w:noProof/>
          <w:lang w:val="fr-FR"/>
        </w:rPr>
        <w:t xml:space="preserve"> de</w:t>
      </w:r>
      <w:r w:rsidR="007031E0">
        <w:rPr>
          <w:noProof/>
          <w:lang w:val="fr-FR"/>
        </w:rPr>
        <w:t xml:space="preserve"> la </w:t>
      </w:r>
      <w:r w:rsidR="00F84840" w:rsidRPr="003F3120">
        <w:rPr>
          <w:noProof/>
          <w:lang w:val="fr-FR"/>
        </w:rPr>
        <w:t>Plateforme,</w:t>
      </w:r>
      <w:r w:rsidRPr="003F3120">
        <w:rPr>
          <w:noProof/>
          <w:lang w:val="fr-FR"/>
        </w:rPr>
        <w:t xml:space="preserve"> ont prononcé</w:t>
      </w:r>
      <w:r w:rsidR="007031E0">
        <w:rPr>
          <w:noProof/>
          <w:lang w:val="fr-FR"/>
        </w:rPr>
        <w:t xml:space="preserve"> des </w:t>
      </w:r>
      <w:r w:rsidRPr="003F3120">
        <w:rPr>
          <w:noProof/>
          <w:lang w:val="fr-FR"/>
        </w:rPr>
        <w:t>déclarations générales dans lesquelles ils ont évoqué</w:t>
      </w:r>
      <w:r w:rsidR="007031E0">
        <w:rPr>
          <w:noProof/>
          <w:lang w:val="fr-FR"/>
        </w:rPr>
        <w:t xml:space="preserve"> les </w:t>
      </w:r>
      <w:r w:rsidRPr="003F3120">
        <w:rPr>
          <w:noProof/>
          <w:lang w:val="fr-FR"/>
        </w:rPr>
        <w:t>progrès de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Plateforme,</w:t>
      </w:r>
      <w:r w:rsidR="007031E0">
        <w:rPr>
          <w:noProof/>
          <w:lang w:val="fr-FR"/>
        </w:rPr>
        <w:t xml:space="preserve"> les </w:t>
      </w:r>
      <w:r w:rsidRPr="003F3120">
        <w:rPr>
          <w:noProof/>
          <w:lang w:val="fr-FR"/>
        </w:rPr>
        <w:t>activités menées à l</w:t>
      </w:r>
      <w:r w:rsidR="00FA5ADB">
        <w:rPr>
          <w:noProof/>
          <w:lang w:val="fr-FR"/>
        </w:rPr>
        <w:t>’</w:t>
      </w:r>
      <w:r w:rsidRPr="003F3120">
        <w:rPr>
          <w:noProof/>
          <w:lang w:val="fr-FR"/>
        </w:rPr>
        <w:t>appui</w:t>
      </w:r>
      <w:r w:rsidR="007031E0">
        <w:rPr>
          <w:noProof/>
          <w:lang w:val="fr-FR"/>
        </w:rPr>
        <w:t xml:space="preserve"> des </w:t>
      </w:r>
      <w:r w:rsidRPr="003F3120">
        <w:rPr>
          <w:noProof/>
          <w:lang w:val="fr-FR"/>
        </w:rPr>
        <w:t>travaux de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Plateforme par</w:t>
      </w:r>
      <w:r w:rsidR="007031E0">
        <w:rPr>
          <w:noProof/>
          <w:lang w:val="fr-FR"/>
        </w:rPr>
        <w:t xml:space="preserve"> les </w:t>
      </w:r>
      <w:r w:rsidRPr="003F3120">
        <w:rPr>
          <w:noProof/>
          <w:lang w:val="fr-FR"/>
        </w:rPr>
        <w:t>entités au nom desquelles ils s</w:t>
      </w:r>
      <w:r w:rsidR="00FA5ADB">
        <w:rPr>
          <w:noProof/>
          <w:lang w:val="fr-FR"/>
        </w:rPr>
        <w:t>’</w:t>
      </w:r>
      <w:r w:rsidRPr="003F3120">
        <w:rPr>
          <w:noProof/>
          <w:lang w:val="fr-FR"/>
        </w:rPr>
        <w:t>exprimaient et leurs attentes au regard de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session en cours et</w:t>
      </w:r>
      <w:r w:rsidR="007031E0">
        <w:rPr>
          <w:noProof/>
          <w:lang w:val="fr-FR"/>
        </w:rPr>
        <w:t xml:space="preserve"> des </w:t>
      </w:r>
      <w:r w:rsidRPr="003F3120">
        <w:rPr>
          <w:noProof/>
          <w:lang w:val="fr-FR"/>
        </w:rPr>
        <w:t>futurs travaux de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Plateforme.</w:t>
      </w:r>
    </w:p>
    <w:p w14:paraId="620D2104" w14:textId="778951A1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suite, une déclaration a été prononcée par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Ministre français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transition écologique et solidaire, M. François de Rugy. Il a rappelé qu</w:t>
      </w:r>
      <w:r w:rsidR="00FA5ADB">
        <w:rPr>
          <w:lang w:val="fr-FR"/>
        </w:rPr>
        <w:t>’</w:t>
      </w:r>
      <w:r w:rsidRPr="003F3120">
        <w:rPr>
          <w:lang w:val="fr-FR"/>
        </w:rPr>
        <w:t>en 2018,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intergouvernemental sur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évolution du climat avait tenu sa quarante-septième </w:t>
      </w:r>
      <w:r w:rsidRPr="00EC6B3F">
        <w:rPr>
          <w:bCs/>
          <w:lang w:val="fr-FR"/>
        </w:rPr>
        <w:t>session</w:t>
      </w:r>
      <w:r w:rsidRPr="003F3120">
        <w:rPr>
          <w:lang w:val="fr-FR"/>
        </w:rPr>
        <w:t xml:space="preserve"> à Paris</w:t>
      </w:r>
      <w:r w:rsidR="00F84840" w:rsidRPr="003F3120">
        <w:rPr>
          <w:lang w:val="fr-FR"/>
        </w:rPr>
        <w:t xml:space="preserve"> et a fait</w:t>
      </w:r>
      <w:r w:rsidRPr="003F3120">
        <w:rPr>
          <w:lang w:val="fr-FR"/>
        </w:rPr>
        <w:t xml:space="preserve"> observer </w:t>
      </w:r>
      <w:r w:rsidR="00F84840" w:rsidRPr="003F3120">
        <w:rPr>
          <w:lang w:val="fr-FR"/>
        </w:rPr>
        <w:t>que</w:t>
      </w:r>
      <w:r w:rsidRPr="003F3120">
        <w:rPr>
          <w:lang w:val="fr-FR"/>
        </w:rPr>
        <w:t xml:space="preserve">, </w:t>
      </w:r>
      <w:r w:rsidR="00F84840" w:rsidRPr="003F3120">
        <w:rPr>
          <w:lang w:val="fr-FR"/>
        </w:rPr>
        <w:t>à peine 20 ans plus tôt</w:t>
      </w:r>
      <w:r w:rsidRPr="003F3120">
        <w:rPr>
          <w:lang w:val="fr-FR"/>
        </w:rPr>
        <w:t>, il aurait été impensable d</w:t>
      </w:r>
      <w:r w:rsidR="00FA5ADB">
        <w:rPr>
          <w:lang w:val="fr-FR"/>
        </w:rPr>
        <w:t>’</w:t>
      </w:r>
      <w:r w:rsidRPr="003F3120">
        <w:rPr>
          <w:lang w:val="fr-FR"/>
        </w:rPr>
        <w:t>envisager que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fléau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changements climatiques prendrait une place aussi importante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scène internationale. Cette prise de conscience mondiale était</w:t>
      </w:r>
      <w:r w:rsidR="007031E0">
        <w:rPr>
          <w:lang w:val="fr-FR"/>
        </w:rPr>
        <w:t xml:space="preserve"> le </w:t>
      </w:r>
      <w:r w:rsidR="00F84840" w:rsidRPr="003F3120">
        <w:rPr>
          <w:lang w:val="fr-FR"/>
        </w:rPr>
        <w:t>fruit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efforts conjoints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société civile,</w:t>
      </w:r>
      <w:r w:rsidR="007031E0">
        <w:rPr>
          <w:lang w:val="fr-FR"/>
        </w:rPr>
        <w:t xml:space="preserve"> des </w:t>
      </w:r>
      <w:r w:rsidR="00D37511">
        <w:rPr>
          <w:lang w:val="fr-FR"/>
        </w:rPr>
        <w:t>pouvoirs publics</w:t>
      </w:r>
      <w:r w:rsidRPr="003F3120">
        <w:rPr>
          <w:lang w:val="fr-FR"/>
        </w:rPr>
        <w:t xml:space="preserve">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organisations internationales, e</w:t>
      </w:r>
      <w:r w:rsidR="00C6409C">
        <w:rPr>
          <w:lang w:val="fr-FR"/>
        </w:rPr>
        <w:t>ntre autres.</w:t>
      </w:r>
    </w:p>
    <w:p w14:paraId="2CB87A42" w14:textId="0052D84B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Il était temps de porter au même niveau l</w:t>
      </w:r>
      <w:r w:rsidR="00FA5ADB">
        <w:rPr>
          <w:lang w:val="fr-FR"/>
        </w:rPr>
        <w:t>’</w:t>
      </w:r>
      <w:r w:rsidRPr="003F3120">
        <w:rPr>
          <w:lang w:val="fr-FR"/>
        </w:rPr>
        <w:t>accent mis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biodiversité, qui était </w:t>
      </w:r>
      <w:r w:rsidR="00D37511">
        <w:rPr>
          <w:lang w:val="fr-FR"/>
        </w:rPr>
        <w:t>en proie</w:t>
      </w:r>
      <w:r w:rsidRPr="003F3120">
        <w:rPr>
          <w:lang w:val="fr-FR"/>
        </w:rPr>
        <w:t xml:space="preserve"> à une</w:t>
      </w:r>
      <w:r w:rsidR="006208D3">
        <w:rPr>
          <w:lang w:val="fr-FR"/>
        </w:rPr>
        <w:t> </w:t>
      </w:r>
      <w:r w:rsidRPr="003F3120">
        <w:rPr>
          <w:lang w:val="fr-FR"/>
        </w:rPr>
        <w:t xml:space="preserve">crise qui, bien que plus discrète, était tout </w:t>
      </w:r>
      <w:r w:rsidR="00F84840" w:rsidRPr="003F3120">
        <w:rPr>
          <w:lang w:val="fr-FR"/>
        </w:rPr>
        <w:t>aussi</w:t>
      </w:r>
      <w:r w:rsidRPr="003F3120">
        <w:rPr>
          <w:lang w:val="fr-FR"/>
        </w:rPr>
        <w:t xml:space="preserve"> grave et étroitement liée aux changements climatiques.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travaux menés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Plateforme </w:t>
      </w:r>
      <w:r w:rsidR="00D37511">
        <w:rPr>
          <w:lang w:val="fr-FR"/>
        </w:rPr>
        <w:t>sous-tendait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efforts visant à</w:t>
      </w:r>
      <w:r w:rsidR="006208D3">
        <w:rPr>
          <w:lang w:val="fr-FR"/>
        </w:rPr>
        <w:t> </w:t>
      </w:r>
      <w:r w:rsidRPr="003F3120">
        <w:rPr>
          <w:lang w:val="fr-FR"/>
        </w:rPr>
        <w:t>préserver et à restaurer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diversité biologique, mais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paroles devaient se traduire par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actes. À</w:t>
      </w:r>
      <w:r w:rsidR="006208D3">
        <w:rPr>
          <w:lang w:val="fr-FR"/>
        </w:rPr>
        <w:t> </w:t>
      </w:r>
      <w:r w:rsidRPr="003F3120">
        <w:rPr>
          <w:lang w:val="fr-FR"/>
        </w:rPr>
        <w:t>cet égard,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 xml:space="preserve">Gouvernement </w:t>
      </w:r>
      <w:r w:rsidR="00D37511">
        <w:rPr>
          <w:lang w:val="fr-FR"/>
        </w:rPr>
        <w:t xml:space="preserve">français </w:t>
      </w:r>
      <w:r w:rsidRPr="003F3120">
        <w:rPr>
          <w:lang w:val="fr-FR"/>
        </w:rPr>
        <w:t>souhaitait susciter une prise de conscience et une action mondiales autour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qui serait équivalente à celle suscitée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lutte contre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changements climatiques. En conséquence,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Président et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Secrétaire exécutive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présenteraient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mondiale lors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prochaine réunion</w:t>
      </w:r>
      <w:r w:rsidR="007031E0">
        <w:rPr>
          <w:lang w:val="fr-FR"/>
        </w:rPr>
        <w:t xml:space="preserve"> des </w:t>
      </w:r>
      <w:r w:rsidR="00D37511">
        <w:rPr>
          <w:lang w:val="fr-FR"/>
        </w:rPr>
        <w:t>M</w:t>
      </w:r>
      <w:r w:rsidRPr="003F3120">
        <w:rPr>
          <w:lang w:val="fr-FR"/>
        </w:rPr>
        <w:t>inistres de l</w:t>
      </w:r>
      <w:r w:rsidR="00FA5ADB">
        <w:rPr>
          <w:lang w:val="fr-FR"/>
        </w:rPr>
        <w:t>’</w:t>
      </w:r>
      <w:r w:rsidRPr="003F3120">
        <w:rPr>
          <w:lang w:val="fr-FR"/>
        </w:rPr>
        <w:t>environnement du Groupe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Sept, afin de brosser clairement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enjeux.</w:t>
      </w:r>
    </w:p>
    <w:p w14:paraId="3C370DB8" w14:textId="57433EC2" w:rsidR="0077408A" w:rsidRPr="003F3120" w:rsidRDefault="00D37511" w:rsidP="00ED6939">
      <w:pPr>
        <w:pStyle w:val="Normalnumber"/>
        <w:rPr>
          <w:i/>
          <w:noProof/>
          <w:lang w:val="fr-FR"/>
        </w:rPr>
      </w:pPr>
      <w:r>
        <w:rPr>
          <w:lang w:val="fr-FR"/>
        </w:rPr>
        <w:t>Bénéficiant d</w:t>
      </w:r>
      <w:r w:rsidR="00FA5ADB">
        <w:rPr>
          <w:lang w:val="fr-FR"/>
        </w:rPr>
        <w:t>’</w:t>
      </w:r>
      <w:r>
        <w:rPr>
          <w:lang w:val="fr-FR"/>
        </w:rPr>
        <w:t>une riche biodiversité grâce à ses</w:t>
      </w:r>
      <w:r w:rsidR="0077408A" w:rsidRPr="003F3120">
        <w:rPr>
          <w:lang w:val="fr-FR"/>
        </w:rPr>
        <w:t xml:space="preserve"> territoires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outre-mer,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France jouissait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une</w:t>
      </w:r>
      <w:r w:rsidR="006208D3">
        <w:rPr>
          <w:lang w:val="fr-FR"/>
        </w:rPr>
        <w:t> </w:t>
      </w:r>
      <w:r w:rsidR="0077408A" w:rsidRPr="003F3120">
        <w:rPr>
          <w:lang w:val="fr-FR"/>
        </w:rPr>
        <w:t>position unique, et avait ainsi une responsabilité particulière, pour agir. Elle œuvrait déjà par exemple dans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cadre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Convention sur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commerce international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espèces de faune et de flore sauvages menacées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extinction et avait adopté un plan national de lutte contre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importations non viables connues pour être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principaux facteurs du déboisement.</w:t>
      </w:r>
      <w:r w:rsidR="007031E0">
        <w:rPr>
          <w:lang w:val="fr-FR"/>
        </w:rPr>
        <w:t xml:space="preserve"> Le </w:t>
      </w:r>
      <w:r w:rsidR="0061054E">
        <w:rPr>
          <w:lang w:val="fr-FR"/>
        </w:rPr>
        <w:t>m</w:t>
      </w:r>
      <w:r w:rsidR="0077408A" w:rsidRPr="003F3120">
        <w:rPr>
          <w:lang w:val="fr-FR"/>
        </w:rPr>
        <w:t>inistère avait mis en place un</w:t>
      </w:r>
      <w:r w:rsidR="006208D3">
        <w:rPr>
          <w:lang w:val="fr-FR"/>
        </w:rPr>
        <w:t> </w:t>
      </w:r>
      <w:r w:rsidR="0077408A" w:rsidRPr="003F3120">
        <w:rPr>
          <w:lang w:val="fr-FR"/>
        </w:rPr>
        <w:t>plan intersectoriel sur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 xml:space="preserve">biodiversité mettant </w:t>
      </w:r>
      <w:r w:rsidR="0077408A" w:rsidRPr="00EC6B3F">
        <w:rPr>
          <w:bCs/>
          <w:lang w:val="fr-FR"/>
        </w:rPr>
        <w:t>l</w:t>
      </w:r>
      <w:r w:rsidR="00FA5ADB">
        <w:rPr>
          <w:bCs/>
          <w:lang w:val="fr-FR"/>
        </w:rPr>
        <w:t>’</w:t>
      </w:r>
      <w:r w:rsidR="0077408A" w:rsidRPr="00EC6B3F">
        <w:rPr>
          <w:bCs/>
          <w:lang w:val="fr-FR"/>
        </w:rPr>
        <w:t>accent</w:t>
      </w:r>
      <w:r w:rsidR="0077408A" w:rsidRPr="003F3120">
        <w:rPr>
          <w:lang w:val="fr-FR"/>
        </w:rPr>
        <w:t>, entre autres, sur</w:t>
      </w:r>
      <w:r w:rsidR="007031E0">
        <w:rPr>
          <w:lang w:val="fr-FR"/>
        </w:rPr>
        <w:t xml:space="preserve"> la </w:t>
      </w:r>
      <w:r w:rsidR="00892EE7">
        <w:rPr>
          <w:lang w:val="fr-FR"/>
        </w:rPr>
        <w:t>préservation</w:t>
      </w:r>
      <w:r w:rsidR="007031E0">
        <w:rPr>
          <w:lang w:val="fr-FR"/>
        </w:rPr>
        <w:t xml:space="preserve"> des </w:t>
      </w:r>
      <w:r w:rsidR="00892EE7">
        <w:rPr>
          <w:lang w:val="fr-FR"/>
        </w:rPr>
        <w:t>océans,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modification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modes de consommation et de production,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protection de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env</w:t>
      </w:r>
      <w:r w:rsidR="00892EE7">
        <w:rPr>
          <w:lang w:val="fr-FR"/>
        </w:rPr>
        <w:t>ironnement et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lutte contre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étalement urbain pour protéger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aires naturelles. Il importait que tous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secteurs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 xml:space="preserve">société soient </w:t>
      </w:r>
      <w:r w:rsidR="00F84840" w:rsidRPr="003F3120">
        <w:rPr>
          <w:lang w:val="fr-FR"/>
        </w:rPr>
        <w:t>associés</w:t>
      </w:r>
      <w:r w:rsidR="0077408A" w:rsidRPr="003F3120">
        <w:rPr>
          <w:lang w:val="fr-FR"/>
        </w:rPr>
        <w:t xml:space="preserve"> à tous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niveaux, en agissant avec détermination et en présentant un</w:t>
      </w:r>
      <w:r w:rsidR="006208D3">
        <w:rPr>
          <w:lang w:val="fr-FR"/>
        </w:rPr>
        <w:t> </w:t>
      </w:r>
      <w:r w:rsidR="0077408A" w:rsidRPr="003F3120">
        <w:rPr>
          <w:lang w:val="fr-FR"/>
        </w:rPr>
        <w:t>front uni, et rapidement mais aussi avec prudence, en adoptant une approche de précaution</w:t>
      </w:r>
      <w:r w:rsidR="00F84840" w:rsidRPr="003F3120">
        <w:rPr>
          <w:lang w:val="fr-FR"/>
        </w:rPr>
        <w:t>, faute de</w:t>
      </w:r>
      <w:r w:rsidR="006208D3">
        <w:rPr>
          <w:lang w:val="fr-FR"/>
        </w:rPr>
        <w:t> </w:t>
      </w:r>
      <w:r w:rsidR="00F84840" w:rsidRPr="003F3120">
        <w:rPr>
          <w:lang w:val="fr-FR"/>
        </w:rPr>
        <w:t xml:space="preserve">quoi </w:t>
      </w:r>
      <w:r w:rsidR="0077408A" w:rsidRPr="003F3120">
        <w:rPr>
          <w:lang w:val="fr-FR"/>
        </w:rPr>
        <w:t>l</w:t>
      </w:r>
      <w:r w:rsidR="00FA5ADB">
        <w:rPr>
          <w:lang w:val="fr-FR"/>
        </w:rPr>
        <w:t>’</w:t>
      </w:r>
      <w:r w:rsidR="00F84840" w:rsidRPr="003F3120">
        <w:rPr>
          <w:lang w:val="fr-FR"/>
        </w:rPr>
        <w:t xml:space="preserve">action </w:t>
      </w:r>
      <w:r w:rsidR="0077408A" w:rsidRPr="003F3120">
        <w:rPr>
          <w:lang w:val="fr-FR"/>
        </w:rPr>
        <w:t>en faveur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diversité biologique ne </w:t>
      </w:r>
      <w:r w:rsidR="00F84840" w:rsidRPr="003F3120">
        <w:rPr>
          <w:lang w:val="fr-FR"/>
        </w:rPr>
        <w:t xml:space="preserve">pourrait </w:t>
      </w:r>
      <w:r w:rsidR="0061054E">
        <w:rPr>
          <w:lang w:val="fr-FR"/>
        </w:rPr>
        <w:t>qu</w:t>
      </w:r>
      <w:r w:rsidR="00FA5ADB">
        <w:rPr>
          <w:lang w:val="fr-FR"/>
        </w:rPr>
        <w:t>’</w:t>
      </w:r>
      <w:r w:rsidR="0061054E">
        <w:rPr>
          <w:lang w:val="fr-FR"/>
        </w:rPr>
        <w:t>échouer</w:t>
      </w:r>
      <w:r w:rsidR="00F84840" w:rsidRPr="003F3120">
        <w:rPr>
          <w:lang w:val="fr-FR"/>
        </w:rPr>
        <w:t>.</w:t>
      </w:r>
    </w:p>
    <w:p w14:paraId="27161A38" w14:textId="200C7B26" w:rsidR="0077408A" w:rsidRPr="003F3120" w:rsidRDefault="006208D3" w:rsidP="006208D3">
      <w:pPr>
        <w:pStyle w:val="CH1"/>
        <w:rPr>
          <w:rFonts w:eastAsia="SimSun"/>
          <w:noProof/>
          <w:lang w:val="fr-FR"/>
        </w:rPr>
      </w:pPr>
      <w:r>
        <w:rPr>
          <w:rFonts w:eastAsia="SimSun"/>
          <w:noProof/>
          <w:lang w:val="fr-FR"/>
        </w:rPr>
        <w:tab/>
        <w:t>II.</w:t>
      </w:r>
      <w:r>
        <w:rPr>
          <w:rFonts w:eastAsia="SimSun"/>
          <w:noProof/>
          <w:lang w:val="fr-FR"/>
        </w:rPr>
        <w:tab/>
      </w:r>
      <w:r w:rsidR="0077408A" w:rsidRPr="003F3120">
        <w:rPr>
          <w:rFonts w:eastAsia="SimSun"/>
          <w:noProof/>
          <w:lang w:val="fr-FR"/>
        </w:rPr>
        <w:t>Questions d</w:t>
      </w:r>
      <w:r w:rsidR="00FA5ADB">
        <w:rPr>
          <w:rFonts w:eastAsia="SimSun"/>
          <w:noProof/>
          <w:lang w:val="fr-FR"/>
        </w:rPr>
        <w:t>’</w:t>
      </w:r>
      <w:r w:rsidR="0077408A" w:rsidRPr="003F3120">
        <w:rPr>
          <w:rFonts w:eastAsia="SimSun"/>
          <w:noProof/>
          <w:lang w:val="fr-FR"/>
        </w:rPr>
        <w:t>organisation</w:t>
      </w:r>
    </w:p>
    <w:p w14:paraId="15F8B009" w14:textId="5217D78D" w:rsidR="0077408A" w:rsidRPr="003F3120" w:rsidRDefault="006208D3" w:rsidP="006208D3">
      <w:pPr>
        <w:pStyle w:val="CH2"/>
        <w:rPr>
          <w:rFonts w:eastAsia="SimSun"/>
          <w:noProof/>
          <w:lang w:val="fr-FR"/>
        </w:rPr>
      </w:pPr>
      <w:r>
        <w:rPr>
          <w:rFonts w:eastAsia="SimSun"/>
          <w:noProof/>
          <w:lang w:val="fr-FR"/>
        </w:rPr>
        <w:tab/>
        <w:t>A.</w:t>
      </w:r>
      <w:r>
        <w:rPr>
          <w:rFonts w:eastAsia="SimSun"/>
          <w:noProof/>
          <w:lang w:val="fr-FR"/>
        </w:rPr>
        <w:tab/>
      </w:r>
      <w:r w:rsidR="0077408A" w:rsidRPr="003F3120">
        <w:rPr>
          <w:rFonts w:eastAsia="SimSun"/>
          <w:noProof/>
          <w:lang w:val="fr-FR"/>
        </w:rPr>
        <w:t>Adoption de l</w:t>
      </w:r>
      <w:r w:rsidR="00FA5ADB">
        <w:rPr>
          <w:rFonts w:eastAsia="SimSun"/>
          <w:noProof/>
          <w:lang w:val="fr-FR"/>
        </w:rPr>
        <w:t>’</w:t>
      </w:r>
      <w:r w:rsidR="0077408A" w:rsidRPr="003F3120">
        <w:rPr>
          <w:rFonts w:eastAsia="SimSun"/>
          <w:noProof/>
          <w:lang w:val="fr-FR"/>
        </w:rPr>
        <w:t>ordre du jour et organisation</w:t>
      </w:r>
      <w:r w:rsidR="007031E0">
        <w:rPr>
          <w:rFonts w:eastAsia="SimSun"/>
          <w:noProof/>
          <w:lang w:val="fr-FR"/>
        </w:rPr>
        <w:t xml:space="preserve"> des </w:t>
      </w:r>
      <w:r w:rsidR="0077408A" w:rsidRPr="003F3120">
        <w:rPr>
          <w:rFonts w:eastAsia="SimSun"/>
          <w:noProof/>
          <w:lang w:val="fr-FR"/>
        </w:rPr>
        <w:t>travaux</w:t>
      </w:r>
    </w:p>
    <w:p w14:paraId="00860D02" w14:textId="3F0E78E2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Après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présentation de ce sous-point par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Président,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représentant</w:t>
      </w:r>
      <w:r w:rsidR="00F84840" w:rsidRPr="003F3120">
        <w:rPr>
          <w:lang w:val="fr-FR"/>
        </w:rPr>
        <w:t xml:space="preserve"> de</w:t>
      </w:r>
      <w:r w:rsidR="007031E0">
        <w:rPr>
          <w:lang w:val="fr-FR"/>
        </w:rPr>
        <w:t xml:space="preserve"> la </w:t>
      </w:r>
      <w:r w:rsidR="00F84840" w:rsidRPr="003F3120">
        <w:rPr>
          <w:lang w:val="fr-FR"/>
        </w:rPr>
        <w:t>Turquie</w:t>
      </w:r>
      <w:r w:rsidRPr="003F3120">
        <w:rPr>
          <w:lang w:val="fr-FR"/>
        </w:rPr>
        <w:t>, demandant que sa déclaration soit consignée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présent rapport, a dit que son pays n</w:t>
      </w:r>
      <w:r w:rsidR="00FA5ADB">
        <w:rPr>
          <w:lang w:val="fr-FR"/>
        </w:rPr>
        <w:t>’</w:t>
      </w:r>
      <w:r w:rsidRPr="003F3120">
        <w:rPr>
          <w:lang w:val="fr-FR"/>
        </w:rPr>
        <w:t>accepterait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adopter </w:t>
      </w:r>
      <w:r w:rsidRPr="00EC6B3F">
        <w:rPr>
          <w:bCs/>
          <w:lang w:val="fr-FR"/>
        </w:rPr>
        <w:t>l</w:t>
      </w:r>
      <w:r w:rsidR="00FA5ADB">
        <w:rPr>
          <w:bCs/>
          <w:lang w:val="fr-FR"/>
        </w:rPr>
        <w:t>’</w:t>
      </w:r>
      <w:r w:rsidRPr="00EC6B3F">
        <w:rPr>
          <w:bCs/>
          <w:lang w:val="fr-FR"/>
        </w:rPr>
        <w:t>ordre</w:t>
      </w:r>
      <w:r w:rsidRPr="003F3120">
        <w:rPr>
          <w:lang w:val="fr-FR"/>
        </w:rPr>
        <w:t xml:space="preserve"> du jour que si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carte erronée </w:t>
      </w:r>
      <w:r w:rsidR="007F3343">
        <w:rPr>
          <w:lang w:val="fr-FR"/>
        </w:rPr>
        <w:t>faisant l</w:t>
      </w:r>
      <w:r w:rsidR="00FA5ADB">
        <w:rPr>
          <w:lang w:val="fr-FR"/>
        </w:rPr>
        <w:t>’</w:t>
      </w:r>
      <w:r w:rsidR="007F3343">
        <w:rPr>
          <w:lang w:val="fr-FR"/>
        </w:rPr>
        <w:t>objet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figure 10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résumé à l</w:t>
      </w:r>
      <w:r w:rsidR="00FA5ADB">
        <w:rPr>
          <w:lang w:val="fr-FR"/>
        </w:rPr>
        <w:t>’</w:t>
      </w:r>
      <w:r w:rsidRPr="003F3120">
        <w:rPr>
          <w:lang w:val="fr-FR"/>
        </w:rPr>
        <w:t>intention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décideurs de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mondiale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services (IPBES/7/3) était </w:t>
      </w:r>
      <w:r w:rsidR="007F3343">
        <w:rPr>
          <w:lang w:val="fr-FR"/>
        </w:rPr>
        <w:t>corrigée</w:t>
      </w:r>
      <w:r w:rsidR="00FD5D6A">
        <w:rPr>
          <w:lang w:val="fr-FR"/>
        </w:rPr>
        <w:t>.</w:t>
      </w:r>
    </w:p>
    <w:p w14:paraId="31ADC0FF" w14:textId="29710C11" w:rsidR="0077408A" w:rsidRPr="003F3120" w:rsidRDefault="0077408A" w:rsidP="00ED6939">
      <w:pPr>
        <w:pStyle w:val="Normalnumber"/>
        <w:rPr>
          <w:lang w:val="fr-FR"/>
        </w:rPr>
      </w:pPr>
      <w:r w:rsidRPr="00EC6B3F">
        <w:rPr>
          <w:bCs/>
          <w:lang w:val="fr-FR"/>
        </w:rPr>
        <w:t>Cela</w:t>
      </w:r>
      <w:r w:rsidRPr="003F3120">
        <w:rPr>
          <w:lang w:val="fr-FR"/>
        </w:rPr>
        <w:t xml:space="preserve"> étant entendu,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a adopté l</w:t>
      </w:r>
      <w:r w:rsidR="00FA5ADB">
        <w:rPr>
          <w:lang w:val="fr-FR"/>
        </w:rPr>
        <w:t>’</w:t>
      </w:r>
      <w:r w:rsidRPr="003F3120">
        <w:rPr>
          <w:lang w:val="fr-FR"/>
        </w:rPr>
        <w:t>ordre du jour ci-après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base de l</w:t>
      </w:r>
      <w:r w:rsidR="00FA5ADB">
        <w:rPr>
          <w:lang w:val="fr-FR"/>
        </w:rPr>
        <w:t>’</w:t>
      </w:r>
      <w:r w:rsidRPr="003F3120">
        <w:rPr>
          <w:lang w:val="fr-FR"/>
        </w:rPr>
        <w:t>ordre du jour provisoire paru sous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cote IPBES/7/1/Rev.1</w:t>
      </w:r>
      <w:r w:rsidR="00FD5D6A">
        <w:rPr>
          <w:lang w:val="fr-FR"/>
        </w:rPr>
        <w:t> :</w:t>
      </w:r>
    </w:p>
    <w:p w14:paraId="71D1C41C" w14:textId="7DB9A498" w:rsidR="0077408A" w:rsidRPr="003F3120" w:rsidRDefault="00952029" w:rsidP="00952029">
      <w:pPr>
        <w:pStyle w:val="NormalNonumber"/>
        <w:rPr>
          <w:noProof/>
        </w:rPr>
      </w:pPr>
      <w:r>
        <w:rPr>
          <w:noProof/>
        </w:rPr>
        <w:tab/>
        <w:t>1.</w:t>
      </w:r>
      <w:r>
        <w:rPr>
          <w:noProof/>
        </w:rPr>
        <w:tab/>
      </w:r>
      <w:r w:rsidR="0077408A" w:rsidRPr="003F3120">
        <w:rPr>
          <w:noProof/>
        </w:rPr>
        <w:t>Ouverture de</w:t>
      </w:r>
      <w:r w:rsidR="007031E0">
        <w:rPr>
          <w:noProof/>
        </w:rPr>
        <w:t xml:space="preserve"> la </w:t>
      </w:r>
      <w:r w:rsidR="0077408A" w:rsidRPr="003F3120">
        <w:rPr>
          <w:noProof/>
        </w:rPr>
        <w:t>session.</w:t>
      </w:r>
    </w:p>
    <w:p w14:paraId="175D6AD6" w14:textId="27B37B50" w:rsidR="0077408A" w:rsidRPr="003F3120" w:rsidRDefault="00952029" w:rsidP="00952029">
      <w:pPr>
        <w:pStyle w:val="NormalNonumber"/>
        <w:rPr>
          <w:noProof/>
          <w:lang w:val="fr-FR"/>
        </w:rPr>
      </w:pPr>
      <w:r>
        <w:rPr>
          <w:noProof/>
          <w:lang w:val="fr-FR"/>
        </w:rPr>
        <w:tab/>
        <w:t>2.</w:t>
      </w:r>
      <w:r>
        <w:rPr>
          <w:noProof/>
          <w:lang w:val="fr-FR"/>
        </w:rPr>
        <w:tab/>
      </w:r>
      <w:r w:rsidR="0077408A" w:rsidRPr="003F3120">
        <w:rPr>
          <w:noProof/>
          <w:lang w:val="fr-FR"/>
        </w:rPr>
        <w:t>Questions d</w:t>
      </w:r>
      <w:r w:rsidR="00FA5ADB">
        <w:rPr>
          <w:noProof/>
          <w:lang w:val="fr-FR"/>
        </w:rPr>
        <w:t>’</w:t>
      </w:r>
      <w:r w:rsidR="0077408A" w:rsidRPr="003F3120">
        <w:rPr>
          <w:noProof/>
          <w:lang w:val="fr-FR"/>
        </w:rPr>
        <w:t>organisation</w:t>
      </w:r>
      <w:r w:rsidR="00FD5D6A">
        <w:rPr>
          <w:noProof/>
          <w:lang w:val="fr-FR"/>
        </w:rPr>
        <w:t> :</w:t>
      </w:r>
    </w:p>
    <w:p w14:paraId="75D84AF6" w14:textId="15B3C098" w:rsidR="0077408A" w:rsidRPr="003F3120" w:rsidRDefault="00952029" w:rsidP="00952029">
      <w:pPr>
        <w:pStyle w:val="NormalNonumber"/>
        <w:rPr>
          <w:rFonts w:eastAsia="MS Mincho"/>
          <w:noProof/>
          <w:szCs w:val="24"/>
          <w:lang w:val="fr-FR"/>
        </w:rPr>
      </w:pPr>
      <w:r>
        <w:rPr>
          <w:rFonts w:eastAsia="MS Mincho"/>
          <w:noProof/>
          <w:szCs w:val="24"/>
          <w:lang w:val="fr-FR"/>
        </w:rPr>
        <w:tab/>
      </w:r>
      <w:r>
        <w:rPr>
          <w:rFonts w:eastAsia="MS Mincho"/>
          <w:noProof/>
          <w:szCs w:val="24"/>
          <w:lang w:val="fr-FR"/>
        </w:rPr>
        <w:tab/>
        <w:t>a)</w:t>
      </w:r>
      <w:r>
        <w:rPr>
          <w:rFonts w:eastAsia="MS Mincho"/>
          <w:noProof/>
          <w:szCs w:val="24"/>
          <w:lang w:val="fr-FR"/>
        </w:rPr>
        <w:tab/>
      </w:r>
      <w:r w:rsidR="0077408A" w:rsidRPr="003F3120">
        <w:rPr>
          <w:rFonts w:eastAsia="MS Mincho"/>
          <w:noProof/>
          <w:szCs w:val="24"/>
          <w:lang w:val="fr-FR"/>
        </w:rPr>
        <w:t>Adoption de l</w:t>
      </w:r>
      <w:r w:rsidR="00FA5ADB">
        <w:rPr>
          <w:rFonts w:eastAsia="MS Mincho"/>
          <w:noProof/>
          <w:szCs w:val="24"/>
          <w:lang w:val="fr-FR"/>
        </w:rPr>
        <w:t>’</w:t>
      </w:r>
      <w:r w:rsidR="0077408A" w:rsidRPr="003F3120">
        <w:rPr>
          <w:rFonts w:eastAsia="MS Mincho"/>
          <w:noProof/>
          <w:szCs w:val="24"/>
          <w:lang w:val="fr-FR"/>
        </w:rPr>
        <w:t>ordre du jour et organisation</w:t>
      </w:r>
      <w:r w:rsidR="007031E0">
        <w:rPr>
          <w:rFonts w:eastAsia="MS Mincho"/>
          <w:noProof/>
          <w:szCs w:val="24"/>
          <w:lang w:val="fr-FR"/>
        </w:rPr>
        <w:t xml:space="preserve"> des </w:t>
      </w:r>
      <w:r w:rsidR="0077408A" w:rsidRPr="003F3120">
        <w:rPr>
          <w:rFonts w:eastAsia="MS Mincho"/>
          <w:noProof/>
          <w:szCs w:val="24"/>
          <w:lang w:val="fr-FR"/>
        </w:rPr>
        <w:t>travaux</w:t>
      </w:r>
      <w:r w:rsidR="00FD5D6A">
        <w:rPr>
          <w:rFonts w:eastAsia="MS Mincho"/>
          <w:noProof/>
          <w:szCs w:val="24"/>
          <w:lang w:val="fr-FR"/>
        </w:rPr>
        <w:t> ;</w:t>
      </w:r>
    </w:p>
    <w:p w14:paraId="05C0BA8E" w14:textId="67091527" w:rsidR="0077408A" w:rsidRPr="003F3120" w:rsidRDefault="00952029" w:rsidP="00952029">
      <w:pPr>
        <w:pStyle w:val="NormalNonumber"/>
        <w:rPr>
          <w:rFonts w:eastAsia="MS Mincho"/>
          <w:noProof/>
          <w:szCs w:val="24"/>
          <w:lang w:val="fr-FR"/>
        </w:rPr>
      </w:pPr>
      <w:r>
        <w:rPr>
          <w:rFonts w:eastAsia="MS Mincho"/>
          <w:noProof/>
          <w:szCs w:val="24"/>
          <w:lang w:val="fr-FR"/>
        </w:rPr>
        <w:tab/>
      </w:r>
      <w:r>
        <w:rPr>
          <w:rFonts w:eastAsia="MS Mincho"/>
          <w:noProof/>
          <w:szCs w:val="24"/>
          <w:lang w:val="fr-FR"/>
        </w:rPr>
        <w:tab/>
        <w:t>b)</w:t>
      </w:r>
      <w:r>
        <w:rPr>
          <w:rFonts w:eastAsia="MS Mincho"/>
          <w:noProof/>
          <w:szCs w:val="24"/>
          <w:lang w:val="fr-FR"/>
        </w:rPr>
        <w:tab/>
      </w:r>
      <w:r w:rsidR="0077408A" w:rsidRPr="003F3120">
        <w:rPr>
          <w:rFonts w:eastAsia="MS Mincho"/>
          <w:noProof/>
          <w:szCs w:val="24"/>
          <w:lang w:val="fr-FR"/>
        </w:rPr>
        <w:t>Composition de</w:t>
      </w:r>
      <w:r w:rsidR="007031E0">
        <w:rPr>
          <w:rFonts w:eastAsia="MS Mincho"/>
          <w:noProof/>
          <w:szCs w:val="24"/>
          <w:lang w:val="fr-FR"/>
        </w:rPr>
        <w:t xml:space="preserve"> la </w:t>
      </w:r>
      <w:r w:rsidR="0077408A" w:rsidRPr="003F3120">
        <w:rPr>
          <w:rFonts w:eastAsia="MS Mincho"/>
          <w:noProof/>
          <w:szCs w:val="24"/>
          <w:lang w:val="fr-FR"/>
        </w:rPr>
        <w:t>Plateforme</w:t>
      </w:r>
      <w:r w:rsidR="00FD5D6A">
        <w:rPr>
          <w:rFonts w:eastAsia="MS Mincho"/>
          <w:noProof/>
          <w:szCs w:val="24"/>
          <w:lang w:val="fr-FR"/>
        </w:rPr>
        <w:t> ;</w:t>
      </w:r>
    </w:p>
    <w:p w14:paraId="4DC17E60" w14:textId="47EE3616" w:rsidR="0077408A" w:rsidRPr="003F3120" w:rsidRDefault="00952029" w:rsidP="00952029">
      <w:pPr>
        <w:pStyle w:val="NormalNonumber"/>
        <w:rPr>
          <w:rFonts w:eastAsia="MS Mincho"/>
          <w:noProof/>
          <w:szCs w:val="24"/>
          <w:lang w:val="fr-FR"/>
        </w:rPr>
      </w:pPr>
      <w:r>
        <w:rPr>
          <w:rFonts w:eastAsia="MS Mincho"/>
          <w:noProof/>
          <w:szCs w:val="24"/>
          <w:lang w:val="fr-FR"/>
        </w:rPr>
        <w:lastRenderedPageBreak/>
        <w:tab/>
      </w:r>
      <w:r>
        <w:rPr>
          <w:rFonts w:eastAsia="MS Mincho"/>
          <w:noProof/>
          <w:szCs w:val="24"/>
          <w:lang w:val="fr-FR"/>
        </w:rPr>
        <w:tab/>
        <w:t>c)</w:t>
      </w:r>
      <w:r>
        <w:rPr>
          <w:rFonts w:eastAsia="MS Mincho"/>
          <w:noProof/>
          <w:szCs w:val="24"/>
          <w:lang w:val="fr-FR"/>
        </w:rPr>
        <w:tab/>
      </w:r>
      <w:r w:rsidR="0077408A" w:rsidRPr="003F3120">
        <w:rPr>
          <w:rFonts w:eastAsia="MS Mincho"/>
          <w:noProof/>
          <w:szCs w:val="24"/>
          <w:lang w:val="fr-FR"/>
        </w:rPr>
        <w:t>Élection du Bureau</w:t>
      </w:r>
      <w:r w:rsidR="00FD5D6A">
        <w:rPr>
          <w:rFonts w:eastAsia="MS Mincho"/>
          <w:noProof/>
          <w:szCs w:val="24"/>
          <w:lang w:val="fr-FR"/>
        </w:rPr>
        <w:t> ;</w:t>
      </w:r>
    </w:p>
    <w:p w14:paraId="131A09D6" w14:textId="39F7511D" w:rsidR="0077408A" w:rsidRPr="003F3120" w:rsidRDefault="00952029" w:rsidP="00952029">
      <w:pPr>
        <w:pStyle w:val="NormalNonumber"/>
        <w:rPr>
          <w:rFonts w:eastAsia="MS Mincho"/>
          <w:noProof/>
          <w:szCs w:val="24"/>
          <w:lang w:val="fr-FR"/>
        </w:rPr>
      </w:pPr>
      <w:r>
        <w:rPr>
          <w:rFonts w:eastAsia="MS Mincho"/>
          <w:noProof/>
          <w:szCs w:val="24"/>
          <w:lang w:val="fr-FR"/>
        </w:rPr>
        <w:tab/>
      </w:r>
      <w:r>
        <w:rPr>
          <w:rFonts w:eastAsia="MS Mincho"/>
          <w:noProof/>
          <w:szCs w:val="24"/>
          <w:lang w:val="fr-FR"/>
        </w:rPr>
        <w:tab/>
        <w:t>d)</w:t>
      </w:r>
      <w:r>
        <w:rPr>
          <w:rFonts w:eastAsia="MS Mincho"/>
          <w:noProof/>
          <w:szCs w:val="24"/>
          <w:lang w:val="fr-FR"/>
        </w:rPr>
        <w:tab/>
      </w:r>
      <w:r w:rsidR="0077408A" w:rsidRPr="003F3120">
        <w:rPr>
          <w:rFonts w:eastAsia="MS Mincho"/>
          <w:noProof/>
          <w:szCs w:val="24"/>
          <w:lang w:val="fr-FR"/>
        </w:rPr>
        <w:t>Élection de membres du Groupe d</w:t>
      </w:r>
      <w:r w:rsidR="00FA5ADB">
        <w:rPr>
          <w:rFonts w:eastAsia="MS Mincho"/>
          <w:noProof/>
          <w:szCs w:val="24"/>
          <w:lang w:val="fr-FR"/>
        </w:rPr>
        <w:t>’</w:t>
      </w:r>
      <w:r w:rsidR="0077408A" w:rsidRPr="003F3120">
        <w:rPr>
          <w:rFonts w:eastAsia="MS Mincho"/>
          <w:noProof/>
          <w:szCs w:val="24"/>
          <w:lang w:val="fr-FR"/>
        </w:rPr>
        <w:t>experts multidisciplinaire.</w:t>
      </w:r>
    </w:p>
    <w:p w14:paraId="68F80BDD" w14:textId="04A58FDD" w:rsidR="0077408A" w:rsidRPr="003F3120" w:rsidRDefault="00952029" w:rsidP="00952029">
      <w:pPr>
        <w:pStyle w:val="NormalNonumber"/>
        <w:rPr>
          <w:rFonts w:eastAsia="MS Mincho"/>
          <w:noProof/>
          <w:szCs w:val="24"/>
          <w:lang w:val="fr-FR"/>
        </w:rPr>
      </w:pPr>
      <w:r>
        <w:rPr>
          <w:rFonts w:eastAsia="MS Mincho"/>
          <w:noProof/>
          <w:szCs w:val="24"/>
          <w:lang w:val="fr-FR"/>
        </w:rPr>
        <w:tab/>
        <w:t>3.</w:t>
      </w:r>
      <w:r>
        <w:rPr>
          <w:rFonts w:eastAsia="MS Mincho"/>
          <w:noProof/>
          <w:szCs w:val="24"/>
          <w:lang w:val="fr-FR"/>
        </w:rPr>
        <w:tab/>
      </w:r>
      <w:r w:rsidR="0077408A" w:rsidRPr="003F3120">
        <w:rPr>
          <w:rFonts w:eastAsia="MS Mincho"/>
          <w:noProof/>
          <w:szCs w:val="24"/>
          <w:lang w:val="fr-FR"/>
        </w:rPr>
        <w:t>Admission d</w:t>
      </w:r>
      <w:r w:rsidR="00FA5ADB">
        <w:rPr>
          <w:rFonts w:eastAsia="MS Mincho"/>
          <w:noProof/>
          <w:szCs w:val="24"/>
          <w:lang w:val="fr-FR"/>
        </w:rPr>
        <w:t>’</w:t>
      </w:r>
      <w:r w:rsidR="0077408A" w:rsidRPr="003F3120">
        <w:rPr>
          <w:rFonts w:eastAsia="MS Mincho"/>
          <w:noProof/>
          <w:szCs w:val="24"/>
          <w:lang w:val="fr-FR"/>
        </w:rPr>
        <w:t>observateurs à</w:t>
      </w:r>
      <w:r w:rsidR="007031E0">
        <w:rPr>
          <w:rFonts w:eastAsia="MS Mincho"/>
          <w:noProof/>
          <w:szCs w:val="24"/>
          <w:lang w:val="fr-FR"/>
        </w:rPr>
        <w:t xml:space="preserve"> la </w:t>
      </w:r>
      <w:r w:rsidR="0077408A" w:rsidRPr="003F3120">
        <w:rPr>
          <w:rFonts w:eastAsia="MS Mincho"/>
          <w:noProof/>
          <w:szCs w:val="24"/>
          <w:lang w:val="fr-FR"/>
        </w:rPr>
        <w:t>septième session de</w:t>
      </w:r>
      <w:r w:rsidR="007031E0">
        <w:rPr>
          <w:rFonts w:eastAsia="MS Mincho"/>
          <w:noProof/>
          <w:szCs w:val="24"/>
          <w:lang w:val="fr-FR"/>
        </w:rPr>
        <w:t xml:space="preserve"> la </w:t>
      </w:r>
      <w:r w:rsidR="0077408A" w:rsidRPr="003F3120">
        <w:rPr>
          <w:rFonts w:eastAsia="MS Mincho"/>
          <w:noProof/>
          <w:szCs w:val="24"/>
          <w:lang w:val="fr-FR"/>
        </w:rPr>
        <w:t>Plénière de</w:t>
      </w:r>
      <w:r w:rsidR="007031E0">
        <w:rPr>
          <w:rFonts w:eastAsia="MS Mincho"/>
          <w:noProof/>
          <w:szCs w:val="24"/>
          <w:lang w:val="fr-FR"/>
        </w:rPr>
        <w:t xml:space="preserve"> la </w:t>
      </w:r>
      <w:r w:rsidR="0077408A" w:rsidRPr="003F3120">
        <w:rPr>
          <w:rFonts w:eastAsia="MS Mincho"/>
          <w:noProof/>
          <w:szCs w:val="24"/>
          <w:lang w:val="fr-FR"/>
        </w:rPr>
        <w:t>Plateforme.</w:t>
      </w:r>
    </w:p>
    <w:p w14:paraId="0EEC152C" w14:textId="4FF3627C" w:rsidR="0077408A" w:rsidRPr="003F3120" w:rsidRDefault="00952029" w:rsidP="00952029">
      <w:pPr>
        <w:pStyle w:val="NormalNonumber"/>
        <w:rPr>
          <w:noProof/>
          <w:lang w:val="fr-FR"/>
        </w:rPr>
      </w:pPr>
      <w:r>
        <w:rPr>
          <w:noProof/>
          <w:lang w:val="fr-FR"/>
        </w:rPr>
        <w:tab/>
        <w:t>4.</w:t>
      </w:r>
      <w:r>
        <w:rPr>
          <w:noProof/>
          <w:lang w:val="fr-FR"/>
        </w:rPr>
        <w:tab/>
      </w:r>
      <w:r w:rsidR="0077408A" w:rsidRPr="003F3120">
        <w:rPr>
          <w:noProof/>
          <w:lang w:val="fr-FR"/>
        </w:rPr>
        <w:t>Vérification</w:t>
      </w:r>
      <w:r w:rsidR="007031E0">
        <w:rPr>
          <w:noProof/>
          <w:lang w:val="fr-FR"/>
        </w:rPr>
        <w:t xml:space="preserve"> des </w:t>
      </w:r>
      <w:r w:rsidR="0077408A" w:rsidRPr="003F3120">
        <w:rPr>
          <w:noProof/>
          <w:lang w:val="fr-FR"/>
        </w:rPr>
        <w:t>pouvoirs</w:t>
      </w:r>
      <w:r w:rsidR="007031E0">
        <w:rPr>
          <w:noProof/>
          <w:lang w:val="fr-FR"/>
        </w:rPr>
        <w:t xml:space="preserve"> des </w:t>
      </w:r>
      <w:r w:rsidR="0077408A" w:rsidRPr="003F3120">
        <w:rPr>
          <w:noProof/>
          <w:lang w:val="fr-FR"/>
        </w:rPr>
        <w:t>représentants.</w:t>
      </w:r>
    </w:p>
    <w:p w14:paraId="11F50471" w14:textId="6B8D0F7E" w:rsidR="0077408A" w:rsidRPr="003F3120" w:rsidRDefault="00952029" w:rsidP="00952029">
      <w:pPr>
        <w:pStyle w:val="NormalNonumber"/>
        <w:ind w:left="2381" w:hanging="1134"/>
        <w:rPr>
          <w:noProof/>
          <w:lang w:val="fr-FR"/>
        </w:rPr>
      </w:pPr>
      <w:r>
        <w:rPr>
          <w:noProof/>
          <w:lang w:val="fr-FR"/>
        </w:rPr>
        <w:tab/>
        <w:t>5.</w:t>
      </w:r>
      <w:r>
        <w:rPr>
          <w:noProof/>
          <w:lang w:val="fr-FR"/>
        </w:rPr>
        <w:tab/>
      </w:r>
      <w:r w:rsidR="0077408A" w:rsidRPr="003F3120">
        <w:rPr>
          <w:noProof/>
          <w:lang w:val="fr-FR"/>
        </w:rPr>
        <w:t>Rapport de</w:t>
      </w:r>
      <w:r w:rsidR="007031E0">
        <w:rPr>
          <w:noProof/>
          <w:lang w:val="fr-FR"/>
        </w:rPr>
        <w:t xml:space="preserve"> la </w:t>
      </w:r>
      <w:r w:rsidR="0077408A" w:rsidRPr="003F3120">
        <w:rPr>
          <w:noProof/>
          <w:lang w:val="fr-FR"/>
        </w:rPr>
        <w:t>Secrétaire exécutive sur</w:t>
      </w:r>
      <w:r w:rsidR="007031E0">
        <w:rPr>
          <w:noProof/>
          <w:lang w:val="fr-FR"/>
        </w:rPr>
        <w:t xml:space="preserve"> la </w:t>
      </w:r>
      <w:r w:rsidR="0077408A" w:rsidRPr="003F3120">
        <w:rPr>
          <w:noProof/>
          <w:lang w:val="fr-FR"/>
        </w:rPr>
        <w:t>mise en œuvre du premier programme de</w:t>
      </w:r>
      <w:r>
        <w:rPr>
          <w:noProof/>
          <w:lang w:val="fr-FR"/>
        </w:rPr>
        <w:t> </w:t>
      </w:r>
      <w:r w:rsidR="0077408A" w:rsidRPr="003F3120">
        <w:rPr>
          <w:noProof/>
          <w:lang w:val="fr-FR"/>
        </w:rPr>
        <w:t>travail pour</w:t>
      </w:r>
      <w:r w:rsidR="007031E0">
        <w:rPr>
          <w:noProof/>
          <w:lang w:val="fr-FR"/>
        </w:rPr>
        <w:t xml:space="preserve"> la </w:t>
      </w:r>
      <w:r w:rsidR="0077408A" w:rsidRPr="003F3120">
        <w:rPr>
          <w:noProof/>
          <w:lang w:val="fr-FR"/>
        </w:rPr>
        <w:t>période 2014</w:t>
      </w:r>
      <w:r w:rsidR="0077408A" w:rsidRPr="003F3120">
        <w:rPr>
          <w:lang w:val="fr-FR"/>
        </w:rPr>
        <w:t>–</w:t>
      </w:r>
      <w:r w:rsidR="0077408A" w:rsidRPr="003F3120">
        <w:rPr>
          <w:noProof/>
          <w:lang w:val="fr-FR"/>
        </w:rPr>
        <w:t>2018.</w:t>
      </w:r>
    </w:p>
    <w:p w14:paraId="7FB81327" w14:textId="324BCA8E" w:rsidR="0077408A" w:rsidRPr="003F3120" w:rsidRDefault="00952029" w:rsidP="00952029">
      <w:pPr>
        <w:pStyle w:val="NormalNonumber"/>
        <w:ind w:left="2381" w:hanging="1134"/>
        <w:rPr>
          <w:rStyle w:val="DeltaViewMoveDestination"/>
          <w:noProof/>
          <w:color w:val="auto"/>
          <w:u w:val="none"/>
          <w:lang w:val="fr-FR"/>
        </w:rPr>
      </w:pPr>
      <w:bookmarkStart w:id="1" w:name="_DV_X752"/>
      <w:bookmarkStart w:id="2" w:name="_DV_C125"/>
      <w:r>
        <w:rPr>
          <w:rStyle w:val="DeltaViewMoveDestination"/>
          <w:rFonts w:eastAsia="SimSun"/>
          <w:color w:val="auto"/>
          <w:szCs w:val="24"/>
          <w:u w:val="none"/>
          <w:lang w:val="fr-FR"/>
        </w:rPr>
        <w:tab/>
        <w:t>6.</w:t>
      </w:r>
      <w:r>
        <w:rPr>
          <w:rStyle w:val="DeltaViewMoveDestination"/>
          <w:rFonts w:eastAsia="SimSun"/>
          <w:color w:val="auto"/>
          <w:szCs w:val="24"/>
          <w:u w:val="none"/>
          <w:lang w:val="fr-FR"/>
        </w:rPr>
        <w:tab/>
      </w:r>
      <w:r w:rsidR="0077408A" w:rsidRPr="003F3120">
        <w:rPr>
          <w:rStyle w:val="DeltaViewMoveDestination"/>
          <w:rFonts w:eastAsia="SimSun"/>
          <w:color w:val="auto"/>
          <w:szCs w:val="24"/>
          <w:u w:val="none"/>
          <w:lang w:val="fr-FR"/>
        </w:rPr>
        <w:t>Évaluation mondiale de</w:t>
      </w:r>
      <w:r w:rsidR="007031E0">
        <w:rPr>
          <w:rStyle w:val="DeltaViewMoveDestination"/>
          <w:rFonts w:eastAsia="SimSun"/>
          <w:color w:val="auto"/>
          <w:szCs w:val="24"/>
          <w:u w:val="none"/>
          <w:lang w:val="fr-FR"/>
        </w:rPr>
        <w:t xml:space="preserve"> la </w:t>
      </w:r>
      <w:r w:rsidR="0077408A" w:rsidRPr="003F3120">
        <w:rPr>
          <w:rStyle w:val="DeltaViewMoveDestination"/>
          <w:rFonts w:eastAsia="SimSun"/>
          <w:color w:val="auto"/>
          <w:szCs w:val="24"/>
          <w:u w:val="none"/>
          <w:lang w:val="fr-FR"/>
        </w:rPr>
        <w:t>biodiversité et</w:t>
      </w:r>
      <w:r w:rsidR="007031E0">
        <w:rPr>
          <w:rStyle w:val="DeltaViewMoveDestination"/>
          <w:rFonts w:eastAsia="SimSun"/>
          <w:color w:val="auto"/>
          <w:szCs w:val="24"/>
          <w:u w:val="none"/>
          <w:lang w:val="fr-FR"/>
        </w:rPr>
        <w:t xml:space="preserve"> des </w:t>
      </w:r>
      <w:r w:rsidR="0077408A" w:rsidRPr="003F3120">
        <w:rPr>
          <w:rStyle w:val="DeltaViewMoveDestination"/>
          <w:rFonts w:eastAsia="SimSun"/>
          <w:color w:val="auto"/>
          <w:szCs w:val="24"/>
          <w:u w:val="none"/>
          <w:lang w:val="fr-FR"/>
        </w:rPr>
        <w:t>services écosystémiques.</w:t>
      </w:r>
      <w:bookmarkEnd w:id="1"/>
      <w:bookmarkEnd w:id="2"/>
    </w:p>
    <w:p w14:paraId="53C3B089" w14:textId="42070816" w:rsidR="0077408A" w:rsidRPr="003F3120" w:rsidRDefault="00952029" w:rsidP="00952029">
      <w:pPr>
        <w:pStyle w:val="NormalNonumber"/>
        <w:ind w:left="2381" w:hanging="1134"/>
        <w:rPr>
          <w:rFonts w:eastAsia="SimSun"/>
          <w:szCs w:val="24"/>
          <w:lang w:val="fr-FR"/>
        </w:rPr>
      </w:pPr>
      <w:bookmarkStart w:id="3" w:name="_DV_X755"/>
      <w:bookmarkStart w:id="4" w:name="_DV_C127"/>
      <w:r>
        <w:rPr>
          <w:rStyle w:val="DeltaViewMoveDestination"/>
          <w:rFonts w:eastAsia="SimSun"/>
          <w:color w:val="auto"/>
          <w:szCs w:val="24"/>
          <w:u w:val="none"/>
          <w:lang w:val="fr-FR"/>
        </w:rPr>
        <w:tab/>
        <w:t>7.</w:t>
      </w:r>
      <w:r>
        <w:rPr>
          <w:rStyle w:val="DeltaViewMoveDestination"/>
          <w:rFonts w:eastAsia="SimSun"/>
          <w:color w:val="auto"/>
          <w:szCs w:val="24"/>
          <w:u w:val="none"/>
          <w:lang w:val="fr-FR"/>
        </w:rPr>
        <w:tab/>
      </w:r>
      <w:r w:rsidR="0077408A" w:rsidRPr="003F3120">
        <w:rPr>
          <w:rStyle w:val="DeltaViewMoveDestination"/>
          <w:rFonts w:eastAsia="SimSun"/>
          <w:color w:val="auto"/>
          <w:szCs w:val="24"/>
          <w:u w:val="none"/>
          <w:lang w:val="fr-FR"/>
        </w:rPr>
        <w:t>Dispositifs financiers et budgétaires pour</w:t>
      </w:r>
      <w:r w:rsidR="007031E0">
        <w:rPr>
          <w:rStyle w:val="DeltaViewMoveDestination"/>
          <w:rFonts w:eastAsia="SimSun"/>
          <w:color w:val="auto"/>
          <w:szCs w:val="24"/>
          <w:u w:val="none"/>
          <w:lang w:val="fr-FR"/>
        </w:rPr>
        <w:t xml:space="preserve"> la </w:t>
      </w:r>
      <w:r w:rsidR="0077408A" w:rsidRPr="003F3120">
        <w:rPr>
          <w:rStyle w:val="DeltaViewMoveDestination"/>
          <w:rFonts w:eastAsia="SimSun"/>
          <w:color w:val="auto"/>
          <w:szCs w:val="24"/>
          <w:u w:val="none"/>
          <w:lang w:val="fr-FR"/>
        </w:rPr>
        <w:t>Plateforme.</w:t>
      </w:r>
      <w:bookmarkStart w:id="5" w:name="_DV_C128"/>
      <w:bookmarkEnd w:id="3"/>
      <w:bookmarkEnd w:id="4"/>
    </w:p>
    <w:p w14:paraId="15584ADE" w14:textId="5A73725B" w:rsidR="0077408A" w:rsidRPr="003F3120" w:rsidRDefault="00952029" w:rsidP="00952029">
      <w:pPr>
        <w:pStyle w:val="NormalNonumber"/>
        <w:ind w:left="2381" w:hanging="1134"/>
        <w:rPr>
          <w:rStyle w:val="DeltaViewMoveDestination"/>
          <w:rFonts w:eastAsia="SimSun"/>
          <w:color w:val="auto"/>
          <w:u w:val="none"/>
          <w:lang w:val="fr-FR"/>
        </w:rPr>
      </w:pPr>
      <w:bookmarkStart w:id="6" w:name="_DV_X757"/>
      <w:bookmarkStart w:id="7" w:name="_DV_C129"/>
      <w:bookmarkEnd w:id="5"/>
      <w:r>
        <w:rPr>
          <w:rStyle w:val="DeltaViewMoveDestination"/>
          <w:rFonts w:eastAsia="SimSun"/>
          <w:color w:val="auto"/>
          <w:szCs w:val="24"/>
          <w:u w:val="none"/>
          <w:lang w:val="fr-FR"/>
        </w:rPr>
        <w:tab/>
        <w:t>8.</w:t>
      </w:r>
      <w:r>
        <w:rPr>
          <w:rStyle w:val="DeltaViewMoveDestination"/>
          <w:rFonts w:eastAsia="SimSun"/>
          <w:color w:val="auto"/>
          <w:szCs w:val="24"/>
          <w:u w:val="none"/>
          <w:lang w:val="fr-FR"/>
        </w:rPr>
        <w:tab/>
      </w:r>
      <w:r w:rsidR="0077408A" w:rsidRPr="003F3120">
        <w:rPr>
          <w:rStyle w:val="DeltaViewMoveDestination"/>
          <w:rFonts w:eastAsia="SimSun"/>
          <w:color w:val="auto"/>
          <w:szCs w:val="24"/>
          <w:u w:val="none"/>
          <w:lang w:val="fr-FR"/>
        </w:rPr>
        <w:t>Examen de</w:t>
      </w:r>
      <w:r w:rsidR="007031E0">
        <w:rPr>
          <w:rStyle w:val="DeltaViewMoveDestination"/>
          <w:rFonts w:eastAsia="SimSun"/>
          <w:color w:val="auto"/>
          <w:szCs w:val="24"/>
          <w:u w:val="none"/>
          <w:lang w:val="fr-FR"/>
        </w:rPr>
        <w:t xml:space="preserve"> la </w:t>
      </w:r>
      <w:r w:rsidR="0077408A" w:rsidRPr="003F3120">
        <w:rPr>
          <w:rStyle w:val="DeltaViewMoveDestination"/>
          <w:rFonts w:eastAsia="SimSun"/>
          <w:color w:val="auto"/>
          <w:szCs w:val="24"/>
          <w:u w:val="none"/>
          <w:lang w:val="fr-FR"/>
        </w:rPr>
        <w:t>Plateforme à l</w:t>
      </w:r>
      <w:r w:rsidR="00FA5ADB">
        <w:rPr>
          <w:rStyle w:val="DeltaViewMoveDestination"/>
          <w:rFonts w:eastAsia="SimSun"/>
          <w:color w:val="auto"/>
          <w:szCs w:val="24"/>
          <w:u w:val="none"/>
          <w:lang w:val="fr-FR"/>
        </w:rPr>
        <w:t>’</w:t>
      </w:r>
      <w:r w:rsidR="0077408A" w:rsidRPr="003F3120">
        <w:rPr>
          <w:rStyle w:val="DeltaViewMoveDestination"/>
          <w:rFonts w:eastAsia="SimSun"/>
          <w:color w:val="auto"/>
          <w:szCs w:val="24"/>
          <w:u w:val="none"/>
          <w:lang w:val="fr-FR"/>
        </w:rPr>
        <w:t>issue de son premier programme de travail.</w:t>
      </w:r>
      <w:bookmarkStart w:id="8" w:name="_DV_C131"/>
      <w:bookmarkEnd w:id="6"/>
      <w:bookmarkEnd w:id="7"/>
    </w:p>
    <w:p w14:paraId="773CEAFB" w14:textId="56E08794" w:rsidR="0077408A" w:rsidRPr="003F3120" w:rsidRDefault="00952029" w:rsidP="00952029">
      <w:pPr>
        <w:pStyle w:val="NormalNonumber"/>
        <w:ind w:left="2381" w:hanging="1134"/>
        <w:rPr>
          <w:rStyle w:val="DeltaViewInsertion"/>
          <w:rFonts w:eastAsia="SimSun"/>
          <w:color w:val="auto"/>
          <w:szCs w:val="24"/>
          <w:u w:val="none"/>
          <w:lang w:val="fr-FR"/>
        </w:rPr>
      </w:pPr>
      <w:bookmarkStart w:id="9" w:name="_DV_C132"/>
      <w:bookmarkEnd w:id="8"/>
      <w:r>
        <w:rPr>
          <w:rStyle w:val="DeltaViewMoveDestination"/>
          <w:rFonts w:eastAsia="SimSun"/>
          <w:color w:val="auto"/>
          <w:u w:val="none"/>
          <w:lang w:val="fr-FR"/>
        </w:rPr>
        <w:tab/>
        <w:t>9.</w:t>
      </w:r>
      <w:r>
        <w:rPr>
          <w:rStyle w:val="DeltaViewMoveDestination"/>
          <w:rFonts w:eastAsia="SimSun"/>
          <w:color w:val="auto"/>
          <w:u w:val="none"/>
          <w:lang w:val="fr-FR"/>
        </w:rPr>
        <w:tab/>
      </w:r>
      <w:r w:rsidR="0077408A" w:rsidRPr="003F3120">
        <w:rPr>
          <w:rStyle w:val="DeltaViewMoveDestination"/>
          <w:rFonts w:eastAsia="SimSun"/>
          <w:color w:val="auto"/>
          <w:u w:val="none"/>
          <w:lang w:val="fr-FR"/>
        </w:rPr>
        <w:t>Prochain programme de travail de</w:t>
      </w:r>
      <w:r w:rsidR="007031E0">
        <w:rPr>
          <w:rStyle w:val="DeltaViewMoveDestination"/>
          <w:rFonts w:eastAsia="SimSun"/>
          <w:color w:val="auto"/>
          <w:u w:val="none"/>
          <w:lang w:val="fr-FR"/>
        </w:rPr>
        <w:t xml:space="preserve"> la </w:t>
      </w:r>
      <w:r w:rsidR="0077408A" w:rsidRPr="003F3120">
        <w:rPr>
          <w:rStyle w:val="DeltaViewMoveDestination"/>
          <w:rFonts w:eastAsia="SimSun"/>
          <w:color w:val="auto"/>
          <w:u w:val="none"/>
          <w:lang w:val="fr-FR"/>
        </w:rPr>
        <w:t>Plateforme.</w:t>
      </w:r>
      <w:bookmarkEnd w:id="9"/>
    </w:p>
    <w:p w14:paraId="770F9232" w14:textId="221C1C69" w:rsidR="0077408A" w:rsidRPr="003F3120" w:rsidRDefault="00952029" w:rsidP="00952029">
      <w:pPr>
        <w:pStyle w:val="NormalNonumber"/>
        <w:ind w:left="2381" w:hanging="1134"/>
        <w:rPr>
          <w:rFonts w:eastAsia="SimSun"/>
          <w:szCs w:val="24"/>
          <w:lang w:val="fr-FR"/>
        </w:rPr>
      </w:pPr>
      <w:bookmarkStart w:id="10" w:name="_DV_C134"/>
      <w:r>
        <w:rPr>
          <w:rStyle w:val="DeltaViewInsertion"/>
          <w:rFonts w:eastAsia="SimSun"/>
          <w:color w:val="auto"/>
          <w:szCs w:val="24"/>
          <w:u w:val="none"/>
          <w:lang w:val="fr-FR"/>
        </w:rPr>
        <w:tab/>
        <w:t>10.</w:t>
      </w:r>
      <w:r>
        <w:rPr>
          <w:rStyle w:val="DeltaViewInsertion"/>
          <w:rFonts w:eastAsia="SimSun"/>
          <w:color w:val="auto"/>
          <w:szCs w:val="24"/>
          <w:u w:val="none"/>
          <w:lang w:val="fr-FR"/>
        </w:rPr>
        <w:tab/>
      </w:r>
      <w:r w:rsidR="0077408A" w:rsidRPr="003F3120">
        <w:rPr>
          <w:rStyle w:val="DeltaViewInsertion"/>
          <w:rFonts w:eastAsia="SimSun"/>
          <w:color w:val="auto"/>
          <w:szCs w:val="24"/>
          <w:u w:val="none"/>
          <w:lang w:val="fr-FR"/>
        </w:rPr>
        <w:t>Organisation</w:t>
      </w:r>
      <w:bookmarkStart w:id="11" w:name="_DV_M29"/>
      <w:bookmarkEnd w:id="10"/>
      <w:bookmarkEnd w:id="11"/>
      <w:r w:rsidR="007031E0">
        <w:rPr>
          <w:rFonts w:eastAsia="SimSun"/>
          <w:szCs w:val="24"/>
          <w:lang w:val="fr-FR"/>
        </w:rPr>
        <w:t xml:space="preserve"> des </w:t>
      </w:r>
      <w:r w:rsidR="0077408A" w:rsidRPr="003F3120">
        <w:rPr>
          <w:rFonts w:eastAsia="SimSun"/>
          <w:szCs w:val="24"/>
          <w:lang w:val="fr-FR"/>
        </w:rPr>
        <w:t>travaux de</w:t>
      </w:r>
      <w:r w:rsidR="007031E0">
        <w:rPr>
          <w:rFonts w:eastAsia="SimSun"/>
          <w:szCs w:val="24"/>
          <w:lang w:val="fr-FR"/>
        </w:rPr>
        <w:t xml:space="preserve"> la </w:t>
      </w:r>
      <w:r w:rsidR="0077408A" w:rsidRPr="003F3120">
        <w:rPr>
          <w:rFonts w:eastAsia="SimSun"/>
          <w:szCs w:val="24"/>
          <w:lang w:val="fr-FR"/>
        </w:rPr>
        <w:t>Plénière et date et lieu de ses futures sessions.</w:t>
      </w:r>
      <w:bookmarkStart w:id="12" w:name="_DV_M30"/>
      <w:bookmarkEnd w:id="12"/>
    </w:p>
    <w:p w14:paraId="2B688179" w14:textId="1DBBC5E1" w:rsidR="0077408A" w:rsidRPr="003F3120" w:rsidRDefault="00952029" w:rsidP="00952029">
      <w:pPr>
        <w:pStyle w:val="NormalNonumber"/>
        <w:ind w:left="2381" w:hanging="1134"/>
        <w:rPr>
          <w:noProof/>
          <w:lang w:val="fr-FR"/>
        </w:rPr>
      </w:pPr>
      <w:r>
        <w:rPr>
          <w:noProof/>
          <w:lang w:val="fr-FR"/>
        </w:rPr>
        <w:tab/>
        <w:t>11.</w:t>
      </w:r>
      <w:r>
        <w:rPr>
          <w:noProof/>
          <w:lang w:val="fr-FR"/>
        </w:rPr>
        <w:tab/>
      </w:r>
      <w:r w:rsidR="0077408A" w:rsidRPr="003F3120">
        <w:rPr>
          <w:noProof/>
          <w:lang w:val="fr-FR"/>
        </w:rPr>
        <w:t>Dispositions institutionnelles</w:t>
      </w:r>
      <w:r w:rsidR="00FD5D6A">
        <w:rPr>
          <w:noProof/>
          <w:lang w:val="fr-FR"/>
        </w:rPr>
        <w:t> :</w:t>
      </w:r>
      <w:r w:rsidR="0077408A" w:rsidRPr="003F3120">
        <w:rPr>
          <w:noProof/>
          <w:lang w:val="fr-FR"/>
        </w:rPr>
        <w:t xml:space="preserve"> dispositions concernant</w:t>
      </w:r>
      <w:r w:rsidR="007031E0">
        <w:rPr>
          <w:noProof/>
          <w:lang w:val="fr-FR"/>
        </w:rPr>
        <w:t xml:space="preserve"> les </w:t>
      </w:r>
      <w:r w:rsidR="0077408A" w:rsidRPr="003F3120">
        <w:rPr>
          <w:noProof/>
          <w:lang w:val="fr-FR"/>
        </w:rPr>
        <w:t>partenariats de collaboration</w:t>
      </w:r>
      <w:r w:rsidR="007031E0">
        <w:rPr>
          <w:noProof/>
          <w:lang w:val="fr-FR"/>
        </w:rPr>
        <w:t xml:space="preserve"> des </w:t>
      </w:r>
      <w:r w:rsidR="0077408A" w:rsidRPr="003F3120">
        <w:rPr>
          <w:noProof/>
          <w:lang w:val="fr-FR"/>
        </w:rPr>
        <w:t>Nations Unies pour</w:t>
      </w:r>
      <w:r w:rsidR="007031E0">
        <w:rPr>
          <w:noProof/>
          <w:lang w:val="fr-FR"/>
        </w:rPr>
        <w:t xml:space="preserve"> les </w:t>
      </w:r>
      <w:r w:rsidR="0077408A" w:rsidRPr="003F3120">
        <w:rPr>
          <w:noProof/>
          <w:lang w:val="fr-FR"/>
        </w:rPr>
        <w:t>travaux de</w:t>
      </w:r>
      <w:r w:rsidR="007031E0">
        <w:rPr>
          <w:noProof/>
          <w:lang w:val="fr-FR"/>
        </w:rPr>
        <w:t xml:space="preserve"> la </w:t>
      </w:r>
      <w:r w:rsidR="0077408A" w:rsidRPr="003F3120">
        <w:rPr>
          <w:noProof/>
          <w:lang w:val="fr-FR"/>
        </w:rPr>
        <w:t>Plateforme et de son secrétariat.</w:t>
      </w:r>
    </w:p>
    <w:p w14:paraId="633BDBCB" w14:textId="548446B3" w:rsidR="0077408A" w:rsidRPr="003F3120" w:rsidRDefault="00952029" w:rsidP="00952029">
      <w:pPr>
        <w:pStyle w:val="NormalNonumber"/>
        <w:ind w:left="2381" w:hanging="1134"/>
        <w:rPr>
          <w:noProof/>
          <w:lang w:val="fr-FR"/>
        </w:rPr>
      </w:pPr>
      <w:r>
        <w:rPr>
          <w:noProof/>
          <w:lang w:val="fr-FR"/>
        </w:rPr>
        <w:tab/>
        <w:t>12.</w:t>
      </w:r>
      <w:r>
        <w:rPr>
          <w:noProof/>
          <w:lang w:val="fr-FR"/>
        </w:rPr>
        <w:tab/>
      </w:r>
      <w:r w:rsidR="0077408A" w:rsidRPr="003F3120">
        <w:rPr>
          <w:noProof/>
          <w:lang w:val="fr-FR"/>
        </w:rPr>
        <w:t>Adoption</w:t>
      </w:r>
      <w:r w:rsidR="007031E0">
        <w:rPr>
          <w:noProof/>
          <w:lang w:val="fr-FR"/>
        </w:rPr>
        <w:t xml:space="preserve"> des </w:t>
      </w:r>
      <w:r w:rsidR="0077408A" w:rsidRPr="003F3120">
        <w:rPr>
          <w:noProof/>
          <w:lang w:val="fr-FR"/>
        </w:rPr>
        <w:t>décisions et du rapport de</w:t>
      </w:r>
      <w:r w:rsidR="007031E0">
        <w:rPr>
          <w:noProof/>
          <w:lang w:val="fr-FR"/>
        </w:rPr>
        <w:t xml:space="preserve"> la </w:t>
      </w:r>
      <w:r w:rsidR="0077408A" w:rsidRPr="003F3120">
        <w:rPr>
          <w:noProof/>
          <w:lang w:val="fr-FR"/>
        </w:rPr>
        <w:t>session.</w:t>
      </w:r>
    </w:p>
    <w:p w14:paraId="0A6BD69D" w14:textId="57F9D1F5" w:rsidR="0077408A" w:rsidRPr="003F3120" w:rsidRDefault="00952029" w:rsidP="00952029">
      <w:pPr>
        <w:pStyle w:val="NormalNonumber"/>
        <w:ind w:left="2381" w:hanging="1134"/>
        <w:rPr>
          <w:noProof/>
          <w:lang w:val="fr-FR"/>
        </w:rPr>
      </w:pPr>
      <w:r>
        <w:rPr>
          <w:noProof/>
          <w:lang w:val="fr-FR"/>
        </w:rPr>
        <w:tab/>
        <w:t>13.</w:t>
      </w:r>
      <w:r>
        <w:rPr>
          <w:noProof/>
          <w:lang w:val="fr-FR"/>
        </w:rPr>
        <w:tab/>
      </w:r>
      <w:r w:rsidR="0077408A" w:rsidRPr="003F3120">
        <w:rPr>
          <w:noProof/>
          <w:lang w:val="fr-FR"/>
        </w:rPr>
        <w:t>Clôture de</w:t>
      </w:r>
      <w:r w:rsidR="007031E0">
        <w:rPr>
          <w:noProof/>
          <w:lang w:val="fr-FR"/>
        </w:rPr>
        <w:t xml:space="preserve"> la </w:t>
      </w:r>
      <w:r w:rsidR="0077408A" w:rsidRPr="003F3120">
        <w:rPr>
          <w:noProof/>
          <w:lang w:val="fr-FR"/>
        </w:rPr>
        <w:t>session.</w:t>
      </w:r>
    </w:p>
    <w:p w14:paraId="6614ECAC" w14:textId="2F63DE78" w:rsidR="0077408A" w:rsidRPr="003F3120" w:rsidRDefault="0077408A" w:rsidP="00ED6939">
      <w:pPr>
        <w:pStyle w:val="Normalnumber"/>
        <w:rPr>
          <w:rFonts w:eastAsia="SimSun"/>
          <w:szCs w:val="24"/>
          <w:lang w:val="fr-FR"/>
        </w:rPr>
      </w:pPr>
      <w:bookmarkStart w:id="13" w:name="_DV_C141"/>
      <w:r w:rsidRPr="003F3120">
        <w:rPr>
          <w:rStyle w:val="DeltaViewInsertion"/>
          <w:rFonts w:eastAsia="SimSun"/>
          <w:color w:val="auto"/>
          <w:szCs w:val="24"/>
          <w:u w:val="none"/>
          <w:lang w:val="fr-FR"/>
        </w:rPr>
        <w:t xml:space="preserve">La Plénière est </w:t>
      </w:r>
      <w:r w:rsidRPr="00952029">
        <w:t>convenue</w:t>
      </w:r>
      <w:r w:rsidRPr="003F3120">
        <w:rPr>
          <w:rStyle w:val="DeltaViewInsertion"/>
          <w:rFonts w:eastAsia="SimSun"/>
          <w:color w:val="auto"/>
          <w:szCs w:val="24"/>
          <w:u w:val="none"/>
          <w:lang w:val="fr-FR"/>
        </w:rPr>
        <w:t xml:space="preserve"> de suivre l</w:t>
      </w:r>
      <w:r w:rsidR="00FA5ADB">
        <w:rPr>
          <w:rStyle w:val="DeltaViewInsertion"/>
          <w:rFonts w:eastAsia="SimSun"/>
          <w:color w:val="auto"/>
          <w:szCs w:val="24"/>
          <w:u w:val="none"/>
          <w:lang w:val="fr-FR"/>
        </w:rPr>
        <w:t>’</w:t>
      </w:r>
      <w:r w:rsidRPr="003F3120">
        <w:rPr>
          <w:rStyle w:val="DeltaViewInsertion"/>
          <w:rFonts w:eastAsia="SimSun"/>
          <w:color w:val="auto"/>
          <w:szCs w:val="24"/>
          <w:u w:val="none"/>
          <w:lang w:val="fr-FR"/>
        </w:rPr>
        <w:t>organisation</w:t>
      </w:r>
      <w:r w:rsidR="007031E0">
        <w:rPr>
          <w:rStyle w:val="DeltaViewInsertion"/>
          <w:rFonts w:eastAsia="SimSun"/>
          <w:color w:val="auto"/>
          <w:szCs w:val="24"/>
          <w:u w:val="none"/>
          <w:lang w:val="fr-FR"/>
        </w:rPr>
        <w:t xml:space="preserve"> des </w:t>
      </w:r>
      <w:r w:rsidRPr="003F3120">
        <w:rPr>
          <w:rStyle w:val="DeltaViewInsertion"/>
          <w:rFonts w:eastAsia="SimSun"/>
          <w:color w:val="auto"/>
          <w:szCs w:val="24"/>
          <w:u w:val="none"/>
          <w:lang w:val="fr-FR"/>
        </w:rPr>
        <w:t>tr</w:t>
      </w:r>
      <w:r w:rsidR="00892EE7">
        <w:rPr>
          <w:rStyle w:val="DeltaViewInsertion"/>
          <w:rFonts w:eastAsia="SimSun"/>
          <w:color w:val="auto"/>
          <w:szCs w:val="24"/>
          <w:u w:val="none"/>
          <w:lang w:val="fr-FR"/>
        </w:rPr>
        <w:t>avaux figurant dans</w:t>
      </w:r>
      <w:r w:rsidR="007031E0">
        <w:rPr>
          <w:rStyle w:val="DeltaViewInsertion"/>
          <w:rFonts w:eastAsia="SimSun"/>
          <w:color w:val="auto"/>
          <w:szCs w:val="24"/>
          <w:u w:val="none"/>
          <w:lang w:val="fr-FR"/>
        </w:rPr>
        <w:t xml:space="preserve"> le </w:t>
      </w:r>
      <w:r w:rsidR="00892EE7">
        <w:rPr>
          <w:rStyle w:val="DeltaViewInsertion"/>
          <w:rFonts w:eastAsia="SimSun"/>
          <w:color w:val="auto"/>
          <w:szCs w:val="24"/>
          <w:u w:val="none"/>
          <w:lang w:val="fr-FR"/>
        </w:rPr>
        <w:t>document </w:t>
      </w:r>
      <w:r w:rsidRPr="003F3120">
        <w:rPr>
          <w:rStyle w:val="DeltaViewInsertion"/>
          <w:rFonts w:eastAsia="SimSun"/>
          <w:color w:val="auto"/>
          <w:szCs w:val="24"/>
          <w:u w:val="none"/>
          <w:lang w:val="fr-FR"/>
        </w:rPr>
        <w:t>IPBES/7/1/Add.1.</w:t>
      </w:r>
      <w:bookmarkEnd w:id="13"/>
    </w:p>
    <w:p w14:paraId="4BC85FB2" w14:textId="4C8CF046" w:rsidR="0077408A" w:rsidRPr="003F3120" w:rsidRDefault="00952029" w:rsidP="00952029">
      <w:pPr>
        <w:pStyle w:val="CH2"/>
        <w:rPr>
          <w:rFonts w:eastAsia="SimSun"/>
          <w:noProof/>
          <w:lang w:val="fr-FR"/>
        </w:rPr>
      </w:pPr>
      <w:r>
        <w:rPr>
          <w:rFonts w:eastAsia="SimSun"/>
          <w:noProof/>
          <w:lang w:val="fr-FR"/>
        </w:rPr>
        <w:tab/>
        <w:t>B.</w:t>
      </w:r>
      <w:r>
        <w:rPr>
          <w:rFonts w:eastAsia="SimSun"/>
          <w:noProof/>
          <w:lang w:val="fr-FR"/>
        </w:rPr>
        <w:tab/>
      </w:r>
      <w:r w:rsidR="0077408A" w:rsidRPr="003F3120">
        <w:rPr>
          <w:rFonts w:eastAsia="SimSun"/>
          <w:noProof/>
          <w:lang w:val="fr-FR"/>
        </w:rPr>
        <w:t>Composition de</w:t>
      </w:r>
      <w:r w:rsidR="007031E0">
        <w:rPr>
          <w:rFonts w:eastAsia="SimSun"/>
          <w:noProof/>
          <w:lang w:val="fr-FR"/>
        </w:rPr>
        <w:t xml:space="preserve"> la </w:t>
      </w:r>
      <w:r w:rsidR="0077408A" w:rsidRPr="003F3120">
        <w:rPr>
          <w:rFonts w:eastAsia="SimSun"/>
          <w:noProof/>
          <w:lang w:val="fr-FR"/>
        </w:rPr>
        <w:t>Plateforme</w:t>
      </w:r>
    </w:p>
    <w:p w14:paraId="610C0801" w14:textId="6B12E85B" w:rsidR="0077408A" w:rsidRPr="00EC6B3F" w:rsidRDefault="0077408A" w:rsidP="00ED6939">
      <w:pPr>
        <w:pStyle w:val="Normalnumber"/>
        <w:rPr>
          <w:noProof/>
          <w:lang w:val="fr-FR"/>
        </w:rPr>
      </w:pPr>
      <w:r w:rsidRPr="003F3120">
        <w:rPr>
          <w:noProof/>
          <w:lang w:val="fr-FR"/>
        </w:rPr>
        <w:t>Le Président a annoncé que, depuis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sixième session de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Plénière,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Jordanie et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République bolivarienne du Venezuela avaient rejoint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 xml:space="preserve">Plateforme qui, </w:t>
      </w:r>
      <w:r w:rsidR="00957624">
        <w:rPr>
          <w:noProof/>
          <w:lang w:val="fr-FR"/>
        </w:rPr>
        <w:t>en conséquence</w:t>
      </w:r>
      <w:r w:rsidR="000E701A">
        <w:rPr>
          <w:noProof/>
          <w:lang w:val="fr-FR"/>
        </w:rPr>
        <w:t>, était </w:t>
      </w:r>
      <w:r w:rsidRPr="003F3120">
        <w:rPr>
          <w:noProof/>
          <w:lang w:val="fr-FR"/>
        </w:rPr>
        <w:t>composée</w:t>
      </w:r>
      <w:r w:rsidR="007031E0">
        <w:rPr>
          <w:noProof/>
          <w:lang w:val="fr-FR"/>
        </w:rPr>
        <w:t xml:space="preserve"> des </w:t>
      </w:r>
      <w:r w:rsidRPr="003F3120">
        <w:rPr>
          <w:noProof/>
          <w:lang w:val="fr-FR"/>
        </w:rPr>
        <w:t>132 membres ci-après</w:t>
      </w:r>
      <w:r w:rsidR="00FD5D6A">
        <w:rPr>
          <w:noProof/>
          <w:lang w:val="fr-FR"/>
        </w:rPr>
        <w:t> :</w:t>
      </w:r>
      <w:r w:rsidRPr="003F3120">
        <w:rPr>
          <w:noProof/>
          <w:lang w:val="fr-FR"/>
        </w:rPr>
        <w:t xml:space="preserve"> Afghanistan, Afrique du Sud, Albanie, Algérie, Allemagne, Andorre, Antigua-et-Barbuda, Arabie saoudite, Argentine, Arménie, Australie, Autriche, Azerbaïdjan, </w:t>
      </w:r>
      <w:r w:rsidRPr="00EC6B3F">
        <w:rPr>
          <w:bCs/>
          <w:lang w:val="fr-FR"/>
        </w:rPr>
        <w:t>Bahreïn</w:t>
      </w:r>
      <w:r w:rsidRPr="003F3120">
        <w:rPr>
          <w:noProof/>
          <w:lang w:val="fr-FR"/>
        </w:rPr>
        <w:t>, Bangladesh, Bélarus, Belgique, Bénin, Bhoutan, Bolivie (État plurinational de), Bosnie-Herzégovine, Botswana, Brésil, Bulgarie, Burkina Faso, Burundi, Cambodge, Cameroun, Canada, Chili, Chine, Colombie, Comores, Congo, Costa Rica, Côte d</w:t>
      </w:r>
      <w:r w:rsidR="00FA5ADB">
        <w:rPr>
          <w:noProof/>
          <w:lang w:val="fr-FR"/>
        </w:rPr>
        <w:t>’</w:t>
      </w:r>
      <w:r w:rsidRPr="003F3120">
        <w:rPr>
          <w:noProof/>
          <w:lang w:val="fr-FR"/>
        </w:rPr>
        <w:t xml:space="preserve">Ivoire, Croatie, Cuba, Danemark, Égypte, </w:t>
      </w:r>
      <w:r w:rsidRPr="003F3120">
        <w:rPr>
          <w:lang w:val="fr-FR"/>
        </w:rPr>
        <w:t>El Salvador</w:t>
      </w:r>
      <w:r w:rsidRPr="003F3120">
        <w:rPr>
          <w:noProof/>
          <w:lang w:val="fr-FR"/>
        </w:rPr>
        <w:t xml:space="preserve">, Émirats arabes unis, Équateur, Espagne, Estonie, </w:t>
      </w:r>
      <w:r w:rsidR="00F84840" w:rsidRPr="003F3120">
        <w:rPr>
          <w:noProof/>
          <w:lang w:val="fr-FR"/>
        </w:rPr>
        <w:t xml:space="preserve">Eswatini, </w:t>
      </w:r>
      <w:r w:rsidRPr="003F3120">
        <w:rPr>
          <w:noProof/>
          <w:lang w:val="fr-FR"/>
        </w:rPr>
        <w:t>États</w:t>
      </w:r>
      <w:r w:rsidR="00EC6B3F">
        <w:rPr>
          <w:noProof/>
          <w:lang w:val="fr-FR"/>
        </w:rPr>
        <w:noBreakHyphen/>
      </w:r>
      <w:r w:rsidRPr="003F3120">
        <w:rPr>
          <w:noProof/>
          <w:lang w:val="fr-FR"/>
        </w:rPr>
        <w:t>Unis d</w:t>
      </w:r>
      <w:r w:rsidR="00FA5ADB">
        <w:rPr>
          <w:noProof/>
          <w:lang w:val="fr-FR"/>
        </w:rPr>
        <w:t>’</w:t>
      </w:r>
      <w:r w:rsidRPr="003F3120">
        <w:rPr>
          <w:noProof/>
          <w:lang w:val="fr-FR"/>
        </w:rPr>
        <w:t>Amérique, Éthiopie, Fédération de Russie, Fidji, Finlande, France, Gabon, Géorgie, Ghana, Grèce, Grenade, Guatemala, Guinée-Bissau, Guyana, Honduras, Hongrie, Îles Cook, Inde, Indonésie, Iran (République islamique d</w:t>
      </w:r>
      <w:r w:rsidR="00FA5ADB">
        <w:rPr>
          <w:noProof/>
          <w:lang w:val="fr-FR"/>
        </w:rPr>
        <w:t>’</w:t>
      </w:r>
      <w:r w:rsidRPr="003F3120">
        <w:rPr>
          <w:noProof/>
          <w:lang w:val="fr-FR"/>
        </w:rPr>
        <w:t>), Iraq, Irlande, Israël, Japon, Jordanie, Kenya, Kirghizstan, Lettonie, Libéria, Libye, Lituanie, Luxembourg, Madagascar, Malaisie, Malawi, Maldives, Mali, Maroc, Mauritanie, Mexique, Monaco, Monténégro, Népal, Nicaragua, Niger, Nigéria, Norvège, Nouvelle</w:t>
      </w:r>
      <w:r w:rsidR="00EC6B3F">
        <w:rPr>
          <w:noProof/>
          <w:lang w:val="fr-FR"/>
        </w:rPr>
        <w:noBreakHyphen/>
      </w:r>
      <w:r w:rsidRPr="003F3120">
        <w:rPr>
          <w:noProof/>
          <w:lang w:val="fr-FR"/>
        </w:rPr>
        <w:t>Zélande, Ouganda, Pakistan, Panama, Paraguay, Pérou, Philippines, Portugal, Pays-Bas, République centrafricaine, République de Corée, République de Moldova, République démocratique du Congo, République dominicaine, République-Unie de Tanzanie, Roumanie, Royaume-Uni de Grande</w:t>
      </w:r>
      <w:r w:rsidR="00EC6B3F">
        <w:rPr>
          <w:noProof/>
          <w:lang w:val="fr-FR"/>
        </w:rPr>
        <w:noBreakHyphen/>
      </w:r>
      <w:r w:rsidRPr="003F3120">
        <w:rPr>
          <w:noProof/>
          <w:lang w:val="fr-FR"/>
        </w:rPr>
        <w:t>Bretagne et d</w:t>
      </w:r>
      <w:r w:rsidR="00FA5ADB">
        <w:rPr>
          <w:noProof/>
          <w:lang w:val="fr-FR"/>
        </w:rPr>
        <w:t>’</w:t>
      </w:r>
      <w:r w:rsidRPr="003F3120">
        <w:rPr>
          <w:noProof/>
          <w:lang w:val="fr-FR"/>
        </w:rPr>
        <w:t>Irlande du Nord, Sainte-Lucie, Saint-Kitts-et-Nevis, Sénégal, Slovaquie, Soudan, Sri Lanka, Suède, Suisse, Tadjikistan, Tchad, Tchéquie, Thaïlande, Togo, Trinité</w:t>
      </w:r>
      <w:r w:rsidR="00EC6B3F">
        <w:rPr>
          <w:noProof/>
          <w:lang w:val="fr-FR"/>
        </w:rPr>
        <w:noBreakHyphen/>
      </w:r>
      <w:r w:rsidRPr="003F3120">
        <w:rPr>
          <w:noProof/>
          <w:lang w:val="fr-FR"/>
        </w:rPr>
        <w:t>et</w:t>
      </w:r>
      <w:r w:rsidR="00EC6B3F">
        <w:rPr>
          <w:noProof/>
          <w:lang w:val="fr-FR"/>
        </w:rPr>
        <w:noBreakHyphen/>
      </w:r>
      <w:r w:rsidRPr="003F3120">
        <w:rPr>
          <w:noProof/>
          <w:lang w:val="fr-FR"/>
        </w:rPr>
        <w:t>Tobago, Tunisie, Turquie, Uruguay, Venezuela (République bolivarienne du), Viet Nam, Yémen, Zambie et Zimbabwe</w:t>
      </w:r>
      <w:r w:rsidRPr="00EC6B3F">
        <w:rPr>
          <w:noProof/>
          <w:lang w:val="fr-FR"/>
        </w:rPr>
        <w:t>.</w:t>
      </w:r>
    </w:p>
    <w:p w14:paraId="259BEE20" w14:textId="02816234" w:rsidR="0077408A" w:rsidRPr="003F3120" w:rsidRDefault="00952029" w:rsidP="00952029">
      <w:pPr>
        <w:pStyle w:val="CH2"/>
        <w:rPr>
          <w:rFonts w:eastAsia="SimSun"/>
          <w:noProof/>
          <w:lang w:val="fr-FR"/>
        </w:rPr>
      </w:pPr>
      <w:r>
        <w:rPr>
          <w:rFonts w:eastAsia="SimSun"/>
          <w:noProof/>
          <w:lang w:val="fr-FR"/>
        </w:rPr>
        <w:tab/>
        <w:t>C.</w:t>
      </w:r>
      <w:r>
        <w:rPr>
          <w:rFonts w:eastAsia="SimSun"/>
          <w:noProof/>
          <w:lang w:val="fr-FR"/>
        </w:rPr>
        <w:tab/>
      </w:r>
      <w:r w:rsidR="0077408A" w:rsidRPr="003F3120">
        <w:rPr>
          <w:rFonts w:eastAsia="SimSun"/>
          <w:noProof/>
          <w:lang w:val="fr-FR"/>
        </w:rPr>
        <w:t>Élection du Bureau</w:t>
      </w:r>
    </w:p>
    <w:p w14:paraId="6A0AFA58" w14:textId="03B1BA54" w:rsidR="0077408A" w:rsidRPr="003F3120" w:rsidRDefault="00F84840" w:rsidP="00ED6939">
      <w:pPr>
        <w:pStyle w:val="Normalnumber"/>
        <w:rPr>
          <w:rFonts w:eastAsia="SimSun"/>
          <w:szCs w:val="24"/>
          <w:lang w:val="fr-FR"/>
        </w:rPr>
      </w:pPr>
      <w:r w:rsidRPr="003F3120">
        <w:rPr>
          <w:lang w:val="fr-FR"/>
        </w:rPr>
        <w:t>Conformément au Règlement intérieur,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a élu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membres suivants du Bureau, dont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mandat commencerait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clôture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session en cours</w:t>
      </w:r>
      <w:r w:rsidR="00FD5D6A">
        <w:rPr>
          <w:lang w:val="fr-FR"/>
        </w:rPr>
        <w:t> :</w:t>
      </w:r>
    </w:p>
    <w:p w14:paraId="23D9CA59" w14:textId="04531AE8" w:rsidR="00F84840" w:rsidRPr="00952029" w:rsidRDefault="00952029" w:rsidP="00952029">
      <w:pPr>
        <w:pStyle w:val="NormalNonumber"/>
        <w:rPr>
          <w:i/>
          <w:noProof/>
        </w:rPr>
      </w:pPr>
      <w:bookmarkStart w:id="14" w:name="_DV_C50"/>
      <w:r>
        <w:rPr>
          <w:noProof/>
        </w:rPr>
        <w:tab/>
      </w:r>
      <w:r w:rsidR="00F84840" w:rsidRPr="00952029">
        <w:rPr>
          <w:i/>
          <w:noProof/>
        </w:rPr>
        <w:t>États d</w:t>
      </w:r>
      <w:r w:rsidR="00FA5ADB">
        <w:rPr>
          <w:i/>
          <w:noProof/>
        </w:rPr>
        <w:t>’</w:t>
      </w:r>
      <w:r w:rsidR="00F84840" w:rsidRPr="00952029">
        <w:rPr>
          <w:i/>
          <w:noProof/>
        </w:rPr>
        <w:t>Afrique</w:t>
      </w:r>
      <w:r w:rsidR="00FD5D6A" w:rsidRPr="00952029">
        <w:rPr>
          <w:i/>
          <w:noProof/>
        </w:rPr>
        <w:t> :</w:t>
      </w:r>
      <w:bookmarkEnd w:id="14"/>
    </w:p>
    <w:p w14:paraId="75348C06" w14:textId="2D8DEB86" w:rsidR="00F84840" w:rsidRPr="003F3120" w:rsidRDefault="00952029" w:rsidP="00952029">
      <w:pPr>
        <w:pStyle w:val="NormalNonumber"/>
        <w:rPr>
          <w:noProof/>
        </w:rPr>
      </w:pPr>
      <w:bookmarkStart w:id="15" w:name="_DV_C51"/>
      <w:r>
        <w:rPr>
          <w:noProof/>
        </w:rPr>
        <w:tab/>
      </w:r>
      <w:r w:rsidR="00F84840" w:rsidRPr="003F3120">
        <w:rPr>
          <w:noProof/>
        </w:rPr>
        <w:t>Vice-Présidente</w:t>
      </w:r>
      <w:r w:rsidR="00FD5D6A">
        <w:rPr>
          <w:noProof/>
        </w:rPr>
        <w:t> :</w:t>
      </w:r>
      <w:r w:rsidR="00F84840" w:rsidRPr="003F3120">
        <w:rPr>
          <w:noProof/>
        </w:rPr>
        <w:t xml:space="preserve"> Prudence Tangham Galega (Cameroun)</w:t>
      </w:r>
      <w:bookmarkEnd w:id="15"/>
    </w:p>
    <w:p w14:paraId="7BECBE42" w14:textId="35ED58E1" w:rsidR="00F84840" w:rsidRPr="003F3120" w:rsidRDefault="00952029" w:rsidP="00952029">
      <w:pPr>
        <w:pStyle w:val="NormalNonumber"/>
        <w:rPr>
          <w:noProof/>
        </w:rPr>
      </w:pPr>
      <w:bookmarkStart w:id="16" w:name="_DV_C52"/>
      <w:r>
        <w:rPr>
          <w:noProof/>
        </w:rPr>
        <w:tab/>
      </w:r>
      <w:r w:rsidR="00F84840" w:rsidRPr="003F3120">
        <w:rPr>
          <w:noProof/>
        </w:rPr>
        <w:t>Membre du Bureau</w:t>
      </w:r>
      <w:r w:rsidR="00FD5D6A">
        <w:rPr>
          <w:noProof/>
        </w:rPr>
        <w:t> :</w:t>
      </w:r>
      <w:r w:rsidR="00F84840" w:rsidRPr="003F3120">
        <w:rPr>
          <w:noProof/>
        </w:rPr>
        <w:t xml:space="preserve"> Sebsebe Demissew Woodmatas (Éthiopie)</w:t>
      </w:r>
      <w:bookmarkEnd w:id="16"/>
    </w:p>
    <w:p w14:paraId="444BE263" w14:textId="6D776D8D" w:rsidR="00F84840" w:rsidRPr="003F3120" w:rsidRDefault="00952029" w:rsidP="00952029">
      <w:pPr>
        <w:pStyle w:val="NormalNonumber"/>
        <w:rPr>
          <w:noProof/>
        </w:rPr>
      </w:pPr>
      <w:bookmarkStart w:id="17" w:name="_DV_C53"/>
      <w:r>
        <w:rPr>
          <w:noProof/>
        </w:rPr>
        <w:tab/>
      </w:r>
      <w:r w:rsidR="00F84840" w:rsidRPr="003F3120">
        <w:rPr>
          <w:noProof/>
        </w:rPr>
        <w:t>Suppléante</w:t>
      </w:r>
      <w:r w:rsidR="00FD5D6A">
        <w:rPr>
          <w:noProof/>
        </w:rPr>
        <w:t> :</w:t>
      </w:r>
      <w:r w:rsidR="00F84840" w:rsidRPr="003F3120">
        <w:rPr>
          <w:noProof/>
        </w:rPr>
        <w:t xml:space="preserve"> Asia Mohamed (Soudan)</w:t>
      </w:r>
      <w:bookmarkEnd w:id="17"/>
    </w:p>
    <w:p w14:paraId="3EF69732" w14:textId="2A3083EC" w:rsidR="00F84840" w:rsidRPr="003F3120" w:rsidRDefault="00952029" w:rsidP="00952029">
      <w:pPr>
        <w:pStyle w:val="NormalNonumber"/>
        <w:rPr>
          <w:i/>
          <w:noProof/>
          <w:lang w:val="fr-FR"/>
        </w:rPr>
      </w:pPr>
      <w:bookmarkStart w:id="18" w:name="_DV_C61"/>
      <w:r>
        <w:rPr>
          <w:i/>
          <w:noProof/>
          <w:lang w:val="fr-FR"/>
        </w:rPr>
        <w:tab/>
      </w:r>
      <w:r w:rsidR="00BF3030" w:rsidRPr="003F3120">
        <w:rPr>
          <w:i/>
          <w:noProof/>
          <w:lang w:val="fr-FR"/>
        </w:rPr>
        <w:t>États d</w:t>
      </w:r>
      <w:r w:rsidR="00FA5ADB">
        <w:rPr>
          <w:i/>
          <w:noProof/>
          <w:lang w:val="fr-FR"/>
        </w:rPr>
        <w:t>’</w:t>
      </w:r>
      <w:r w:rsidR="00BF3030" w:rsidRPr="003F3120">
        <w:rPr>
          <w:i/>
          <w:noProof/>
          <w:lang w:val="fr-FR"/>
        </w:rPr>
        <w:t>Amérique latine et</w:t>
      </w:r>
      <w:r w:rsidR="007031E0">
        <w:rPr>
          <w:i/>
          <w:noProof/>
          <w:lang w:val="fr-FR"/>
        </w:rPr>
        <w:t xml:space="preserve"> des </w:t>
      </w:r>
      <w:r w:rsidR="00BF3030" w:rsidRPr="003F3120">
        <w:rPr>
          <w:i/>
          <w:noProof/>
          <w:lang w:val="fr-FR"/>
        </w:rPr>
        <w:t>Caraïbes</w:t>
      </w:r>
      <w:r w:rsidR="00FD5D6A">
        <w:rPr>
          <w:i/>
          <w:noProof/>
          <w:lang w:val="fr-FR"/>
        </w:rPr>
        <w:t> :</w:t>
      </w:r>
      <w:bookmarkEnd w:id="18"/>
    </w:p>
    <w:p w14:paraId="151321B3" w14:textId="77CF22F7" w:rsidR="00F84840" w:rsidRPr="00FD5D6A" w:rsidRDefault="00952029" w:rsidP="00952029">
      <w:pPr>
        <w:pStyle w:val="NormalNonumber"/>
        <w:rPr>
          <w:noProof/>
          <w:lang w:val="es-ES"/>
        </w:rPr>
      </w:pPr>
      <w:bookmarkStart w:id="19" w:name="_DV_C62"/>
      <w:r>
        <w:rPr>
          <w:noProof/>
          <w:lang w:val="es-ES"/>
        </w:rPr>
        <w:tab/>
      </w:r>
      <w:r w:rsidR="00BF3030" w:rsidRPr="00FD5D6A">
        <w:rPr>
          <w:noProof/>
          <w:lang w:val="es-ES"/>
        </w:rPr>
        <w:t>Présidente</w:t>
      </w:r>
      <w:r w:rsidR="00FD5D6A" w:rsidRPr="00FD5D6A">
        <w:rPr>
          <w:noProof/>
          <w:lang w:val="es-ES"/>
        </w:rPr>
        <w:t> :</w:t>
      </w:r>
      <w:r w:rsidR="00BF3030" w:rsidRPr="00FD5D6A">
        <w:rPr>
          <w:noProof/>
          <w:lang w:val="es-ES"/>
        </w:rPr>
        <w:t xml:space="preserve"> Ana María Hernández (Colombie</w:t>
      </w:r>
      <w:r w:rsidR="00F84840" w:rsidRPr="00FD5D6A">
        <w:rPr>
          <w:noProof/>
          <w:lang w:val="es-ES"/>
        </w:rPr>
        <w:t>)*</w:t>
      </w:r>
      <w:bookmarkEnd w:id="19"/>
    </w:p>
    <w:p w14:paraId="1A007CE9" w14:textId="607D5FA8" w:rsidR="00F84840" w:rsidRPr="003F3120" w:rsidRDefault="00952029" w:rsidP="00952029">
      <w:pPr>
        <w:pStyle w:val="NormalNonumber"/>
        <w:rPr>
          <w:noProof/>
        </w:rPr>
      </w:pPr>
      <w:bookmarkStart w:id="20" w:name="_DV_C63"/>
      <w:r>
        <w:rPr>
          <w:noProof/>
        </w:rPr>
        <w:tab/>
      </w:r>
      <w:r w:rsidR="00BF3030" w:rsidRPr="003F3120">
        <w:rPr>
          <w:noProof/>
        </w:rPr>
        <w:t>Membre du Bureau</w:t>
      </w:r>
      <w:r w:rsidR="00FD5D6A">
        <w:rPr>
          <w:noProof/>
        </w:rPr>
        <w:t> :</w:t>
      </w:r>
      <w:r w:rsidR="00F84840" w:rsidRPr="003F3120">
        <w:rPr>
          <w:noProof/>
        </w:rPr>
        <w:t xml:space="preserve"> Floyd Homer (</w:t>
      </w:r>
      <w:r w:rsidR="00F731FD" w:rsidRPr="003F3120">
        <w:rPr>
          <w:noProof/>
        </w:rPr>
        <w:t>Trinité-et-Tobago</w:t>
      </w:r>
      <w:r w:rsidR="00F84840" w:rsidRPr="003F3120">
        <w:rPr>
          <w:noProof/>
        </w:rPr>
        <w:t>)</w:t>
      </w:r>
      <w:bookmarkEnd w:id="20"/>
    </w:p>
    <w:p w14:paraId="1FC4C8EB" w14:textId="44CB88AC" w:rsidR="00F84840" w:rsidRPr="003F3120" w:rsidRDefault="00952029" w:rsidP="00952029">
      <w:pPr>
        <w:pStyle w:val="NormalNonumber"/>
        <w:rPr>
          <w:noProof/>
        </w:rPr>
      </w:pPr>
      <w:bookmarkStart w:id="21" w:name="_DV_C64"/>
      <w:r>
        <w:rPr>
          <w:noProof/>
        </w:rPr>
        <w:tab/>
      </w:r>
      <w:r w:rsidR="00BF3030" w:rsidRPr="003F3120">
        <w:rPr>
          <w:noProof/>
        </w:rPr>
        <w:t>Suppléante</w:t>
      </w:r>
      <w:r w:rsidR="00FD5D6A">
        <w:rPr>
          <w:noProof/>
        </w:rPr>
        <w:t> :</w:t>
      </w:r>
      <w:r w:rsidR="00F84840" w:rsidRPr="003F3120">
        <w:rPr>
          <w:noProof/>
        </w:rPr>
        <w:t xml:space="preserve"> Rahanna Juman (</w:t>
      </w:r>
      <w:r w:rsidR="00BF3030" w:rsidRPr="003F3120">
        <w:rPr>
          <w:noProof/>
        </w:rPr>
        <w:t>Trinité-et-Tobago</w:t>
      </w:r>
      <w:r w:rsidR="00F84840" w:rsidRPr="003F3120">
        <w:rPr>
          <w:noProof/>
        </w:rPr>
        <w:t>)</w:t>
      </w:r>
      <w:bookmarkEnd w:id="21"/>
    </w:p>
    <w:p w14:paraId="08F46532" w14:textId="4D29996B" w:rsidR="00BF3030" w:rsidRPr="003F3120" w:rsidRDefault="00952029" w:rsidP="00952029">
      <w:pPr>
        <w:pStyle w:val="NormalNonumber"/>
        <w:rPr>
          <w:i/>
          <w:noProof/>
          <w:lang w:val="fr-FR"/>
        </w:rPr>
      </w:pPr>
      <w:bookmarkStart w:id="22" w:name="_DV_C54"/>
      <w:r>
        <w:rPr>
          <w:i/>
          <w:noProof/>
          <w:lang w:val="fr-FR"/>
        </w:rPr>
        <w:lastRenderedPageBreak/>
        <w:tab/>
      </w:r>
      <w:r w:rsidR="00BF3030" w:rsidRPr="003F3120">
        <w:rPr>
          <w:i/>
          <w:noProof/>
          <w:lang w:val="fr-FR"/>
        </w:rPr>
        <w:t>États d</w:t>
      </w:r>
      <w:r w:rsidR="00FA5ADB">
        <w:rPr>
          <w:i/>
          <w:noProof/>
          <w:lang w:val="fr-FR"/>
        </w:rPr>
        <w:t>’</w:t>
      </w:r>
      <w:r w:rsidR="00BF3030" w:rsidRPr="003F3120">
        <w:rPr>
          <w:i/>
          <w:noProof/>
          <w:lang w:val="fr-FR"/>
        </w:rPr>
        <w:t>Asie et du Pacifique</w:t>
      </w:r>
      <w:r w:rsidR="00FD5D6A">
        <w:rPr>
          <w:i/>
          <w:noProof/>
          <w:lang w:val="fr-FR"/>
        </w:rPr>
        <w:t> :</w:t>
      </w:r>
      <w:bookmarkEnd w:id="22"/>
    </w:p>
    <w:p w14:paraId="22DAD860" w14:textId="7267D1B6" w:rsidR="00BF3030" w:rsidRPr="003F3120" w:rsidRDefault="00952029" w:rsidP="00952029">
      <w:pPr>
        <w:pStyle w:val="NormalNonumber"/>
        <w:rPr>
          <w:noProof/>
        </w:rPr>
      </w:pPr>
      <w:bookmarkStart w:id="23" w:name="_DV_C55"/>
      <w:r>
        <w:rPr>
          <w:noProof/>
        </w:rPr>
        <w:tab/>
      </w:r>
      <w:r w:rsidR="00BF3030" w:rsidRPr="003F3120">
        <w:rPr>
          <w:noProof/>
        </w:rPr>
        <w:t>Vice-Président</w:t>
      </w:r>
      <w:r w:rsidR="00FD5D6A">
        <w:rPr>
          <w:noProof/>
        </w:rPr>
        <w:t> :</w:t>
      </w:r>
      <w:r w:rsidR="00BF3030" w:rsidRPr="003F3120">
        <w:rPr>
          <w:noProof/>
        </w:rPr>
        <w:t xml:space="preserve"> Youngbae Suh (République de Corée)*</w:t>
      </w:r>
      <w:bookmarkEnd w:id="23"/>
    </w:p>
    <w:p w14:paraId="40ABB0F8" w14:textId="13E521B7" w:rsidR="00BF3030" w:rsidRPr="003F3120" w:rsidRDefault="00952029" w:rsidP="00952029">
      <w:pPr>
        <w:pStyle w:val="NormalNonumber"/>
        <w:rPr>
          <w:noProof/>
        </w:rPr>
      </w:pPr>
      <w:bookmarkStart w:id="24" w:name="_DV_C56"/>
      <w:r>
        <w:rPr>
          <w:noProof/>
        </w:rPr>
        <w:tab/>
      </w:r>
      <w:r w:rsidR="00BF3030" w:rsidRPr="003F3120">
        <w:rPr>
          <w:noProof/>
        </w:rPr>
        <w:t>Membre du Bureau</w:t>
      </w:r>
      <w:r w:rsidR="00FD5D6A">
        <w:rPr>
          <w:noProof/>
        </w:rPr>
        <w:t> :</w:t>
      </w:r>
      <w:r w:rsidR="00BF3030" w:rsidRPr="003F3120">
        <w:rPr>
          <w:noProof/>
        </w:rPr>
        <w:t xml:space="preserve"> Vinod Mathur (Inde)</w:t>
      </w:r>
      <w:bookmarkEnd w:id="24"/>
    </w:p>
    <w:p w14:paraId="5B5CA3C7" w14:textId="331AB868" w:rsidR="00F84840" w:rsidRPr="003F3120" w:rsidRDefault="00952029" w:rsidP="00952029">
      <w:pPr>
        <w:pStyle w:val="NormalNonumber"/>
        <w:rPr>
          <w:i/>
          <w:noProof/>
          <w:lang w:val="fr-FR"/>
        </w:rPr>
      </w:pPr>
      <w:bookmarkStart w:id="25" w:name="_DV_C65"/>
      <w:r>
        <w:rPr>
          <w:i/>
          <w:noProof/>
          <w:lang w:val="fr-FR"/>
        </w:rPr>
        <w:tab/>
      </w:r>
      <w:r w:rsidR="00BF3030" w:rsidRPr="003F3120">
        <w:rPr>
          <w:i/>
          <w:noProof/>
          <w:lang w:val="fr-FR"/>
        </w:rPr>
        <w:t>États d</w:t>
      </w:r>
      <w:r w:rsidR="00FA5ADB">
        <w:rPr>
          <w:i/>
          <w:noProof/>
          <w:lang w:val="fr-FR"/>
        </w:rPr>
        <w:t>’</w:t>
      </w:r>
      <w:r w:rsidR="00BF3030" w:rsidRPr="003F3120">
        <w:rPr>
          <w:i/>
          <w:noProof/>
          <w:lang w:val="fr-FR"/>
        </w:rPr>
        <w:t>Europe occidentale et autres États</w:t>
      </w:r>
      <w:r w:rsidR="00FD5D6A">
        <w:rPr>
          <w:i/>
          <w:noProof/>
          <w:lang w:val="fr-FR"/>
        </w:rPr>
        <w:t> :</w:t>
      </w:r>
      <w:bookmarkEnd w:id="25"/>
    </w:p>
    <w:p w14:paraId="0C040348" w14:textId="4F32AB85" w:rsidR="00F84840" w:rsidRPr="003F3120" w:rsidRDefault="00952029" w:rsidP="00952029">
      <w:pPr>
        <w:pStyle w:val="NormalNonumber"/>
        <w:rPr>
          <w:noProof/>
        </w:rPr>
      </w:pPr>
      <w:bookmarkStart w:id="26" w:name="_DV_C66"/>
      <w:r>
        <w:rPr>
          <w:noProof/>
        </w:rPr>
        <w:tab/>
      </w:r>
      <w:r w:rsidR="00BF3030" w:rsidRPr="003F3120">
        <w:rPr>
          <w:noProof/>
        </w:rPr>
        <w:t>Vice-Président</w:t>
      </w:r>
      <w:r w:rsidR="00FD5D6A">
        <w:rPr>
          <w:noProof/>
        </w:rPr>
        <w:t> :</w:t>
      </w:r>
      <w:r w:rsidR="00F84840" w:rsidRPr="003F3120">
        <w:rPr>
          <w:noProof/>
        </w:rPr>
        <w:t xml:space="preserve"> T. Douglas Beard (</w:t>
      </w:r>
      <w:r w:rsidR="00BF3030" w:rsidRPr="003F3120">
        <w:rPr>
          <w:noProof/>
        </w:rPr>
        <w:t>États-Unis d</w:t>
      </w:r>
      <w:r w:rsidR="00FA5ADB">
        <w:rPr>
          <w:noProof/>
        </w:rPr>
        <w:t>’</w:t>
      </w:r>
      <w:r w:rsidR="00BF3030" w:rsidRPr="003F3120">
        <w:rPr>
          <w:noProof/>
        </w:rPr>
        <w:t>Amérique</w:t>
      </w:r>
      <w:r w:rsidR="00F84840" w:rsidRPr="003F3120">
        <w:rPr>
          <w:noProof/>
        </w:rPr>
        <w:t>)</w:t>
      </w:r>
      <w:bookmarkEnd w:id="26"/>
    </w:p>
    <w:p w14:paraId="10FE898C" w14:textId="6747AC8D" w:rsidR="00F84840" w:rsidRPr="003F3120" w:rsidRDefault="00952029" w:rsidP="00952029">
      <w:pPr>
        <w:pStyle w:val="NormalNonumber"/>
        <w:rPr>
          <w:noProof/>
        </w:rPr>
      </w:pPr>
      <w:bookmarkStart w:id="27" w:name="_DV_C67"/>
      <w:r>
        <w:rPr>
          <w:noProof/>
        </w:rPr>
        <w:tab/>
      </w:r>
      <w:r w:rsidR="00BF3030" w:rsidRPr="003F3120">
        <w:rPr>
          <w:noProof/>
        </w:rPr>
        <w:t>Membre du Bureau</w:t>
      </w:r>
      <w:r w:rsidR="00FD5D6A">
        <w:rPr>
          <w:noProof/>
        </w:rPr>
        <w:t> :</w:t>
      </w:r>
      <w:r w:rsidR="00F84840" w:rsidRPr="003F3120">
        <w:rPr>
          <w:noProof/>
        </w:rPr>
        <w:t xml:space="preserve"> Julia Marton Lefèvre (France)</w:t>
      </w:r>
      <w:bookmarkEnd w:id="27"/>
    </w:p>
    <w:p w14:paraId="0FEF6FAB" w14:textId="7F28C168" w:rsidR="00F84840" w:rsidRPr="003F3120" w:rsidRDefault="00952029" w:rsidP="00952029">
      <w:pPr>
        <w:pStyle w:val="NormalNonumber"/>
        <w:rPr>
          <w:noProof/>
        </w:rPr>
      </w:pPr>
      <w:bookmarkStart w:id="28" w:name="_DV_C68"/>
      <w:r>
        <w:rPr>
          <w:noProof/>
        </w:rPr>
        <w:tab/>
      </w:r>
      <w:r w:rsidR="00BF3030" w:rsidRPr="003F3120">
        <w:rPr>
          <w:noProof/>
        </w:rPr>
        <w:t>Suppléantes</w:t>
      </w:r>
      <w:r w:rsidR="00FD5D6A">
        <w:rPr>
          <w:noProof/>
        </w:rPr>
        <w:t> :</w:t>
      </w:r>
      <w:r w:rsidR="00F84840" w:rsidRPr="003F3120">
        <w:rPr>
          <w:noProof/>
        </w:rPr>
        <w:t xml:space="preserve"> Hilde Eggermont (Belgi</w:t>
      </w:r>
      <w:r w:rsidR="00BF3030" w:rsidRPr="003F3120">
        <w:rPr>
          <w:noProof/>
        </w:rPr>
        <w:t>que</w:t>
      </w:r>
      <w:r w:rsidR="00F84840" w:rsidRPr="003F3120">
        <w:rPr>
          <w:noProof/>
        </w:rPr>
        <w:t>), Mary Rowen (</w:t>
      </w:r>
      <w:r w:rsidR="00BF3030" w:rsidRPr="003F3120">
        <w:rPr>
          <w:noProof/>
        </w:rPr>
        <w:t>États-Unis d</w:t>
      </w:r>
      <w:r w:rsidR="00FA5ADB">
        <w:rPr>
          <w:noProof/>
        </w:rPr>
        <w:t>’</w:t>
      </w:r>
      <w:r w:rsidR="00BF3030" w:rsidRPr="003F3120">
        <w:rPr>
          <w:noProof/>
        </w:rPr>
        <w:t>Amérique</w:t>
      </w:r>
      <w:r w:rsidR="00F84840" w:rsidRPr="003F3120">
        <w:rPr>
          <w:noProof/>
        </w:rPr>
        <w:t>)</w:t>
      </w:r>
      <w:bookmarkEnd w:id="28"/>
    </w:p>
    <w:p w14:paraId="7D73F138" w14:textId="2003F5BA" w:rsidR="00BF3030" w:rsidRPr="003F3120" w:rsidRDefault="00952029" w:rsidP="00952029">
      <w:pPr>
        <w:pStyle w:val="NormalNonumber"/>
        <w:rPr>
          <w:i/>
          <w:noProof/>
          <w:lang w:val="fr-FR"/>
        </w:rPr>
      </w:pPr>
      <w:bookmarkStart w:id="29" w:name="_DV_C57"/>
      <w:r>
        <w:rPr>
          <w:i/>
          <w:noProof/>
          <w:lang w:val="fr-FR"/>
        </w:rPr>
        <w:tab/>
      </w:r>
      <w:r w:rsidR="00BF3030" w:rsidRPr="003F3120">
        <w:rPr>
          <w:i/>
          <w:noProof/>
          <w:lang w:val="fr-FR"/>
        </w:rPr>
        <w:t>États d</w:t>
      </w:r>
      <w:r w:rsidR="00FA5ADB">
        <w:rPr>
          <w:i/>
          <w:noProof/>
          <w:lang w:val="fr-FR"/>
        </w:rPr>
        <w:t>’</w:t>
      </w:r>
      <w:r w:rsidR="00BF3030" w:rsidRPr="003F3120">
        <w:rPr>
          <w:i/>
          <w:noProof/>
          <w:lang w:val="fr-FR"/>
        </w:rPr>
        <w:t>Europe orientale</w:t>
      </w:r>
      <w:r w:rsidR="00FD5D6A">
        <w:rPr>
          <w:i/>
          <w:noProof/>
          <w:lang w:val="fr-FR"/>
        </w:rPr>
        <w:t> :</w:t>
      </w:r>
      <w:bookmarkEnd w:id="29"/>
    </w:p>
    <w:p w14:paraId="63F9F690" w14:textId="5C7546F4" w:rsidR="00BF3030" w:rsidRPr="003F3120" w:rsidRDefault="00952029" w:rsidP="00952029">
      <w:pPr>
        <w:pStyle w:val="NormalNonumber"/>
        <w:rPr>
          <w:noProof/>
        </w:rPr>
      </w:pPr>
      <w:bookmarkStart w:id="30" w:name="_DV_C58"/>
      <w:r>
        <w:rPr>
          <w:noProof/>
        </w:rPr>
        <w:tab/>
      </w:r>
      <w:r w:rsidR="00BF3030" w:rsidRPr="003F3120">
        <w:rPr>
          <w:noProof/>
        </w:rPr>
        <w:t>Vice-Président</w:t>
      </w:r>
      <w:r w:rsidR="00FD5D6A">
        <w:rPr>
          <w:noProof/>
        </w:rPr>
        <w:t> :</w:t>
      </w:r>
      <w:r w:rsidR="00BF3030" w:rsidRPr="003F3120">
        <w:rPr>
          <w:noProof/>
        </w:rPr>
        <w:t xml:space="preserve"> Rashad Allahverdiyev (Azerbaïdjan)*</w:t>
      </w:r>
      <w:bookmarkEnd w:id="30"/>
    </w:p>
    <w:p w14:paraId="0774F105" w14:textId="1A2FF435" w:rsidR="00BF3030" w:rsidRPr="003F3120" w:rsidRDefault="00952029" w:rsidP="00952029">
      <w:pPr>
        <w:pStyle w:val="NormalNonumber"/>
        <w:rPr>
          <w:noProof/>
        </w:rPr>
      </w:pPr>
      <w:bookmarkStart w:id="31" w:name="_DV_C59"/>
      <w:r>
        <w:rPr>
          <w:noProof/>
        </w:rPr>
        <w:tab/>
      </w:r>
      <w:r w:rsidR="00BF3030" w:rsidRPr="003F3120">
        <w:rPr>
          <w:noProof/>
        </w:rPr>
        <w:t>Membre du Bureau</w:t>
      </w:r>
      <w:r w:rsidR="00FD5D6A">
        <w:rPr>
          <w:noProof/>
        </w:rPr>
        <w:t> :</w:t>
      </w:r>
      <w:r w:rsidR="00BF3030" w:rsidRPr="003F3120">
        <w:rPr>
          <w:noProof/>
        </w:rPr>
        <w:t xml:space="preserve"> Hamid </w:t>
      </w:r>
      <w:r w:rsidR="008805AC">
        <w:rPr>
          <w:noProof/>
        </w:rPr>
        <w:t>Č</w:t>
      </w:r>
      <w:r w:rsidR="00BF3030" w:rsidRPr="003F3120">
        <w:rPr>
          <w:noProof/>
        </w:rPr>
        <w:t>ustovi</w:t>
      </w:r>
      <w:r w:rsidR="008805AC">
        <w:rPr>
          <w:noProof/>
        </w:rPr>
        <w:t>ć</w:t>
      </w:r>
      <w:r w:rsidR="00BF3030" w:rsidRPr="003F3120">
        <w:rPr>
          <w:noProof/>
        </w:rPr>
        <w:t xml:space="preserve"> (Bosnie-Herzégovine)</w:t>
      </w:r>
      <w:bookmarkEnd w:id="31"/>
    </w:p>
    <w:p w14:paraId="2C4F0637" w14:textId="3CB84881" w:rsidR="00BF3030" w:rsidRPr="003F3120" w:rsidRDefault="00952029" w:rsidP="00952029">
      <w:pPr>
        <w:pStyle w:val="NormalNonumber"/>
        <w:rPr>
          <w:noProof/>
        </w:rPr>
      </w:pPr>
      <w:bookmarkStart w:id="32" w:name="_DV_C60"/>
      <w:r>
        <w:rPr>
          <w:noProof/>
        </w:rPr>
        <w:tab/>
      </w:r>
      <w:r w:rsidR="00BF3030" w:rsidRPr="003F3120">
        <w:rPr>
          <w:noProof/>
        </w:rPr>
        <w:t>Suppléante</w:t>
      </w:r>
      <w:r w:rsidR="00FD5D6A">
        <w:rPr>
          <w:noProof/>
        </w:rPr>
        <w:t> :</w:t>
      </w:r>
      <w:r w:rsidR="00BF3030" w:rsidRPr="003F3120">
        <w:rPr>
          <w:noProof/>
        </w:rPr>
        <w:t xml:space="preserve"> Ala Rotaru (République de Moldova)</w:t>
      </w:r>
      <w:bookmarkEnd w:id="32"/>
    </w:p>
    <w:p w14:paraId="6F9BA240" w14:textId="1A761349" w:rsidR="00F84840" w:rsidRPr="003F3120" w:rsidRDefault="00BF3030" w:rsidP="00952029">
      <w:pPr>
        <w:pStyle w:val="NormalNonumber"/>
        <w:rPr>
          <w:rFonts w:eastAsia="MS Mincho"/>
        </w:rPr>
      </w:pPr>
      <w:bookmarkStart w:id="33" w:name="_DV_C69"/>
      <w:r w:rsidRPr="003F3120">
        <w:rPr>
          <w:noProof/>
        </w:rPr>
        <w:t xml:space="preserve">Les noms </w:t>
      </w:r>
      <w:r w:rsidR="008805AC" w:rsidRPr="003F3120">
        <w:rPr>
          <w:noProof/>
        </w:rPr>
        <w:t>port</w:t>
      </w:r>
      <w:r w:rsidR="008805AC">
        <w:rPr>
          <w:noProof/>
        </w:rPr>
        <w:t>a</w:t>
      </w:r>
      <w:r w:rsidR="008805AC" w:rsidRPr="003F3120">
        <w:rPr>
          <w:noProof/>
        </w:rPr>
        <w:t xml:space="preserve">nt un astérisque </w:t>
      </w:r>
      <w:r w:rsidRPr="003F3120">
        <w:rPr>
          <w:noProof/>
        </w:rPr>
        <w:t>dans</w:t>
      </w:r>
      <w:r w:rsidR="007031E0">
        <w:rPr>
          <w:noProof/>
        </w:rPr>
        <w:t xml:space="preserve"> la </w:t>
      </w:r>
      <w:r w:rsidRPr="003F3120">
        <w:rPr>
          <w:noProof/>
        </w:rPr>
        <w:t>liste ci</w:t>
      </w:r>
      <w:r w:rsidRPr="003F3120">
        <w:rPr>
          <w:noProof/>
        </w:rPr>
        <w:noBreakHyphen/>
        <w:t xml:space="preserve">dessus sont ceux de membres siégeant au </w:t>
      </w:r>
      <w:r w:rsidR="00F84840" w:rsidRPr="003F3120">
        <w:rPr>
          <w:noProof/>
        </w:rPr>
        <w:t xml:space="preserve">Bureau </w:t>
      </w:r>
      <w:r w:rsidRPr="003F3120">
        <w:rPr>
          <w:noProof/>
        </w:rPr>
        <w:t>qui</w:t>
      </w:r>
      <w:r w:rsidR="00952029">
        <w:rPr>
          <w:noProof/>
        </w:rPr>
        <w:t> </w:t>
      </w:r>
      <w:r w:rsidRPr="003F3120">
        <w:rPr>
          <w:noProof/>
        </w:rPr>
        <w:t>ont été réélus</w:t>
      </w:r>
      <w:r w:rsidR="00F84840" w:rsidRPr="003F3120">
        <w:rPr>
          <w:noProof/>
        </w:rPr>
        <w:t>.</w:t>
      </w:r>
      <w:bookmarkEnd w:id="33"/>
    </w:p>
    <w:p w14:paraId="4232EF11" w14:textId="59DF336B" w:rsidR="0077408A" w:rsidRPr="003F3120" w:rsidRDefault="00952029" w:rsidP="00952029">
      <w:pPr>
        <w:pStyle w:val="CH2"/>
        <w:rPr>
          <w:noProof/>
          <w:lang w:val="fr-FR"/>
        </w:rPr>
      </w:pPr>
      <w:r>
        <w:rPr>
          <w:noProof/>
          <w:lang w:val="fr-FR"/>
        </w:rPr>
        <w:tab/>
        <w:t>D</w:t>
      </w:r>
      <w:r>
        <w:rPr>
          <w:noProof/>
          <w:lang w:val="fr-FR"/>
        </w:rPr>
        <w:tab/>
        <w:t>É</w:t>
      </w:r>
      <w:r w:rsidR="0077408A" w:rsidRPr="003F3120">
        <w:rPr>
          <w:noProof/>
          <w:lang w:val="fr-FR"/>
        </w:rPr>
        <w:t>lection de membres du Groupe d</w:t>
      </w:r>
      <w:r w:rsidR="00FA5ADB">
        <w:rPr>
          <w:noProof/>
          <w:lang w:val="fr-FR"/>
        </w:rPr>
        <w:t>’</w:t>
      </w:r>
      <w:r w:rsidR="0077408A" w:rsidRPr="003F3120">
        <w:rPr>
          <w:noProof/>
          <w:lang w:val="fr-FR"/>
        </w:rPr>
        <w:t>experts multidisciplinaire</w:t>
      </w:r>
    </w:p>
    <w:p w14:paraId="370A24A3" w14:textId="53C55AB3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noProof/>
          <w:lang w:val="fr-FR"/>
        </w:rPr>
        <w:t>Présentant ce sous-point,</w:t>
      </w:r>
      <w:r w:rsidR="007031E0">
        <w:rPr>
          <w:noProof/>
          <w:lang w:val="fr-FR"/>
        </w:rPr>
        <w:t xml:space="preserve"> le </w:t>
      </w:r>
      <w:r w:rsidRPr="003F3120">
        <w:rPr>
          <w:noProof/>
          <w:lang w:val="fr-FR"/>
        </w:rPr>
        <w:t>Président a rappelé qu</w:t>
      </w:r>
      <w:r w:rsidR="00FA5ADB">
        <w:rPr>
          <w:noProof/>
          <w:lang w:val="fr-FR"/>
        </w:rPr>
        <w:t>’</w:t>
      </w:r>
      <w:r w:rsidRPr="003F3120">
        <w:rPr>
          <w:noProof/>
          <w:lang w:val="fr-FR"/>
        </w:rPr>
        <w:t xml:space="preserve">à sa </w:t>
      </w:r>
      <w:r w:rsidRPr="003F3120">
        <w:rPr>
          <w:lang w:val="fr-FR"/>
        </w:rPr>
        <w:t>sixième</w:t>
      </w:r>
      <w:r w:rsidRPr="003F3120">
        <w:rPr>
          <w:noProof/>
          <w:lang w:val="fr-FR"/>
        </w:rPr>
        <w:t> session,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Plénière avait élu 25 </w:t>
      </w:r>
      <w:r w:rsidRPr="00EC6B3F">
        <w:rPr>
          <w:bCs/>
          <w:lang w:val="fr-FR"/>
        </w:rPr>
        <w:t>membres</w:t>
      </w:r>
      <w:r w:rsidRPr="003F3120">
        <w:rPr>
          <w:noProof/>
          <w:lang w:val="fr-FR"/>
        </w:rPr>
        <w:t xml:space="preserve"> pour siéger au Groupe d</w:t>
      </w:r>
      <w:r w:rsidR="00FA5ADB">
        <w:rPr>
          <w:noProof/>
          <w:lang w:val="fr-FR"/>
        </w:rPr>
        <w:t>’</w:t>
      </w:r>
      <w:r w:rsidRPr="003F3120">
        <w:rPr>
          <w:noProof/>
          <w:lang w:val="fr-FR"/>
        </w:rPr>
        <w:t>experts multidisciplinaire pour un mandat de trois</w:t>
      </w:r>
      <w:r w:rsidR="00952029">
        <w:rPr>
          <w:noProof/>
          <w:lang w:val="fr-FR"/>
        </w:rPr>
        <w:t> </w:t>
      </w:r>
      <w:r w:rsidRPr="003F3120">
        <w:rPr>
          <w:noProof/>
          <w:lang w:val="fr-FR"/>
        </w:rPr>
        <w:t>ans. Toutefois, depuis cette session, deux membres avaient démissionné</w:t>
      </w:r>
      <w:r w:rsidR="00FD5D6A">
        <w:rPr>
          <w:noProof/>
          <w:lang w:val="fr-FR"/>
        </w:rPr>
        <w:t> :</w:t>
      </w:r>
      <w:r w:rsidRPr="003F3120">
        <w:rPr>
          <w:lang w:val="fr-FR"/>
        </w:rPr>
        <w:t xml:space="preserve"> Mme Carmen Roldán Chacón (Costa</w:t>
      </w:r>
      <w:r w:rsidR="00EC6B3F">
        <w:rPr>
          <w:lang w:val="fr-FR"/>
        </w:rPr>
        <w:t> </w:t>
      </w:r>
      <w:r w:rsidRPr="003F3120">
        <w:rPr>
          <w:lang w:val="fr-FR"/>
        </w:rPr>
        <w:t>Rica, Amérique latine et Caraïbes) et Mme Voahangy Raharimalala (Madagascar, Afrique). Conformément à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article 31 du </w:t>
      </w:r>
      <w:r w:rsidR="00F87EA7">
        <w:rPr>
          <w:lang w:val="fr-FR"/>
        </w:rPr>
        <w:t>R</w:t>
      </w:r>
      <w:r w:rsidRPr="003F3120">
        <w:rPr>
          <w:lang w:val="fr-FR"/>
        </w:rPr>
        <w:t>èglement intérieur,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devait élire deux suppléants pour terminer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mandat restant à courir</w:t>
      </w:r>
      <w:r w:rsidR="007031E0">
        <w:rPr>
          <w:lang w:val="fr-FR"/>
        </w:rPr>
        <w:t xml:space="preserve"> des </w:t>
      </w:r>
      <w:r w:rsidR="00C6409C">
        <w:rPr>
          <w:lang w:val="fr-FR"/>
        </w:rPr>
        <w:t>membres ayant démissionné.</w:t>
      </w:r>
    </w:p>
    <w:p w14:paraId="1B2C434E" w14:textId="1A4BD237" w:rsidR="0077408A" w:rsidRPr="00EC6B3F" w:rsidRDefault="0077408A" w:rsidP="00ED6939">
      <w:pPr>
        <w:pStyle w:val="Normalnumber"/>
        <w:rPr>
          <w:noProof/>
          <w:lang w:val="fr-FR"/>
        </w:rPr>
      </w:pPr>
      <w:r w:rsidRPr="003F3120">
        <w:rPr>
          <w:lang w:val="fr-FR"/>
        </w:rPr>
        <w:t xml:space="preserve">Un </w:t>
      </w:r>
      <w:r w:rsidRPr="00EC6B3F">
        <w:rPr>
          <w:bCs/>
          <w:lang w:val="fr-FR"/>
        </w:rPr>
        <w:t>représentant</w:t>
      </w:r>
      <w:r w:rsidRPr="003F3120">
        <w:rPr>
          <w:lang w:val="fr-FR"/>
        </w:rPr>
        <w:t xml:space="preserve"> a souligné </w:t>
      </w:r>
      <w:r w:rsidR="00F87EA7">
        <w:rPr>
          <w:lang w:val="fr-FR"/>
        </w:rPr>
        <w:t>qu</w:t>
      </w:r>
      <w:r w:rsidR="00FA5ADB">
        <w:rPr>
          <w:lang w:val="fr-FR"/>
        </w:rPr>
        <w:t>’</w:t>
      </w:r>
      <w:r w:rsidR="00F87EA7">
        <w:rPr>
          <w:lang w:val="fr-FR"/>
        </w:rPr>
        <w:t>il importait</w:t>
      </w:r>
      <w:r w:rsidRPr="003F3120">
        <w:rPr>
          <w:lang w:val="fr-FR"/>
        </w:rPr>
        <w:t xml:space="preserve"> d</w:t>
      </w:r>
      <w:r w:rsidR="00FA5ADB">
        <w:rPr>
          <w:lang w:val="fr-FR"/>
        </w:rPr>
        <w:t>’</w:t>
      </w:r>
      <w:r w:rsidRPr="003F3120">
        <w:rPr>
          <w:lang w:val="fr-FR"/>
        </w:rPr>
        <w:t>assurer un équilibre entre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sexes en désignant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membres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organes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Pr="00EC6B3F">
        <w:rPr>
          <w:lang w:val="fr-FR"/>
        </w:rPr>
        <w:t>.</w:t>
      </w:r>
    </w:p>
    <w:p w14:paraId="2D1CDA3A" w14:textId="7FFE289A" w:rsidR="00A45DF6" w:rsidRPr="003F3120" w:rsidRDefault="00757ABE" w:rsidP="00ED6939">
      <w:pPr>
        <w:pStyle w:val="Normalnumber"/>
        <w:rPr>
          <w:rFonts w:eastAsia="MS Mincho"/>
          <w:lang w:val="fr-FR"/>
        </w:rPr>
      </w:pPr>
      <w:bookmarkStart w:id="34" w:name="_DV_C73"/>
      <w:r w:rsidRPr="003F3120">
        <w:rPr>
          <w:lang w:val="fr-FR"/>
        </w:rPr>
        <w:t>Par</w:t>
      </w:r>
      <w:r w:rsidR="007031E0">
        <w:rPr>
          <w:lang w:val="fr-FR"/>
        </w:rPr>
        <w:t xml:space="preserve"> la </w:t>
      </w:r>
      <w:r w:rsidRPr="00EC6B3F">
        <w:rPr>
          <w:bCs/>
          <w:lang w:val="fr-FR"/>
        </w:rPr>
        <w:t>suite</w:t>
      </w:r>
      <w:r w:rsidRPr="003F3120">
        <w:rPr>
          <w:lang w:val="fr-FR"/>
        </w:rPr>
        <w:t>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a élu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suppléants suivants pour assurer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mandat restant à courir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membres ayant démissionné</w:t>
      </w:r>
      <w:r w:rsidR="00FD5D6A">
        <w:rPr>
          <w:lang w:val="fr-FR"/>
        </w:rPr>
        <w:t> :</w:t>
      </w:r>
      <w:bookmarkEnd w:id="34"/>
    </w:p>
    <w:p w14:paraId="46E2439F" w14:textId="5FAF3405" w:rsidR="00757ABE" w:rsidRPr="003F3120" w:rsidRDefault="00952029" w:rsidP="00952029">
      <w:pPr>
        <w:pStyle w:val="NormalNonumber"/>
        <w:rPr>
          <w:rFonts w:eastAsia="MS Mincho"/>
          <w:i/>
        </w:rPr>
      </w:pPr>
      <w:bookmarkStart w:id="35" w:name="_DV_C74"/>
      <w:bookmarkStart w:id="36" w:name="_DV_C78"/>
      <w:r>
        <w:rPr>
          <w:i/>
        </w:rPr>
        <w:tab/>
      </w:r>
      <w:r w:rsidR="00757ABE" w:rsidRPr="003F3120">
        <w:rPr>
          <w:i/>
        </w:rPr>
        <w:t>États d</w:t>
      </w:r>
      <w:r w:rsidR="00FA5ADB">
        <w:rPr>
          <w:i/>
        </w:rPr>
        <w:t>’</w:t>
      </w:r>
      <w:r w:rsidR="00757ABE" w:rsidRPr="003F3120">
        <w:rPr>
          <w:i/>
        </w:rPr>
        <w:t>Afrique</w:t>
      </w:r>
      <w:r w:rsidR="00FD5D6A">
        <w:rPr>
          <w:i/>
        </w:rPr>
        <w:t> :</w:t>
      </w:r>
      <w:bookmarkEnd w:id="35"/>
    </w:p>
    <w:p w14:paraId="7149057F" w14:textId="1B8C902D" w:rsidR="00757ABE" w:rsidRPr="003F3120" w:rsidRDefault="00952029" w:rsidP="00952029">
      <w:pPr>
        <w:pStyle w:val="NormalNonumber"/>
        <w:rPr>
          <w:rFonts w:eastAsia="MS Mincho"/>
          <w:lang w:val="fr-FR"/>
        </w:rPr>
      </w:pPr>
      <w:bookmarkStart w:id="37" w:name="_DV_C75"/>
      <w:r>
        <w:rPr>
          <w:lang w:val="fr-FR"/>
        </w:rPr>
        <w:tab/>
      </w:r>
      <w:r w:rsidR="00757ABE" w:rsidRPr="003F3120">
        <w:rPr>
          <w:lang w:val="fr-FR"/>
        </w:rPr>
        <w:t>Dorothy Wanja Nyingi (Kenya)</w:t>
      </w:r>
      <w:bookmarkEnd w:id="37"/>
    </w:p>
    <w:p w14:paraId="1964D811" w14:textId="3E919039" w:rsidR="00757ABE" w:rsidRPr="003F3120" w:rsidRDefault="00952029" w:rsidP="00952029">
      <w:pPr>
        <w:pStyle w:val="NormalNonumber"/>
        <w:rPr>
          <w:rFonts w:eastAsia="MS Mincho"/>
          <w:i/>
          <w:lang w:val="fr-FR"/>
        </w:rPr>
      </w:pPr>
      <w:bookmarkStart w:id="38" w:name="_DV_C76"/>
      <w:r>
        <w:rPr>
          <w:i/>
          <w:lang w:val="fr-FR"/>
        </w:rPr>
        <w:tab/>
      </w:r>
      <w:r w:rsidR="00757ABE" w:rsidRPr="003F3120">
        <w:rPr>
          <w:i/>
          <w:lang w:val="fr-FR"/>
        </w:rPr>
        <w:t>États d</w:t>
      </w:r>
      <w:r w:rsidR="00FA5ADB">
        <w:rPr>
          <w:i/>
          <w:lang w:val="fr-FR"/>
        </w:rPr>
        <w:t>’</w:t>
      </w:r>
      <w:r w:rsidR="00757ABE" w:rsidRPr="003F3120">
        <w:rPr>
          <w:i/>
          <w:lang w:val="fr-FR"/>
        </w:rPr>
        <w:t>Amérique latine et</w:t>
      </w:r>
      <w:r w:rsidR="007031E0">
        <w:rPr>
          <w:i/>
          <w:lang w:val="fr-FR"/>
        </w:rPr>
        <w:t xml:space="preserve"> des </w:t>
      </w:r>
      <w:r w:rsidR="00757ABE" w:rsidRPr="003F3120">
        <w:rPr>
          <w:i/>
          <w:lang w:val="fr-FR"/>
        </w:rPr>
        <w:t>Caraïbes</w:t>
      </w:r>
      <w:r w:rsidR="00FD5D6A">
        <w:rPr>
          <w:i/>
          <w:lang w:val="fr-FR"/>
        </w:rPr>
        <w:t> :</w:t>
      </w:r>
      <w:bookmarkEnd w:id="38"/>
    </w:p>
    <w:p w14:paraId="4CC1D2A0" w14:textId="7334F628" w:rsidR="00757ABE" w:rsidRPr="003F3120" w:rsidRDefault="00952029" w:rsidP="00952029">
      <w:pPr>
        <w:pStyle w:val="NormalNonumber"/>
        <w:rPr>
          <w:rFonts w:eastAsia="MS Mincho"/>
          <w:lang w:val="fr-FR"/>
        </w:rPr>
      </w:pPr>
      <w:bookmarkStart w:id="39" w:name="_DV_C77"/>
      <w:r>
        <w:rPr>
          <w:lang w:val="fr-FR"/>
        </w:rPr>
        <w:tab/>
      </w:r>
      <w:r w:rsidR="00757ABE" w:rsidRPr="003F3120">
        <w:rPr>
          <w:lang w:val="fr-FR"/>
        </w:rPr>
        <w:t>Adriana Flores-Díaz (Mexique)</w:t>
      </w:r>
      <w:bookmarkEnd w:id="39"/>
    </w:p>
    <w:p w14:paraId="3BE0FDC4" w14:textId="25CC56DF" w:rsidR="00757ABE" w:rsidRPr="003F3120" w:rsidRDefault="00757ABE" w:rsidP="00ED6939">
      <w:pPr>
        <w:pStyle w:val="Normalnumber"/>
        <w:rPr>
          <w:rStyle w:val="DeltaViewInsertion"/>
          <w:rFonts w:eastAsia="MS Mincho"/>
          <w:color w:val="auto"/>
          <w:u w:val="none"/>
          <w:lang w:val="fr-FR"/>
        </w:rPr>
      </w:pPr>
      <w:bookmarkStart w:id="40" w:name="_DV_C79"/>
      <w:bookmarkStart w:id="41" w:name="_DV_C80"/>
      <w:bookmarkEnd w:id="36"/>
      <w:r w:rsidRPr="003F3120">
        <w:rPr>
          <w:lang w:val="fr-FR"/>
        </w:rPr>
        <w:t>Par ailleurs,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a élu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personnes suivantes </w:t>
      </w:r>
      <w:r w:rsidR="000E701A">
        <w:rPr>
          <w:lang w:val="fr-FR"/>
        </w:rPr>
        <w:t>comme suppléants pour</w:t>
      </w:r>
      <w:r w:rsidR="007031E0">
        <w:rPr>
          <w:lang w:val="fr-FR"/>
        </w:rPr>
        <w:t xml:space="preserve"> les </w:t>
      </w:r>
      <w:r w:rsidR="000E701A">
        <w:rPr>
          <w:lang w:val="fr-FR"/>
        </w:rPr>
        <w:t>États </w:t>
      </w:r>
      <w:r w:rsidRPr="00EC6B3F">
        <w:rPr>
          <w:bCs/>
          <w:lang w:val="fr-FR"/>
        </w:rPr>
        <w:t>d</w:t>
      </w:r>
      <w:r w:rsidR="00FA5ADB">
        <w:rPr>
          <w:bCs/>
          <w:lang w:val="fr-FR"/>
        </w:rPr>
        <w:t>’</w:t>
      </w:r>
      <w:r w:rsidRPr="00EC6B3F">
        <w:rPr>
          <w:bCs/>
          <w:lang w:val="fr-FR"/>
        </w:rPr>
        <w:t>Amérique</w:t>
      </w:r>
      <w:r w:rsidRPr="003F3120">
        <w:rPr>
          <w:lang w:val="fr-FR"/>
        </w:rPr>
        <w:t xml:space="preserve"> latine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Caraïbes</w:t>
      </w:r>
      <w:r w:rsidR="00FD5D6A">
        <w:rPr>
          <w:lang w:val="fr-FR"/>
        </w:rPr>
        <w:t> :</w:t>
      </w:r>
      <w:bookmarkEnd w:id="40"/>
    </w:p>
    <w:bookmarkEnd w:id="41"/>
    <w:p w14:paraId="51765710" w14:textId="1691C70A" w:rsidR="00757ABE" w:rsidRPr="003F3120" w:rsidRDefault="00952029" w:rsidP="00952029">
      <w:pPr>
        <w:pStyle w:val="NormalNonumber"/>
        <w:rPr>
          <w:rFonts w:eastAsia="MS Mincho"/>
          <w:lang w:val="fr-FR"/>
        </w:rPr>
      </w:pPr>
      <w:r>
        <w:rPr>
          <w:lang w:val="fr-FR"/>
        </w:rPr>
        <w:tab/>
      </w:r>
      <w:r w:rsidR="00C6409C">
        <w:rPr>
          <w:lang w:val="fr-FR"/>
        </w:rPr>
        <w:t>Andrés Ghul (Colombie)</w:t>
      </w:r>
    </w:p>
    <w:p w14:paraId="43F6E66A" w14:textId="718D8274" w:rsidR="00757ABE" w:rsidRPr="003F3120" w:rsidRDefault="00952029" w:rsidP="00952029">
      <w:pPr>
        <w:pStyle w:val="NormalNonumber"/>
        <w:rPr>
          <w:rFonts w:eastAsia="MS Mincho"/>
          <w:lang w:val="fr-FR"/>
        </w:rPr>
      </w:pPr>
      <w:bookmarkStart w:id="42" w:name="_DV_C81"/>
      <w:r>
        <w:rPr>
          <w:lang w:val="fr-FR"/>
        </w:rPr>
        <w:tab/>
      </w:r>
      <w:r w:rsidR="00757ABE" w:rsidRPr="003F3120">
        <w:rPr>
          <w:lang w:val="fr-FR"/>
        </w:rPr>
        <w:t>James Arlington Finlay (Grenade)</w:t>
      </w:r>
      <w:bookmarkEnd w:id="42"/>
    </w:p>
    <w:p w14:paraId="71F25608" w14:textId="5CD28257" w:rsidR="00757ABE" w:rsidRPr="003F3120" w:rsidRDefault="00952029" w:rsidP="00952029">
      <w:pPr>
        <w:pStyle w:val="NormalNonumber"/>
        <w:rPr>
          <w:rFonts w:eastAsia="MS Mincho"/>
          <w:lang w:val="fr-FR"/>
        </w:rPr>
      </w:pPr>
      <w:bookmarkStart w:id="43" w:name="_DV_C82"/>
      <w:r>
        <w:rPr>
          <w:lang w:val="fr-FR"/>
        </w:rPr>
        <w:tab/>
      </w:r>
      <w:r w:rsidR="00757ABE" w:rsidRPr="003F3120">
        <w:rPr>
          <w:lang w:val="fr-FR"/>
        </w:rPr>
        <w:t>Marina Rosales (Pérou)</w:t>
      </w:r>
      <w:bookmarkEnd w:id="43"/>
    </w:p>
    <w:p w14:paraId="13224187" w14:textId="07B7A846" w:rsidR="0077408A" w:rsidRPr="003F3120" w:rsidRDefault="00952029" w:rsidP="00952029">
      <w:pPr>
        <w:pStyle w:val="CH1"/>
        <w:rPr>
          <w:rFonts w:eastAsia="SimSun"/>
          <w:noProof/>
          <w:lang w:val="fr-FR"/>
        </w:rPr>
      </w:pPr>
      <w:r>
        <w:rPr>
          <w:rFonts w:eastAsia="SimSun"/>
          <w:noProof/>
          <w:lang w:val="fr-FR"/>
        </w:rPr>
        <w:tab/>
        <w:t>III.</w:t>
      </w:r>
      <w:r>
        <w:rPr>
          <w:rFonts w:eastAsia="SimSun"/>
          <w:noProof/>
          <w:lang w:val="fr-FR"/>
        </w:rPr>
        <w:tab/>
      </w:r>
      <w:r w:rsidR="0077408A" w:rsidRPr="003F3120">
        <w:rPr>
          <w:rFonts w:eastAsia="SimSun"/>
          <w:noProof/>
          <w:lang w:val="fr-FR"/>
        </w:rPr>
        <w:t>Admission d</w:t>
      </w:r>
      <w:r w:rsidR="00FA5ADB">
        <w:rPr>
          <w:rFonts w:eastAsia="SimSun"/>
          <w:noProof/>
          <w:lang w:val="fr-FR"/>
        </w:rPr>
        <w:t>’</w:t>
      </w:r>
      <w:r w:rsidR="0077408A" w:rsidRPr="003F3120">
        <w:rPr>
          <w:rFonts w:eastAsia="SimSun"/>
          <w:noProof/>
          <w:lang w:val="fr-FR"/>
        </w:rPr>
        <w:t>observateurs à</w:t>
      </w:r>
      <w:r w:rsidR="007031E0">
        <w:rPr>
          <w:rFonts w:eastAsia="SimSun"/>
          <w:noProof/>
          <w:lang w:val="fr-FR"/>
        </w:rPr>
        <w:t xml:space="preserve"> la </w:t>
      </w:r>
      <w:r w:rsidR="0077408A" w:rsidRPr="003F3120">
        <w:rPr>
          <w:rFonts w:eastAsia="SimSun"/>
          <w:noProof/>
          <w:lang w:val="fr-FR"/>
        </w:rPr>
        <w:t>septième session de</w:t>
      </w:r>
      <w:r w:rsidR="007031E0">
        <w:rPr>
          <w:rFonts w:eastAsia="SimSun"/>
          <w:noProof/>
          <w:lang w:val="fr-FR"/>
        </w:rPr>
        <w:t xml:space="preserve"> la </w:t>
      </w:r>
      <w:r w:rsidR="0077408A" w:rsidRPr="003F3120">
        <w:rPr>
          <w:rFonts w:eastAsia="SimSun"/>
          <w:noProof/>
          <w:lang w:val="fr-FR"/>
        </w:rPr>
        <w:t>Plénière de</w:t>
      </w:r>
      <w:r w:rsidR="007031E0">
        <w:rPr>
          <w:rFonts w:eastAsia="SimSun"/>
          <w:noProof/>
          <w:lang w:val="fr-FR"/>
        </w:rPr>
        <w:t xml:space="preserve"> la </w:t>
      </w:r>
      <w:r w:rsidR="0077408A" w:rsidRPr="003F3120">
        <w:rPr>
          <w:rFonts w:eastAsia="SimSun"/>
          <w:noProof/>
          <w:lang w:val="fr-FR"/>
        </w:rPr>
        <w:t>Plateforme</w:t>
      </w:r>
    </w:p>
    <w:p w14:paraId="2438A299" w14:textId="45A926AA" w:rsidR="0077408A" w:rsidRPr="003F3120" w:rsidRDefault="0077408A" w:rsidP="00ED6939">
      <w:pPr>
        <w:pStyle w:val="Normalnumber"/>
        <w:rPr>
          <w:noProof/>
          <w:lang w:val="fr-FR"/>
        </w:rPr>
      </w:pPr>
      <w:r w:rsidRPr="003F3120">
        <w:rPr>
          <w:lang w:val="fr-FR"/>
        </w:rPr>
        <w:t>Présentant</w:t>
      </w:r>
      <w:r w:rsidRPr="003F3120">
        <w:rPr>
          <w:noProof/>
          <w:lang w:val="fr-FR"/>
        </w:rPr>
        <w:t xml:space="preserve"> ce point,</w:t>
      </w:r>
      <w:r w:rsidR="007031E0">
        <w:rPr>
          <w:noProof/>
          <w:lang w:val="fr-FR"/>
        </w:rPr>
        <w:t xml:space="preserve"> le </w:t>
      </w:r>
      <w:r w:rsidRPr="003F3120">
        <w:rPr>
          <w:noProof/>
          <w:lang w:val="fr-FR"/>
        </w:rPr>
        <w:t>Président a rappelé qu</w:t>
      </w:r>
      <w:r w:rsidR="00FA5ADB">
        <w:rPr>
          <w:noProof/>
          <w:lang w:val="fr-FR"/>
        </w:rPr>
        <w:t>’</w:t>
      </w:r>
      <w:r w:rsidRPr="003F3120">
        <w:rPr>
          <w:noProof/>
          <w:lang w:val="fr-FR"/>
        </w:rPr>
        <w:t>à sa sixième session,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Plénière avait décidé que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 xml:space="preserve">procédure provisoire </w:t>
      </w:r>
      <w:r w:rsidRPr="00EC6B3F">
        <w:rPr>
          <w:bCs/>
          <w:lang w:val="fr-FR"/>
        </w:rPr>
        <w:t>régissant</w:t>
      </w:r>
      <w:r w:rsidRPr="003F3120">
        <w:rPr>
          <w:noProof/>
          <w:lang w:val="fr-FR"/>
        </w:rPr>
        <w:t xml:space="preserve"> l</w:t>
      </w:r>
      <w:r w:rsidR="00FA5ADB">
        <w:rPr>
          <w:noProof/>
          <w:lang w:val="fr-FR"/>
        </w:rPr>
        <w:t>’</w:t>
      </w:r>
      <w:r w:rsidRPr="003F3120">
        <w:rPr>
          <w:noProof/>
          <w:lang w:val="fr-FR"/>
        </w:rPr>
        <w:t>admission d</w:t>
      </w:r>
      <w:r w:rsidR="00FA5ADB">
        <w:rPr>
          <w:noProof/>
          <w:lang w:val="fr-FR"/>
        </w:rPr>
        <w:t>’</w:t>
      </w:r>
      <w:r w:rsidRPr="003F3120">
        <w:rPr>
          <w:noProof/>
          <w:lang w:val="fr-FR"/>
        </w:rPr>
        <w:t xml:space="preserve">observateurs à ses </w:t>
      </w:r>
      <w:r w:rsidR="00A47143">
        <w:rPr>
          <w:noProof/>
          <w:lang w:val="fr-FR"/>
        </w:rPr>
        <w:t>sessions, décrite au paragraphe </w:t>
      </w:r>
      <w:r w:rsidRPr="003F3120">
        <w:rPr>
          <w:noProof/>
          <w:lang w:val="fr-FR"/>
        </w:rPr>
        <w:t>22 du rapport sur</w:t>
      </w:r>
      <w:r w:rsidR="007031E0">
        <w:rPr>
          <w:noProof/>
          <w:lang w:val="fr-FR"/>
        </w:rPr>
        <w:t xml:space="preserve"> les </w:t>
      </w:r>
      <w:r w:rsidRPr="003F3120">
        <w:rPr>
          <w:noProof/>
          <w:lang w:val="fr-FR"/>
        </w:rPr>
        <w:t>travaux de sa première session (IPBES/1/12) et qui avait été appliquée à</w:t>
      </w:r>
      <w:r w:rsidR="00952029">
        <w:rPr>
          <w:noProof/>
          <w:lang w:val="fr-FR"/>
        </w:rPr>
        <w:t> </w:t>
      </w:r>
      <w:r w:rsidRPr="003F3120">
        <w:rPr>
          <w:noProof/>
          <w:lang w:val="fr-FR"/>
        </w:rPr>
        <w:t>ses</w:t>
      </w:r>
      <w:r w:rsidR="00952029">
        <w:rPr>
          <w:noProof/>
          <w:lang w:val="fr-FR"/>
        </w:rPr>
        <w:t> </w:t>
      </w:r>
      <w:r w:rsidRPr="003F3120">
        <w:rPr>
          <w:noProof/>
          <w:lang w:val="fr-FR"/>
        </w:rPr>
        <w:t>deuxième, troisième, quatrième, cinquième et sixième sessions, serait également appliquée à</w:t>
      </w:r>
      <w:r w:rsidR="00952029">
        <w:rPr>
          <w:noProof/>
          <w:lang w:val="fr-FR"/>
        </w:rPr>
        <w:t> </w:t>
      </w:r>
      <w:r w:rsidRPr="003F3120">
        <w:rPr>
          <w:noProof/>
          <w:lang w:val="fr-FR"/>
        </w:rPr>
        <w:t>sa</w:t>
      </w:r>
      <w:r w:rsidR="00952029">
        <w:rPr>
          <w:noProof/>
          <w:lang w:val="fr-FR"/>
        </w:rPr>
        <w:t> </w:t>
      </w:r>
      <w:r w:rsidRPr="003F3120">
        <w:rPr>
          <w:noProof/>
          <w:lang w:val="fr-FR"/>
        </w:rPr>
        <w:t>septième session.</w:t>
      </w:r>
    </w:p>
    <w:p w14:paraId="2BC29728" w14:textId="13EB8B84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noProof/>
          <w:lang w:val="fr-FR"/>
        </w:rPr>
        <w:t>Conformément aux décisions prises par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Plénière à ses précédentes sessions,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>Plénière est convenue que</w:t>
      </w:r>
      <w:r w:rsidR="007031E0">
        <w:rPr>
          <w:noProof/>
          <w:lang w:val="fr-FR"/>
        </w:rPr>
        <w:t xml:space="preserve"> les </w:t>
      </w:r>
      <w:r w:rsidRPr="003F3120">
        <w:rPr>
          <w:noProof/>
          <w:lang w:val="fr-FR"/>
        </w:rPr>
        <w:t xml:space="preserve">organisations </w:t>
      </w:r>
      <w:r w:rsidR="00DE1365">
        <w:rPr>
          <w:noProof/>
          <w:lang w:val="fr-FR"/>
        </w:rPr>
        <w:t>énumérées</w:t>
      </w:r>
      <w:r w:rsidRPr="003F3120">
        <w:rPr>
          <w:noProof/>
          <w:lang w:val="fr-FR"/>
        </w:rPr>
        <w:t xml:space="preserve"> à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 xml:space="preserve">section II du document IPBES/7/INF/4 seraient </w:t>
      </w:r>
      <w:r w:rsidR="00DE1365">
        <w:rPr>
          <w:noProof/>
          <w:lang w:val="fr-FR"/>
        </w:rPr>
        <w:t>autorisées</w:t>
      </w:r>
      <w:r w:rsidRPr="003F3120">
        <w:rPr>
          <w:noProof/>
          <w:lang w:val="fr-FR"/>
        </w:rPr>
        <w:t xml:space="preserve"> à</w:t>
      </w:r>
      <w:r w:rsidR="00DE1365">
        <w:rPr>
          <w:noProof/>
          <w:lang w:val="fr-FR"/>
        </w:rPr>
        <w:t xml:space="preserve"> </w:t>
      </w:r>
      <w:r w:rsidRPr="003F3120">
        <w:rPr>
          <w:noProof/>
          <w:lang w:val="fr-FR"/>
        </w:rPr>
        <w:t>participer à</w:t>
      </w:r>
      <w:r w:rsidR="007031E0">
        <w:rPr>
          <w:noProof/>
          <w:lang w:val="fr-FR"/>
        </w:rPr>
        <w:t xml:space="preserve"> la </w:t>
      </w:r>
      <w:r w:rsidRPr="003F3120">
        <w:rPr>
          <w:noProof/>
          <w:lang w:val="fr-FR"/>
        </w:rPr>
        <w:t xml:space="preserve">session </w:t>
      </w:r>
      <w:r w:rsidRPr="00EC6B3F">
        <w:rPr>
          <w:bCs/>
          <w:lang w:val="fr-FR"/>
        </w:rPr>
        <w:t>en</w:t>
      </w:r>
      <w:r w:rsidRPr="003F3120">
        <w:rPr>
          <w:noProof/>
          <w:lang w:val="fr-FR"/>
        </w:rPr>
        <w:t xml:space="preserve"> cours en tant qu</w:t>
      </w:r>
      <w:r w:rsidR="00FA5ADB">
        <w:rPr>
          <w:noProof/>
          <w:lang w:val="fr-FR"/>
        </w:rPr>
        <w:t>’</w:t>
      </w:r>
      <w:r w:rsidRPr="003F3120">
        <w:rPr>
          <w:noProof/>
          <w:lang w:val="fr-FR"/>
        </w:rPr>
        <w:t>observateurs, en plus</w:t>
      </w:r>
      <w:r w:rsidR="007031E0">
        <w:rPr>
          <w:noProof/>
          <w:lang w:val="fr-FR"/>
        </w:rPr>
        <w:t xml:space="preserve"> des </w:t>
      </w:r>
      <w:r w:rsidRPr="003F3120">
        <w:rPr>
          <w:noProof/>
          <w:lang w:val="fr-FR"/>
        </w:rPr>
        <w:t>États, conventions, organisations multilatérales, organismes et institutions spécialisées</w:t>
      </w:r>
      <w:r w:rsidR="007031E0">
        <w:rPr>
          <w:noProof/>
          <w:lang w:val="fr-FR"/>
        </w:rPr>
        <w:t xml:space="preserve"> des </w:t>
      </w:r>
      <w:r w:rsidRPr="003F3120">
        <w:rPr>
          <w:noProof/>
          <w:lang w:val="fr-FR"/>
        </w:rPr>
        <w:t>Nations Unies et</w:t>
      </w:r>
      <w:r w:rsidR="00DE1365">
        <w:rPr>
          <w:noProof/>
          <w:lang w:val="fr-FR"/>
        </w:rPr>
        <w:t xml:space="preserve"> </w:t>
      </w:r>
      <w:r w:rsidRPr="003F3120">
        <w:rPr>
          <w:noProof/>
          <w:lang w:val="fr-FR"/>
        </w:rPr>
        <w:t>autres organisations qui avaient été admises à partici</w:t>
      </w:r>
      <w:r w:rsidR="00C6409C">
        <w:rPr>
          <w:noProof/>
          <w:lang w:val="fr-FR"/>
        </w:rPr>
        <w:t>per à ses sessions précédentes.</w:t>
      </w:r>
    </w:p>
    <w:p w14:paraId="632DAF9F" w14:textId="78C8C945" w:rsidR="0077408A" w:rsidRPr="003F3120" w:rsidRDefault="0077408A" w:rsidP="00ED6939">
      <w:pPr>
        <w:pStyle w:val="Normalnumber"/>
        <w:keepLines/>
        <w:rPr>
          <w:lang w:val="fr-FR"/>
        </w:rPr>
      </w:pPr>
      <w:r w:rsidRPr="003F3120">
        <w:rPr>
          <w:lang w:val="fr-FR"/>
        </w:rPr>
        <w:lastRenderedPageBreak/>
        <w:t>Le Président a appelé l</w:t>
      </w:r>
      <w:r w:rsidR="00FA5ADB">
        <w:rPr>
          <w:lang w:val="fr-FR"/>
        </w:rPr>
        <w:t>’</w:t>
      </w:r>
      <w:r w:rsidRPr="003F3120">
        <w:rPr>
          <w:lang w:val="fr-FR"/>
        </w:rPr>
        <w:t>attention</w:t>
      </w:r>
      <w:r w:rsidR="007031E0">
        <w:rPr>
          <w:lang w:val="fr-FR"/>
        </w:rPr>
        <w:t xml:space="preserve"> des </w:t>
      </w:r>
      <w:r w:rsidR="00DE1365">
        <w:rPr>
          <w:lang w:val="fr-FR"/>
        </w:rPr>
        <w:t xml:space="preserve">participants </w:t>
      </w:r>
      <w:r w:rsidRPr="003F3120">
        <w:rPr>
          <w:lang w:val="fr-FR"/>
        </w:rPr>
        <w:t>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note du secrétariat contenant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projet de politique et de procédures d</w:t>
      </w:r>
      <w:r w:rsidR="00FA5ADB">
        <w:rPr>
          <w:lang w:val="fr-FR"/>
        </w:rPr>
        <w:t>’</w:t>
      </w:r>
      <w:r w:rsidRPr="003F3120">
        <w:rPr>
          <w:lang w:val="fr-FR"/>
        </w:rPr>
        <w:t>admission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observateurs (IPBES/7/9) qui, comme il l</w:t>
      </w:r>
      <w:r w:rsidR="00FA5ADB">
        <w:rPr>
          <w:lang w:val="fr-FR"/>
        </w:rPr>
        <w:t>’</w:t>
      </w:r>
      <w:r w:rsidRPr="003F3120">
        <w:rPr>
          <w:lang w:val="fr-FR"/>
        </w:rPr>
        <w:t>a rappelé, avait fait l</w:t>
      </w:r>
      <w:r w:rsidR="00FA5ADB">
        <w:rPr>
          <w:lang w:val="fr-FR"/>
        </w:rPr>
        <w:t>’</w:t>
      </w:r>
      <w:r w:rsidRPr="003F3120">
        <w:rPr>
          <w:lang w:val="fr-FR"/>
        </w:rPr>
        <w:t>objet de désaccords aux précédentes sessions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Plénière. Il a demandé aux membres si</w:t>
      </w:r>
      <w:r w:rsidR="00952029">
        <w:rPr>
          <w:lang w:val="fr-FR"/>
        </w:rPr>
        <w:t> </w:t>
      </w: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un</w:t>
      </w:r>
      <w:r w:rsidR="00952029">
        <w:rPr>
          <w:lang w:val="fr-FR"/>
        </w:rPr>
        <w:t> </w:t>
      </w:r>
      <w:r w:rsidRPr="003F3120">
        <w:rPr>
          <w:lang w:val="fr-FR"/>
        </w:rPr>
        <w:t>quelconque d</w:t>
      </w:r>
      <w:r w:rsidR="00FA5ADB">
        <w:rPr>
          <w:lang w:val="fr-FR"/>
        </w:rPr>
        <w:t>’</w:t>
      </w:r>
      <w:r w:rsidRPr="003F3120">
        <w:rPr>
          <w:lang w:val="fr-FR"/>
        </w:rPr>
        <w:t>entre eux avait changé de point de vue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question. Aucun membre n</w:t>
      </w:r>
      <w:r w:rsidR="00FA5ADB">
        <w:rPr>
          <w:lang w:val="fr-FR"/>
        </w:rPr>
        <w:t>’</w:t>
      </w:r>
      <w:r w:rsidRPr="003F3120">
        <w:rPr>
          <w:lang w:val="fr-FR"/>
        </w:rPr>
        <w:t>étant intervenu,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a donc décidé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procédure provisoire régissant l</w:t>
      </w:r>
      <w:r w:rsidR="00FA5ADB">
        <w:rPr>
          <w:lang w:val="fr-FR"/>
        </w:rPr>
        <w:t>’</w:t>
      </w:r>
      <w:r w:rsidRPr="003F3120">
        <w:rPr>
          <w:lang w:val="fr-FR"/>
        </w:rPr>
        <w:t>admission d</w:t>
      </w:r>
      <w:r w:rsidR="00FA5ADB">
        <w:rPr>
          <w:lang w:val="fr-FR"/>
        </w:rPr>
        <w:t>’</w:t>
      </w:r>
      <w:r w:rsidRPr="003F3120">
        <w:rPr>
          <w:lang w:val="fr-FR"/>
        </w:rPr>
        <w:t>observateurs à</w:t>
      </w:r>
      <w:r w:rsidR="00952029">
        <w:rPr>
          <w:lang w:val="fr-FR"/>
        </w:rPr>
        <w:t> </w:t>
      </w:r>
      <w:r w:rsidRPr="003F3120">
        <w:rPr>
          <w:lang w:val="fr-FR"/>
        </w:rPr>
        <w:t>ses</w:t>
      </w:r>
      <w:r w:rsidR="00952029">
        <w:rPr>
          <w:lang w:val="fr-FR"/>
        </w:rPr>
        <w:t> </w:t>
      </w:r>
      <w:r w:rsidRPr="003F3120">
        <w:rPr>
          <w:lang w:val="fr-FR"/>
        </w:rPr>
        <w:t>sessions, telle que décrite au paragraphe 22 du rapport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travaux de sa première session (IPBES/1/12) et appliquée à ses deuxième, troisième, quatrième, cinquième, sixième et septième</w:t>
      </w:r>
      <w:r w:rsidR="00952029">
        <w:rPr>
          <w:lang w:val="fr-FR"/>
        </w:rPr>
        <w:t> </w:t>
      </w:r>
      <w:r w:rsidRPr="003F3120">
        <w:rPr>
          <w:lang w:val="fr-FR"/>
        </w:rPr>
        <w:t>sessions, serait également appliquée à sa huitième session, étant entendu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observateurs admis à participer jusque-là à ses sessions feraient partie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observateurs admis à participer à sa</w:t>
      </w:r>
      <w:r w:rsidR="00952029">
        <w:rPr>
          <w:lang w:val="fr-FR"/>
        </w:rPr>
        <w:t> </w:t>
      </w:r>
      <w:r w:rsidRPr="003F3120">
        <w:rPr>
          <w:lang w:val="fr-FR"/>
        </w:rPr>
        <w:t xml:space="preserve">huitième session. </w:t>
      </w:r>
      <w:r w:rsidRPr="003F3120">
        <w:rPr>
          <w:rStyle w:val="DeltaViewInsertion"/>
          <w:rFonts w:eastAsia="SimSun"/>
          <w:color w:val="auto"/>
          <w:w w:val="0"/>
          <w:szCs w:val="24"/>
          <w:u w:val="none"/>
          <w:lang w:val="fr-FR"/>
        </w:rPr>
        <w:t>Elle a également décidé qu</w:t>
      </w:r>
      <w:r w:rsidR="00FA5ADB">
        <w:rPr>
          <w:rStyle w:val="DeltaViewInsertion"/>
          <w:rFonts w:eastAsia="SimSun"/>
          <w:color w:val="auto"/>
          <w:w w:val="0"/>
          <w:szCs w:val="24"/>
          <w:u w:val="none"/>
          <w:lang w:val="fr-FR"/>
        </w:rPr>
        <w:t>’</w:t>
      </w:r>
      <w:r w:rsidRPr="003F3120">
        <w:rPr>
          <w:rStyle w:val="DeltaViewInsertion"/>
          <w:rFonts w:eastAsia="SimSun"/>
          <w:color w:val="auto"/>
          <w:w w:val="0"/>
          <w:szCs w:val="24"/>
          <w:u w:val="none"/>
          <w:lang w:val="fr-FR"/>
        </w:rPr>
        <w:t>elle examinerait à nouveau, à sa huitième session,</w:t>
      </w:r>
      <w:r w:rsidR="007031E0">
        <w:rPr>
          <w:rStyle w:val="DeltaViewInsertion"/>
          <w:rFonts w:eastAsia="SimSun"/>
          <w:color w:val="auto"/>
          <w:w w:val="0"/>
          <w:szCs w:val="24"/>
          <w:u w:val="none"/>
          <w:lang w:val="fr-FR"/>
        </w:rPr>
        <w:t xml:space="preserve"> le </w:t>
      </w:r>
      <w:r w:rsidRPr="003F3120">
        <w:rPr>
          <w:rStyle w:val="DeltaViewInsertion"/>
          <w:rFonts w:eastAsia="SimSun"/>
          <w:color w:val="auto"/>
          <w:w w:val="0"/>
          <w:szCs w:val="24"/>
          <w:u w:val="none"/>
          <w:lang w:val="fr-FR"/>
        </w:rPr>
        <w:t>projet de politique et de procédures d</w:t>
      </w:r>
      <w:r w:rsidR="00FA5ADB">
        <w:rPr>
          <w:rStyle w:val="DeltaViewInsertion"/>
          <w:rFonts w:eastAsia="SimSun"/>
          <w:color w:val="auto"/>
          <w:w w:val="0"/>
          <w:szCs w:val="24"/>
          <w:u w:val="none"/>
          <w:lang w:val="fr-FR"/>
        </w:rPr>
        <w:t>’</w:t>
      </w:r>
      <w:r w:rsidRPr="003F3120">
        <w:rPr>
          <w:rStyle w:val="DeltaViewInsertion"/>
          <w:rFonts w:eastAsia="SimSun"/>
          <w:color w:val="auto"/>
          <w:w w:val="0"/>
          <w:szCs w:val="24"/>
          <w:u w:val="none"/>
          <w:lang w:val="fr-FR"/>
        </w:rPr>
        <w:t>admission</w:t>
      </w:r>
      <w:r w:rsidR="007031E0">
        <w:rPr>
          <w:rStyle w:val="DeltaViewInsertion"/>
          <w:rFonts w:eastAsia="SimSun"/>
          <w:color w:val="auto"/>
          <w:w w:val="0"/>
          <w:szCs w:val="24"/>
          <w:u w:val="none"/>
          <w:lang w:val="fr-FR"/>
        </w:rPr>
        <w:t xml:space="preserve"> des </w:t>
      </w:r>
      <w:r w:rsidRPr="003F3120">
        <w:rPr>
          <w:rStyle w:val="DeltaViewInsertion"/>
          <w:rFonts w:eastAsia="SimSun"/>
          <w:color w:val="auto"/>
          <w:w w:val="0"/>
          <w:szCs w:val="24"/>
          <w:u w:val="none"/>
          <w:lang w:val="fr-FR"/>
        </w:rPr>
        <w:t>observateurs</w:t>
      </w:r>
      <w:r w:rsidRPr="003F3120">
        <w:rPr>
          <w:lang w:val="fr-FR"/>
        </w:rPr>
        <w:t>.</w:t>
      </w:r>
    </w:p>
    <w:p w14:paraId="6AB75BA6" w14:textId="600BD8FE" w:rsidR="0077408A" w:rsidRPr="00952029" w:rsidRDefault="00952029" w:rsidP="00952029">
      <w:pPr>
        <w:pStyle w:val="CH1"/>
        <w:rPr>
          <w:rFonts w:eastAsia="SimSun"/>
        </w:rPr>
      </w:pPr>
      <w:r>
        <w:rPr>
          <w:rFonts w:eastAsia="SimSun"/>
          <w:lang w:val="fr-FR"/>
        </w:rPr>
        <w:tab/>
        <w:t>IV.</w:t>
      </w:r>
      <w:r>
        <w:rPr>
          <w:rFonts w:eastAsia="SimSun"/>
          <w:lang w:val="fr-FR"/>
        </w:rPr>
        <w:tab/>
      </w:r>
      <w:r w:rsidR="0077408A" w:rsidRPr="003F3120">
        <w:rPr>
          <w:rFonts w:eastAsia="SimSun"/>
          <w:lang w:val="fr-FR"/>
        </w:rPr>
        <w:t>Vérification</w:t>
      </w:r>
      <w:r w:rsidR="007031E0">
        <w:rPr>
          <w:rFonts w:eastAsia="SimSun"/>
          <w:lang w:val="fr-FR"/>
        </w:rPr>
        <w:t xml:space="preserve"> des </w:t>
      </w:r>
      <w:r w:rsidR="0077408A" w:rsidRPr="003F3120">
        <w:rPr>
          <w:rFonts w:eastAsia="SimSun"/>
          <w:lang w:val="fr-FR"/>
        </w:rPr>
        <w:t>pouvoirs</w:t>
      </w:r>
      <w:r w:rsidR="007031E0">
        <w:rPr>
          <w:rFonts w:eastAsia="SimSun"/>
          <w:lang w:val="fr-FR"/>
        </w:rPr>
        <w:t xml:space="preserve"> des </w:t>
      </w:r>
      <w:r w:rsidR="0077408A" w:rsidRPr="003F3120">
        <w:rPr>
          <w:rFonts w:eastAsia="SimSun"/>
          <w:lang w:val="fr-FR"/>
        </w:rPr>
        <w:t>représentants</w:t>
      </w:r>
    </w:p>
    <w:p w14:paraId="67575B35" w14:textId="6FAB4820" w:rsidR="00535206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Conformément à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article 13 du </w:t>
      </w:r>
      <w:r w:rsidR="00F856FE">
        <w:rPr>
          <w:lang w:val="fr-FR"/>
        </w:rPr>
        <w:t>R</w:t>
      </w:r>
      <w:r w:rsidRPr="003F3120">
        <w:rPr>
          <w:lang w:val="fr-FR"/>
        </w:rPr>
        <w:t>èglement intérieur,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 a examiné, avec l</w:t>
      </w:r>
      <w:r w:rsidR="00FA5ADB">
        <w:rPr>
          <w:lang w:val="fr-FR"/>
        </w:rPr>
        <w:t>’</w:t>
      </w:r>
      <w:r w:rsidRPr="003F3120">
        <w:rPr>
          <w:lang w:val="fr-FR"/>
        </w:rPr>
        <w:t>aide du secrétariat,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pouvoirs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représentants</w:t>
      </w:r>
      <w:r w:rsidR="007031E0">
        <w:rPr>
          <w:lang w:val="fr-FR"/>
        </w:rPr>
        <w:t xml:space="preserve"> des </w:t>
      </w:r>
      <w:r w:rsidR="00F102E9" w:rsidRPr="003F3120">
        <w:rPr>
          <w:lang w:val="fr-FR"/>
        </w:rPr>
        <w:t>105</w:t>
      </w:r>
      <w:r w:rsidRPr="003F3120">
        <w:rPr>
          <w:lang w:val="fr-FR"/>
        </w:rPr>
        <w:t xml:space="preserve"> membres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participant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session en</w:t>
      </w:r>
      <w:r w:rsidR="00952029">
        <w:rPr>
          <w:lang w:val="fr-FR"/>
        </w:rPr>
        <w:t> </w:t>
      </w:r>
      <w:r w:rsidRPr="003F3120">
        <w:rPr>
          <w:lang w:val="fr-FR"/>
        </w:rPr>
        <w:t>cours. Il a déterminé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pouvoirs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représentants</w:t>
      </w:r>
      <w:r w:rsidR="007031E0">
        <w:rPr>
          <w:lang w:val="fr-FR"/>
        </w:rPr>
        <w:t xml:space="preserve"> des </w:t>
      </w:r>
      <w:r w:rsidR="00F102E9" w:rsidRPr="003F3120">
        <w:rPr>
          <w:lang w:val="fr-FR"/>
        </w:rPr>
        <w:t>84</w:t>
      </w:r>
      <w:r w:rsidRPr="003F3120">
        <w:rPr>
          <w:lang w:val="fr-FR"/>
        </w:rPr>
        <w:t xml:space="preserve"> membres ci-après, qui avaient été conférés soit par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chefs d</w:t>
      </w:r>
      <w:r w:rsidR="00FA5ADB">
        <w:rPr>
          <w:lang w:val="fr-FR"/>
        </w:rPr>
        <w:t>’</w:t>
      </w:r>
      <w:r w:rsidRPr="003F3120">
        <w:rPr>
          <w:lang w:val="fr-FR"/>
        </w:rPr>
        <w:t>État ou de gouvernement soit par</w:t>
      </w:r>
      <w:r w:rsidR="007031E0">
        <w:rPr>
          <w:lang w:val="fr-FR"/>
        </w:rPr>
        <w:t xml:space="preserve"> les </w:t>
      </w:r>
      <w:r w:rsidR="00F856FE">
        <w:rPr>
          <w:lang w:val="fr-FR"/>
        </w:rPr>
        <w:t>M</w:t>
      </w:r>
      <w:r w:rsidRPr="003F3120">
        <w:rPr>
          <w:lang w:val="fr-FR"/>
        </w:rPr>
        <w:t>inistres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affaires étrangères, ou</w:t>
      </w:r>
      <w:r w:rsidR="00952029">
        <w:rPr>
          <w:lang w:val="fr-FR"/>
        </w:rPr>
        <w:t> </w:t>
      </w:r>
      <w:r w:rsidRPr="003F3120">
        <w:rPr>
          <w:lang w:val="fr-FR"/>
        </w:rPr>
        <w:t>en leur nom, comme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prescrit l</w:t>
      </w:r>
      <w:r w:rsidR="00FA5ADB">
        <w:rPr>
          <w:lang w:val="fr-FR"/>
        </w:rPr>
        <w:t>’</w:t>
      </w:r>
      <w:r w:rsidRPr="003F3120">
        <w:rPr>
          <w:lang w:val="fr-FR"/>
        </w:rPr>
        <w:t>article 12, étaient en bonne et due forme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Afghanistan, Afrique du</w:t>
      </w:r>
      <w:r w:rsidR="00952029">
        <w:rPr>
          <w:rStyle w:val="DeltaViewInsertion"/>
          <w:rFonts w:eastAsia="MS Mincho"/>
          <w:color w:val="auto"/>
          <w:u w:val="none"/>
          <w:lang w:val="fr-FR"/>
        </w:rPr>
        <w:t> </w:t>
      </w:r>
      <w:r w:rsidR="00535206" w:rsidRPr="00EC6B3F">
        <w:rPr>
          <w:bCs/>
        </w:rPr>
        <w:t>Sud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, Allemagne, Antigua-et-Barbuda, Arabie saoudite,</w:t>
      </w:r>
      <w:r w:rsidR="00FD5D6A">
        <w:rPr>
          <w:rStyle w:val="DeltaViewInsertion"/>
          <w:rFonts w:eastAsia="MS Mincho"/>
          <w:color w:val="auto"/>
          <w:u w:val="none"/>
          <w:lang w:val="fr-FR"/>
        </w:rPr>
        <w:t xml:space="preserve"> 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Argentine, Autriche, Bangladesh, Belgique, Bénin, Bhoutan, Bolivie (État plurinational de), Bosnie-Herzégovine, Brésil, Bulgarie, Burundi, Cambodge, Cameroun, Canada, Chili,</w:t>
      </w:r>
      <w:r w:rsidR="00FD5D6A">
        <w:rPr>
          <w:rStyle w:val="DeltaViewInsertion"/>
          <w:rFonts w:eastAsia="MS Mincho"/>
          <w:color w:val="auto"/>
          <w:u w:val="none"/>
          <w:lang w:val="fr-FR"/>
        </w:rPr>
        <w:t xml:space="preserve"> 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Chine, Colombie, Costa Rica, Côte d</w:t>
      </w:r>
      <w:r w:rsidR="00FA5ADB">
        <w:rPr>
          <w:rStyle w:val="DeltaViewInsertion"/>
          <w:rFonts w:eastAsia="MS Mincho"/>
          <w:color w:val="auto"/>
          <w:u w:val="none"/>
          <w:lang w:val="fr-FR"/>
        </w:rPr>
        <w:t>’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Ivoire, Croatie, Cuba, Danemark, </w:t>
      </w:r>
      <w:r w:rsidR="00EC6B3F">
        <w:rPr>
          <w:rStyle w:val="DeltaViewInsertion"/>
          <w:rFonts w:eastAsia="MS Mincho"/>
          <w:color w:val="auto"/>
          <w:u w:val="none"/>
          <w:lang w:val="fr-FR"/>
        </w:rPr>
        <w:t>É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gypte, Équateur, Espagne, Estonie, Eswatini, États-Unis d</w:t>
      </w:r>
      <w:r w:rsidR="00FA5ADB">
        <w:rPr>
          <w:rStyle w:val="DeltaViewInsertion"/>
          <w:rFonts w:eastAsia="MS Mincho"/>
          <w:color w:val="auto"/>
          <w:u w:val="none"/>
          <w:lang w:val="fr-FR"/>
        </w:rPr>
        <w:t>’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Amérique, Éthiopie, Finlande, France, Géorgie, Ghana, Grenade, Guatemala, Guinée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noBreakHyphen/>
        <w:t>Bissau, Guyana, Ind</w:t>
      </w:r>
      <w:r w:rsidR="0062634E" w:rsidRPr="003F3120">
        <w:rPr>
          <w:rStyle w:val="DeltaViewInsertion"/>
          <w:rFonts w:eastAsia="MS Mincho"/>
          <w:color w:val="auto"/>
          <w:u w:val="none"/>
          <w:lang w:val="fr-FR"/>
        </w:rPr>
        <w:t>e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, Indonésie, Iran (République islamique d</w:t>
      </w:r>
      <w:r w:rsidR="00FA5ADB">
        <w:rPr>
          <w:rStyle w:val="DeltaViewInsertion"/>
          <w:rFonts w:eastAsia="MS Mincho"/>
          <w:color w:val="auto"/>
          <w:u w:val="none"/>
          <w:lang w:val="fr-FR"/>
        </w:rPr>
        <w:t>’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), </w:t>
      </w:r>
      <w:r w:rsidR="0062634E" w:rsidRPr="003F3120">
        <w:rPr>
          <w:rStyle w:val="DeltaViewInsertion"/>
          <w:rFonts w:eastAsia="MS Mincho"/>
          <w:color w:val="auto"/>
          <w:u w:val="none"/>
          <w:lang w:val="fr-FR"/>
        </w:rPr>
        <w:t>Irlande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, Israël, Japon, </w:t>
      </w:r>
      <w:r w:rsidR="0062634E" w:rsidRPr="003F3120">
        <w:rPr>
          <w:rStyle w:val="DeltaViewInsertion"/>
          <w:rFonts w:eastAsia="MS Mincho"/>
          <w:color w:val="auto"/>
          <w:u w:val="none"/>
          <w:lang w:val="fr-FR"/>
        </w:rPr>
        <w:t>Lituanie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, Luxembourg, Malaisie,</w:t>
      </w:r>
      <w:r w:rsidR="0062634E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 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Malawi, Maldives, Maroc, Mauritanie, Mexique, Monaco, Népal, Norvège,</w:t>
      </w:r>
      <w:r w:rsidR="00FD5D6A">
        <w:rPr>
          <w:rStyle w:val="DeltaViewInsertion"/>
          <w:rFonts w:eastAsia="MS Mincho"/>
          <w:color w:val="auto"/>
          <w:u w:val="none"/>
          <w:lang w:val="fr-FR"/>
        </w:rPr>
        <w:t xml:space="preserve"> 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Nouvelle Zélande, Ouganda, Paraguay,</w:t>
      </w:r>
      <w:r w:rsidR="0062634E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 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Pays</w:t>
      </w:r>
      <w:r w:rsidR="00EC6B3F">
        <w:rPr>
          <w:rStyle w:val="DeltaViewInsertion"/>
          <w:rFonts w:eastAsia="MS Mincho"/>
          <w:color w:val="auto"/>
          <w:u w:val="none"/>
          <w:lang w:val="fr-FR"/>
        </w:rPr>
        <w:noBreakHyphen/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Bas, République de Corée, République de Moldova,</w:t>
      </w:r>
      <w:r w:rsidR="0062634E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 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République dominicaine, République</w:t>
      </w:r>
      <w:r w:rsidR="00EC6B3F">
        <w:rPr>
          <w:rStyle w:val="DeltaViewInsertion"/>
          <w:rFonts w:eastAsia="MS Mincho"/>
          <w:color w:val="auto"/>
          <w:u w:val="none"/>
          <w:lang w:val="fr-FR"/>
        </w:rPr>
        <w:t> 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Unie de</w:t>
      </w:r>
      <w:r w:rsidR="0062634E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 Tanzanie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, Roumanie, Royaume-Uni de Grande-Bretagne et d</w:t>
      </w:r>
      <w:r w:rsidR="00FA5ADB">
        <w:rPr>
          <w:rStyle w:val="DeltaViewInsertion"/>
          <w:rFonts w:eastAsia="MS Mincho"/>
          <w:color w:val="auto"/>
          <w:u w:val="none"/>
          <w:lang w:val="fr-FR"/>
        </w:rPr>
        <w:t>’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Irlande du Nord, Sainte</w:t>
      </w:r>
      <w:r w:rsidR="00EC6B3F">
        <w:rPr>
          <w:rStyle w:val="DeltaViewInsertion"/>
          <w:rFonts w:eastAsia="MS Mincho"/>
          <w:color w:val="auto"/>
          <w:u w:val="none"/>
          <w:lang w:val="fr-FR"/>
        </w:rPr>
        <w:noBreakHyphen/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Lucie, Slovaquie, Soudan, Sri Lanka, Suède, Suisse, Tchad,</w:t>
      </w:r>
      <w:r w:rsidR="0062634E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 Thaïlande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, Togo, Trinidad-et-Tobago, Tunisie, Turquie, Uruguay, Venezuela (République bolivarienne du)</w:t>
      </w:r>
      <w:r w:rsidR="00F856FE">
        <w:rPr>
          <w:rStyle w:val="DeltaViewInsertion"/>
          <w:rFonts w:eastAsia="MS Mincho"/>
          <w:color w:val="auto"/>
          <w:u w:val="none"/>
          <w:lang w:val="fr-FR"/>
        </w:rPr>
        <w:t xml:space="preserve"> et</w:t>
      </w:r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 Zambi</w:t>
      </w:r>
      <w:bookmarkStart w:id="44" w:name="_DV_M80"/>
      <w:bookmarkEnd w:id="44"/>
      <w:r w:rsidR="00535206" w:rsidRPr="003F3120">
        <w:rPr>
          <w:rStyle w:val="DeltaViewInsertion"/>
          <w:rFonts w:eastAsia="MS Mincho"/>
          <w:color w:val="auto"/>
          <w:u w:val="none"/>
          <w:lang w:val="fr-FR"/>
        </w:rPr>
        <w:t>e</w:t>
      </w:r>
      <w:r w:rsidR="00535206" w:rsidRPr="003F3120">
        <w:rPr>
          <w:lang w:val="fr-FR"/>
        </w:rPr>
        <w:t>.</w:t>
      </w:r>
    </w:p>
    <w:p w14:paraId="20994A52" w14:textId="6D350897" w:rsidR="0077408A" w:rsidRPr="003F3120" w:rsidRDefault="006C63F7" w:rsidP="00ED6939">
      <w:pPr>
        <w:pStyle w:val="Normalnumber"/>
        <w:rPr>
          <w:lang w:val="fr-FR"/>
        </w:rPr>
      </w:pPr>
      <w:bookmarkStart w:id="45" w:name="_DV_C99"/>
      <w:r w:rsidRPr="003F3120">
        <w:rPr>
          <w:lang w:val="fr-FR"/>
        </w:rPr>
        <w:t>Conformément à l</w:t>
      </w:r>
      <w:r w:rsidR="00FA5ADB">
        <w:rPr>
          <w:lang w:val="fr-FR"/>
        </w:rPr>
        <w:t>’</w:t>
      </w:r>
      <w:r w:rsidRPr="003F3120">
        <w:rPr>
          <w:lang w:val="fr-FR"/>
        </w:rPr>
        <w:t>article 14 du Règlement intérieur,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a autorisé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représentants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membres dont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communications ne remplissaient pas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conditions énoncées au paragraphe</w:t>
      </w:r>
      <w:r w:rsidR="00952029">
        <w:rPr>
          <w:lang w:val="fr-FR"/>
        </w:rPr>
        <w:t> </w:t>
      </w:r>
      <w:r w:rsidRPr="003F3120">
        <w:rPr>
          <w:lang w:val="fr-FR"/>
        </w:rPr>
        <w:t>2 de l</w:t>
      </w:r>
      <w:r w:rsidR="00FA5ADB">
        <w:rPr>
          <w:lang w:val="fr-FR"/>
        </w:rPr>
        <w:t>’</w:t>
      </w:r>
      <w:r w:rsidRPr="003F3120">
        <w:rPr>
          <w:lang w:val="fr-FR"/>
        </w:rPr>
        <w:t>article 12 du</w:t>
      </w:r>
      <w:r w:rsidR="00DD4889">
        <w:rPr>
          <w:lang w:val="fr-FR"/>
        </w:rPr>
        <w:t>dit</w:t>
      </w:r>
      <w:r w:rsidRPr="003F3120">
        <w:rPr>
          <w:lang w:val="fr-FR"/>
        </w:rPr>
        <w:t xml:space="preserve"> </w:t>
      </w:r>
      <w:r w:rsidR="00DD4889">
        <w:rPr>
          <w:lang w:val="fr-FR"/>
        </w:rPr>
        <w:t>r</w:t>
      </w:r>
      <w:r w:rsidRPr="003F3120">
        <w:rPr>
          <w:lang w:val="fr-FR"/>
        </w:rPr>
        <w:t xml:space="preserve">èglement </w:t>
      </w:r>
      <w:r w:rsidR="000E701A">
        <w:rPr>
          <w:lang w:val="fr-FR"/>
        </w:rPr>
        <w:t xml:space="preserve">à </w:t>
      </w:r>
      <w:r w:rsidRPr="003F3120">
        <w:rPr>
          <w:lang w:val="fr-FR"/>
        </w:rPr>
        <w:t>participer provisoirement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session en attendant que </w:t>
      </w:r>
      <w:r w:rsidRPr="00EC6B3F">
        <w:rPr>
          <w:bCs/>
          <w:lang w:val="fr-FR"/>
        </w:rPr>
        <w:t>leurs</w:t>
      </w:r>
      <w:r w:rsidRPr="003F3120">
        <w:rPr>
          <w:lang w:val="fr-FR"/>
        </w:rPr>
        <w:t xml:space="preserve"> pouvoirs soient reçus et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décide de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accepter.</w:t>
      </w:r>
      <w:r w:rsidR="00FD5D6A">
        <w:rPr>
          <w:lang w:val="fr-FR"/>
        </w:rPr>
        <w:t xml:space="preserve"> </w:t>
      </w:r>
      <w:r w:rsidRPr="003F3120">
        <w:rPr>
          <w:lang w:val="fr-FR"/>
        </w:rPr>
        <w:t>Conformément à l</w:t>
      </w:r>
      <w:r w:rsidR="00FA5ADB">
        <w:rPr>
          <w:lang w:val="fr-FR"/>
        </w:rPr>
        <w:t>’</w:t>
      </w:r>
      <w:r w:rsidRPr="003F3120">
        <w:rPr>
          <w:lang w:val="fr-FR"/>
        </w:rPr>
        <w:t>article 14, ces représentants n</w:t>
      </w:r>
      <w:r w:rsidR="00FA5ADB">
        <w:rPr>
          <w:lang w:val="fr-FR"/>
        </w:rPr>
        <w:t>’</w:t>
      </w:r>
      <w:r w:rsidRPr="003F3120">
        <w:rPr>
          <w:lang w:val="fr-FR"/>
        </w:rPr>
        <w:t>avaient pas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droit de prendre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décisions tant que leurs pouvoirs n</w:t>
      </w:r>
      <w:r w:rsidR="00FA5ADB">
        <w:rPr>
          <w:lang w:val="fr-FR"/>
        </w:rPr>
        <w:t>’</w:t>
      </w:r>
      <w:r w:rsidRPr="003F3120">
        <w:rPr>
          <w:lang w:val="fr-FR"/>
        </w:rPr>
        <w:t>avaient pas été acceptés.</w:t>
      </w:r>
      <w:bookmarkEnd w:id="45"/>
    </w:p>
    <w:p w14:paraId="33C4E7CF" w14:textId="5525DB5C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La Plénière a approuvé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rapport du Bureau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vérification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pouvoirs.</w:t>
      </w:r>
    </w:p>
    <w:p w14:paraId="23FDB6A2" w14:textId="68CF8F55" w:rsidR="0077408A" w:rsidRPr="003F3120" w:rsidRDefault="00952029" w:rsidP="00952029">
      <w:pPr>
        <w:pStyle w:val="CH1"/>
        <w:rPr>
          <w:rFonts w:eastAsia="SimSun"/>
          <w:lang w:val="fr-FR"/>
        </w:rPr>
      </w:pPr>
      <w:r>
        <w:rPr>
          <w:rFonts w:eastAsia="SimSun"/>
          <w:lang w:val="fr-FR"/>
        </w:rPr>
        <w:tab/>
        <w:t>V.</w:t>
      </w:r>
      <w:r>
        <w:rPr>
          <w:rFonts w:eastAsia="SimSun"/>
          <w:lang w:val="fr-FR"/>
        </w:rPr>
        <w:tab/>
      </w:r>
      <w:r w:rsidR="0077408A" w:rsidRPr="003F3120">
        <w:rPr>
          <w:rFonts w:eastAsia="SimSun"/>
          <w:lang w:val="fr-FR"/>
        </w:rPr>
        <w:t>Rapport de</w:t>
      </w:r>
      <w:r w:rsidR="007031E0">
        <w:rPr>
          <w:rFonts w:eastAsia="SimSun"/>
          <w:lang w:val="fr-FR"/>
        </w:rPr>
        <w:t xml:space="preserve"> la </w:t>
      </w:r>
      <w:r w:rsidR="0077408A" w:rsidRPr="003F3120">
        <w:rPr>
          <w:rFonts w:eastAsia="SimSun"/>
          <w:lang w:val="fr-FR"/>
        </w:rPr>
        <w:t>Secrétaire exécutive sur</w:t>
      </w:r>
      <w:r w:rsidR="007031E0">
        <w:rPr>
          <w:rFonts w:eastAsia="SimSun"/>
          <w:lang w:val="fr-FR"/>
        </w:rPr>
        <w:t xml:space="preserve"> la </w:t>
      </w:r>
      <w:r w:rsidR="0077408A" w:rsidRPr="003F3120">
        <w:rPr>
          <w:rFonts w:eastAsia="SimSun"/>
          <w:lang w:val="fr-FR"/>
        </w:rPr>
        <w:t xml:space="preserve">mise en œuvre </w:t>
      </w:r>
      <w:r w:rsidR="00C6409C">
        <w:rPr>
          <w:rFonts w:eastAsia="SimSun"/>
          <w:lang w:val="fr-FR"/>
        </w:rPr>
        <w:t xml:space="preserve">du premier </w:t>
      </w:r>
      <w:r w:rsidR="0077408A" w:rsidRPr="003F3120">
        <w:rPr>
          <w:rFonts w:eastAsia="SimSun"/>
          <w:lang w:val="fr-FR"/>
        </w:rPr>
        <w:t>progr</w:t>
      </w:r>
      <w:r w:rsidR="00F102E9" w:rsidRPr="003F3120">
        <w:rPr>
          <w:rFonts w:eastAsia="SimSun"/>
          <w:lang w:val="fr-FR"/>
        </w:rPr>
        <w:t>amme de travail pour</w:t>
      </w:r>
      <w:r w:rsidR="007031E0">
        <w:rPr>
          <w:rFonts w:eastAsia="SimSun"/>
          <w:lang w:val="fr-FR"/>
        </w:rPr>
        <w:t xml:space="preserve"> la </w:t>
      </w:r>
      <w:r w:rsidR="00F102E9" w:rsidRPr="003F3120">
        <w:rPr>
          <w:rFonts w:eastAsia="SimSun"/>
          <w:lang w:val="fr-FR"/>
        </w:rPr>
        <w:t>période </w:t>
      </w:r>
      <w:r w:rsidR="0077408A" w:rsidRPr="003F3120">
        <w:rPr>
          <w:rFonts w:eastAsia="SimSun"/>
          <w:lang w:val="fr-FR"/>
        </w:rPr>
        <w:t>2014-2018</w:t>
      </w:r>
    </w:p>
    <w:p w14:paraId="575434CD" w14:textId="07483F6F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Présentant ce point,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Secrétaire exécutive a fait rapport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progrès accomplis dans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</w:t>
      </w:r>
      <w:r w:rsidR="00952029">
        <w:rPr>
          <w:lang w:val="fr-FR"/>
        </w:rPr>
        <w:t> </w:t>
      </w:r>
      <w:r w:rsidRPr="003F3120">
        <w:rPr>
          <w:lang w:val="fr-FR"/>
        </w:rPr>
        <w:t>œuvre du premier programme de travail</w:t>
      </w:r>
      <w:r w:rsidRPr="003F3120">
        <w:rPr>
          <w:rFonts w:ascii="Roboto" w:hAnsi="Roboto"/>
          <w:color w:val="606060"/>
          <w:sz w:val="21"/>
          <w:szCs w:val="21"/>
          <w:shd w:val="clear" w:color="auto" w:fill="FFFFFF"/>
          <w:lang w:val="fr-FR"/>
        </w:rPr>
        <w:t xml:space="preserve"> </w:t>
      </w:r>
      <w:r w:rsidRPr="003F3120">
        <w:rPr>
          <w:lang w:val="fr-FR"/>
        </w:rPr>
        <w:t>depuis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précédente session, résumant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informations présentées dans son rapport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question (IPBES/7/2)</w:t>
      </w:r>
      <w:r w:rsidRPr="003F3120">
        <w:rPr>
          <w:rFonts w:ascii="Roboto" w:hAnsi="Roboto"/>
          <w:color w:val="606060"/>
          <w:sz w:val="21"/>
          <w:szCs w:val="21"/>
          <w:shd w:val="clear" w:color="auto" w:fill="FFFFFF"/>
          <w:lang w:val="fr-FR"/>
        </w:rPr>
        <w:t xml:space="preserve"> </w:t>
      </w:r>
      <w:r w:rsidRPr="003F3120">
        <w:rPr>
          <w:lang w:val="fr-FR"/>
        </w:rPr>
        <w:t>ainsi que dans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documents d</w:t>
      </w:r>
      <w:r w:rsidR="00FA5ADB">
        <w:rPr>
          <w:lang w:val="fr-FR"/>
        </w:rPr>
        <w:t>’</w:t>
      </w:r>
      <w:r w:rsidRPr="003F3120">
        <w:rPr>
          <w:lang w:val="fr-FR"/>
        </w:rPr>
        <w:t>information connexes mentionnés dans son rapport. Concernant l</w:t>
      </w:r>
      <w:r w:rsidR="00FA5ADB">
        <w:rPr>
          <w:lang w:val="fr-FR"/>
        </w:rPr>
        <w:t>’</w:t>
      </w:r>
      <w:r w:rsidRPr="003F3120">
        <w:rPr>
          <w:lang w:val="fr-FR"/>
        </w:rPr>
        <w:t>objectif 1, elle a décrit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réalisations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plus importantes,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compris l</w:t>
      </w:r>
      <w:r w:rsidR="00FA5ADB">
        <w:rPr>
          <w:lang w:val="fr-FR"/>
        </w:rPr>
        <w:t>’</w:t>
      </w:r>
      <w:r w:rsidRPr="003F3120">
        <w:rPr>
          <w:lang w:val="fr-FR"/>
        </w:rPr>
        <w:t>organisation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troisième réunion du forum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renforcement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capacités, qui s</w:t>
      </w:r>
      <w:r w:rsidR="00FA5ADB">
        <w:rPr>
          <w:lang w:val="fr-FR"/>
        </w:rPr>
        <w:t>’</w:t>
      </w:r>
      <w:r w:rsidRPr="003F3120">
        <w:rPr>
          <w:lang w:val="fr-FR"/>
        </w:rPr>
        <w:t>est tenu à l</w:t>
      </w:r>
      <w:r w:rsidR="00FA5ADB">
        <w:rPr>
          <w:lang w:val="fr-FR"/>
        </w:rPr>
        <w:t>’</w:t>
      </w:r>
      <w:r w:rsidRPr="003F3120">
        <w:rPr>
          <w:lang w:val="fr-FR"/>
        </w:rPr>
        <w:t>UNESCO en septembre 2018</w:t>
      </w:r>
      <w:r w:rsidR="00FD5D6A">
        <w:rPr>
          <w:lang w:val="fr-FR"/>
        </w:rPr>
        <w:t> ;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sélection de 74 bénéficiaires du programme de bourses parmi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1 116 demandes qui avaient été reçues</w:t>
      </w:r>
      <w:r w:rsidR="00FD5D6A">
        <w:rPr>
          <w:lang w:val="fr-FR"/>
        </w:rPr>
        <w:t> ;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tenue d</w:t>
      </w:r>
      <w:r w:rsidR="00FA5ADB">
        <w:rPr>
          <w:lang w:val="fr-FR"/>
        </w:rPr>
        <w:t>’</w:t>
      </w:r>
      <w:r w:rsidR="000E701A">
        <w:rPr>
          <w:lang w:val="fr-FR"/>
        </w:rPr>
        <w:t>ateliers, de </w:t>
      </w:r>
      <w:r w:rsidRPr="003F3120">
        <w:rPr>
          <w:lang w:val="fr-FR"/>
        </w:rPr>
        <w:t>manifestations et de webinaires portant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trois composantes du plan glissant en matière de renforcement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capacités,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compris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ateliers permettant, d</w:t>
      </w:r>
      <w:r w:rsidR="00FA5ADB">
        <w:rPr>
          <w:lang w:val="fr-FR"/>
        </w:rPr>
        <w:t>’</w:t>
      </w:r>
      <w:r w:rsidRPr="003F3120">
        <w:rPr>
          <w:lang w:val="fr-FR"/>
        </w:rPr>
        <w:t>une part, d</w:t>
      </w:r>
      <w:r w:rsidR="00FA5ADB">
        <w:rPr>
          <w:lang w:val="fr-FR"/>
        </w:rPr>
        <w:t>’</w:t>
      </w:r>
      <w:r w:rsidRPr="003F3120">
        <w:rPr>
          <w:lang w:val="fr-FR"/>
        </w:rPr>
        <w:t>établir à l</w:t>
      </w:r>
      <w:r w:rsidR="00FA5ADB">
        <w:rPr>
          <w:lang w:val="fr-FR"/>
        </w:rPr>
        <w:t>’</w:t>
      </w:r>
      <w:r w:rsidRPr="003F3120">
        <w:rPr>
          <w:lang w:val="fr-FR"/>
        </w:rPr>
        <w:t>intention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décideurs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résumés relatifs à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mondiale, et d</w:t>
      </w:r>
      <w:r w:rsidR="00FA5ADB">
        <w:rPr>
          <w:lang w:val="fr-FR"/>
        </w:rPr>
        <w:t>’</w:t>
      </w:r>
      <w:r w:rsidRPr="003F3120">
        <w:rPr>
          <w:lang w:val="fr-FR"/>
        </w:rPr>
        <w:t>autre part, de renforcer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processus d</w:t>
      </w:r>
      <w:r w:rsidR="00FA5ADB">
        <w:rPr>
          <w:lang w:val="fr-FR"/>
        </w:rPr>
        <w:t>’</w:t>
      </w:r>
      <w:r w:rsidRPr="003F3120">
        <w:rPr>
          <w:lang w:val="fr-FR"/>
        </w:rPr>
        <w:t>examen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projets d</w:t>
      </w:r>
      <w:r w:rsidR="00FA5ADB">
        <w:rPr>
          <w:lang w:val="fr-FR"/>
        </w:rPr>
        <w:t>’</w:t>
      </w:r>
      <w:r w:rsidRPr="003F3120">
        <w:rPr>
          <w:lang w:val="fr-FR"/>
        </w:rPr>
        <w:t>évaluation par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correspondants nationaux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Plateforme. Elle a également précisé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enseignements tirés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recommandations avaient déjà été inclus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prochain programme de travail, plus particulièrement l</w:t>
      </w:r>
      <w:r w:rsidR="00FA5ADB">
        <w:rPr>
          <w:lang w:val="fr-FR"/>
        </w:rPr>
        <w:t>’</w:t>
      </w:r>
      <w:r w:rsidRPr="003F3120">
        <w:rPr>
          <w:lang w:val="fr-FR"/>
        </w:rPr>
        <w:t>idée de convoquer régulièrement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forum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renforcement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capacités et de </w:t>
      </w:r>
      <w:r w:rsidR="00FD268A">
        <w:rPr>
          <w:lang w:val="fr-FR"/>
        </w:rPr>
        <w:t>continuer de développer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portail Web dédié</w:t>
      </w:r>
      <w:r w:rsidR="00C6409C">
        <w:rPr>
          <w:lang w:val="fr-FR"/>
        </w:rPr>
        <w:t xml:space="preserve"> au renforcement</w:t>
      </w:r>
      <w:r w:rsidR="007031E0">
        <w:rPr>
          <w:lang w:val="fr-FR"/>
        </w:rPr>
        <w:t xml:space="preserve"> des </w:t>
      </w:r>
      <w:r w:rsidR="00C6409C">
        <w:rPr>
          <w:lang w:val="fr-FR"/>
        </w:rPr>
        <w:t>capacités.</w:t>
      </w:r>
    </w:p>
    <w:p w14:paraId="547A6F0B" w14:textId="01E08105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S</w:t>
      </w:r>
      <w:r w:rsidR="00FA5ADB">
        <w:rPr>
          <w:lang w:val="fr-FR"/>
        </w:rPr>
        <w:t>’</w:t>
      </w:r>
      <w:r w:rsidRPr="003F3120">
        <w:rPr>
          <w:lang w:val="fr-FR"/>
        </w:rPr>
        <w:t>agissant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travaux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en matière de reco</w:t>
      </w:r>
      <w:r w:rsidR="00C6409C">
        <w:rPr>
          <w:lang w:val="fr-FR"/>
        </w:rPr>
        <w:t>nnaissance et d</w:t>
      </w:r>
      <w:r w:rsidR="00FA5ADB">
        <w:rPr>
          <w:lang w:val="fr-FR"/>
        </w:rPr>
        <w:t>’</w:t>
      </w:r>
      <w:r w:rsidR="00C6409C">
        <w:rPr>
          <w:lang w:val="fr-FR"/>
        </w:rPr>
        <w:t>utilisation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systèmes de savoirs autochtones et locaux,</w:t>
      </w:r>
      <w:r w:rsidR="007031E0">
        <w:rPr>
          <w:lang w:val="fr-FR"/>
        </w:rPr>
        <w:t xml:space="preserve"> la </w:t>
      </w:r>
      <w:r w:rsidR="009D5158" w:rsidRPr="003F3120">
        <w:rPr>
          <w:lang w:val="fr-FR"/>
        </w:rPr>
        <w:t xml:space="preserve">Secrétaire exécutive </w:t>
      </w:r>
      <w:r w:rsidRPr="003F3120">
        <w:rPr>
          <w:lang w:val="fr-FR"/>
        </w:rPr>
        <w:t xml:space="preserve">a indiqué que, </w:t>
      </w:r>
      <w:r w:rsidRPr="00EC6B3F">
        <w:rPr>
          <w:bCs/>
          <w:lang w:val="fr-FR"/>
        </w:rPr>
        <w:t>conformément</w:t>
      </w:r>
      <w:r w:rsidRPr="003F3120">
        <w:rPr>
          <w:lang w:val="fr-FR"/>
        </w:rPr>
        <w:t xml:space="preserve"> à</w:t>
      </w:r>
      <w:r w:rsidR="00952029">
        <w:rPr>
          <w:lang w:val="fr-FR"/>
        </w:rPr>
        <w:t> </w:t>
      </w: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approche appliquée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en vue de reconnaître et d</w:t>
      </w:r>
      <w:r w:rsidR="00FA5ADB">
        <w:rPr>
          <w:lang w:val="fr-FR"/>
        </w:rPr>
        <w:t>’</w:t>
      </w:r>
      <w:r w:rsidRPr="003F3120">
        <w:rPr>
          <w:lang w:val="fr-FR"/>
        </w:rPr>
        <w:t>exploiter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savoirs autochtones et locaux, laquelle a été approuvée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décision IPBES-5/1, l</w:t>
      </w:r>
      <w:r w:rsidR="00FA5ADB">
        <w:rPr>
          <w:lang w:val="fr-FR"/>
        </w:rPr>
        <w:t>’</w:t>
      </w:r>
      <w:r w:rsidRPr="003F3120">
        <w:rPr>
          <w:lang w:val="fr-FR"/>
        </w:rPr>
        <w:t>accent avait été principalement mis sur l</w:t>
      </w:r>
      <w:r w:rsidR="00FA5ADB">
        <w:rPr>
          <w:lang w:val="fr-FR"/>
        </w:rPr>
        <w:t>’</w:t>
      </w:r>
      <w:r w:rsidRPr="003F3120">
        <w:rPr>
          <w:lang w:val="fr-FR"/>
        </w:rPr>
        <w:t>appui au processus d</w:t>
      </w:r>
      <w:r w:rsidR="00FA5ADB">
        <w:rPr>
          <w:lang w:val="fr-FR"/>
        </w:rPr>
        <w:t>’</w:t>
      </w:r>
      <w:r w:rsidRPr="003F3120">
        <w:rPr>
          <w:lang w:val="fr-FR"/>
        </w:rPr>
        <w:t>évaluation mondiale, en association avec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activités qui sont également menées afin d</w:t>
      </w:r>
      <w:r w:rsidR="00FA5ADB">
        <w:rPr>
          <w:lang w:val="fr-FR"/>
        </w:rPr>
        <w:t>’</w:t>
      </w:r>
      <w:r w:rsidRPr="003F3120">
        <w:rPr>
          <w:lang w:val="fr-FR"/>
        </w:rPr>
        <w:t>évaluer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diverses conceptualisations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multiples valeurs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nature et de </w:t>
      </w:r>
      <w:r w:rsidRPr="003F3120">
        <w:rPr>
          <w:lang w:val="fr-FR"/>
        </w:rPr>
        <w:lastRenderedPageBreak/>
        <w:t>ses</w:t>
      </w:r>
      <w:r w:rsidR="00952029">
        <w:rPr>
          <w:lang w:val="fr-FR"/>
        </w:rPr>
        <w:t> </w:t>
      </w:r>
      <w:r w:rsidRPr="003F3120">
        <w:rPr>
          <w:lang w:val="fr-FR"/>
        </w:rPr>
        <w:t>bienfaits, ainsi que de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 durable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espèces sauvages. En outre, elle a confirmé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peuples autochtones avaient été consultés au sujet du mécanisme participatif, conformément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décision IPBES-6/1. Elle a également précisé que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du procha</w:t>
      </w:r>
      <w:r w:rsidR="000E701A">
        <w:rPr>
          <w:lang w:val="fr-FR"/>
        </w:rPr>
        <w:t>in programme de travail,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activités continueraient à être menées afin de mettre en œuvre l</w:t>
      </w:r>
      <w:r w:rsidR="00FA5ADB">
        <w:rPr>
          <w:lang w:val="fr-FR"/>
        </w:rPr>
        <w:t>’</w:t>
      </w:r>
      <w:r w:rsidRPr="003F3120">
        <w:rPr>
          <w:lang w:val="fr-FR"/>
        </w:rPr>
        <w:t>approche et de poursuivre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renforcement du mécanisme participatif.</w:t>
      </w:r>
    </w:p>
    <w:p w14:paraId="7802D947" w14:textId="6CC1782A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En matière de connaissances et de données,</w:t>
      </w:r>
      <w:r w:rsidR="007031E0">
        <w:rPr>
          <w:lang w:val="fr-FR"/>
        </w:rPr>
        <w:t xml:space="preserve"> la </w:t>
      </w:r>
      <w:r w:rsidR="009D5158" w:rsidRPr="003F3120">
        <w:rPr>
          <w:lang w:val="fr-FR"/>
        </w:rPr>
        <w:t xml:space="preserve">Secrétaire exécutive </w:t>
      </w:r>
      <w:r w:rsidRPr="003F3120">
        <w:rPr>
          <w:lang w:val="fr-FR"/>
        </w:rPr>
        <w:t>a indiqué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travaux relatifs aux indicateurs de base et majeurs ainsi qu</w:t>
      </w:r>
      <w:r w:rsidR="00FA5ADB">
        <w:rPr>
          <w:lang w:val="fr-FR"/>
        </w:rPr>
        <w:t>’</w:t>
      </w:r>
      <w:r w:rsidRPr="003F3120">
        <w:rPr>
          <w:lang w:val="fr-FR"/>
        </w:rPr>
        <w:t>aux autres indicateurs complémentaires avaient continué à être menés à un rythme rapide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contexte de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mondiale. Elle a ajouté que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secrétariat avait mis au point de nouveaux outils qui permettaient aux parties prenantes de dialoguer et de mettre en place un forum pour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conférences en ligne. À titre d</w:t>
      </w:r>
      <w:r w:rsidR="00FA5ADB">
        <w:rPr>
          <w:lang w:val="fr-FR"/>
        </w:rPr>
        <w:t>’</w:t>
      </w:r>
      <w:r w:rsidRPr="003F3120">
        <w:rPr>
          <w:lang w:val="fr-FR"/>
        </w:rPr>
        <w:t>essai, une première conférence en ligne a</w:t>
      </w:r>
      <w:r w:rsidR="006B0102">
        <w:rPr>
          <w:lang w:val="fr-FR"/>
        </w:rPr>
        <w:t>vait</w:t>
      </w:r>
      <w:r w:rsidRPr="003F3120">
        <w:rPr>
          <w:lang w:val="fr-FR"/>
        </w:rPr>
        <w:t xml:space="preserve"> été organisée afin d</w:t>
      </w:r>
      <w:r w:rsidR="00FA5ADB">
        <w:rPr>
          <w:lang w:val="fr-FR"/>
        </w:rPr>
        <w:t>’</w:t>
      </w:r>
      <w:r w:rsidRPr="003F3120">
        <w:rPr>
          <w:lang w:val="fr-FR"/>
        </w:rPr>
        <w:t>aborder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lacunes recensées dans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dégradation et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restauration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terres.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connaissances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données s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est réunie en mars 2019 et a </w:t>
      </w:r>
      <w:r w:rsidRPr="00EC6B3F">
        <w:rPr>
          <w:bCs/>
          <w:lang w:val="fr-FR"/>
        </w:rPr>
        <w:t>formulé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recommandations, préconisant </w:t>
      </w:r>
      <w:r w:rsidR="006B0102" w:rsidRPr="003F3120">
        <w:rPr>
          <w:lang w:val="fr-FR"/>
        </w:rPr>
        <w:t>notamment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constitution d</w:t>
      </w:r>
      <w:r w:rsidR="00FA5ADB">
        <w:rPr>
          <w:lang w:val="fr-FR"/>
        </w:rPr>
        <w:t>’</w:t>
      </w:r>
      <w:r w:rsidRPr="003F3120">
        <w:rPr>
          <w:lang w:val="fr-FR"/>
        </w:rPr>
        <w:t>un groupe de liaison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données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indicateurs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de chaque évaluation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encourageant l</w:t>
      </w:r>
      <w:r w:rsidR="00FA5ADB">
        <w:rPr>
          <w:lang w:val="fr-FR"/>
        </w:rPr>
        <w:t>’</w:t>
      </w:r>
      <w:r w:rsidRPr="003F3120">
        <w:rPr>
          <w:lang w:val="fr-FR"/>
        </w:rPr>
        <w:t>élaboration d</w:t>
      </w:r>
      <w:r w:rsidR="00FA5ADB">
        <w:rPr>
          <w:lang w:val="fr-FR"/>
        </w:rPr>
        <w:t>’</w:t>
      </w:r>
      <w:r w:rsidRPr="003F3120">
        <w:rPr>
          <w:lang w:val="fr-FR"/>
        </w:rPr>
        <w:t>une politique de gestion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données afin d</w:t>
      </w:r>
      <w:r w:rsidR="00FA5ADB">
        <w:rPr>
          <w:lang w:val="fr-FR"/>
        </w:rPr>
        <w:t>’</w:t>
      </w:r>
      <w:r w:rsidRPr="003F3120">
        <w:rPr>
          <w:lang w:val="fr-FR"/>
        </w:rPr>
        <w:t>en garantir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traçabilité, l</w:t>
      </w:r>
      <w:r w:rsidR="00FA5ADB">
        <w:rPr>
          <w:lang w:val="fr-FR"/>
        </w:rPr>
        <w:t>’</w:t>
      </w:r>
      <w:r w:rsidRPr="003F3120">
        <w:rPr>
          <w:lang w:val="fr-FR"/>
        </w:rPr>
        <w:t>accessibilité et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reproductibilité</w:t>
      </w:r>
      <w:r w:rsidR="007031E0">
        <w:rPr>
          <w:lang w:val="fr-FR"/>
        </w:rPr>
        <w:t xml:space="preserve"> des </w:t>
      </w:r>
      <w:r w:rsidR="006B0102">
        <w:rPr>
          <w:lang w:val="fr-FR"/>
        </w:rPr>
        <w:t>données en question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recommandant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conférence en ligne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lacunes se tienne régulièrement, sur une journée et uniquement sur invitation, </w:t>
      </w:r>
      <w:r w:rsidR="006B0102">
        <w:rPr>
          <w:lang w:val="fr-FR"/>
        </w:rPr>
        <w:t>et qu</w:t>
      </w:r>
      <w:r w:rsidR="00FA5ADB">
        <w:rPr>
          <w:lang w:val="fr-FR"/>
        </w:rPr>
        <w:t>’</w:t>
      </w:r>
      <w:r w:rsidR="006B0102">
        <w:rPr>
          <w:lang w:val="fr-FR"/>
        </w:rPr>
        <w:t>y participent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agences de financement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recherche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développeurs de programmes de recherche.</w:t>
      </w:r>
    </w:p>
    <w:p w14:paraId="2056624B" w14:textId="68713D75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S</w:t>
      </w:r>
      <w:r w:rsidR="00FA5ADB">
        <w:rPr>
          <w:lang w:val="fr-FR"/>
        </w:rPr>
        <w:t>’</w:t>
      </w:r>
      <w:r w:rsidRPr="003F3120">
        <w:rPr>
          <w:lang w:val="fr-FR"/>
        </w:rPr>
        <w:t>agissant de l</w:t>
      </w:r>
      <w:r w:rsidR="00FA5ADB">
        <w:rPr>
          <w:lang w:val="fr-FR"/>
        </w:rPr>
        <w:t>’</w:t>
      </w:r>
      <w:r w:rsidRPr="003F3120">
        <w:rPr>
          <w:lang w:val="fr-FR"/>
        </w:rPr>
        <w:t>objectif 2,</w:t>
      </w:r>
      <w:r w:rsidR="007031E0">
        <w:rPr>
          <w:lang w:val="fr-FR"/>
        </w:rPr>
        <w:t xml:space="preserve"> la </w:t>
      </w:r>
      <w:r w:rsidR="009D5158" w:rsidRPr="003F3120">
        <w:rPr>
          <w:lang w:val="fr-FR"/>
        </w:rPr>
        <w:t xml:space="preserve">Secrétaire exécutive </w:t>
      </w:r>
      <w:r w:rsidRPr="003F3120">
        <w:rPr>
          <w:lang w:val="fr-FR"/>
        </w:rPr>
        <w:t>a décrit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progrès immenses qui avaient été réalisés </w:t>
      </w:r>
      <w:r w:rsidR="002D74B5">
        <w:rPr>
          <w:lang w:val="fr-FR"/>
        </w:rPr>
        <w:t>dans l</w:t>
      </w:r>
      <w:r w:rsidR="00FA5ADB">
        <w:rPr>
          <w:lang w:val="fr-FR"/>
        </w:rPr>
        <w:t>’</w:t>
      </w:r>
      <w:r w:rsidR="002D74B5">
        <w:rPr>
          <w:lang w:val="fr-FR"/>
        </w:rPr>
        <w:t xml:space="preserve">élaboration du </w:t>
      </w:r>
      <w:r w:rsidRPr="003F3120">
        <w:rPr>
          <w:lang w:val="fr-FR"/>
        </w:rPr>
        <w:t>guide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réalisation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évaluations, tout en notant également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évaluations régionales de</w:t>
      </w:r>
      <w:r w:rsidR="007031E0">
        <w:rPr>
          <w:lang w:val="fr-FR"/>
        </w:rPr>
        <w:t xml:space="preserve"> la </w:t>
      </w:r>
      <w:r w:rsidRPr="00EC6B3F">
        <w:rPr>
          <w:bCs/>
          <w:lang w:val="fr-FR"/>
        </w:rPr>
        <w:t>biodiversité</w:t>
      </w:r>
      <w:r w:rsidRPr="003F3120">
        <w:rPr>
          <w:lang w:val="fr-FR"/>
        </w:rPr>
        <w:t xml:space="preserve">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services écosystémiques avaient été publiées et que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mondiale avait été soumise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à sa session en cours.</w:t>
      </w:r>
    </w:p>
    <w:p w14:paraId="2D05A77F" w14:textId="664CC053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Concernant l</w:t>
      </w:r>
      <w:r w:rsidR="00FA5ADB">
        <w:rPr>
          <w:lang w:val="fr-FR"/>
        </w:rPr>
        <w:t>’</w:t>
      </w:r>
      <w:r w:rsidRPr="003F3120">
        <w:rPr>
          <w:lang w:val="fr-FR"/>
        </w:rPr>
        <w:t>objectif 3,</w:t>
      </w:r>
      <w:r w:rsidR="007031E0">
        <w:rPr>
          <w:lang w:val="fr-FR"/>
        </w:rPr>
        <w:t xml:space="preserve"> la </w:t>
      </w:r>
      <w:r w:rsidR="009D5158" w:rsidRPr="003F3120">
        <w:rPr>
          <w:lang w:val="fr-FR"/>
        </w:rPr>
        <w:t xml:space="preserve">Secrétaire exécutive </w:t>
      </w:r>
      <w:r w:rsidRPr="003F3120">
        <w:rPr>
          <w:lang w:val="fr-FR"/>
        </w:rPr>
        <w:t>a rappelé qu</w:t>
      </w:r>
      <w:r w:rsidR="00FA5ADB">
        <w:rPr>
          <w:lang w:val="fr-FR"/>
        </w:rPr>
        <w:t>’</w:t>
      </w:r>
      <w:r w:rsidR="009F5E59">
        <w:rPr>
          <w:lang w:val="fr-FR"/>
        </w:rPr>
        <w:t>à s</w:t>
      </w:r>
      <w:r w:rsidR="002D74B5">
        <w:rPr>
          <w:lang w:val="fr-FR"/>
        </w:rPr>
        <w:t>a</w:t>
      </w:r>
      <w:r w:rsidRPr="003F3120">
        <w:rPr>
          <w:lang w:val="fr-FR"/>
        </w:rPr>
        <w:t xml:space="preserve"> sixième session,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avait décidé de lancer une évaluation thématique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espèces exotiques envahissantes après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septième session.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secrétariat a mis à</w:t>
      </w:r>
      <w:r w:rsidR="002D74B5">
        <w:rPr>
          <w:lang w:val="fr-FR"/>
        </w:rPr>
        <w:t xml:space="preserve"> profit</w:t>
      </w:r>
      <w:r w:rsidR="007031E0">
        <w:rPr>
          <w:lang w:val="fr-FR"/>
        </w:rPr>
        <w:t xml:space="preserve"> la </w:t>
      </w:r>
      <w:r w:rsidR="002D74B5">
        <w:rPr>
          <w:lang w:val="fr-FR"/>
        </w:rPr>
        <w:t>période intersession</w:t>
      </w:r>
      <w:r w:rsidRPr="003F3120">
        <w:rPr>
          <w:lang w:val="fr-FR"/>
        </w:rPr>
        <w:t xml:space="preserve"> pour constituer un groupe d</w:t>
      </w:r>
      <w:r w:rsidR="00FA5ADB">
        <w:rPr>
          <w:lang w:val="fr-FR"/>
        </w:rPr>
        <w:t>’</w:t>
      </w:r>
      <w:r w:rsidRPr="003F3120">
        <w:rPr>
          <w:lang w:val="fr-FR"/>
        </w:rPr>
        <w:t>appui technique et pour entamer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processus de sélection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experts. S</w:t>
      </w:r>
      <w:r w:rsidR="00FA5ADB">
        <w:rPr>
          <w:lang w:val="fr-FR"/>
        </w:rPr>
        <w:t>’</w:t>
      </w:r>
      <w:r w:rsidRPr="003F3120">
        <w:rPr>
          <w:lang w:val="fr-FR"/>
        </w:rPr>
        <w:t>agissant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scénarios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modèles, deux grandes séries </w:t>
      </w:r>
      <w:r w:rsidRPr="00EC6B3F">
        <w:rPr>
          <w:bCs/>
          <w:lang w:val="fr-FR"/>
        </w:rPr>
        <w:t>d</w:t>
      </w:r>
      <w:r w:rsidR="00FA5ADB">
        <w:rPr>
          <w:bCs/>
          <w:lang w:val="fr-FR"/>
        </w:rPr>
        <w:t>’</w:t>
      </w:r>
      <w:r w:rsidRPr="00EC6B3F">
        <w:rPr>
          <w:bCs/>
          <w:lang w:val="fr-FR"/>
        </w:rPr>
        <w:t>activités</w:t>
      </w:r>
      <w:r w:rsidRPr="003F3120">
        <w:rPr>
          <w:lang w:val="fr-FR"/>
        </w:rPr>
        <w:t xml:space="preserve"> </w:t>
      </w:r>
      <w:r w:rsidR="00227163">
        <w:rPr>
          <w:lang w:val="fr-FR"/>
        </w:rPr>
        <w:t>avaient</w:t>
      </w:r>
      <w:r w:rsidRPr="003F3120">
        <w:rPr>
          <w:lang w:val="fr-FR"/>
        </w:rPr>
        <w:t xml:space="preserve"> été menées</w:t>
      </w:r>
      <w:r w:rsidR="00FD5D6A">
        <w:rPr>
          <w:lang w:val="fr-FR"/>
        </w:rPr>
        <w:t> :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première avait pour but d</w:t>
      </w:r>
      <w:r w:rsidR="00FA5ADB">
        <w:rPr>
          <w:lang w:val="fr-FR"/>
        </w:rPr>
        <w:t>’</w:t>
      </w:r>
      <w:r w:rsidRPr="003F3120">
        <w:rPr>
          <w:lang w:val="fr-FR"/>
        </w:rPr>
        <w:t>encourager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scénarios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modèles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évaluations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seconde consistait à </w:t>
      </w:r>
      <w:r w:rsidR="00227163">
        <w:rPr>
          <w:lang w:val="fr-FR"/>
        </w:rPr>
        <w:t>promouvoir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>élaboration de scénarios et de modèles connexes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communauté scientifique au sens large. Cette seconde série d</w:t>
      </w:r>
      <w:r w:rsidR="00FA5ADB">
        <w:rPr>
          <w:lang w:val="fr-FR"/>
        </w:rPr>
        <w:t>’</w:t>
      </w:r>
      <w:r w:rsidRPr="003F3120">
        <w:rPr>
          <w:lang w:val="fr-FR"/>
        </w:rPr>
        <w:t>activités concernait de nouveaux scénarios,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compris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définition d</w:t>
      </w:r>
      <w:r w:rsidR="00FA5ADB">
        <w:rPr>
          <w:lang w:val="fr-FR"/>
        </w:rPr>
        <w:t>’</w:t>
      </w:r>
      <w:r w:rsidRPr="003F3120">
        <w:rPr>
          <w:lang w:val="fr-FR"/>
        </w:rPr>
        <w:t>un ensemble de conceptions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perspectives d</w:t>
      </w:r>
      <w:r w:rsidR="00FA5ADB">
        <w:rPr>
          <w:lang w:val="fr-FR"/>
        </w:rPr>
        <w:t>’</w:t>
      </w:r>
      <w:r w:rsidRPr="003F3120">
        <w:rPr>
          <w:lang w:val="fr-FR"/>
        </w:rPr>
        <w:t>avenir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nature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de dialogues participatifs et de l</w:t>
      </w:r>
      <w:r w:rsidR="00FA5ADB">
        <w:rPr>
          <w:lang w:val="fr-FR"/>
        </w:rPr>
        <w:t>’</w:t>
      </w:r>
      <w:r w:rsidRPr="003F3120">
        <w:rPr>
          <w:lang w:val="fr-FR"/>
        </w:rPr>
        <w:t>élaboration de scénarios quantitatifs issus de ces conceptions, tout en collaborant sur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trajectoires socioéconomiques </w:t>
      </w:r>
      <w:r w:rsidR="00227163">
        <w:rPr>
          <w:lang w:val="fr-FR"/>
        </w:rPr>
        <w:t>communiquées au</w:t>
      </w:r>
      <w:r w:rsidRPr="003F3120">
        <w:rPr>
          <w:lang w:val="fr-FR"/>
        </w:rPr>
        <w:t xml:space="preserve"> 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intergouvernemental sur l</w:t>
      </w:r>
      <w:r w:rsidR="00FA5ADB">
        <w:rPr>
          <w:lang w:val="fr-FR"/>
        </w:rPr>
        <w:t>’</w:t>
      </w:r>
      <w:r w:rsidRPr="003F3120">
        <w:rPr>
          <w:lang w:val="fr-FR"/>
        </w:rPr>
        <w:t>évolution du climat.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 xml:space="preserve">cadre du prochain programme de travail, il </w:t>
      </w:r>
      <w:r w:rsidR="00227163">
        <w:rPr>
          <w:lang w:val="fr-FR"/>
        </w:rPr>
        <w:t>était</w:t>
      </w:r>
      <w:r w:rsidRPr="003F3120">
        <w:rPr>
          <w:lang w:val="fr-FR"/>
        </w:rPr>
        <w:t xml:space="preserve"> prévu de </w:t>
      </w:r>
      <w:r w:rsidR="00227163">
        <w:rPr>
          <w:lang w:val="fr-FR"/>
        </w:rPr>
        <w:t>continuer à utiliser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scénarios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modèles pour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évaluations en cours et toutes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évaluations futures et à élaborer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scénarios à partir de ces</w:t>
      </w:r>
      <w:r w:rsidR="00952029">
        <w:rPr>
          <w:lang w:val="fr-FR"/>
        </w:rPr>
        <w:t> </w:t>
      </w:r>
      <w:r w:rsidRPr="003F3120">
        <w:rPr>
          <w:lang w:val="fr-FR"/>
        </w:rPr>
        <w:t>visions,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but de mobiliser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communauté scientifique afin de modéliser leur</w:t>
      </w:r>
      <w:r w:rsidR="00FB501B">
        <w:rPr>
          <w:lang w:val="fr-FR"/>
        </w:rPr>
        <w:t xml:space="preserve"> impact sur</w:t>
      </w:r>
      <w:r w:rsidR="007031E0">
        <w:rPr>
          <w:lang w:val="fr-FR"/>
        </w:rPr>
        <w:t xml:space="preserve"> la </w:t>
      </w:r>
      <w:r w:rsidR="00FB501B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services écosystémiques.</w:t>
      </w:r>
    </w:p>
    <w:p w14:paraId="4CF77B38" w14:textId="017FC96B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S</w:t>
      </w:r>
      <w:r w:rsidR="00FA5ADB">
        <w:rPr>
          <w:lang w:val="fr-FR"/>
        </w:rPr>
        <w:t>’</w:t>
      </w:r>
      <w:r w:rsidRPr="003F3120">
        <w:rPr>
          <w:lang w:val="fr-FR"/>
        </w:rPr>
        <w:t>agissant de l</w:t>
      </w:r>
      <w:r w:rsidR="00FA5ADB">
        <w:rPr>
          <w:lang w:val="fr-FR"/>
        </w:rPr>
        <w:t>’</w:t>
      </w:r>
      <w:r w:rsidRPr="003F3120">
        <w:rPr>
          <w:lang w:val="fr-FR"/>
        </w:rPr>
        <w:t>objectif 4,</w:t>
      </w:r>
      <w:r w:rsidR="007031E0">
        <w:rPr>
          <w:lang w:val="fr-FR"/>
        </w:rPr>
        <w:t xml:space="preserve"> la </w:t>
      </w:r>
      <w:r w:rsidR="009D5158" w:rsidRPr="003F3120">
        <w:rPr>
          <w:lang w:val="fr-FR"/>
        </w:rPr>
        <w:t xml:space="preserve">Secrétaire exécutive </w:t>
      </w:r>
      <w:r w:rsidRPr="003F3120">
        <w:rPr>
          <w:lang w:val="fr-FR"/>
        </w:rPr>
        <w:t>a fait remarquer que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outils et méthodes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appui </w:t>
      </w:r>
      <w:r w:rsidR="00050C08">
        <w:rPr>
          <w:lang w:val="fr-FR"/>
        </w:rPr>
        <w:t>à l</w:t>
      </w:r>
      <w:r w:rsidR="00FA5ADB">
        <w:rPr>
          <w:lang w:val="fr-FR"/>
        </w:rPr>
        <w:t>’</w:t>
      </w:r>
      <w:r w:rsidR="00050C08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 avait tenu sa première réunion et proposé que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catalogue en ligne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outils et méthodes soit rebaptisé </w:t>
      </w:r>
      <w:r w:rsidR="00842887" w:rsidRPr="003F3120">
        <w:rPr>
          <w:lang w:val="fr-FR"/>
        </w:rPr>
        <w:t>« </w:t>
      </w:r>
      <w:r w:rsidRPr="003F3120">
        <w:rPr>
          <w:lang w:val="fr-FR"/>
        </w:rPr>
        <w:t>portail d</w:t>
      </w:r>
      <w:r w:rsidR="00FA5ADB">
        <w:rPr>
          <w:lang w:val="fr-FR"/>
        </w:rPr>
        <w:t>’</w:t>
      </w:r>
      <w:r w:rsidRPr="003F3120">
        <w:rPr>
          <w:lang w:val="fr-FR"/>
        </w:rPr>
        <w:t>appui aux politiques</w:t>
      </w:r>
      <w:r w:rsidR="00842887" w:rsidRPr="003F3120">
        <w:rPr>
          <w:lang w:val="fr-FR"/>
        </w:rPr>
        <w:t> »</w:t>
      </w:r>
      <w:r w:rsidRPr="003F3120">
        <w:rPr>
          <w:lang w:val="fr-FR"/>
        </w:rPr>
        <w:t xml:space="preserve"> (</w:t>
      </w:r>
      <w:r w:rsidRPr="00C6409C">
        <w:rPr>
          <w:i/>
          <w:lang w:val="fr-FR"/>
        </w:rPr>
        <w:t>policy support gateway</w:t>
      </w:r>
      <w:r w:rsidRPr="003F3120">
        <w:rPr>
          <w:lang w:val="fr-FR"/>
        </w:rPr>
        <w:t>), afin de mieux refléter</w:t>
      </w:r>
      <w:r w:rsidR="007031E0">
        <w:rPr>
          <w:lang w:val="fr-FR"/>
        </w:rPr>
        <w:t xml:space="preserve"> le </w:t>
      </w:r>
      <w:r w:rsidR="005E498B">
        <w:rPr>
          <w:lang w:val="fr-FR"/>
        </w:rPr>
        <w:t>fait qu</w:t>
      </w:r>
      <w:r w:rsidR="00FA5ADB">
        <w:rPr>
          <w:lang w:val="fr-FR"/>
        </w:rPr>
        <w:t>’</w:t>
      </w:r>
      <w:r w:rsidR="005E498B">
        <w:rPr>
          <w:lang w:val="fr-FR"/>
        </w:rPr>
        <w:t>il s</w:t>
      </w:r>
      <w:r w:rsidR="00FA5ADB">
        <w:rPr>
          <w:lang w:val="fr-FR"/>
        </w:rPr>
        <w:t>’</w:t>
      </w:r>
      <w:r w:rsidR="005E498B">
        <w:rPr>
          <w:lang w:val="fr-FR"/>
        </w:rPr>
        <w:t>agit d</w:t>
      </w:r>
      <w:r w:rsidR="00FA5ADB">
        <w:rPr>
          <w:lang w:val="fr-FR"/>
        </w:rPr>
        <w:t>’</w:t>
      </w:r>
      <w:r w:rsidR="005E498B">
        <w:rPr>
          <w:lang w:val="fr-FR"/>
        </w:rPr>
        <w:t xml:space="preserve">une </w:t>
      </w:r>
      <w:r w:rsidRPr="003F3120">
        <w:rPr>
          <w:lang w:val="fr-FR"/>
        </w:rPr>
        <w:t>interface Web. Des travaux ont été entrepris afin d</w:t>
      </w:r>
      <w:r w:rsidR="00FA5ADB">
        <w:rPr>
          <w:lang w:val="fr-FR"/>
        </w:rPr>
        <w:t>’</w:t>
      </w:r>
      <w:r w:rsidRPr="003F3120">
        <w:rPr>
          <w:lang w:val="fr-FR"/>
        </w:rPr>
        <w:t>apporter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modifications structurelles, fonctionnelles et visuelles au portail, dans lequel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données relatives aux évaluations régionales et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dégradation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terres ont été incorporées. Il a été fortement recommandé de débloquer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ressources pour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développement futur du portail.</w:t>
      </w:r>
    </w:p>
    <w:p w14:paraId="4D3EE324" w14:textId="3370EEEE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Concernant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 œuvre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politique en matière de conflits d</w:t>
      </w:r>
      <w:r w:rsidR="00FA5ADB">
        <w:rPr>
          <w:lang w:val="fr-FR"/>
        </w:rPr>
        <w:t>’</w:t>
      </w:r>
      <w:r w:rsidRPr="003F3120">
        <w:rPr>
          <w:lang w:val="fr-FR"/>
        </w:rPr>
        <w:t>intérêts,</w:t>
      </w:r>
      <w:r w:rsidR="007031E0">
        <w:rPr>
          <w:lang w:val="fr-FR"/>
        </w:rPr>
        <w:t xml:space="preserve"> la </w:t>
      </w:r>
      <w:r w:rsidR="009D5158" w:rsidRPr="003F3120">
        <w:rPr>
          <w:lang w:val="fr-FR"/>
        </w:rPr>
        <w:t xml:space="preserve">Secrétaire exécutive </w:t>
      </w:r>
      <w:r w:rsidRPr="003F3120">
        <w:rPr>
          <w:lang w:val="fr-FR"/>
        </w:rPr>
        <w:t>a déclaré que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Comité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conflits d</w:t>
      </w:r>
      <w:r w:rsidR="00FA5ADB">
        <w:rPr>
          <w:lang w:val="fr-FR"/>
        </w:rPr>
        <w:t>’</w:t>
      </w:r>
      <w:r w:rsidRPr="003F3120">
        <w:rPr>
          <w:lang w:val="fr-FR"/>
        </w:rPr>
        <w:t>intérêts avait examiné tous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formulaires qu</w:t>
      </w:r>
      <w:r w:rsidR="00FA5ADB">
        <w:rPr>
          <w:lang w:val="fr-FR"/>
        </w:rPr>
        <w:t>’</w:t>
      </w:r>
      <w:r w:rsidRPr="003F3120">
        <w:rPr>
          <w:lang w:val="fr-FR"/>
        </w:rPr>
        <w:t>il</w:t>
      </w:r>
      <w:r w:rsidR="007E024D">
        <w:rPr>
          <w:lang w:val="fr-FR"/>
        </w:rPr>
        <w:t> </w:t>
      </w:r>
      <w:r w:rsidRPr="003F3120">
        <w:rPr>
          <w:lang w:val="fr-FR"/>
        </w:rPr>
        <w:t>avait reçus et avait conclu qu</w:t>
      </w:r>
      <w:r w:rsidR="00FA5ADB">
        <w:rPr>
          <w:lang w:val="fr-FR"/>
        </w:rPr>
        <w:t>’</w:t>
      </w:r>
      <w:r w:rsidRPr="003F3120">
        <w:rPr>
          <w:lang w:val="fr-FR"/>
        </w:rPr>
        <w:t>il n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existait aucun conflit </w:t>
      </w:r>
      <w:r w:rsidRPr="00EC6B3F">
        <w:rPr>
          <w:bCs/>
          <w:lang w:val="fr-FR"/>
        </w:rPr>
        <w:t>d</w:t>
      </w:r>
      <w:r w:rsidR="00FA5ADB">
        <w:rPr>
          <w:bCs/>
          <w:lang w:val="fr-FR"/>
        </w:rPr>
        <w:t>’</w:t>
      </w:r>
      <w:r w:rsidRPr="00EC6B3F">
        <w:rPr>
          <w:bCs/>
          <w:lang w:val="fr-FR"/>
        </w:rPr>
        <w:t>intérêts</w:t>
      </w:r>
      <w:r w:rsidRPr="003F3120">
        <w:rPr>
          <w:lang w:val="fr-FR"/>
        </w:rPr>
        <w:t>. S</w:t>
      </w:r>
      <w:r w:rsidR="00FA5ADB">
        <w:rPr>
          <w:lang w:val="fr-FR"/>
        </w:rPr>
        <w:t>’</w:t>
      </w:r>
      <w:r w:rsidRPr="003F3120">
        <w:rPr>
          <w:lang w:val="fr-FR"/>
        </w:rPr>
        <w:t>agissant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groupes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appui technique, neuf étaient actuellement en activité, dont </w:t>
      </w:r>
      <w:r w:rsidR="00C6409C">
        <w:rPr>
          <w:lang w:val="fr-FR"/>
        </w:rPr>
        <w:t>trois nouveaux groupes créés en </w:t>
      </w:r>
      <w:r w:rsidRPr="003F3120">
        <w:rPr>
          <w:lang w:val="fr-FR"/>
        </w:rPr>
        <w:t xml:space="preserve">2018, alors que cinq </w:t>
      </w:r>
      <w:r w:rsidR="0092420B">
        <w:rPr>
          <w:lang w:val="fr-FR"/>
        </w:rPr>
        <w:t>avaient</w:t>
      </w:r>
      <w:r w:rsidRPr="003F3120">
        <w:rPr>
          <w:lang w:val="fr-FR"/>
        </w:rPr>
        <w:t xml:space="preserve"> cessé d</w:t>
      </w:r>
      <w:r w:rsidR="00FA5ADB">
        <w:rPr>
          <w:lang w:val="fr-FR"/>
        </w:rPr>
        <w:t>’</w:t>
      </w:r>
      <w:r w:rsidRPr="003F3120">
        <w:rPr>
          <w:lang w:val="fr-FR"/>
        </w:rPr>
        <w:t>exister durant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même période. Deux postes au sein du secrétariat se trouv</w:t>
      </w:r>
      <w:r w:rsidR="005E498B">
        <w:rPr>
          <w:lang w:val="fr-FR"/>
        </w:rPr>
        <w:t>ai</w:t>
      </w:r>
      <w:r w:rsidRPr="003F3120">
        <w:rPr>
          <w:lang w:val="fr-FR"/>
        </w:rPr>
        <w:t>ent au stade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procédure de recrutement.</w:t>
      </w:r>
    </w:p>
    <w:p w14:paraId="009CC714" w14:textId="00685FB9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Le responsable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communication du secrétariat a signalé que, compte tenu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informations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membres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avaient fait remonter, l</w:t>
      </w:r>
      <w:r w:rsidR="00FA5ADB">
        <w:rPr>
          <w:lang w:val="fr-FR"/>
        </w:rPr>
        <w:t>’</w:t>
      </w:r>
      <w:r w:rsidRPr="003F3120">
        <w:rPr>
          <w:lang w:val="fr-FR"/>
        </w:rPr>
        <w:t>accent avait été mis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réalisation de supports vidéo, dont six </w:t>
      </w:r>
      <w:r w:rsidR="0015599B">
        <w:rPr>
          <w:lang w:val="fr-FR"/>
        </w:rPr>
        <w:t>avaient</w:t>
      </w:r>
      <w:r w:rsidRPr="003F3120">
        <w:rPr>
          <w:lang w:val="fr-FR"/>
        </w:rPr>
        <w:t xml:space="preserve"> été produits depuis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dernière </w:t>
      </w:r>
      <w:r w:rsidRPr="00EC6B3F">
        <w:rPr>
          <w:bCs/>
          <w:lang w:val="fr-FR"/>
        </w:rPr>
        <w:t>session</w:t>
      </w:r>
      <w:r w:rsidRPr="003F3120">
        <w:rPr>
          <w:lang w:val="fr-FR"/>
        </w:rPr>
        <w:t>, tous disponibles dans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six langues officielles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 Unies afin de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rendre accessibles </w:t>
      </w:r>
      <w:r w:rsidR="0015599B">
        <w:rPr>
          <w:lang w:val="fr-FR"/>
        </w:rPr>
        <w:t xml:space="preserve">au </w:t>
      </w:r>
      <w:r w:rsidRPr="003F3120">
        <w:rPr>
          <w:lang w:val="fr-FR"/>
        </w:rPr>
        <w:t>plus grand nombre. Une croissance importante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réseaux sociaux a</w:t>
      </w:r>
      <w:r w:rsidR="0015599B">
        <w:rPr>
          <w:lang w:val="fr-FR"/>
        </w:rPr>
        <w:t>vait</w:t>
      </w:r>
      <w:r w:rsidRPr="003F3120">
        <w:rPr>
          <w:lang w:val="fr-FR"/>
        </w:rPr>
        <w:t xml:space="preserve"> été enregistrée, et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même temps,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efforts de développement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relations avec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médias traditionnels </w:t>
      </w:r>
      <w:r w:rsidR="0015599B">
        <w:rPr>
          <w:lang w:val="fr-FR"/>
        </w:rPr>
        <w:t>avaient</w:t>
      </w:r>
      <w:r w:rsidRPr="003F3120">
        <w:rPr>
          <w:lang w:val="fr-FR"/>
        </w:rPr>
        <w:t xml:space="preserve"> été déployés. En</w:t>
      </w:r>
      <w:r w:rsidR="00EC6B3F">
        <w:rPr>
          <w:lang w:val="fr-FR"/>
        </w:rPr>
        <w:t> </w:t>
      </w:r>
      <w:r w:rsidRPr="003F3120">
        <w:rPr>
          <w:lang w:val="fr-FR"/>
        </w:rPr>
        <w:t>outre,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secrétariat a lancé une base de données de suivi et d</w:t>
      </w:r>
      <w:r w:rsidR="00FA5ADB">
        <w:rPr>
          <w:lang w:val="fr-FR"/>
        </w:rPr>
        <w:t>’</w:t>
      </w:r>
      <w:r w:rsidRPr="003F3120">
        <w:rPr>
          <w:lang w:val="fr-FR"/>
        </w:rPr>
        <w:t>évaluation d</w:t>
      </w:r>
      <w:r w:rsidR="00FA5ADB">
        <w:rPr>
          <w:lang w:val="fr-FR"/>
        </w:rPr>
        <w:t>’</w:t>
      </w:r>
      <w:r w:rsidRPr="003F3120">
        <w:rPr>
          <w:lang w:val="fr-FR"/>
        </w:rPr>
        <w:t>impact en tant qu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outil </w:t>
      </w:r>
      <w:r w:rsidRPr="003F3120">
        <w:rPr>
          <w:lang w:val="fr-FR"/>
        </w:rPr>
        <w:lastRenderedPageBreak/>
        <w:t>de communication. S</w:t>
      </w:r>
      <w:r w:rsidR="00FA5ADB">
        <w:rPr>
          <w:lang w:val="fr-FR"/>
        </w:rPr>
        <w:t>’</w:t>
      </w:r>
      <w:r w:rsidRPr="003F3120">
        <w:rPr>
          <w:lang w:val="fr-FR"/>
        </w:rPr>
        <w:t>agissant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participation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parties prenantes,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journée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parties prenantes qui a immédiatement précédé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session </w:t>
      </w:r>
      <w:r w:rsidR="0015599B">
        <w:rPr>
          <w:lang w:val="fr-FR"/>
        </w:rPr>
        <w:t>en cours</w:t>
      </w:r>
      <w:r w:rsidRPr="003F3120">
        <w:rPr>
          <w:lang w:val="fr-FR"/>
        </w:rPr>
        <w:t xml:space="preserve"> a été une grande réussite, renforçant l</w:t>
      </w:r>
      <w:r w:rsidR="00FA5ADB">
        <w:rPr>
          <w:lang w:val="fr-FR"/>
        </w:rPr>
        <w:t>’</w:t>
      </w:r>
      <w:r w:rsidRPr="003F3120">
        <w:rPr>
          <w:lang w:val="fr-FR"/>
        </w:rPr>
        <w:t>intérêt porté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de plus d</w:t>
      </w:r>
      <w:r w:rsidR="00FA5ADB">
        <w:rPr>
          <w:lang w:val="fr-FR"/>
        </w:rPr>
        <w:t>’</w:t>
      </w:r>
      <w:r w:rsidRPr="003F3120">
        <w:rPr>
          <w:lang w:val="fr-FR"/>
        </w:rPr>
        <w:t>une centaine de manifestations organisées au cours de l</w:t>
      </w:r>
      <w:r w:rsidR="00FA5ADB">
        <w:rPr>
          <w:lang w:val="fr-FR"/>
        </w:rPr>
        <w:t>’</w:t>
      </w:r>
      <w:r w:rsidRPr="003F3120">
        <w:rPr>
          <w:lang w:val="fr-FR"/>
        </w:rPr>
        <w:t>année écoulée. À l</w:t>
      </w:r>
      <w:r w:rsidR="00FA5ADB">
        <w:rPr>
          <w:lang w:val="fr-FR"/>
        </w:rPr>
        <w:t>’</w:t>
      </w:r>
      <w:r w:rsidRPr="003F3120">
        <w:rPr>
          <w:lang w:val="fr-FR"/>
        </w:rPr>
        <w:t>avenir,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secrétariat a l</w:t>
      </w:r>
      <w:r w:rsidR="00FA5ADB">
        <w:rPr>
          <w:lang w:val="fr-FR"/>
        </w:rPr>
        <w:t>’</w:t>
      </w:r>
      <w:r w:rsidRPr="003F3120">
        <w:rPr>
          <w:lang w:val="fr-FR"/>
        </w:rPr>
        <w:t>intention de s</w:t>
      </w:r>
      <w:r w:rsidR="00FA5ADB">
        <w:rPr>
          <w:lang w:val="fr-FR"/>
        </w:rPr>
        <w:t>’</w:t>
      </w:r>
      <w:r w:rsidRPr="003F3120">
        <w:rPr>
          <w:lang w:val="fr-FR"/>
        </w:rPr>
        <w:t>employer principalement à appuyer l</w:t>
      </w:r>
      <w:r w:rsidR="00FA5ADB">
        <w:rPr>
          <w:lang w:val="fr-FR"/>
        </w:rPr>
        <w:t>’</w:t>
      </w:r>
      <w:r w:rsidRPr="003F3120">
        <w:rPr>
          <w:lang w:val="fr-FR"/>
        </w:rPr>
        <w:t>expansion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plateformes nationales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="00C6409C">
        <w:rPr>
          <w:lang w:val="fr-FR"/>
        </w:rPr>
        <w:t>.</w:t>
      </w:r>
    </w:p>
    <w:p w14:paraId="198E0C6E" w14:textId="1D25BACD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Le coprésident de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de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 durable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espèces sauvages, </w:t>
      </w:r>
      <w:r w:rsidRPr="003F3120">
        <w:rPr>
          <w:rFonts w:cs="Arial"/>
          <w:kern w:val="2"/>
          <w:szCs w:val="28"/>
          <w:lang w:val="fr-FR" w:eastAsia="ja-JP"/>
        </w:rPr>
        <w:t>M. </w:t>
      </w:r>
      <w:r w:rsidR="00AB045C" w:rsidRPr="003F3120">
        <w:rPr>
          <w:rFonts w:cs="Arial"/>
          <w:szCs w:val="28"/>
          <w:lang w:val="fr-FR"/>
        </w:rPr>
        <w:t>Jean</w:t>
      </w:r>
      <w:r w:rsidR="00AB045C" w:rsidRPr="003F3120">
        <w:rPr>
          <w:rFonts w:cs="Arial"/>
          <w:szCs w:val="28"/>
          <w:lang w:val="fr-FR"/>
        </w:rPr>
        <w:noBreakHyphen/>
      </w:r>
      <w:r w:rsidRPr="003F3120">
        <w:rPr>
          <w:rFonts w:cs="Arial"/>
          <w:szCs w:val="28"/>
          <w:lang w:val="fr-FR"/>
        </w:rPr>
        <w:t>Marc</w:t>
      </w:r>
      <w:r w:rsidR="007E024D">
        <w:rPr>
          <w:rFonts w:cs="Arial"/>
          <w:szCs w:val="28"/>
          <w:lang w:val="fr-FR"/>
        </w:rPr>
        <w:t> </w:t>
      </w:r>
      <w:r w:rsidRPr="003F3120">
        <w:rPr>
          <w:rFonts w:cs="Arial"/>
          <w:szCs w:val="28"/>
          <w:lang w:val="fr-FR"/>
        </w:rPr>
        <w:t>Fromentin, a présenté un exposé décrivant</w:t>
      </w:r>
      <w:r w:rsidR="007031E0">
        <w:rPr>
          <w:rFonts w:cs="Arial"/>
          <w:szCs w:val="28"/>
          <w:lang w:val="fr-FR"/>
        </w:rPr>
        <w:t xml:space="preserve"> les </w:t>
      </w:r>
      <w:r w:rsidRPr="003F3120">
        <w:rPr>
          <w:rFonts w:cs="Arial"/>
          <w:szCs w:val="28"/>
          <w:lang w:val="fr-FR"/>
        </w:rPr>
        <w:t>progrès accomplis à ce jour, soulignant que 77</w:t>
      </w:r>
      <w:r w:rsidR="00AB045C" w:rsidRPr="003F3120">
        <w:rPr>
          <w:rFonts w:cs="Arial"/>
          <w:szCs w:val="28"/>
          <w:lang w:val="fr-FR"/>
        </w:rPr>
        <w:t> </w:t>
      </w:r>
      <w:r w:rsidRPr="003F3120">
        <w:rPr>
          <w:rFonts w:cs="Arial"/>
          <w:szCs w:val="28"/>
          <w:lang w:val="fr-FR"/>
        </w:rPr>
        <w:t xml:space="preserve">experts avaient été sélectionnés </w:t>
      </w:r>
      <w:r w:rsidR="009D5158" w:rsidRPr="003F3120">
        <w:rPr>
          <w:rFonts w:cs="Arial"/>
          <w:szCs w:val="28"/>
          <w:lang w:val="fr-FR"/>
        </w:rPr>
        <w:t>selon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procédure prévue pour combler</w:t>
      </w:r>
      <w:r w:rsidR="007031E0">
        <w:rPr>
          <w:rFonts w:cs="Arial"/>
          <w:szCs w:val="28"/>
          <w:lang w:val="fr-FR"/>
        </w:rPr>
        <w:t xml:space="preserve"> les </w:t>
      </w:r>
      <w:r w:rsidRPr="003F3120">
        <w:rPr>
          <w:rFonts w:cs="Arial"/>
          <w:szCs w:val="28"/>
          <w:lang w:val="fr-FR"/>
        </w:rPr>
        <w:t>lacunes en matière de compétence</w:t>
      </w:r>
      <w:r w:rsidR="00FD5D6A">
        <w:rPr>
          <w:rFonts w:cs="Arial"/>
          <w:szCs w:val="28"/>
          <w:lang w:val="fr-FR"/>
        </w:rPr>
        <w:t> ;</w:t>
      </w:r>
      <w:r w:rsidRPr="003F3120">
        <w:rPr>
          <w:rFonts w:cs="Arial"/>
          <w:szCs w:val="28"/>
          <w:lang w:val="fr-FR"/>
        </w:rPr>
        <w:t xml:space="preserve"> qu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une première réunion</w:t>
      </w:r>
      <w:r w:rsidR="007031E0">
        <w:rPr>
          <w:rFonts w:cs="Arial"/>
          <w:szCs w:val="28"/>
          <w:lang w:val="fr-FR"/>
        </w:rPr>
        <w:t xml:space="preserve"> des </w:t>
      </w:r>
      <w:r w:rsidRPr="003F3120">
        <w:rPr>
          <w:rFonts w:cs="Arial"/>
          <w:szCs w:val="28"/>
          <w:lang w:val="fr-FR"/>
        </w:rPr>
        <w:t>auteurs avait eu lieu et qu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 xml:space="preserve">un </w:t>
      </w:r>
      <w:r w:rsidR="00EA64D2">
        <w:rPr>
          <w:rFonts w:cs="Arial"/>
          <w:szCs w:val="28"/>
          <w:lang w:val="fr-FR"/>
        </w:rPr>
        <w:t>avant-</w:t>
      </w:r>
      <w:r w:rsidRPr="003F3120">
        <w:rPr>
          <w:rFonts w:cs="Arial"/>
          <w:szCs w:val="28"/>
          <w:lang w:val="fr-FR"/>
        </w:rPr>
        <w:t>projet de document avait fait l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objet d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un premier processus d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examen en interne</w:t>
      </w:r>
      <w:r w:rsidR="00FD5D6A">
        <w:rPr>
          <w:rFonts w:cs="Arial"/>
          <w:szCs w:val="28"/>
          <w:lang w:val="fr-FR"/>
        </w:rPr>
        <w:t> ;</w:t>
      </w:r>
      <w:r w:rsidRPr="003F3120">
        <w:rPr>
          <w:rFonts w:cs="Arial"/>
          <w:szCs w:val="28"/>
          <w:lang w:val="fr-FR"/>
        </w:rPr>
        <w:t xml:space="preserve"> que</w:t>
      </w:r>
      <w:r w:rsidR="007031E0">
        <w:rPr>
          <w:rFonts w:cs="Arial"/>
          <w:szCs w:val="28"/>
          <w:lang w:val="fr-FR"/>
        </w:rPr>
        <w:t xml:space="preserve"> des </w:t>
      </w:r>
      <w:r w:rsidRPr="003F3120">
        <w:rPr>
          <w:rFonts w:cs="Arial"/>
          <w:szCs w:val="28"/>
          <w:lang w:val="fr-FR"/>
        </w:rPr>
        <w:t>travaux étaient en cours dans</w:t>
      </w:r>
      <w:r w:rsidR="007031E0">
        <w:rPr>
          <w:rFonts w:cs="Arial"/>
          <w:szCs w:val="28"/>
          <w:lang w:val="fr-FR"/>
        </w:rPr>
        <w:t xml:space="preserve"> le </w:t>
      </w:r>
      <w:r w:rsidRPr="003F3120">
        <w:rPr>
          <w:rFonts w:cs="Arial"/>
          <w:szCs w:val="28"/>
          <w:lang w:val="fr-FR"/>
        </w:rPr>
        <w:t>but d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élaborer une version préliminaire d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ici au 15 juillet 2019.</w:t>
      </w:r>
      <w:r w:rsidR="007031E0">
        <w:rPr>
          <w:lang w:val="fr-FR"/>
        </w:rPr>
        <w:t xml:space="preserve"> Les </w:t>
      </w:r>
      <w:r w:rsidR="00EA64D2">
        <w:rPr>
          <w:lang w:val="fr-FR"/>
        </w:rPr>
        <w:t>échanges</w:t>
      </w:r>
      <w:r w:rsidRPr="003F3120">
        <w:rPr>
          <w:lang w:val="fr-FR"/>
        </w:rPr>
        <w:t xml:space="preserve"> avec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experts chargés de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méthodologique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diverses </w:t>
      </w:r>
      <w:r w:rsidRPr="00EC6B3F">
        <w:rPr>
          <w:bCs/>
          <w:lang w:val="fr-FR"/>
        </w:rPr>
        <w:t>conceptualisations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multiples valeurs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nature et de ses bienfaits ont joué un rôle essentiel et il fa</w:t>
      </w:r>
      <w:r w:rsidR="00EA64D2">
        <w:rPr>
          <w:lang w:val="fr-FR"/>
        </w:rPr>
        <w:t>llait</w:t>
      </w:r>
      <w:r w:rsidRPr="003F3120">
        <w:rPr>
          <w:lang w:val="fr-FR"/>
        </w:rPr>
        <w:t xml:space="preserve"> espérer que cette tendance </w:t>
      </w:r>
      <w:r w:rsidR="00EA64D2">
        <w:rPr>
          <w:lang w:val="fr-FR"/>
        </w:rPr>
        <w:t>se</w:t>
      </w:r>
      <w:r w:rsidR="007E024D">
        <w:rPr>
          <w:lang w:val="fr-FR"/>
        </w:rPr>
        <w:t> </w:t>
      </w:r>
      <w:r w:rsidR="00EA64D2">
        <w:rPr>
          <w:lang w:val="fr-FR"/>
        </w:rPr>
        <w:t>poursuive</w:t>
      </w:r>
      <w:r w:rsidRPr="003F3120">
        <w:rPr>
          <w:lang w:val="fr-FR"/>
        </w:rPr>
        <w:t xml:space="preserve"> lors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prochaines étapes, qui passer</w:t>
      </w:r>
      <w:r w:rsidR="00EA64D2">
        <w:rPr>
          <w:lang w:val="fr-FR"/>
        </w:rPr>
        <w:t>aie</w:t>
      </w:r>
      <w:r w:rsidRPr="003F3120">
        <w:rPr>
          <w:lang w:val="fr-FR"/>
        </w:rPr>
        <w:t>nt notamment par un dialogue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savoirs autochtones et locaux et une deuxi</w:t>
      </w:r>
      <w:r w:rsidR="005F31B8">
        <w:rPr>
          <w:lang w:val="fr-FR"/>
        </w:rPr>
        <w:t>ème réunion</w:t>
      </w:r>
      <w:r w:rsidR="007031E0">
        <w:rPr>
          <w:lang w:val="fr-FR"/>
        </w:rPr>
        <w:t xml:space="preserve"> des </w:t>
      </w:r>
      <w:r w:rsidR="005F31B8">
        <w:rPr>
          <w:lang w:val="fr-FR"/>
        </w:rPr>
        <w:t>auteurs qui dev</w:t>
      </w:r>
      <w:r w:rsidRPr="003F3120">
        <w:rPr>
          <w:lang w:val="fr-FR"/>
        </w:rPr>
        <w:t>ait se tenir en novembre. Parmi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défis à relever, M.</w:t>
      </w:r>
      <w:r w:rsidR="009D5158" w:rsidRPr="003F3120">
        <w:rPr>
          <w:lang w:val="fr-FR"/>
        </w:rPr>
        <w:t> </w:t>
      </w:r>
      <w:r w:rsidRPr="003F3120">
        <w:rPr>
          <w:lang w:val="fr-FR"/>
        </w:rPr>
        <w:t>Fromentin a souligné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 xml:space="preserve">fait que, </w:t>
      </w:r>
      <w:r w:rsidR="005F31B8">
        <w:rPr>
          <w:lang w:val="fr-FR"/>
        </w:rPr>
        <w:t>pour</w:t>
      </w:r>
      <w:r w:rsidRPr="003F3120">
        <w:rPr>
          <w:lang w:val="fr-FR"/>
        </w:rPr>
        <w:t xml:space="preserve"> refléter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aspects complexes associés aux liens entre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 durable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espèces sauvages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pratiques humaines, il </w:t>
      </w:r>
      <w:r w:rsidR="005F31B8">
        <w:rPr>
          <w:lang w:val="fr-FR"/>
        </w:rPr>
        <w:t>importait</w:t>
      </w:r>
      <w:r w:rsidRPr="003F3120">
        <w:rPr>
          <w:lang w:val="fr-FR"/>
        </w:rPr>
        <w:t xml:space="preserve"> également de prendre en compte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sciences sociales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savoirs autochtones et locaux. Il a </w:t>
      </w:r>
      <w:r w:rsidR="005F31B8">
        <w:rPr>
          <w:lang w:val="fr-FR"/>
        </w:rPr>
        <w:t xml:space="preserve">par ailleurs </w:t>
      </w:r>
      <w:r w:rsidRPr="003F3120">
        <w:rPr>
          <w:lang w:val="fr-FR"/>
        </w:rPr>
        <w:t>expliqué qu</w:t>
      </w:r>
      <w:r w:rsidR="00FA5ADB">
        <w:rPr>
          <w:lang w:val="fr-FR"/>
        </w:rPr>
        <w:t>’</w:t>
      </w:r>
      <w:r w:rsidRPr="003F3120">
        <w:rPr>
          <w:lang w:val="fr-FR"/>
        </w:rPr>
        <w:t>un autre défi consisterait à harmoniser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catégories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définitions utilisées dans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chapitres afin de proposer un document cohérent et agréable à lire pour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décideurs.</w:t>
      </w:r>
    </w:p>
    <w:p w14:paraId="797F9A58" w14:textId="2681457D" w:rsidR="0077408A" w:rsidRPr="003F3120" w:rsidRDefault="009D5158" w:rsidP="00ED6939">
      <w:pPr>
        <w:pStyle w:val="Normalnumber"/>
        <w:rPr>
          <w:lang w:val="fr-FR"/>
        </w:rPr>
      </w:pPr>
      <w:r w:rsidRPr="003F3120">
        <w:rPr>
          <w:lang w:val="fr-FR"/>
        </w:rPr>
        <w:t>D</w:t>
      </w:r>
      <w:r w:rsidR="0077408A" w:rsidRPr="003F3120">
        <w:rPr>
          <w:lang w:val="fr-FR"/>
        </w:rPr>
        <w:t>ans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cadre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remerciements qu</w:t>
      </w:r>
      <w:r w:rsidR="00FA5ADB">
        <w:rPr>
          <w:lang w:val="fr-FR"/>
        </w:rPr>
        <w:t>’</w:t>
      </w:r>
      <w:r w:rsidR="005F31B8">
        <w:rPr>
          <w:lang w:val="fr-FR"/>
        </w:rPr>
        <w:t xml:space="preserve">il </w:t>
      </w:r>
      <w:r w:rsidR="0077408A" w:rsidRPr="003F3120">
        <w:rPr>
          <w:lang w:val="fr-FR"/>
        </w:rPr>
        <w:t>a formulés à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attention de M. Fromentin pour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 xml:space="preserve">travail considérable qui avait été accompli </w:t>
      </w:r>
      <w:r w:rsidR="0077408A" w:rsidRPr="00EC6B3F">
        <w:rPr>
          <w:bCs/>
          <w:lang w:val="fr-FR"/>
        </w:rPr>
        <w:t>dans</w:t>
      </w:r>
      <w:r w:rsidR="0077408A" w:rsidRPr="003F3120">
        <w:rPr>
          <w:lang w:val="fr-FR"/>
        </w:rPr>
        <w:t xml:space="preserve"> un intervalle de temps aussi court,</w:t>
      </w:r>
      <w:r w:rsidR="007031E0">
        <w:rPr>
          <w:lang w:val="fr-FR"/>
        </w:rPr>
        <w:t xml:space="preserve"> le </w:t>
      </w:r>
      <w:r w:rsidR="005F31B8">
        <w:rPr>
          <w:lang w:val="fr-FR"/>
        </w:rPr>
        <w:t>P</w:t>
      </w:r>
      <w:r w:rsidRPr="003F3120">
        <w:rPr>
          <w:lang w:val="fr-FR"/>
        </w:rPr>
        <w:t xml:space="preserve">résident </w:t>
      </w:r>
      <w:r w:rsidR="0077408A" w:rsidRPr="003F3120">
        <w:rPr>
          <w:lang w:val="fr-FR"/>
        </w:rPr>
        <w:t>a fait remarquer que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mention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 xml:space="preserve">procédure visant à </w:t>
      </w:r>
      <w:r w:rsidR="0077408A" w:rsidRPr="003F3120">
        <w:rPr>
          <w:rFonts w:cs="Arial"/>
          <w:szCs w:val="28"/>
          <w:lang w:val="fr-FR"/>
        </w:rPr>
        <w:t>combler</w:t>
      </w:r>
      <w:r w:rsidR="007031E0">
        <w:rPr>
          <w:rFonts w:cs="Arial"/>
          <w:szCs w:val="28"/>
          <w:lang w:val="fr-FR"/>
        </w:rPr>
        <w:t xml:space="preserve"> les </w:t>
      </w:r>
      <w:r w:rsidR="0077408A" w:rsidRPr="003F3120">
        <w:rPr>
          <w:rFonts w:cs="Arial"/>
          <w:szCs w:val="28"/>
          <w:lang w:val="fr-FR"/>
        </w:rPr>
        <w:t>lacunes en matière de compétence constituait un rappel à l</w:t>
      </w:r>
      <w:r w:rsidR="00FA5ADB">
        <w:rPr>
          <w:rFonts w:cs="Arial"/>
          <w:szCs w:val="28"/>
          <w:lang w:val="fr-FR"/>
        </w:rPr>
        <w:t>’</w:t>
      </w:r>
      <w:r w:rsidR="0077408A" w:rsidRPr="003F3120">
        <w:rPr>
          <w:rFonts w:cs="Arial"/>
          <w:szCs w:val="28"/>
          <w:lang w:val="fr-FR"/>
        </w:rPr>
        <w:t>attention de tous</w:t>
      </w:r>
      <w:r w:rsidR="007031E0">
        <w:rPr>
          <w:rFonts w:cs="Arial"/>
          <w:szCs w:val="28"/>
          <w:lang w:val="fr-FR"/>
        </w:rPr>
        <w:t xml:space="preserve"> les </w:t>
      </w:r>
      <w:r w:rsidR="0077408A" w:rsidRPr="003F3120">
        <w:rPr>
          <w:rFonts w:cs="Arial"/>
          <w:szCs w:val="28"/>
          <w:lang w:val="fr-FR"/>
        </w:rPr>
        <w:t>gouvernements qui se doivent de nommer dès</w:t>
      </w:r>
      <w:r w:rsidR="007031E0">
        <w:rPr>
          <w:rFonts w:cs="Arial"/>
          <w:szCs w:val="28"/>
          <w:lang w:val="fr-FR"/>
        </w:rPr>
        <w:t xml:space="preserve"> le </w:t>
      </w:r>
      <w:r w:rsidR="0077408A" w:rsidRPr="003F3120">
        <w:rPr>
          <w:rFonts w:cs="Arial"/>
          <w:szCs w:val="28"/>
          <w:lang w:val="fr-FR"/>
        </w:rPr>
        <w:t>départ</w:t>
      </w:r>
      <w:r w:rsidR="007031E0">
        <w:rPr>
          <w:rFonts w:cs="Arial"/>
          <w:szCs w:val="28"/>
          <w:lang w:val="fr-FR"/>
        </w:rPr>
        <w:t xml:space="preserve"> des </w:t>
      </w:r>
      <w:r w:rsidR="0077408A" w:rsidRPr="003F3120">
        <w:rPr>
          <w:rFonts w:cs="Arial"/>
          <w:szCs w:val="28"/>
          <w:lang w:val="fr-FR"/>
        </w:rPr>
        <w:t>experts issus de tous horizons, afin d</w:t>
      </w:r>
      <w:r w:rsidR="00FA5ADB">
        <w:rPr>
          <w:rFonts w:cs="Arial"/>
          <w:szCs w:val="28"/>
          <w:lang w:val="fr-FR"/>
        </w:rPr>
        <w:t>’</w:t>
      </w:r>
      <w:r w:rsidR="0077408A" w:rsidRPr="003F3120">
        <w:rPr>
          <w:rFonts w:cs="Arial"/>
          <w:szCs w:val="28"/>
          <w:lang w:val="fr-FR"/>
        </w:rPr>
        <w:t>éviter de devoir consacrer du temps à trouver</w:t>
      </w:r>
      <w:r w:rsidR="007031E0">
        <w:rPr>
          <w:rFonts w:cs="Arial"/>
          <w:szCs w:val="28"/>
          <w:lang w:val="fr-FR"/>
        </w:rPr>
        <w:t xml:space="preserve"> des </w:t>
      </w:r>
      <w:r w:rsidR="0077408A" w:rsidRPr="003F3120">
        <w:rPr>
          <w:rFonts w:cs="Arial"/>
          <w:szCs w:val="28"/>
          <w:lang w:val="fr-FR"/>
        </w:rPr>
        <w:t>experts qui combleraient</w:t>
      </w:r>
      <w:r w:rsidR="007031E0">
        <w:rPr>
          <w:rFonts w:cs="Arial"/>
          <w:szCs w:val="28"/>
          <w:lang w:val="fr-FR"/>
        </w:rPr>
        <w:t xml:space="preserve"> les </w:t>
      </w:r>
      <w:r w:rsidR="0077408A" w:rsidRPr="003F3120">
        <w:rPr>
          <w:rFonts w:cs="Arial"/>
          <w:szCs w:val="28"/>
          <w:lang w:val="fr-FR"/>
        </w:rPr>
        <w:t>lacunes potentielles.</w:t>
      </w:r>
    </w:p>
    <w:p w14:paraId="2F512B20" w14:textId="59072253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Un</w:t>
      </w:r>
      <w:r w:rsidR="00C6409C">
        <w:rPr>
          <w:lang w:val="fr-FR"/>
        </w:rPr>
        <w:t xml:space="preserve"> </w:t>
      </w:r>
      <w:r w:rsidRPr="003F3120">
        <w:rPr>
          <w:lang w:val="fr-FR"/>
        </w:rPr>
        <w:t>représentant a suggéré de mettre l</w:t>
      </w:r>
      <w:r w:rsidR="00FA5ADB">
        <w:rPr>
          <w:lang w:val="fr-FR"/>
        </w:rPr>
        <w:t>’</w:t>
      </w:r>
      <w:r w:rsidRPr="003F3120">
        <w:rPr>
          <w:lang w:val="fr-FR"/>
        </w:rPr>
        <w:t>accent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promotion de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 durable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espèces sauvages </w:t>
      </w:r>
      <w:r w:rsidR="005F31B8">
        <w:rPr>
          <w:lang w:val="fr-FR"/>
        </w:rPr>
        <w:t>pour conserver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habitats, ainsi que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développement rural comme alt</w:t>
      </w:r>
      <w:r w:rsidR="00C6409C">
        <w:rPr>
          <w:lang w:val="fr-FR"/>
        </w:rPr>
        <w:t>ernative à l</w:t>
      </w:r>
      <w:r w:rsidR="00FA5ADB">
        <w:rPr>
          <w:lang w:val="fr-FR"/>
        </w:rPr>
        <w:t>’</w:t>
      </w:r>
      <w:r w:rsidR="00C6409C">
        <w:rPr>
          <w:lang w:val="fr-FR"/>
        </w:rPr>
        <w:t>élevage de bétail.</w:t>
      </w:r>
    </w:p>
    <w:p w14:paraId="57F04450" w14:textId="68612A22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rFonts w:cs="Arial"/>
          <w:szCs w:val="28"/>
          <w:lang w:val="fr-FR"/>
        </w:rPr>
        <w:t>La coprésidente de l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évaluation méthodologique</w:t>
      </w:r>
      <w:r w:rsidR="007031E0">
        <w:rPr>
          <w:rFonts w:cs="Arial"/>
          <w:szCs w:val="28"/>
          <w:lang w:val="fr-FR"/>
        </w:rPr>
        <w:t xml:space="preserve"> des </w:t>
      </w:r>
      <w:r w:rsidRPr="003F3120">
        <w:rPr>
          <w:lang w:val="fr-FR"/>
        </w:rPr>
        <w:t>diverses conceptualisations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multiples valeurs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nature et de ses bienfaits, Mme Brigitte Baptiste, a précisé que l</w:t>
      </w:r>
      <w:r w:rsidR="00FA5ADB">
        <w:rPr>
          <w:lang w:val="fr-FR"/>
        </w:rPr>
        <w:t>’</w:t>
      </w:r>
      <w:r w:rsidRPr="003F3120">
        <w:rPr>
          <w:lang w:val="fr-FR"/>
        </w:rPr>
        <w:t>équipe d</w:t>
      </w:r>
      <w:r w:rsidR="00FA5ADB">
        <w:rPr>
          <w:lang w:val="fr-FR"/>
        </w:rPr>
        <w:t>’</w:t>
      </w:r>
      <w:r w:rsidRPr="003F3120">
        <w:rPr>
          <w:lang w:val="fr-FR"/>
        </w:rPr>
        <w:t>experts qui avait été sélectionné</w:t>
      </w:r>
      <w:r w:rsidR="00DD0232">
        <w:rPr>
          <w:lang w:val="fr-FR"/>
        </w:rPr>
        <w:t>e</w:t>
      </w:r>
      <w:r w:rsidRPr="003F3120">
        <w:rPr>
          <w:lang w:val="fr-FR"/>
        </w:rPr>
        <w:t xml:space="preserve"> respectait très </w:t>
      </w:r>
      <w:r w:rsidRPr="00EC6B3F">
        <w:rPr>
          <w:bCs/>
          <w:lang w:val="fr-FR"/>
        </w:rPr>
        <w:t>bien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>équilibre entre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sexes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régions et qu</w:t>
      </w:r>
      <w:r w:rsidR="00FA5ADB">
        <w:rPr>
          <w:lang w:val="fr-FR"/>
        </w:rPr>
        <w:t>’</w:t>
      </w:r>
      <w:r w:rsidRPr="003F3120">
        <w:rPr>
          <w:lang w:val="fr-FR"/>
        </w:rPr>
        <w:t>un examen externe devrait être lancé en juillet 2019 afin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résultats soient disponibles en vue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deuxième</w:t>
      </w:r>
      <w:r w:rsidR="00C6409C">
        <w:rPr>
          <w:lang w:val="fr-FR"/>
        </w:rPr>
        <w:t xml:space="preserve"> </w:t>
      </w:r>
      <w:r w:rsidRPr="003F3120">
        <w:rPr>
          <w:lang w:val="fr-FR"/>
        </w:rPr>
        <w:t>réunion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auteurs, </w:t>
      </w:r>
      <w:r w:rsidR="005F31B8">
        <w:rPr>
          <w:lang w:val="fr-FR"/>
        </w:rPr>
        <w:t>prévue</w:t>
      </w:r>
      <w:r w:rsidRPr="003F3120">
        <w:rPr>
          <w:lang w:val="fr-FR"/>
        </w:rPr>
        <w:t xml:space="preserve"> en octobre.</w:t>
      </w:r>
      <w:r w:rsidR="00FD5D6A">
        <w:rPr>
          <w:lang w:val="fr-FR"/>
        </w:rPr>
        <w:t xml:space="preserve"> </w:t>
      </w:r>
      <w:r w:rsidRPr="003F3120">
        <w:rPr>
          <w:lang w:val="fr-FR"/>
        </w:rPr>
        <w:t>Elle a expliqué que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dialogue avec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peuples autochtones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communautés locales avait jusqu</w:t>
      </w:r>
      <w:r w:rsidR="00FA5ADB">
        <w:rPr>
          <w:lang w:val="fr-FR"/>
        </w:rPr>
        <w:t>’</w:t>
      </w:r>
      <w:r w:rsidRPr="003F3120">
        <w:rPr>
          <w:lang w:val="fr-FR"/>
        </w:rPr>
        <w:t>à présent constitué un élément essentiel et que l</w:t>
      </w:r>
      <w:r w:rsidR="00FA5ADB">
        <w:rPr>
          <w:lang w:val="fr-FR"/>
        </w:rPr>
        <w:t>’</w:t>
      </w:r>
      <w:r w:rsidRPr="003F3120">
        <w:rPr>
          <w:lang w:val="fr-FR"/>
        </w:rPr>
        <w:t>objectif était de lancer un processus complet visant à élaborer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version préliminaire d</w:t>
      </w:r>
      <w:r w:rsidR="00FA5ADB">
        <w:rPr>
          <w:lang w:val="fr-FR"/>
        </w:rPr>
        <w:t>’</w:t>
      </w:r>
      <w:r w:rsidRPr="003F3120">
        <w:rPr>
          <w:lang w:val="fr-FR"/>
        </w:rPr>
        <w:t>un document qui refléterait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points de vue de toutes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parties prenantes. À cet effet,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participants ont unanimement demandé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experts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représentants de ces communautés participent à l</w:t>
      </w:r>
      <w:r w:rsidR="00FA5ADB">
        <w:rPr>
          <w:lang w:val="fr-FR"/>
        </w:rPr>
        <w:t>’</w:t>
      </w:r>
      <w:r w:rsidRPr="003F3120">
        <w:rPr>
          <w:lang w:val="fr-FR"/>
        </w:rPr>
        <w:t>ensemble du processus.</w:t>
      </w:r>
      <w:r w:rsidR="00FD5D6A">
        <w:rPr>
          <w:lang w:val="fr-FR"/>
        </w:rPr>
        <w:t xml:space="preserve"> </w:t>
      </w:r>
      <w:r w:rsidR="009D5158" w:rsidRPr="003F3120">
        <w:rPr>
          <w:lang w:val="fr-FR"/>
        </w:rPr>
        <w:t xml:space="preserve">Mme Baptiste </w:t>
      </w:r>
      <w:r w:rsidRPr="003F3120">
        <w:rPr>
          <w:lang w:val="fr-FR"/>
        </w:rPr>
        <w:t>a ajouté qu</w:t>
      </w:r>
      <w:r w:rsidR="00FA5ADB">
        <w:rPr>
          <w:lang w:val="fr-FR"/>
        </w:rPr>
        <w:t>’</w:t>
      </w:r>
      <w:r w:rsidRPr="003F3120">
        <w:rPr>
          <w:lang w:val="fr-FR"/>
        </w:rPr>
        <w:t>actuellement,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discussions mettaient l</w:t>
      </w:r>
      <w:r w:rsidR="00FA5ADB">
        <w:rPr>
          <w:lang w:val="fr-FR"/>
        </w:rPr>
        <w:t>’</w:t>
      </w:r>
      <w:r w:rsidRPr="003F3120">
        <w:rPr>
          <w:lang w:val="fr-FR"/>
        </w:rPr>
        <w:t>accent, entre autres, sur une définition conceptualisée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nature, de ses multiples valeurs et de ses bienfaits, en tenant compte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vaste gamme d</w:t>
      </w:r>
      <w:r w:rsidR="00FA5ADB">
        <w:rPr>
          <w:lang w:val="fr-FR"/>
        </w:rPr>
        <w:t>’</w:t>
      </w:r>
      <w:r w:rsidRPr="003F3120">
        <w:rPr>
          <w:lang w:val="fr-FR"/>
        </w:rPr>
        <w:t>opinions exprimées par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parties prenantes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groupes d</w:t>
      </w:r>
      <w:r w:rsidR="00FA5ADB">
        <w:rPr>
          <w:lang w:val="fr-FR"/>
        </w:rPr>
        <w:t>’</w:t>
      </w:r>
      <w:r w:rsidRPr="003F3120">
        <w:rPr>
          <w:lang w:val="fr-FR"/>
        </w:rPr>
        <w:t>intérêt, s</w:t>
      </w:r>
      <w:r w:rsidR="00FA5ADB">
        <w:rPr>
          <w:lang w:val="fr-FR"/>
        </w:rPr>
        <w:t>’</w:t>
      </w:r>
      <w:r w:rsidRPr="003F3120">
        <w:rPr>
          <w:lang w:val="fr-FR"/>
        </w:rPr>
        <w:t>agissant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relation entre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nature et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société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sur une typologie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groupes d</w:t>
      </w:r>
      <w:r w:rsidR="00FA5ADB">
        <w:rPr>
          <w:lang w:val="fr-FR"/>
        </w:rPr>
        <w:t>’</w:t>
      </w:r>
      <w:r w:rsidRPr="003F3120">
        <w:rPr>
          <w:lang w:val="fr-FR"/>
        </w:rPr>
        <w:t>intérêt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ainsi que sur une</w:t>
      </w:r>
      <w:r w:rsidR="007E024D">
        <w:rPr>
          <w:lang w:val="fr-FR"/>
        </w:rPr>
        <w:t> </w:t>
      </w:r>
      <w:r w:rsidRPr="003F3120">
        <w:rPr>
          <w:lang w:val="fr-FR"/>
        </w:rPr>
        <w:t>approche claire en matière de renforcement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capacités, qui serait principalement axée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opinions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peuples autochtones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communautés locales et qui éviterait toute imposition d</w:t>
      </w:r>
      <w:r w:rsidR="00FA5ADB">
        <w:rPr>
          <w:lang w:val="fr-FR"/>
        </w:rPr>
        <w:t>’</w:t>
      </w:r>
      <w:r w:rsidRPr="003F3120">
        <w:rPr>
          <w:lang w:val="fr-FR"/>
        </w:rPr>
        <w:t>un</w:t>
      </w:r>
      <w:r w:rsidR="007E024D">
        <w:rPr>
          <w:lang w:val="fr-FR"/>
        </w:rPr>
        <w:t> </w:t>
      </w:r>
      <w:r w:rsidRPr="003F3120">
        <w:rPr>
          <w:lang w:val="fr-FR"/>
        </w:rPr>
        <w:t>processus descendant de transfert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connaissances.</w:t>
      </w:r>
    </w:p>
    <w:p w14:paraId="37799B29" w14:textId="52771A40" w:rsidR="0077408A" w:rsidRPr="003F3120" w:rsidRDefault="0077408A" w:rsidP="00ED6939">
      <w:pPr>
        <w:pStyle w:val="Normalnumber"/>
        <w:rPr>
          <w:rFonts w:cs="Arial"/>
          <w:szCs w:val="28"/>
          <w:lang w:val="fr-FR"/>
        </w:rPr>
      </w:pPr>
      <w:r w:rsidRPr="003F3120">
        <w:rPr>
          <w:lang w:val="fr-FR"/>
        </w:rPr>
        <w:t>La Plénière a pris note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informations communiquées et s</w:t>
      </w:r>
      <w:r w:rsidR="00FA5ADB">
        <w:rPr>
          <w:lang w:val="fr-FR"/>
        </w:rPr>
        <w:t>’</w:t>
      </w:r>
      <w:r w:rsidRPr="003F3120">
        <w:rPr>
          <w:lang w:val="fr-FR"/>
        </w:rPr>
        <w:t>est félicitée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travaux menés. Elle a décidé d</w:t>
      </w:r>
      <w:r w:rsidR="00FA5ADB">
        <w:rPr>
          <w:lang w:val="fr-FR"/>
        </w:rPr>
        <w:t>’</w:t>
      </w:r>
      <w:r w:rsidRPr="003F3120">
        <w:rPr>
          <w:lang w:val="fr-FR"/>
        </w:rPr>
        <w:t>examiner toutes</w:t>
      </w:r>
      <w:r w:rsidR="007031E0">
        <w:rPr>
          <w:lang w:val="fr-FR"/>
        </w:rPr>
        <w:t xml:space="preserve"> les </w:t>
      </w:r>
      <w:r w:rsidRPr="00EC6B3F">
        <w:rPr>
          <w:bCs/>
          <w:lang w:val="fr-FR"/>
        </w:rPr>
        <w:t>expériences</w:t>
      </w:r>
      <w:r w:rsidRPr="003F3120">
        <w:rPr>
          <w:lang w:val="fr-FR"/>
        </w:rPr>
        <w:t xml:space="preserve"> et tous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enseignements tirés lors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réunions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groupes de travail qui devr</w:t>
      </w:r>
      <w:r w:rsidR="005F31B8">
        <w:rPr>
          <w:lang w:val="fr-FR"/>
        </w:rPr>
        <w:t>aie</w:t>
      </w:r>
      <w:r w:rsidRPr="003F3120">
        <w:rPr>
          <w:lang w:val="fr-FR"/>
        </w:rPr>
        <w:t>nt être établis pour étudier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points </w:t>
      </w:r>
      <w:r w:rsidRPr="003F3120">
        <w:rPr>
          <w:rFonts w:cs="Arial"/>
          <w:szCs w:val="28"/>
          <w:lang w:val="fr-FR"/>
        </w:rPr>
        <w:t>8 (Examen de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Plateforme à</w:t>
      </w:r>
      <w:r w:rsidR="007E024D">
        <w:rPr>
          <w:rFonts w:cs="Arial"/>
          <w:szCs w:val="28"/>
          <w:lang w:val="fr-FR"/>
        </w:rPr>
        <w:t> </w:t>
      </w:r>
      <w:r w:rsidRPr="003F3120">
        <w:rPr>
          <w:rFonts w:cs="Arial"/>
          <w:szCs w:val="28"/>
          <w:lang w:val="fr-FR"/>
        </w:rPr>
        <w:t>l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issue de son premier programme de travail) et 9 (Prochain programme de travail de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Plateforme) de l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ordre du jour.</w:t>
      </w:r>
    </w:p>
    <w:p w14:paraId="4F425587" w14:textId="1593E5CD" w:rsidR="0077408A" w:rsidRPr="003F3120" w:rsidRDefault="007E024D" w:rsidP="007E024D">
      <w:pPr>
        <w:pStyle w:val="CH1"/>
        <w:rPr>
          <w:rFonts w:eastAsia="SimSun"/>
          <w:lang w:val="fr-FR"/>
        </w:rPr>
      </w:pPr>
      <w:r>
        <w:rPr>
          <w:lang w:val="fr-FR"/>
        </w:rPr>
        <w:tab/>
        <w:t>VI.</w:t>
      </w:r>
      <w:r>
        <w:rPr>
          <w:lang w:val="fr-FR"/>
        </w:rPr>
        <w:tab/>
      </w:r>
      <w:r w:rsidR="0077408A" w:rsidRPr="003F3120">
        <w:rPr>
          <w:lang w:val="fr-FR"/>
        </w:rPr>
        <w:t>Évaluation mondiale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 xml:space="preserve">services </w:t>
      </w:r>
      <w:r w:rsidR="0077408A" w:rsidRPr="007E024D">
        <w:t>écosystémiques</w:t>
      </w:r>
    </w:p>
    <w:p w14:paraId="3ED7E985" w14:textId="31C90451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Présentant ce point,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Président a appelé l</w:t>
      </w:r>
      <w:r w:rsidR="00FA5ADB">
        <w:rPr>
          <w:lang w:val="fr-FR"/>
        </w:rPr>
        <w:t>’</w:t>
      </w:r>
      <w:r w:rsidRPr="003F3120">
        <w:rPr>
          <w:lang w:val="fr-FR"/>
        </w:rPr>
        <w:t>attention</w:t>
      </w:r>
      <w:r w:rsidR="007031E0">
        <w:rPr>
          <w:lang w:val="fr-FR"/>
        </w:rPr>
        <w:t xml:space="preserve"> des </w:t>
      </w:r>
      <w:r w:rsidR="005F31B8">
        <w:rPr>
          <w:lang w:val="fr-FR"/>
        </w:rPr>
        <w:t xml:space="preserve">participants </w:t>
      </w:r>
      <w:r w:rsidRPr="003F3120">
        <w:rPr>
          <w:lang w:val="fr-FR"/>
        </w:rPr>
        <w:t>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résumé à l</w:t>
      </w:r>
      <w:r w:rsidR="00FA5ADB">
        <w:rPr>
          <w:lang w:val="fr-FR"/>
        </w:rPr>
        <w:t>’</w:t>
      </w:r>
      <w:r w:rsidRPr="003F3120">
        <w:rPr>
          <w:lang w:val="fr-FR"/>
        </w:rPr>
        <w:t>intention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décideurs de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mondiale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services écosystémiques (IPBES/7/3),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chapitres de cette évaluation (IPBES/7/INF/1) et l</w:t>
      </w:r>
      <w:r w:rsidR="00FA5ADB">
        <w:rPr>
          <w:lang w:val="fr-FR"/>
        </w:rPr>
        <w:t>’</w:t>
      </w:r>
      <w:r w:rsidRPr="003F3120">
        <w:rPr>
          <w:lang w:val="fr-FR"/>
        </w:rPr>
        <w:t>aperçu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procédure suivie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produire (IPBES/7/INF/2). Il a exprimé sa profonde gratitude aux coprésidents de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pour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temps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dévouement qu</w:t>
      </w:r>
      <w:r w:rsidR="00FA5ADB">
        <w:rPr>
          <w:lang w:val="fr-FR"/>
        </w:rPr>
        <w:t>’</w:t>
      </w:r>
      <w:r w:rsidRPr="003F3120">
        <w:rPr>
          <w:lang w:val="fr-FR"/>
        </w:rPr>
        <w:t>ils avaient apportés à celle-ci au cours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trois dernières années, remerciant </w:t>
      </w:r>
      <w:r w:rsidRPr="003F3120">
        <w:rPr>
          <w:lang w:val="fr-FR"/>
        </w:rPr>
        <w:lastRenderedPageBreak/>
        <w:t>également, par leur intermédiaire,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nombreux experts qui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avaient</w:t>
      </w:r>
      <w:r w:rsidR="005F31B8">
        <w:rPr>
          <w:lang w:val="fr-FR"/>
        </w:rPr>
        <w:t xml:space="preserve"> aussi</w:t>
      </w:r>
      <w:r w:rsidRPr="003F3120">
        <w:rPr>
          <w:lang w:val="fr-FR"/>
        </w:rPr>
        <w:t xml:space="preserve"> consacré bénévolement du temps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efforts </w:t>
      </w:r>
      <w:r w:rsidR="005F31B8">
        <w:rPr>
          <w:lang w:val="fr-FR"/>
        </w:rPr>
        <w:t>considérables</w:t>
      </w:r>
      <w:r w:rsidRPr="003F3120">
        <w:rPr>
          <w:lang w:val="fr-FR"/>
        </w:rPr>
        <w:t>.</w:t>
      </w:r>
    </w:p>
    <w:p w14:paraId="7C26661C" w14:textId="371188F1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 xml:space="preserve">La Plénière a décidé de créer un </w:t>
      </w:r>
      <w:r w:rsidRPr="00EC6B3F">
        <w:rPr>
          <w:bCs/>
          <w:lang w:val="fr-FR"/>
        </w:rPr>
        <w:t>groupe</w:t>
      </w:r>
      <w:r w:rsidRPr="003F3120">
        <w:rPr>
          <w:lang w:val="fr-FR"/>
        </w:rPr>
        <w:t xml:space="preserve"> de travail pour finaliser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résumé à l</w:t>
      </w:r>
      <w:r w:rsidR="00FA5ADB">
        <w:rPr>
          <w:lang w:val="fr-FR"/>
        </w:rPr>
        <w:t>’</w:t>
      </w:r>
      <w:r w:rsidRPr="003F3120">
        <w:rPr>
          <w:lang w:val="fr-FR"/>
        </w:rPr>
        <w:t>intention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décideurs afin qu</w:t>
      </w:r>
      <w:r w:rsidR="00FA5ADB">
        <w:rPr>
          <w:lang w:val="fr-FR"/>
        </w:rPr>
        <w:t>’</w:t>
      </w:r>
      <w:r w:rsidRPr="003F3120">
        <w:rPr>
          <w:lang w:val="fr-FR"/>
        </w:rPr>
        <w:t>elle puisse l</w:t>
      </w:r>
      <w:r w:rsidR="00FA5ADB">
        <w:rPr>
          <w:lang w:val="fr-FR"/>
        </w:rPr>
        <w:t>’</w:t>
      </w:r>
      <w:r w:rsidRPr="003F3120">
        <w:rPr>
          <w:lang w:val="fr-FR"/>
        </w:rPr>
        <w:t>approuver. Ce groupe serait initialement coprésidé par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Président et M. Asghar Fazel (République islamique d</w:t>
      </w:r>
      <w:r w:rsidR="00FA5ADB">
        <w:rPr>
          <w:lang w:val="fr-FR"/>
        </w:rPr>
        <w:t>’</w:t>
      </w:r>
      <w:r w:rsidRPr="003F3120">
        <w:rPr>
          <w:lang w:val="fr-FR"/>
        </w:rPr>
        <w:t>Iran) et,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suite, par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Président et M. Youngbae Suh (République de Corée).</w:t>
      </w:r>
    </w:p>
    <w:p w14:paraId="26041281" w14:textId="66F1EE8A" w:rsidR="006C63F7" w:rsidRPr="003F3120" w:rsidRDefault="00992CEE" w:rsidP="00ED6939">
      <w:pPr>
        <w:pStyle w:val="Normalnumber"/>
        <w:rPr>
          <w:rFonts w:eastAsia="MS Mincho" w:cs="Arial"/>
          <w:szCs w:val="28"/>
          <w:lang w:val="fr-FR"/>
        </w:rPr>
      </w:pPr>
      <w:bookmarkStart w:id="46" w:name="_DV_C139"/>
      <w:bookmarkStart w:id="47" w:name="_DV_C140"/>
      <w:r>
        <w:rPr>
          <w:lang w:val="fr-FR"/>
        </w:rPr>
        <w:t>En</w:t>
      </w:r>
      <w:r w:rsidR="006C63F7" w:rsidRPr="003F3120">
        <w:rPr>
          <w:lang w:val="fr-FR"/>
        </w:rPr>
        <w:t>suite,</w:t>
      </w:r>
      <w:r w:rsidR="007031E0">
        <w:rPr>
          <w:lang w:val="fr-FR"/>
        </w:rPr>
        <w:t xml:space="preserve"> le </w:t>
      </w:r>
      <w:r w:rsidR="006C63F7" w:rsidRPr="003F3120">
        <w:rPr>
          <w:lang w:val="fr-FR"/>
        </w:rPr>
        <w:t>Président a présenté</w:t>
      </w:r>
      <w:r w:rsidR="007031E0">
        <w:rPr>
          <w:lang w:val="fr-FR"/>
        </w:rPr>
        <w:t xml:space="preserve"> les </w:t>
      </w:r>
      <w:r w:rsidR="006C63F7" w:rsidRPr="003F3120">
        <w:rPr>
          <w:lang w:val="fr-FR"/>
        </w:rPr>
        <w:t>résultats</w:t>
      </w:r>
      <w:r w:rsidR="007031E0">
        <w:rPr>
          <w:lang w:val="fr-FR"/>
        </w:rPr>
        <w:t xml:space="preserve"> des </w:t>
      </w:r>
      <w:r w:rsidR="006C63F7" w:rsidRPr="003F3120">
        <w:rPr>
          <w:lang w:val="fr-FR"/>
        </w:rPr>
        <w:t>travaux du groupe de travail</w:t>
      </w:r>
      <w:r w:rsidR="00FD5D6A">
        <w:rPr>
          <w:lang w:val="fr-FR"/>
        </w:rPr>
        <w:t> :</w:t>
      </w:r>
      <w:r w:rsidR="007031E0">
        <w:rPr>
          <w:lang w:val="fr-FR"/>
        </w:rPr>
        <w:t xml:space="preserve"> les </w:t>
      </w:r>
      <w:r w:rsidR="006C63F7" w:rsidRPr="003F3120">
        <w:rPr>
          <w:lang w:val="fr-FR"/>
        </w:rPr>
        <w:t>principaux messages du résumé à l</w:t>
      </w:r>
      <w:r w:rsidR="00FA5ADB">
        <w:rPr>
          <w:lang w:val="fr-FR"/>
        </w:rPr>
        <w:t>’</w:t>
      </w:r>
      <w:r w:rsidR="006C63F7" w:rsidRPr="003F3120">
        <w:rPr>
          <w:lang w:val="fr-FR"/>
        </w:rPr>
        <w:t>intention</w:t>
      </w:r>
      <w:r w:rsidR="007031E0">
        <w:rPr>
          <w:lang w:val="fr-FR"/>
        </w:rPr>
        <w:t xml:space="preserve"> des </w:t>
      </w:r>
      <w:r w:rsidR="006C63F7" w:rsidRPr="003F3120">
        <w:rPr>
          <w:lang w:val="fr-FR"/>
        </w:rPr>
        <w:t>décideurs (IPBES/7/L.4),</w:t>
      </w:r>
      <w:r w:rsidR="007031E0">
        <w:rPr>
          <w:lang w:val="fr-FR"/>
        </w:rPr>
        <w:t xml:space="preserve"> les </w:t>
      </w:r>
      <w:r w:rsidR="006C63F7" w:rsidRPr="003F3120">
        <w:rPr>
          <w:lang w:val="fr-FR"/>
        </w:rPr>
        <w:t xml:space="preserve">informations générales </w:t>
      </w:r>
      <w:r>
        <w:rPr>
          <w:lang w:val="fr-FR"/>
        </w:rPr>
        <w:br/>
      </w:r>
      <w:r w:rsidR="006C63F7" w:rsidRPr="003F3120">
        <w:rPr>
          <w:lang w:val="fr-FR"/>
        </w:rPr>
        <w:t>sous-tendant ces messages (IPBES/7/L.4/Add.1),</w:t>
      </w:r>
      <w:r w:rsidR="007031E0">
        <w:rPr>
          <w:lang w:val="fr-FR"/>
        </w:rPr>
        <w:t xml:space="preserve"> les </w:t>
      </w:r>
      <w:r w:rsidR="006C63F7" w:rsidRPr="003F3120">
        <w:rPr>
          <w:lang w:val="fr-FR"/>
        </w:rPr>
        <w:t>chiffres con</w:t>
      </w:r>
      <w:r w:rsidR="00DD0232">
        <w:rPr>
          <w:lang w:val="fr-FR"/>
        </w:rPr>
        <w:t>nexes (IPBES/7/L.4/Add.2) et un </w:t>
      </w:r>
      <w:r w:rsidR="006C63F7" w:rsidRPr="003F3120">
        <w:rPr>
          <w:lang w:val="fr-FR"/>
        </w:rPr>
        <w:t>tableau indiquant</w:t>
      </w:r>
      <w:r w:rsidR="007031E0">
        <w:rPr>
          <w:lang w:val="fr-FR"/>
        </w:rPr>
        <w:t xml:space="preserve"> les </w:t>
      </w:r>
      <w:r w:rsidR="006C63F7" w:rsidRPr="003F3120">
        <w:rPr>
          <w:lang w:val="fr-FR"/>
        </w:rPr>
        <w:t>lacunes en matière de connaissances (IPBES/7/L.4/Add.3).</w:t>
      </w:r>
      <w:bookmarkEnd w:id="46"/>
    </w:p>
    <w:bookmarkEnd w:id="47"/>
    <w:p w14:paraId="0FDF5338" w14:textId="29112447" w:rsidR="00B76887" w:rsidRPr="003F3120" w:rsidRDefault="006C63F7" w:rsidP="00ED6939">
      <w:pPr>
        <w:pStyle w:val="Normalnumber"/>
        <w:rPr>
          <w:rFonts w:eastAsia="MS Mincho" w:cs="Arial"/>
          <w:szCs w:val="28"/>
          <w:lang w:val="fr-FR"/>
        </w:rPr>
      </w:pPr>
      <w:r w:rsidRPr="003F3120">
        <w:rPr>
          <w:lang w:val="fr-FR"/>
        </w:rPr>
        <w:t>Le représentant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Turquie a déclaré que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Gouvernement de son pays approuverait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résumé à l</w:t>
      </w:r>
      <w:r w:rsidR="00FA5ADB">
        <w:rPr>
          <w:lang w:val="fr-FR"/>
        </w:rPr>
        <w:t>’</w:t>
      </w:r>
      <w:r w:rsidRPr="003F3120">
        <w:rPr>
          <w:lang w:val="fr-FR"/>
        </w:rPr>
        <w:t>intention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décideurs et accepterait ses différents chapitres et leurs résumés analytiques, étant entendu que cette </w:t>
      </w:r>
      <w:r w:rsidRPr="00EC6B3F">
        <w:rPr>
          <w:bCs/>
          <w:lang w:val="fr-FR"/>
        </w:rPr>
        <w:t>décision</w:t>
      </w:r>
      <w:r w:rsidRPr="003F3120">
        <w:rPr>
          <w:lang w:val="fr-FR"/>
        </w:rPr>
        <w:t xml:space="preserve"> ne devait pas être interprétée comme un changement dans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position juridique de son pays à l</w:t>
      </w:r>
      <w:r w:rsidR="00FA5ADB">
        <w:rPr>
          <w:lang w:val="fr-FR"/>
        </w:rPr>
        <w:t>’</w:t>
      </w:r>
      <w:r w:rsidRPr="003F3120">
        <w:rPr>
          <w:lang w:val="fr-FR"/>
        </w:rPr>
        <w:t>égard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accords, conventions et instruments internationaux.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mondiale, a-t-il souligné, devait servir à fournir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orientations fondées sur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données factuelles et ne revêtait pas un caractère prescriptif</w:t>
      </w:r>
      <w:bookmarkStart w:id="48" w:name="_DV_C142"/>
      <w:r w:rsidR="00C6409C">
        <w:rPr>
          <w:lang w:val="fr-FR"/>
        </w:rPr>
        <w:t>.</w:t>
      </w:r>
    </w:p>
    <w:p w14:paraId="05883322" w14:textId="5A7DDD3C" w:rsidR="00B76887" w:rsidRPr="003F3120" w:rsidRDefault="006C63F7" w:rsidP="00ED6939">
      <w:pPr>
        <w:pStyle w:val="Normalnumber"/>
        <w:rPr>
          <w:rFonts w:eastAsia="MS Mincho" w:cs="Arial"/>
          <w:szCs w:val="28"/>
          <w:lang w:val="fr-FR"/>
        </w:rPr>
      </w:pPr>
      <w:bookmarkStart w:id="49" w:name="_DV_C143"/>
      <w:bookmarkStart w:id="50" w:name="_DV_C144"/>
      <w:bookmarkEnd w:id="48"/>
      <w:r w:rsidRPr="003F3120">
        <w:rPr>
          <w:lang w:val="fr-FR"/>
        </w:rPr>
        <w:t>La Plénière a approuvé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résumé à l</w:t>
      </w:r>
      <w:r w:rsidR="00FA5ADB">
        <w:rPr>
          <w:lang w:val="fr-FR"/>
        </w:rPr>
        <w:t>’</w:t>
      </w:r>
      <w:r w:rsidRPr="003F3120">
        <w:rPr>
          <w:lang w:val="fr-FR"/>
        </w:rPr>
        <w:t>intention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décideurs de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mondiale et accepté ses différents chapitres et leurs résumés analytiques, étant entendu que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secrétariat réviserait ensuite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chapitres de sorte qu</w:t>
      </w:r>
      <w:r w:rsidR="00FA5ADB">
        <w:rPr>
          <w:lang w:val="fr-FR"/>
        </w:rPr>
        <w:t>’</w:t>
      </w:r>
      <w:r w:rsidRPr="003F3120">
        <w:rPr>
          <w:lang w:val="fr-FR"/>
        </w:rPr>
        <w:t>ils soient cohérents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résumé à l</w:t>
      </w:r>
      <w:r w:rsidR="00FA5ADB">
        <w:rPr>
          <w:lang w:val="fr-FR"/>
        </w:rPr>
        <w:t>’</w:t>
      </w:r>
      <w:r w:rsidRPr="003F3120">
        <w:rPr>
          <w:lang w:val="fr-FR"/>
        </w:rPr>
        <w:t>intention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décideurs tel qu</w:t>
      </w:r>
      <w:r w:rsidR="00FA5ADB">
        <w:rPr>
          <w:lang w:val="fr-FR"/>
        </w:rPr>
        <w:t>’</w:t>
      </w:r>
      <w:r w:rsidRPr="003F3120">
        <w:rPr>
          <w:lang w:val="fr-FR"/>
        </w:rPr>
        <w:t>approuvé.</w:t>
      </w:r>
      <w:bookmarkEnd w:id="49"/>
    </w:p>
    <w:p w14:paraId="551E6423" w14:textId="2699B7A9" w:rsidR="00B76887" w:rsidRPr="003F3120" w:rsidRDefault="006C63F7" w:rsidP="00ED6939">
      <w:pPr>
        <w:pStyle w:val="Normalnumber"/>
        <w:rPr>
          <w:rFonts w:eastAsia="MS Mincho" w:cs="Arial"/>
          <w:szCs w:val="28"/>
          <w:lang w:val="fr-FR"/>
        </w:rPr>
      </w:pPr>
      <w:bookmarkStart w:id="51" w:name="_DV_C145"/>
      <w:bookmarkEnd w:id="50"/>
      <w:r w:rsidRPr="003F3120">
        <w:rPr>
          <w:lang w:val="fr-FR"/>
        </w:rPr>
        <w:t>Comme suite à cette décision,</w:t>
      </w:r>
      <w:r w:rsidR="007031E0">
        <w:rPr>
          <w:lang w:val="fr-FR"/>
        </w:rPr>
        <w:t xml:space="preserve"> la </w:t>
      </w:r>
      <w:r w:rsidRPr="00EC6B3F">
        <w:rPr>
          <w:bCs/>
          <w:lang w:val="fr-FR"/>
        </w:rPr>
        <w:t>Secrétaire</w:t>
      </w:r>
      <w:r w:rsidRPr="003F3120">
        <w:rPr>
          <w:lang w:val="fr-FR"/>
        </w:rPr>
        <w:t xml:space="preserve"> exécutive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Convention s</w:t>
      </w:r>
      <w:r w:rsidR="00C6409C">
        <w:rPr>
          <w:lang w:val="fr-FR"/>
        </w:rPr>
        <w:t>ur</w:t>
      </w:r>
      <w:r w:rsidR="007031E0">
        <w:rPr>
          <w:lang w:val="fr-FR"/>
        </w:rPr>
        <w:t xml:space="preserve"> la </w:t>
      </w:r>
      <w:r w:rsidR="00C6409C">
        <w:rPr>
          <w:lang w:val="fr-FR"/>
        </w:rPr>
        <w:t>diversité biologique, Mme </w:t>
      </w:r>
      <w:r w:rsidRPr="003F3120">
        <w:rPr>
          <w:lang w:val="fr-FR"/>
        </w:rPr>
        <w:t>Cristiana Pașca Palmer, a fait une déclaration.</w:t>
      </w:r>
      <w:bookmarkEnd w:id="51"/>
    </w:p>
    <w:p w14:paraId="6993E78E" w14:textId="157D4446" w:rsidR="0077408A" w:rsidRPr="003F3120" w:rsidRDefault="007E024D" w:rsidP="007E024D">
      <w:pPr>
        <w:pStyle w:val="CH1"/>
        <w:rPr>
          <w:lang w:val="fr-FR"/>
        </w:rPr>
      </w:pPr>
      <w:r>
        <w:tab/>
        <w:t>VII.</w:t>
      </w:r>
      <w:r>
        <w:tab/>
      </w:r>
      <w:r w:rsidR="0077408A" w:rsidRPr="007E024D">
        <w:t>Dispositifs</w:t>
      </w:r>
      <w:r w:rsidR="0077408A" w:rsidRPr="003F3120">
        <w:rPr>
          <w:lang w:val="fr-FR"/>
        </w:rPr>
        <w:t xml:space="preserve"> financiers et budgétaires pour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</w:t>
      </w:r>
    </w:p>
    <w:p w14:paraId="6A272A52" w14:textId="33DB88C8" w:rsidR="0077408A" w:rsidRPr="003F3120" w:rsidRDefault="0077408A" w:rsidP="00ED6939">
      <w:pPr>
        <w:pStyle w:val="Normalnumber"/>
        <w:rPr>
          <w:rFonts w:cs="Arial"/>
          <w:szCs w:val="28"/>
          <w:lang w:val="fr-FR"/>
        </w:rPr>
      </w:pPr>
      <w:r w:rsidRPr="003F3120">
        <w:rPr>
          <w:rFonts w:cs="Arial"/>
          <w:szCs w:val="28"/>
          <w:lang w:val="fr-FR"/>
        </w:rPr>
        <w:t>Présentant ce point,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Secrétaire exécutive a exposé</w:t>
      </w:r>
      <w:r w:rsidR="007031E0">
        <w:rPr>
          <w:rFonts w:cs="Arial"/>
          <w:szCs w:val="28"/>
          <w:lang w:val="fr-FR"/>
        </w:rPr>
        <w:t xml:space="preserve"> les </w:t>
      </w:r>
      <w:r w:rsidRPr="003F3120">
        <w:rPr>
          <w:rFonts w:cs="Arial"/>
          <w:szCs w:val="28"/>
          <w:lang w:val="fr-FR"/>
        </w:rPr>
        <w:t>informat</w:t>
      </w:r>
      <w:r w:rsidR="00D67B3F">
        <w:rPr>
          <w:rFonts w:cs="Arial"/>
          <w:szCs w:val="28"/>
          <w:lang w:val="fr-FR"/>
        </w:rPr>
        <w:t>ions présentées dans</w:t>
      </w:r>
      <w:r w:rsidR="007031E0">
        <w:rPr>
          <w:rFonts w:cs="Arial"/>
          <w:szCs w:val="28"/>
          <w:lang w:val="fr-FR"/>
        </w:rPr>
        <w:t xml:space="preserve"> la </w:t>
      </w:r>
      <w:r w:rsidR="00D67B3F">
        <w:rPr>
          <w:rFonts w:cs="Arial"/>
          <w:szCs w:val="28"/>
          <w:lang w:val="fr-FR"/>
        </w:rPr>
        <w:t>note du </w:t>
      </w:r>
      <w:r w:rsidRPr="003F3120">
        <w:rPr>
          <w:rFonts w:cs="Arial"/>
          <w:szCs w:val="28"/>
          <w:lang w:val="fr-FR"/>
        </w:rPr>
        <w:t>secrétariat sur</w:t>
      </w:r>
      <w:r w:rsidR="007031E0">
        <w:rPr>
          <w:rFonts w:cs="Arial"/>
          <w:szCs w:val="28"/>
          <w:lang w:val="fr-FR"/>
        </w:rPr>
        <w:t xml:space="preserve"> les </w:t>
      </w:r>
      <w:r w:rsidRPr="00EC6B3F">
        <w:rPr>
          <w:bCs/>
          <w:lang w:val="fr-FR"/>
        </w:rPr>
        <w:t>dispositifs</w:t>
      </w:r>
      <w:r w:rsidRPr="003F3120">
        <w:rPr>
          <w:rFonts w:cs="Arial"/>
          <w:szCs w:val="28"/>
          <w:lang w:val="fr-FR"/>
        </w:rPr>
        <w:t xml:space="preserve"> financiers et budgétaires pour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Plateforme (IPBES/7/4).</w:t>
      </w:r>
    </w:p>
    <w:p w14:paraId="7B8F6FAA" w14:textId="4502CAE1" w:rsidR="0077408A" w:rsidRPr="003F3120" w:rsidRDefault="0077408A" w:rsidP="00ED6939">
      <w:pPr>
        <w:pStyle w:val="Normalnumber"/>
        <w:rPr>
          <w:rFonts w:cs="Arial"/>
          <w:szCs w:val="28"/>
          <w:lang w:val="fr-FR"/>
        </w:rPr>
      </w:pPr>
      <w:r w:rsidRPr="003F3120">
        <w:rPr>
          <w:rFonts w:cs="Arial"/>
          <w:szCs w:val="28"/>
          <w:lang w:val="fr-FR"/>
        </w:rPr>
        <w:t>Le Président a remercié</w:t>
      </w:r>
      <w:r w:rsidR="007031E0">
        <w:rPr>
          <w:rFonts w:cs="Arial"/>
          <w:szCs w:val="28"/>
          <w:lang w:val="fr-FR"/>
        </w:rPr>
        <w:t xml:space="preserve"> les </w:t>
      </w:r>
      <w:r w:rsidRPr="003F3120">
        <w:rPr>
          <w:rFonts w:cs="Arial"/>
          <w:szCs w:val="28"/>
          <w:lang w:val="fr-FR"/>
        </w:rPr>
        <w:t>pays qui avaient versé</w:t>
      </w:r>
      <w:r w:rsidR="007031E0">
        <w:rPr>
          <w:rFonts w:cs="Arial"/>
          <w:szCs w:val="28"/>
          <w:lang w:val="fr-FR"/>
        </w:rPr>
        <w:t xml:space="preserve"> des </w:t>
      </w:r>
      <w:r w:rsidRPr="003F3120">
        <w:rPr>
          <w:rFonts w:cs="Arial"/>
          <w:szCs w:val="28"/>
          <w:lang w:val="fr-FR"/>
        </w:rPr>
        <w:t>contributions au Fonds d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 xml:space="preserve">affectation spéciale et fourni un appui en </w:t>
      </w:r>
      <w:r w:rsidRPr="00EC6B3F">
        <w:rPr>
          <w:bCs/>
          <w:lang w:val="fr-FR"/>
        </w:rPr>
        <w:t>nature</w:t>
      </w:r>
      <w:r w:rsidRPr="003F3120">
        <w:rPr>
          <w:rFonts w:cs="Arial"/>
          <w:szCs w:val="28"/>
          <w:lang w:val="fr-FR"/>
        </w:rPr>
        <w:t xml:space="preserve"> ou autre à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Plateforme, ainsi que</w:t>
      </w:r>
      <w:r w:rsidR="007031E0">
        <w:rPr>
          <w:rFonts w:cs="Arial"/>
          <w:szCs w:val="28"/>
          <w:lang w:val="fr-FR"/>
        </w:rPr>
        <w:t xml:space="preserve"> les </w:t>
      </w:r>
      <w:r w:rsidRPr="003F3120">
        <w:rPr>
          <w:rFonts w:cs="Arial"/>
          <w:szCs w:val="28"/>
          <w:lang w:val="fr-FR"/>
        </w:rPr>
        <w:t>nombreux experts du monde entier qui avaient gracieusement consacré du temps aux travaux de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Plateforme, et a encouragé l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annonce de contributions supplémentaires au Fonds d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affectation spéciale.</w:t>
      </w:r>
    </w:p>
    <w:p w14:paraId="48BBD1D5" w14:textId="4AD7A03A" w:rsidR="0077408A" w:rsidRPr="003F3120" w:rsidRDefault="0077408A" w:rsidP="00ED6939">
      <w:pPr>
        <w:pStyle w:val="Normalnumber"/>
        <w:rPr>
          <w:rFonts w:cs="Arial"/>
          <w:szCs w:val="28"/>
          <w:lang w:val="fr-FR"/>
        </w:rPr>
      </w:pPr>
      <w:r w:rsidRPr="003F3120">
        <w:rPr>
          <w:rFonts w:cs="Arial"/>
          <w:szCs w:val="28"/>
          <w:lang w:val="fr-FR"/>
        </w:rPr>
        <w:t>Plusieurs représentants ont fourni</w:t>
      </w:r>
      <w:r w:rsidR="007031E0">
        <w:rPr>
          <w:rFonts w:cs="Arial"/>
          <w:szCs w:val="28"/>
          <w:lang w:val="fr-FR"/>
        </w:rPr>
        <w:t xml:space="preserve"> des </w:t>
      </w:r>
      <w:r w:rsidRPr="003F3120">
        <w:rPr>
          <w:rFonts w:cs="Arial"/>
          <w:szCs w:val="28"/>
          <w:lang w:val="fr-FR"/>
        </w:rPr>
        <w:t>informations sur</w:t>
      </w:r>
      <w:r w:rsidR="007031E0">
        <w:rPr>
          <w:rFonts w:cs="Arial"/>
          <w:szCs w:val="28"/>
          <w:lang w:val="fr-FR"/>
        </w:rPr>
        <w:t xml:space="preserve"> les </w:t>
      </w:r>
      <w:r w:rsidRPr="003F3120">
        <w:rPr>
          <w:rFonts w:cs="Arial"/>
          <w:szCs w:val="28"/>
          <w:lang w:val="fr-FR"/>
        </w:rPr>
        <w:t>contributions versées par leurs pays.</w:t>
      </w:r>
      <w:r w:rsidR="007031E0">
        <w:rPr>
          <w:rFonts w:cs="Arial"/>
          <w:szCs w:val="28"/>
          <w:lang w:val="fr-FR"/>
        </w:rPr>
        <w:t xml:space="preserve"> Le </w:t>
      </w:r>
      <w:r w:rsidRPr="003F3120">
        <w:rPr>
          <w:rFonts w:cs="Arial"/>
          <w:szCs w:val="28"/>
          <w:lang w:val="fr-FR"/>
        </w:rPr>
        <w:t>représentant d</w:t>
      </w:r>
      <w:r w:rsidR="00EE266A" w:rsidRPr="003F3120">
        <w:rPr>
          <w:rFonts w:cs="Arial"/>
          <w:szCs w:val="28"/>
          <w:lang w:val="fr-FR"/>
        </w:rPr>
        <w:t>e l</w:t>
      </w:r>
      <w:r w:rsidR="00FA5ADB">
        <w:rPr>
          <w:rFonts w:cs="Arial"/>
          <w:szCs w:val="28"/>
          <w:lang w:val="fr-FR"/>
        </w:rPr>
        <w:t>’</w:t>
      </w:r>
      <w:r w:rsidR="00EE266A" w:rsidRPr="003F3120">
        <w:rPr>
          <w:rFonts w:cs="Arial"/>
          <w:szCs w:val="28"/>
          <w:lang w:val="fr-FR"/>
        </w:rPr>
        <w:t xml:space="preserve">Union européenne </w:t>
      </w:r>
      <w:r w:rsidRPr="003F3120">
        <w:rPr>
          <w:rFonts w:cs="Arial"/>
          <w:szCs w:val="28"/>
          <w:lang w:val="fr-FR"/>
        </w:rPr>
        <w:t xml:space="preserve">a indiqué que </w:t>
      </w:r>
      <w:r w:rsidR="00992CEE">
        <w:rPr>
          <w:rFonts w:cs="Arial"/>
          <w:szCs w:val="28"/>
          <w:lang w:val="fr-FR"/>
        </w:rPr>
        <w:t>cette dernière</w:t>
      </w:r>
      <w:r w:rsidRPr="003F3120">
        <w:rPr>
          <w:rFonts w:cs="Arial"/>
          <w:szCs w:val="28"/>
          <w:lang w:val="fr-FR"/>
        </w:rPr>
        <w:t xml:space="preserve"> verserait</w:t>
      </w:r>
      <w:r w:rsidR="00992CEE">
        <w:rPr>
          <w:rFonts w:cs="Arial"/>
          <w:szCs w:val="28"/>
          <w:lang w:val="fr-FR"/>
        </w:rPr>
        <w:t>, dans</w:t>
      </w:r>
      <w:r w:rsidR="007031E0">
        <w:rPr>
          <w:rFonts w:cs="Arial"/>
          <w:szCs w:val="28"/>
          <w:lang w:val="fr-FR"/>
        </w:rPr>
        <w:t xml:space="preserve"> le </w:t>
      </w:r>
      <w:r w:rsidR="00992CEE">
        <w:rPr>
          <w:rFonts w:cs="Arial"/>
          <w:szCs w:val="28"/>
          <w:lang w:val="fr-FR"/>
        </w:rPr>
        <w:t>cadre du projet</w:t>
      </w:r>
      <w:r w:rsidRPr="003F3120">
        <w:rPr>
          <w:rFonts w:cs="Arial"/>
          <w:szCs w:val="28"/>
          <w:lang w:val="fr-FR"/>
        </w:rPr>
        <w:t xml:space="preserve"> à</w:t>
      </w:r>
      <w:r w:rsidR="007E024D">
        <w:rPr>
          <w:rFonts w:cs="Arial"/>
          <w:szCs w:val="28"/>
          <w:lang w:val="fr-FR"/>
        </w:rPr>
        <w:t> </w:t>
      </w:r>
      <w:r w:rsidRPr="003F3120">
        <w:rPr>
          <w:rFonts w:cs="Arial"/>
          <w:szCs w:val="28"/>
          <w:lang w:val="fr-FR"/>
        </w:rPr>
        <w:t>l</w:t>
      </w:r>
      <w:r w:rsidR="00FA5ADB">
        <w:rPr>
          <w:rFonts w:cs="Arial"/>
          <w:szCs w:val="28"/>
          <w:lang w:val="fr-FR"/>
        </w:rPr>
        <w:t>’</w:t>
      </w:r>
      <w:r w:rsidR="00992CEE">
        <w:rPr>
          <w:rFonts w:cs="Arial"/>
          <w:szCs w:val="28"/>
          <w:lang w:val="fr-FR"/>
        </w:rPr>
        <w:t>H</w:t>
      </w:r>
      <w:r w:rsidRPr="003F3120">
        <w:rPr>
          <w:rFonts w:cs="Arial"/>
          <w:szCs w:val="28"/>
          <w:lang w:val="fr-FR"/>
        </w:rPr>
        <w:t>orizon 2020</w:t>
      </w:r>
      <w:r w:rsidR="00992CEE">
        <w:rPr>
          <w:rFonts w:cs="Arial"/>
          <w:szCs w:val="28"/>
          <w:lang w:val="fr-FR"/>
        </w:rPr>
        <w:t>,</w:t>
      </w:r>
      <w:r w:rsidR="007031E0">
        <w:rPr>
          <w:rFonts w:cs="Arial"/>
          <w:szCs w:val="28"/>
          <w:lang w:val="fr-FR"/>
        </w:rPr>
        <w:t xml:space="preserve"> des </w:t>
      </w:r>
      <w:r w:rsidRPr="003F3120">
        <w:rPr>
          <w:rFonts w:cs="Arial"/>
          <w:szCs w:val="28"/>
          <w:lang w:val="fr-FR"/>
        </w:rPr>
        <w:t>contributions s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élevant à près de 4 millions d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 xml:space="preserve">euros destinées au </w:t>
      </w:r>
      <w:r w:rsidR="00EE266A" w:rsidRPr="003F3120">
        <w:rPr>
          <w:rFonts w:cs="Arial"/>
          <w:szCs w:val="28"/>
          <w:lang w:val="fr-FR"/>
        </w:rPr>
        <w:t>fonds d</w:t>
      </w:r>
      <w:r w:rsidR="00FA5ADB">
        <w:rPr>
          <w:rFonts w:cs="Arial"/>
          <w:szCs w:val="28"/>
          <w:lang w:val="fr-FR"/>
        </w:rPr>
        <w:t>’</w:t>
      </w:r>
      <w:r w:rsidR="00EE266A" w:rsidRPr="003F3120">
        <w:rPr>
          <w:rFonts w:cs="Arial"/>
          <w:szCs w:val="28"/>
          <w:lang w:val="fr-FR"/>
        </w:rPr>
        <w:t>affectation spéciale</w:t>
      </w:r>
      <w:r w:rsidRPr="003F3120">
        <w:rPr>
          <w:rFonts w:cs="Arial"/>
          <w:szCs w:val="28"/>
          <w:lang w:val="fr-FR"/>
        </w:rPr>
        <w:t>, qui couvriraient</w:t>
      </w:r>
      <w:r w:rsidR="007031E0">
        <w:rPr>
          <w:rFonts w:cs="Arial"/>
          <w:szCs w:val="28"/>
          <w:lang w:val="fr-FR"/>
        </w:rPr>
        <w:t xml:space="preserve"> les </w:t>
      </w:r>
      <w:r w:rsidRPr="003F3120">
        <w:rPr>
          <w:rFonts w:cs="Arial"/>
          <w:szCs w:val="28"/>
          <w:lang w:val="fr-FR"/>
        </w:rPr>
        <w:t>quatre fonctions de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Plateforme sur une durée de</w:t>
      </w:r>
      <w:r w:rsidR="007E024D">
        <w:rPr>
          <w:rFonts w:cs="Arial"/>
          <w:szCs w:val="28"/>
          <w:lang w:val="fr-FR"/>
        </w:rPr>
        <w:t> </w:t>
      </w:r>
      <w:r w:rsidRPr="003F3120">
        <w:rPr>
          <w:rFonts w:cs="Arial"/>
          <w:szCs w:val="28"/>
          <w:lang w:val="fr-FR"/>
        </w:rPr>
        <w:t>quatre</w:t>
      </w:r>
      <w:r w:rsidR="007E024D">
        <w:rPr>
          <w:rFonts w:cs="Arial"/>
          <w:szCs w:val="28"/>
          <w:lang w:val="fr-FR"/>
        </w:rPr>
        <w:t> </w:t>
      </w:r>
      <w:r w:rsidRPr="003F3120">
        <w:rPr>
          <w:rFonts w:cs="Arial"/>
          <w:szCs w:val="28"/>
          <w:lang w:val="fr-FR"/>
        </w:rPr>
        <w:t>ans. S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 xml:space="preserve">il convenait de </w:t>
      </w:r>
      <w:r w:rsidRPr="00EC6B3F">
        <w:rPr>
          <w:bCs/>
          <w:lang w:val="fr-FR"/>
        </w:rPr>
        <w:t>reconnaître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grande utilité</w:t>
      </w:r>
      <w:r w:rsidR="007031E0">
        <w:rPr>
          <w:rFonts w:cs="Arial"/>
          <w:szCs w:val="28"/>
          <w:lang w:val="fr-FR"/>
        </w:rPr>
        <w:t xml:space="preserve"> des </w:t>
      </w:r>
      <w:r w:rsidRPr="003F3120">
        <w:rPr>
          <w:rFonts w:cs="Arial"/>
          <w:szCs w:val="28"/>
          <w:lang w:val="fr-FR"/>
        </w:rPr>
        <w:t>évaluations de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Plateforme, il fallait aussi néanmoins considérablement développer ses autres fonctions – renforcement</w:t>
      </w:r>
      <w:r w:rsidR="007031E0">
        <w:rPr>
          <w:rFonts w:cs="Arial"/>
          <w:szCs w:val="28"/>
          <w:lang w:val="fr-FR"/>
        </w:rPr>
        <w:t xml:space="preserve"> des </w:t>
      </w:r>
      <w:r w:rsidRPr="003F3120">
        <w:rPr>
          <w:rFonts w:cs="Arial"/>
          <w:szCs w:val="28"/>
          <w:lang w:val="fr-FR"/>
        </w:rPr>
        <w:t>capacités, moyens de favoriser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production</w:t>
      </w:r>
      <w:r w:rsidR="007031E0">
        <w:rPr>
          <w:rFonts w:cs="Arial"/>
          <w:szCs w:val="28"/>
          <w:lang w:val="fr-FR"/>
        </w:rPr>
        <w:t xml:space="preserve"> des </w:t>
      </w:r>
      <w:r w:rsidRPr="003F3120">
        <w:rPr>
          <w:rFonts w:cs="Arial"/>
          <w:szCs w:val="28"/>
          <w:lang w:val="fr-FR"/>
        </w:rPr>
        <w:t>connaissances et appui à l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élaboration</w:t>
      </w:r>
      <w:r w:rsidR="007031E0">
        <w:rPr>
          <w:rFonts w:cs="Arial"/>
          <w:szCs w:val="28"/>
          <w:lang w:val="fr-FR"/>
        </w:rPr>
        <w:t xml:space="preserve"> des </w:t>
      </w:r>
      <w:r w:rsidRPr="003F3120">
        <w:rPr>
          <w:rFonts w:cs="Arial"/>
          <w:szCs w:val="28"/>
          <w:lang w:val="fr-FR"/>
        </w:rPr>
        <w:t>politiques – pour s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assurer que</w:t>
      </w:r>
      <w:r w:rsidR="007031E0">
        <w:rPr>
          <w:rFonts w:cs="Arial"/>
          <w:szCs w:val="28"/>
          <w:lang w:val="fr-FR"/>
        </w:rPr>
        <w:t xml:space="preserve"> les </w:t>
      </w:r>
      <w:r w:rsidRPr="003F3120">
        <w:rPr>
          <w:rFonts w:cs="Arial"/>
          <w:szCs w:val="28"/>
          <w:lang w:val="fr-FR"/>
        </w:rPr>
        <w:t>résultats de ces évaluations soient concrétisés par</w:t>
      </w:r>
      <w:r w:rsidR="007031E0">
        <w:rPr>
          <w:rFonts w:cs="Arial"/>
          <w:szCs w:val="28"/>
          <w:lang w:val="fr-FR"/>
        </w:rPr>
        <w:t xml:space="preserve"> des </w:t>
      </w:r>
      <w:r w:rsidRPr="003F3120">
        <w:rPr>
          <w:rFonts w:cs="Arial"/>
          <w:szCs w:val="28"/>
          <w:lang w:val="fr-FR"/>
        </w:rPr>
        <w:t>politiques et une action solidement étayée sur</w:t>
      </w:r>
      <w:r w:rsidR="007031E0">
        <w:rPr>
          <w:rFonts w:cs="Arial"/>
          <w:szCs w:val="28"/>
          <w:lang w:val="fr-FR"/>
        </w:rPr>
        <w:t xml:space="preserve"> le </w:t>
      </w:r>
      <w:r w:rsidRPr="003F3120">
        <w:rPr>
          <w:rFonts w:cs="Arial"/>
          <w:szCs w:val="28"/>
          <w:lang w:val="fr-FR"/>
        </w:rPr>
        <w:t>terrain.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représentante de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Norvège a fait savoir que son Gouvernement verserait en 2019 une contribution financière au Fonds d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affectation spéciale et octroierait un appui pour que</w:t>
      </w:r>
      <w:r w:rsidR="007031E0">
        <w:rPr>
          <w:rFonts w:cs="Arial"/>
          <w:szCs w:val="28"/>
          <w:lang w:val="fr-FR"/>
        </w:rPr>
        <w:t xml:space="preserve"> des </w:t>
      </w:r>
      <w:r w:rsidRPr="003F3120">
        <w:rPr>
          <w:rFonts w:cs="Arial"/>
          <w:szCs w:val="28"/>
          <w:lang w:val="fr-FR"/>
        </w:rPr>
        <w:t>experts d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institutions norvégiennes de savoir participent aux réunions de groupes d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experts de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Plateforme. Son pays renouvellerait également son offre d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accueillir et de financer un</w:t>
      </w:r>
      <w:r w:rsidR="007E024D">
        <w:rPr>
          <w:rFonts w:cs="Arial"/>
          <w:szCs w:val="28"/>
          <w:lang w:val="fr-FR"/>
        </w:rPr>
        <w:t> </w:t>
      </w:r>
      <w:r w:rsidRPr="003F3120">
        <w:rPr>
          <w:rFonts w:cs="Arial"/>
          <w:szCs w:val="28"/>
          <w:lang w:val="fr-FR"/>
        </w:rPr>
        <w:t>groupe d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appui technique sur</w:t>
      </w:r>
      <w:r w:rsidR="007031E0">
        <w:rPr>
          <w:rFonts w:cs="Arial"/>
          <w:szCs w:val="28"/>
          <w:lang w:val="fr-FR"/>
        </w:rPr>
        <w:t xml:space="preserve"> le </w:t>
      </w:r>
      <w:r w:rsidRPr="003F3120">
        <w:rPr>
          <w:rFonts w:cs="Arial"/>
          <w:szCs w:val="28"/>
          <w:lang w:val="fr-FR"/>
        </w:rPr>
        <w:t>renforcement</w:t>
      </w:r>
      <w:r w:rsidR="007031E0">
        <w:rPr>
          <w:rFonts w:cs="Arial"/>
          <w:szCs w:val="28"/>
          <w:lang w:val="fr-FR"/>
        </w:rPr>
        <w:t xml:space="preserve"> des </w:t>
      </w:r>
      <w:r w:rsidRPr="003F3120">
        <w:rPr>
          <w:rFonts w:cs="Arial"/>
          <w:szCs w:val="28"/>
          <w:lang w:val="fr-FR"/>
        </w:rPr>
        <w:t>capacités à Trondheim.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représentante de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Belgique a indiqué que son Gouvernement renouvellerait son annonce de contributio</w:t>
      </w:r>
      <w:r w:rsidR="00C6409C">
        <w:rPr>
          <w:rFonts w:cs="Arial"/>
          <w:szCs w:val="28"/>
          <w:lang w:val="fr-FR"/>
        </w:rPr>
        <w:t>n annuelle de</w:t>
      </w:r>
      <w:r w:rsidR="007E024D">
        <w:rPr>
          <w:rFonts w:cs="Arial"/>
          <w:szCs w:val="28"/>
          <w:lang w:val="fr-FR"/>
        </w:rPr>
        <w:t> </w:t>
      </w:r>
      <w:r w:rsidR="00C6409C">
        <w:rPr>
          <w:rFonts w:cs="Arial"/>
          <w:szCs w:val="28"/>
          <w:lang w:val="fr-FR"/>
        </w:rPr>
        <w:t>66 000 euros pour </w:t>
      </w:r>
      <w:r w:rsidRPr="003F3120">
        <w:rPr>
          <w:rFonts w:cs="Arial"/>
          <w:szCs w:val="28"/>
          <w:lang w:val="fr-FR"/>
        </w:rPr>
        <w:t>2019.</w:t>
      </w:r>
    </w:p>
    <w:p w14:paraId="686DA2A1" w14:textId="2C2D64CF" w:rsidR="0077408A" w:rsidRPr="003F3120" w:rsidRDefault="0077408A" w:rsidP="00ED6939">
      <w:pPr>
        <w:pStyle w:val="Normalnumber"/>
        <w:rPr>
          <w:rFonts w:cs="Arial"/>
          <w:szCs w:val="28"/>
          <w:lang w:val="fr-FR"/>
        </w:rPr>
      </w:pPr>
      <w:r w:rsidRPr="003F3120">
        <w:rPr>
          <w:rFonts w:cs="Arial"/>
          <w:szCs w:val="28"/>
          <w:lang w:val="fr-FR"/>
        </w:rPr>
        <w:t>La Plénière a décidé de créer un groupe de contact, coprésidé par M. Spencer Thomas (Grenade) et M. Fundisile Goodman Mketeni (Afrique du Sud), qui serait chargé d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examiner</w:t>
      </w:r>
      <w:r w:rsidR="007031E0">
        <w:rPr>
          <w:rFonts w:cs="Arial"/>
          <w:szCs w:val="28"/>
          <w:lang w:val="fr-FR"/>
        </w:rPr>
        <w:t xml:space="preserve"> les </w:t>
      </w:r>
      <w:r w:rsidRPr="003F3120">
        <w:rPr>
          <w:rFonts w:cs="Arial"/>
          <w:szCs w:val="28"/>
          <w:lang w:val="fr-FR"/>
        </w:rPr>
        <w:t>dispositifs financiers et budgétaires et d</w:t>
      </w:r>
      <w:r w:rsidR="00FA5ADB">
        <w:rPr>
          <w:rFonts w:cs="Arial"/>
          <w:szCs w:val="28"/>
          <w:lang w:val="fr-FR"/>
        </w:rPr>
        <w:t>’</w:t>
      </w:r>
      <w:r w:rsidRPr="003F3120">
        <w:rPr>
          <w:rFonts w:cs="Arial"/>
          <w:szCs w:val="28"/>
          <w:lang w:val="fr-FR"/>
        </w:rPr>
        <w:t>élaborer un projet de décision pour examen par</w:t>
      </w:r>
      <w:r w:rsidR="007031E0">
        <w:rPr>
          <w:rFonts w:cs="Arial"/>
          <w:szCs w:val="28"/>
          <w:lang w:val="fr-FR"/>
        </w:rPr>
        <w:t xml:space="preserve"> la </w:t>
      </w:r>
      <w:r w:rsidRPr="003F3120">
        <w:rPr>
          <w:rFonts w:cs="Arial"/>
          <w:szCs w:val="28"/>
          <w:lang w:val="fr-FR"/>
        </w:rPr>
        <w:t>Plénière.</w:t>
      </w:r>
    </w:p>
    <w:p w14:paraId="5104FAEA" w14:textId="48E976D3" w:rsidR="0077408A" w:rsidRPr="003F3120" w:rsidRDefault="006C63F7" w:rsidP="00ED6939">
      <w:pPr>
        <w:pStyle w:val="Normalnumber"/>
        <w:rPr>
          <w:rFonts w:eastAsia="SimSun"/>
          <w:i/>
          <w:w w:val="0"/>
          <w:szCs w:val="24"/>
          <w:lang w:val="fr-FR"/>
        </w:rPr>
      </w:pPr>
      <w:bookmarkStart w:id="52" w:name="_DV_C159"/>
      <w:r w:rsidRPr="003F3120">
        <w:rPr>
          <w:lang w:val="fr-FR"/>
        </w:rPr>
        <w:t>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suite,</w:t>
      </w:r>
      <w:r w:rsidR="007031E0">
        <w:rPr>
          <w:lang w:val="fr-FR"/>
        </w:rPr>
        <w:t xml:space="preserve"> la </w:t>
      </w:r>
      <w:r w:rsidR="006B131C">
        <w:rPr>
          <w:lang w:val="fr-FR"/>
        </w:rPr>
        <w:t>Plénière a adopté</w:t>
      </w:r>
      <w:r w:rsidR="007031E0">
        <w:rPr>
          <w:lang w:val="fr-FR"/>
        </w:rPr>
        <w:t xml:space="preserve"> la </w:t>
      </w:r>
      <w:r w:rsidR="006B131C">
        <w:rPr>
          <w:lang w:val="fr-FR"/>
        </w:rPr>
        <w:t>décision </w:t>
      </w:r>
      <w:r w:rsidRPr="003F3120">
        <w:rPr>
          <w:lang w:val="fr-FR"/>
        </w:rPr>
        <w:t>IPBES-7/4 (Dispositifs financiers et budgétaires)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base du projet de déc</w:t>
      </w:r>
      <w:r w:rsidR="006B131C">
        <w:rPr>
          <w:lang w:val="fr-FR"/>
        </w:rPr>
        <w:t>ision figurant dans</w:t>
      </w:r>
      <w:r w:rsidR="007031E0">
        <w:rPr>
          <w:lang w:val="fr-FR"/>
        </w:rPr>
        <w:t xml:space="preserve"> le </w:t>
      </w:r>
      <w:r w:rsidR="006B131C" w:rsidRPr="00EC6B3F">
        <w:rPr>
          <w:bCs/>
          <w:lang w:val="fr-FR"/>
        </w:rPr>
        <w:t>document</w:t>
      </w:r>
      <w:r w:rsidR="006B131C">
        <w:rPr>
          <w:lang w:val="fr-FR"/>
        </w:rPr>
        <w:t> </w:t>
      </w:r>
      <w:r w:rsidRPr="003F3120">
        <w:rPr>
          <w:lang w:val="fr-FR"/>
        </w:rPr>
        <w:t>IPBES/7/L.6, tel qu</w:t>
      </w:r>
      <w:r w:rsidR="00FA5ADB">
        <w:rPr>
          <w:lang w:val="fr-FR"/>
        </w:rPr>
        <w:t>’</w:t>
      </w:r>
      <w:r w:rsidRPr="003F3120">
        <w:rPr>
          <w:lang w:val="fr-FR"/>
        </w:rPr>
        <w:t>amendé oralement</w:t>
      </w:r>
      <w:r w:rsidR="00C6409C">
        <w:rPr>
          <w:lang w:val="fr-FR"/>
        </w:rPr>
        <w:t>.</w:t>
      </w:r>
      <w:bookmarkEnd w:id="52"/>
    </w:p>
    <w:p w14:paraId="471AC996" w14:textId="63D6095F" w:rsidR="0077408A" w:rsidRPr="003F3120" w:rsidRDefault="007E024D" w:rsidP="007E024D">
      <w:pPr>
        <w:pStyle w:val="CH1"/>
        <w:rPr>
          <w:rFonts w:eastAsia="SimSun"/>
          <w:lang w:val="fr-FR"/>
        </w:rPr>
      </w:pPr>
      <w:r>
        <w:rPr>
          <w:rFonts w:eastAsia="SimSun"/>
        </w:rPr>
        <w:lastRenderedPageBreak/>
        <w:tab/>
        <w:t>VIII.</w:t>
      </w:r>
      <w:r>
        <w:rPr>
          <w:rFonts w:eastAsia="SimSun"/>
        </w:rPr>
        <w:tab/>
      </w:r>
      <w:r w:rsidR="0077408A" w:rsidRPr="007E024D">
        <w:rPr>
          <w:rFonts w:eastAsia="SimSun"/>
        </w:rPr>
        <w:t>Examen</w:t>
      </w:r>
      <w:r w:rsidR="0077408A" w:rsidRPr="003F3120">
        <w:rPr>
          <w:rFonts w:eastAsia="SimSun"/>
          <w:lang w:val="fr-FR"/>
        </w:rPr>
        <w:t xml:space="preserve"> de</w:t>
      </w:r>
      <w:r w:rsidR="007031E0">
        <w:rPr>
          <w:rFonts w:eastAsia="SimSun"/>
          <w:lang w:val="fr-FR"/>
        </w:rPr>
        <w:t xml:space="preserve"> la </w:t>
      </w:r>
      <w:r w:rsidR="0077408A" w:rsidRPr="003F3120">
        <w:rPr>
          <w:rFonts w:eastAsia="SimSun"/>
          <w:lang w:val="fr-FR"/>
        </w:rPr>
        <w:t>Plateforme</w:t>
      </w:r>
      <w:r w:rsidR="00992CEE">
        <w:rPr>
          <w:rFonts w:eastAsia="SimSun"/>
          <w:lang w:val="fr-FR"/>
        </w:rPr>
        <w:t xml:space="preserve"> à l</w:t>
      </w:r>
      <w:r w:rsidR="00FA5ADB">
        <w:rPr>
          <w:rFonts w:eastAsia="SimSun"/>
          <w:lang w:val="fr-FR"/>
        </w:rPr>
        <w:t>’</w:t>
      </w:r>
      <w:r w:rsidR="00992CEE">
        <w:rPr>
          <w:rFonts w:eastAsia="SimSun"/>
          <w:lang w:val="fr-FR"/>
        </w:rPr>
        <w:t>issue de son premier</w:t>
      </w:r>
      <w:r w:rsidR="00EC6B3F">
        <w:rPr>
          <w:rFonts w:eastAsia="SimSun"/>
          <w:lang w:val="fr-FR"/>
        </w:rPr>
        <w:t> </w:t>
      </w:r>
      <w:r w:rsidR="00992CEE">
        <w:rPr>
          <w:rFonts w:eastAsia="SimSun"/>
          <w:lang w:val="fr-FR"/>
        </w:rPr>
        <w:t>programme d</w:t>
      </w:r>
      <w:r>
        <w:rPr>
          <w:rFonts w:eastAsia="SimSun"/>
          <w:lang w:val="fr-FR"/>
        </w:rPr>
        <w:t>e </w:t>
      </w:r>
      <w:r w:rsidR="00992CEE">
        <w:rPr>
          <w:rFonts w:eastAsia="SimSun"/>
          <w:lang w:val="fr-FR"/>
        </w:rPr>
        <w:t>travail</w:t>
      </w:r>
    </w:p>
    <w:p w14:paraId="69B44C84" w14:textId="11918308" w:rsidR="0077408A" w:rsidRPr="003F3120" w:rsidRDefault="0077408A" w:rsidP="00ED6939">
      <w:pPr>
        <w:pStyle w:val="Normalnumber"/>
        <w:keepLines/>
        <w:rPr>
          <w:lang w:val="fr-FR"/>
        </w:rPr>
      </w:pPr>
      <w:r w:rsidRPr="003F3120">
        <w:rPr>
          <w:lang w:val="fr-FR"/>
        </w:rPr>
        <w:t>Présentant ce point,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 xml:space="preserve">Président a </w:t>
      </w:r>
      <w:r w:rsidRPr="00EC6B3F">
        <w:rPr>
          <w:bCs/>
          <w:lang w:val="fr-FR"/>
        </w:rPr>
        <w:t>appelé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>attention</w:t>
      </w:r>
      <w:r w:rsidR="007031E0">
        <w:rPr>
          <w:lang w:val="fr-FR"/>
        </w:rPr>
        <w:t xml:space="preserve"> des </w:t>
      </w:r>
      <w:r w:rsidR="009D5158" w:rsidRPr="003F3120">
        <w:rPr>
          <w:lang w:val="fr-FR"/>
        </w:rPr>
        <w:t>participants</w:t>
      </w:r>
      <w:r w:rsidRPr="003F3120">
        <w:rPr>
          <w:lang w:val="fr-FR"/>
        </w:rPr>
        <w:t xml:space="preserve">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résumé analytique,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conclusions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recommandations du rapport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commission d</w:t>
      </w:r>
      <w:r w:rsidR="00FA5ADB">
        <w:rPr>
          <w:lang w:val="fr-FR"/>
        </w:rPr>
        <w:t>’</w:t>
      </w:r>
      <w:r w:rsidRPr="003F3120">
        <w:rPr>
          <w:lang w:val="fr-FR"/>
        </w:rPr>
        <w:t>examen de l</w:t>
      </w:r>
      <w:r w:rsidR="00FA5ADB">
        <w:rPr>
          <w:lang w:val="fr-FR"/>
        </w:rPr>
        <w:t>’</w:t>
      </w:r>
      <w:r w:rsidRPr="003F3120">
        <w:rPr>
          <w:lang w:val="fr-FR"/>
        </w:rPr>
        <w:t>efficacité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fonctions administratives et scientifiques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(IPBES/7/5),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texte intégral du rapport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commission (IPBES/7/INF/18)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réponses du 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et du</w:t>
      </w:r>
      <w:r w:rsidR="007E024D">
        <w:rPr>
          <w:lang w:val="fr-FR"/>
        </w:rPr>
        <w:t> </w:t>
      </w:r>
      <w:r w:rsidRPr="003F3120">
        <w:rPr>
          <w:lang w:val="fr-FR"/>
        </w:rPr>
        <w:t>Bureau (IPBES/7/INF/19) ainsi que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Secrétaire exécutive (IPBES/7/INF/20).</w:t>
      </w:r>
    </w:p>
    <w:p w14:paraId="44E859AA" w14:textId="39E35334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Le coprésident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commission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examen, </w:t>
      </w:r>
      <w:r w:rsidR="003F7C1A" w:rsidRPr="003F3120">
        <w:rPr>
          <w:lang w:val="fr-FR"/>
        </w:rPr>
        <w:t>M. </w:t>
      </w:r>
      <w:r w:rsidRPr="003F3120">
        <w:rPr>
          <w:lang w:val="fr-FR"/>
        </w:rPr>
        <w:t>Peter Bridgewater, a fait un exposé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rapport de</w:t>
      </w:r>
      <w:r w:rsidR="007031E0">
        <w:rPr>
          <w:lang w:val="fr-FR"/>
        </w:rPr>
        <w:t xml:space="preserve"> la </w:t>
      </w:r>
      <w:r w:rsidR="000D47BF">
        <w:rPr>
          <w:lang w:val="fr-FR"/>
        </w:rPr>
        <w:t>commission</w:t>
      </w:r>
      <w:r w:rsidRPr="003F3120">
        <w:rPr>
          <w:lang w:val="fr-FR"/>
        </w:rPr>
        <w:t>, décrivant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 xml:space="preserve">calendrier de </w:t>
      </w:r>
      <w:r w:rsidRPr="00EC6B3F">
        <w:rPr>
          <w:bCs/>
          <w:lang w:val="fr-FR"/>
        </w:rPr>
        <w:t>l</w:t>
      </w:r>
      <w:r w:rsidR="00FA5ADB">
        <w:rPr>
          <w:bCs/>
          <w:lang w:val="fr-FR"/>
        </w:rPr>
        <w:t>’</w:t>
      </w:r>
      <w:r w:rsidRPr="00EC6B3F">
        <w:rPr>
          <w:bCs/>
          <w:lang w:val="fr-FR"/>
        </w:rPr>
        <w:t>examen</w:t>
      </w:r>
      <w:r w:rsidRPr="003F3120">
        <w:rPr>
          <w:lang w:val="fr-FR"/>
        </w:rPr>
        <w:t>, qui avait été mené en étroite collaboration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</w:t>
      </w:r>
      <w:r w:rsidR="00FD5D6A">
        <w:rPr>
          <w:lang w:val="fr-FR"/>
        </w:rPr>
        <w:t> ;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dans lequel il s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est déroulé, qui avait été conçu pour </w:t>
      </w:r>
      <w:r w:rsidR="00120A86">
        <w:rPr>
          <w:lang w:val="fr-FR"/>
        </w:rPr>
        <w:t xml:space="preserve">évaluer </w:t>
      </w:r>
      <w:r w:rsidRPr="003F3120">
        <w:rPr>
          <w:lang w:val="fr-FR"/>
        </w:rPr>
        <w:t>et déterminer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mesure dans laquelle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avait été conceptualisée, positionnée, structurée et mise en œuvre</w:t>
      </w:r>
      <w:r w:rsidR="00FD5D6A">
        <w:rPr>
          <w:lang w:val="fr-FR"/>
        </w:rPr>
        <w:t> ;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méthodes de collecte de données. Ces</w:t>
      </w:r>
      <w:r w:rsidR="006B131C">
        <w:rPr>
          <w:lang w:val="fr-FR"/>
        </w:rPr>
        <w:t> </w:t>
      </w:r>
      <w:r w:rsidRPr="003F3120">
        <w:rPr>
          <w:lang w:val="fr-FR"/>
        </w:rPr>
        <w:t>travaux, a-t-il souligné, avaient été appuyés par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Conseil international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science, conformément au processus précédemment arrêté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Plénière.</w:t>
      </w:r>
    </w:p>
    <w:p w14:paraId="20C4B650" w14:textId="20E1F320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Concernant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principales conclusions, </w:t>
      </w:r>
      <w:r w:rsidR="009D5158" w:rsidRPr="003F3120">
        <w:rPr>
          <w:lang w:val="fr-FR"/>
        </w:rPr>
        <w:t xml:space="preserve">M. Bridgewater </w:t>
      </w:r>
      <w:r w:rsidRPr="003F3120">
        <w:rPr>
          <w:lang w:val="fr-FR"/>
        </w:rPr>
        <w:t>a indiqué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commission avait confirmé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avait prouvé sa crédibilité scientifique et sensiblement contribué à approfondir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connaissances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services écosystémiques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qu</w:t>
      </w:r>
      <w:r w:rsidR="00FA5ADB">
        <w:rPr>
          <w:lang w:val="fr-FR"/>
        </w:rPr>
        <w:t>’</w:t>
      </w:r>
      <w:r w:rsidRPr="003F3120">
        <w:rPr>
          <w:lang w:val="fr-FR"/>
        </w:rPr>
        <w:t>elle disposait de structures de gouvernance pleinement opérationnelles et d</w:t>
      </w:r>
      <w:r w:rsidR="00FA5ADB">
        <w:rPr>
          <w:lang w:val="fr-FR"/>
        </w:rPr>
        <w:t>’</w:t>
      </w:r>
      <w:r w:rsidRPr="003F3120">
        <w:rPr>
          <w:lang w:val="fr-FR"/>
        </w:rPr>
        <w:t>un règlement intérieur pour développer son programme de travail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qu</w:t>
      </w:r>
      <w:r w:rsidR="00FA5ADB">
        <w:rPr>
          <w:lang w:val="fr-FR"/>
        </w:rPr>
        <w:t>’</w:t>
      </w:r>
      <w:r w:rsidRPr="003F3120">
        <w:rPr>
          <w:lang w:val="fr-FR"/>
        </w:rPr>
        <w:t>elle avait mené à bien ce programme malgré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contraintes budgétaires. Étant donné qu</w:t>
      </w:r>
      <w:r w:rsidR="00FA5ADB">
        <w:rPr>
          <w:lang w:val="fr-FR"/>
        </w:rPr>
        <w:t>’</w:t>
      </w:r>
      <w:r w:rsidRPr="003F3120">
        <w:rPr>
          <w:lang w:val="fr-FR"/>
        </w:rPr>
        <w:t>un grand nombre d</w:t>
      </w:r>
      <w:r w:rsidR="00FA5ADB">
        <w:rPr>
          <w:lang w:val="fr-FR"/>
        </w:rPr>
        <w:t>’</w:t>
      </w:r>
      <w:r w:rsidRPr="003F3120">
        <w:rPr>
          <w:lang w:val="fr-FR"/>
        </w:rPr>
        <w:t>évaluations similaires avaient été lancées récemment par un</w:t>
      </w:r>
      <w:r w:rsidR="007E024D">
        <w:rPr>
          <w:lang w:val="fr-FR"/>
        </w:rPr>
        <w:t> </w:t>
      </w:r>
      <w:r w:rsidRPr="003F3120">
        <w:rPr>
          <w:lang w:val="fr-FR"/>
        </w:rPr>
        <w:t>nombre croissant d</w:t>
      </w:r>
      <w:r w:rsidR="00FA5ADB">
        <w:rPr>
          <w:lang w:val="fr-FR"/>
        </w:rPr>
        <w:t>’</w:t>
      </w:r>
      <w:r w:rsidRPr="003F3120">
        <w:rPr>
          <w:lang w:val="fr-FR"/>
        </w:rPr>
        <w:t>autres organismes,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devait rester concentrée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conduite de sa</w:t>
      </w:r>
      <w:r w:rsidR="007E024D">
        <w:rPr>
          <w:lang w:val="fr-FR"/>
        </w:rPr>
        <w:t> </w:t>
      </w:r>
      <w:r w:rsidRPr="003F3120">
        <w:rPr>
          <w:lang w:val="fr-FR"/>
        </w:rPr>
        <w:t>tâche dans un domaine surchargé. Il était également important de continuer de gérer l</w:t>
      </w:r>
      <w:r w:rsidR="00FA5ADB">
        <w:rPr>
          <w:lang w:val="fr-FR"/>
        </w:rPr>
        <w:t>’</w:t>
      </w:r>
      <w:r w:rsidRPr="003F3120">
        <w:rPr>
          <w:lang w:val="fr-FR"/>
        </w:rPr>
        <w:t>interface science-politique</w:t>
      </w:r>
      <w:r w:rsidR="000C25F6">
        <w:rPr>
          <w:lang w:val="fr-FR"/>
        </w:rPr>
        <w:t>s</w:t>
      </w:r>
      <w:r w:rsidRPr="003F3120">
        <w:rPr>
          <w:lang w:val="fr-FR"/>
        </w:rPr>
        <w:t xml:space="preserve"> pour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connaissances puissent produire un impact par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moyen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options d</w:t>
      </w:r>
      <w:r w:rsidR="00FA5ADB">
        <w:rPr>
          <w:lang w:val="fr-FR"/>
        </w:rPr>
        <w:t>’</w:t>
      </w:r>
      <w:r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politiques, tout en préservant son indépendance, sa crédibilité et sa légitimité scientifiques.</w:t>
      </w:r>
    </w:p>
    <w:p w14:paraId="3592CF97" w14:textId="53DF2924" w:rsidR="0077408A" w:rsidRPr="003F3120" w:rsidRDefault="009D5158" w:rsidP="00ED6939">
      <w:pPr>
        <w:pStyle w:val="Normalnumber"/>
        <w:rPr>
          <w:lang w:val="fr-FR"/>
        </w:rPr>
      </w:pPr>
      <w:r w:rsidRPr="003F3120">
        <w:rPr>
          <w:lang w:val="fr-FR"/>
        </w:rPr>
        <w:t>Le coprésident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commission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examen </w:t>
      </w:r>
      <w:r w:rsidR="0077408A" w:rsidRPr="003F3120">
        <w:rPr>
          <w:lang w:val="fr-FR"/>
        </w:rPr>
        <w:t>a mis en relief cinq messages clefs à tirer du rapport. Premièrement,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 devait définir sa vision et sa missi</w:t>
      </w:r>
      <w:r w:rsidRPr="003F3120">
        <w:rPr>
          <w:lang w:val="fr-FR"/>
        </w:rPr>
        <w:t>on en tant qu</w:t>
      </w:r>
      <w:r w:rsidR="00FA5ADB">
        <w:rPr>
          <w:lang w:val="fr-FR"/>
        </w:rPr>
        <w:t>’</w:t>
      </w:r>
      <w:r w:rsidRPr="003F3120">
        <w:rPr>
          <w:lang w:val="fr-FR"/>
        </w:rPr>
        <w:t>interfa</w:t>
      </w:r>
      <w:r w:rsidR="00C6409C">
        <w:rPr>
          <w:lang w:val="fr-FR"/>
        </w:rPr>
        <w:t>ce science</w:t>
      </w:r>
      <w:r w:rsidR="00C6409C">
        <w:rPr>
          <w:lang w:val="fr-FR"/>
        </w:rPr>
        <w:noBreakHyphen/>
      </w:r>
      <w:r w:rsidR="0077408A" w:rsidRPr="003F3120">
        <w:rPr>
          <w:lang w:val="fr-FR"/>
        </w:rPr>
        <w:t>politique</w:t>
      </w:r>
      <w:r w:rsidR="000C25F6">
        <w:rPr>
          <w:lang w:val="fr-FR"/>
        </w:rPr>
        <w:t>s</w:t>
      </w:r>
      <w:r w:rsidR="0077408A" w:rsidRPr="003F3120">
        <w:rPr>
          <w:lang w:val="fr-FR"/>
        </w:rPr>
        <w:t xml:space="preserve"> pour en assurer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effet transformateur, lequel dépendait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un renforcement considérable de ses quatre fonctions. Deuxièmement,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 devait consolider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aspects stratégiques de ses travaux pour s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acquitter de son mandat en tant qu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interface, en faisant fond sur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succès obtenus à ce jour dans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mise en avant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 xml:space="preserve">savoirs </w:t>
      </w:r>
      <w:r w:rsidR="0077408A" w:rsidRPr="00EC6B3F">
        <w:rPr>
          <w:bCs/>
          <w:lang w:val="fr-FR"/>
        </w:rPr>
        <w:t>autochtones</w:t>
      </w:r>
      <w:r w:rsidR="0077408A" w:rsidRPr="003F3120">
        <w:rPr>
          <w:lang w:val="fr-FR"/>
        </w:rPr>
        <w:t xml:space="preserve"> et locaux pour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produits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Plateforme, ce qui</w:t>
      </w:r>
      <w:r w:rsidR="0051776B" w:rsidRPr="003F3120">
        <w:rPr>
          <w:lang w:val="fr-FR"/>
        </w:rPr>
        <w:t xml:space="preserve"> </w:t>
      </w:r>
      <w:r w:rsidR="0077408A" w:rsidRPr="003F3120">
        <w:rPr>
          <w:lang w:val="fr-FR"/>
        </w:rPr>
        <w:t>exigeait une assistance et un ap</w:t>
      </w:r>
      <w:r w:rsidR="00D67B3F">
        <w:rPr>
          <w:lang w:val="fr-FR"/>
        </w:rPr>
        <w:t>pui continus. Troisièmement,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 devait conserver son indépendance scientifique, tout en permettant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conception et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production conjointes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évaluations, grâce à un renforcement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rela</w:t>
      </w:r>
      <w:r w:rsidR="00D67B3F">
        <w:rPr>
          <w:lang w:val="fr-FR"/>
        </w:rPr>
        <w:t>tions avec tous</w:t>
      </w:r>
      <w:r w:rsidR="007031E0">
        <w:rPr>
          <w:lang w:val="fr-FR"/>
        </w:rPr>
        <w:t xml:space="preserve"> les </w:t>
      </w:r>
      <w:r w:rsidR="00D67B3F">
        <w:rPr>
          <w:lang w:val="fr-FR"/>
        </w:rPr>
        <w:t>acteurs, en </w:t>
      </w:r>
      <w:r w:rsidR="0077408A" w:rsidRPr="003F3120">
        <w:rPr>
          <w:lang w:val="fr-FR"/>
        </w:rPr>
        <w:t>particulier en phase initiale de préévaluation</w:t>
      </w:r>
      <w:r w:rsidR="00FD5D6A">
        <w:rPr>
          <w:lang w:val="fr-FR"/>
        </w:rPr>
        <w:t> ;</w:t>
      </w:r>
      <w:r w:rsidR="0077408A" w:rsidRPr="003F3120">
        <w:rPr>
          <w:lang w:val="fr-FR"/>
        </w:rPr>
        <w:t xml:space="preserve"> il fallait réfléch</w:t>
      </w:r>
      <w:r w:rsidR="00D67B3F">
        <w:rPr>
          <w:lang w:val="fr-FR"/>
        </w:rPr>
        <w:t>ir davantage, a-t-il ajouté, au </w:t>
      </w:r>
      <w:r w:rsidR="0077408A" w:rsidRPr="003F3120">
        <w:rPr>
          <w:lang w:val="fr-FR"/>
        </w:rPr>
        <w:t>chevauchement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rôles du Groupe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 xml:space="preserve">experts multidisciplinaire </w:t>
      </w:r>
      <w:r w:rsidR="00D67B3F">
        <w:rPr>
          <w:lang w:val="fr-FR"/>
        </w:rPr>
        <w:t>et du Bureau. Quatrièmement,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 devait mettre au point une approche plus stratégique et concertée par rapport au large éventail de parties prenantes, qui se trouvaient toutes sur un pied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égalité et avaient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 xml:space="preserve">capacité de contribuer </w:t>
      </w:r>
      <w:r w:rsidR="00997849">
        <w:rPr>
          <w:lang w:val="fr-FR"/>
        </w:rPr>
        <w:t>aux travaux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Plateforme, afin de faire en sorte que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partenaires stratégiques accomplissent pleinement et efficacement</w:t>
      </w:r>
      <w:r w:rsidR="0077408A" w:rsidRPr="003F3120">
        <w:rPr>
          <w:rFonts w:eastAsiaTheme="minorHAnsi" w:cstheme="minorBidi"/>
          <w:lang w:val="fr-FR"/>
        </w:rPr>
        <w:t xml:space="preserve"> </w:t>
      </w:r>
      <w:r w:rsidR="0077408A" w:rsidRPr="003F3120">
        <w:rPr>
          <w:lang w:val="fr-FR"/>
        </w:rPr>
        <w:t>leurs travaux. Enfin,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 devait assurer sa</w:t>
      </w:r>
      <w:r w:rsidR="007E024D">
        <w:rPr>
          <w:lang w:val="fr-FR"/>
        </w:rPr>
        <w:t> </w:t>
      </w:r>
      <w:r w:rsidR="0077408A" w:rsidRPr="003F3120">
        <w:rPr>
          <w:lang w:val="fr-FR"/>
        </w:rPr>
        <w:t>pérennité financière, afin de garantir son efficacité à long terme face à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menace posée par ce</w:t>
      </w:r>
      <w:r w:rsidR="00EC6B3F">
        <w:rPr>
          <w:lang w:val="fr-FR"/>
        </w:rPr>
        <w:t> </w:t>
      </w:r>
      <w:r w:rsidR="0077408A" w:rsidRPr="003F3120">
        <w:rPr>
          <w:lang w:val="fr-FR"/>
        </w:rPr>
        <w:t>qu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il</w:t>
      </w:r>
      <w:r w:rsidR="007E024D">
        <w:rPr>
          <w:lang w:val="fr-FR"/>
        </w:rPr>
        <w:t> </w:t>
      </w:r>
      <w:r w:rsidR="0077408A" w:rsidRPr="003F3120">
        <w:rPr>
          <w:lang w:val="fr-FR"/>
        </w:rPr>
        <w:t>a qualifié de prédateurs financiers.</w:t>
      </w:r>
    </w:p>
    <w:p w14:paraId="5C3293FE" w14:textId="47EE7562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 xml:space="preserve">En conclusion, </w:t>
      </w:r>
      <w:r w:rsidR="0051776B" w:rsidRPr="003F3120">
        <w:rPr>
          <w:lang w:val="fr-FR"/>
        </w:rPr>
        <w:t xml:space="preserve">M. Bridgewater </w:t>
      </w:r>
      <w:r w:rsidRPr="003F3120">
        <w:rPr>
          <w:lang w:val="fr-FR"/>
        </w:rPr>
        <w:t>a proposé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Plénière envisage </w:t>
      </w:r>
      <w:r w:rsidR="0051776B" w:rsidRPr="003F3120">
        <w:rPr>
          <w:lang w:val="fr-FR"/>
        </w:rPr>
        <w:t>de créer</w:t>
      </w:r>
      <w:r w:rsidRPr="003F3120">
        <w:rPr>
          <w:lang w:val="fr-FR"/>
        </w:rPr>
        <w:t xml:space="preserve"> une petite équipe spéciale à durée déterminée chargée de collaborer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vérification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suivi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 œuvre</w:t>
      </w:r>
      <w:r w:rsidR="007031E0">
        <w:rPr>
          <w:lang w:val="fr-FR"/>
        </w:rPr>
        <w:t xml:space="preserve"> des </w:t>
      </w:r>
      <w:r w:rsidRPr="00EC6B3F">
        <w:rPr>
          <w:bCs/>
          <w:lang w:val="fr-FR"/>
        </w:rPr>
        <w:t>conclusions</w:t>
      </w:r>
      <w:r w:rsidRPr="003F3120">
        <w:rPr>
          <w:lang w:val="fr-FR"/>
        </w:rPr>
        <w:t xml:space="preserve"> de l</w:t>
      </w:r>
      <w:r w:rsidR="00FA5ADB">
        <w:rPr>
          <w:lang w:val="fr-FR"/>
        </w:rPr>
        <w:t>’</w:t>
      </w:r>
      <w:r w:rsidRPr="003F3120">
        <w:rPr>
          <w:lang w:val="fr-FR"/>
        </w:rPr>
        <w:t>examen, pour déterminer comment elles pourraient contribuer de manière optimale à orienter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développement futur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Plateforme.</w:t>
      </w:r>
    </w:p>
    <w:p w14:paraId="1B6463B2" w14:textId="4D92E527" w:rsidR="0077408A" w:rsidRPr="003F3120" w:rsidRDefault="009E728A" w:rsidP="00ED6939">
      <w:pPr>
        <w:pStyle w:val="Normalnumber"/>
        <w:rPr>
          <w:lang w:val="fr-FR"/>
        </w:rPr>
      </w:pPr>
      <w:r w:rsidRPr="003F3120">
        <w:rPr>
          <w:lang w:val="fr-FR"/>
        </w:rPr>
        <w:t>R</w:t>
      </w:r>
      <w:r w:rsidR="0077408A" w:rsidRPr="003F3120">
        <w:rPr>
          <w:lang w:val="fr-FR"/>
        </w:rPr>
        <w:t>épondant au nom du Groupe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experts multidisciplinaire et du Bureau,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 xml:space="preserve">Président </w:t>
      </w:r>
      <w:r w:rsidR="0077408A" w:rsidRPr="003F3120">
        <w:rPr>
          <w:lang w:val="fr-FR"/>
        </w:rPr>
        <w:t>a souscrit aux recommandations. Concernant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premier point, il a suggéré que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commission et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Bureau œuvrent en collaboration avec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secrétariat à une stratégie pour définir une vision et une mission claires pour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Plateforme, et qu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 xml:space="preserve">ils </w:t>
      </w:r>
      <w:r w:rsidR="00997849">
        <w:rPr>
          <w:lang w:val="fr-FR"/>
        </w:rPr>
        <w:t>rendent compte de leurs travaux</w:t>
      </w:r>
      <w:r w:rsidR="00892EE7">
        <w:rPr>
          <w:lang w:val="fr-FR"/>
        </w:rPr>
        <w:t xml:space="preserve"> à</w:t>
      </w:r>
      <w:r w:rsidR="007031E0">
        <w:rPr>
          <w:lang w:val="fr-FR"/>
        </w:rPr>
        <w:t xml:space="preserve"> la </w:t>
      </w:r>
      <w:r w:rsidR="00892EE7">
        <w:rPr>
          <w:lang w:val="fr-FR"/>
        </w:rPr>
        <w:t>huitième </w:t>
      </w:r>
      <w:r w:rsidR="0077408A" w:rsidRPr="003F3120">
        <w:rPr>
          <w:lang w:val="fr-FR"/>
        </w:rPr>
        <w:t>session. Concernant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deuxième point, il a déclaré que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 xml:space="preserve">examen interne avait déjà </w:t>
      </w:r>
      <w:r w:rsidR="0077408A" w:rsidRPr="00EC6B3F">
        <w:rPr>
          <w:bCs/>
          <w:lang w:val="fr-FR"/>
        </w:rPr>
        <w:t>confirmé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nécessité de rendre toutes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évaluations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 xml:space="preserve">Plateforme plus </w:t>
      </w:r>
      <w:r w:rsidR="00997849">
        <w:rPr>
          <w:lang w:val="fr-FR"/>
        </w:rPr>
        <w:t>utiles à</w:t>
      </w:r>
      <w:r w:rsidR="0077408A"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politiques, ce qui exigeait que tous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gouvernements désignent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experts stratégiques travaill</w:t>
      </w:r>
      <w:r w:rsidR="00997849">
        <w:rPr>
          <w:lang w:val="fr-FR"/>
        </w:rPr>
        <w:t>a</w:t>
      </w:r>
      <w:r w:rsidR="0077408A" w:rsidRPr="003F3120">
        <w:rPr>
          <w:lang w:val="fr-FR"/>
        </w:rPr>
        <w:t>nt en étroite collaboration avec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Groupe et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Bureau sur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orientation et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 xml:space="preserve">rapports, pour éviter </w:t>
      </w:r>
      <w:r w:rsidR="00997849">
        <w:rPr>
          <w:lang w:val="fr-FR"/>
        </w:rPr>
        <w:t>que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 xml:space="preserve">recommandations </w:t>
      </w:r>
      <w:r w:rsidR="00997849">
        <w:rPr>
          <w:lang w:val="fr-FR"/>
        </w:rPr>
        <w:t xml:space="preserve">soient de nature </w:t>
      </w:r>
      <w:r w:rsidR="0077408A" w:rsidRPr="003F3120">
        <w:rPr>
          <w:lang w:val="fr-FR"/>
        </w:rPr>
        <w:t>prescriptive. Concernant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troisième</w:t>
      </w:r>
      <w:r w:rsidR="005F46AD">
        <w:rPr>
          <w:lang w:val="fr-FR"/>
        </w:rPr>
        <w:t xml:space="preserve"> point</w:t>
      </w:r>
      <w:r w:rsidR="0077408A" w:rsidRPr="003F3120">
        <w:rPr>
          <w:lang w:val="fr-FR"/>
        </w:rPr>
        <w:t>, il a dit que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 était effectivement indépendante et crédible</w:t>
      </w:r>
      <w:r w:rsidR="00FD5D6A">
        <w:rPr>
          <w:lang w:val="fr-FR"/>
        </w:rPr>
        <w:t> ;</w:t>
      </w:r>
      <w:r w:rsidR="0077408A" w:rsidRPr="003F3120">
        <w:rPr>
          <w:lang w:val="fr-FR"/>
        </w:rPr>
        <w:t xml:space="preserve"> que ses processus étaient pleinement transparents</w:t>
      </w:r>
      <w:r w:rsidR="00FD5D6A">
        <w:rPr>
          <w:lang w:val="fr-FR"/>
        </w:rPr>
        <w:t> ;</w:t>
      </w:r>
      <w:r w:rsidR="0077408A" w:rsidRPr="003F3120">
        <w:rPr>
          <w:lang w:val="fr-FR"/>
        </w:rPr>
        <w:t xml:space="preserve"> que s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il pouvait arriver que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rôles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 xml:space="preserve">commission et du Bureau se recoupent, </w:t>
      </w:r>
      <w:r w:rsidR="005F46AD">
        <w:rPr>
          <w:lang w:val="fr-FR"/>
        </w:rPr>
        <w:t>ces</w:t>
      </w:r>
      <w:r w:rsidR="007E024D">
        <w:rPr>
          <w:lang w:val="fr-FR"/>
        </w:rPr>
        <w:t> </w:t>
      </w:r>
      <w:r w:rsidR="005F46AD">
        <w:rPr>
          <w:lang w:val="fr-FR"/>
        </w:rPr>
        <w:t xml:space="preserve">derniers </w:t>
      </w:r>
      <w:r w:rsidR="0077408A" w:rsidRPr="003F3120">
        <w:rPr>
          <w:lang w:val="fr-FR"/>
        </w:rPr>
        <w:t>avaient néanmoins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cahiers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 xml:space="preserve">charges et mandats distincts et étaient tenus de </w:t>
      </w:r>
      <w:r w:rsidR="0077408A" w:rsidRPr="003F3120">
        <w:rPr>
          <w:lang w:val="fr-FR"/>
        </w:rPr>
        <w:lastRenderedPageBreak/>
        <w:t>travailler ensemble. Concernant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quatrième</w:t>
      </w:r>
      <w:r w:rsidR="005F46AD">
        <w:rPr>
          <w:lang w:val="fr-FR"/>
        </w:rPr>
        <w:t xml:space="preserve"> point</w:t>
      </w:r>
      <w:r w:rsidR="0077408A" w:rsidRPr="003F3120">
        <w:rPr>
          <w:lang w:val="fr-FR"/>
        </w:rPr>
        <w:t>, il a dit que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 se félicitait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participation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un nombre accru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observateurs et continuerait de faire fond sur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progrès considérables réalisés dans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différenciation et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collaboration avec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parties prenantes. Concernant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dernier point, qui était essentiel, il a dit que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Plénière devait s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employer à trouver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moyens de</w:t>
      </w:r>
      <w:r w:rsidR="007E024D">
        <w:rPr>
          <w:lang w:val="fr-FR"/>
        </w:rPr>
        <w:t> </w:t>
      </w:r>
      <w:r w:rsidR="0077408A" w:rsidRPr="003F3120">
        <w:rPr>
          <w:lang w:val="fr-FR"/>
        </w:rPr>
        <w:t>garantir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sécurité financière à long terme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Plateforme,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accent étant mis en particulier sur</w:t>
      </w:r>
      <w:r w:rsidR="007E024D">
        <w:rPr>
          <w:lang w:val="fr-FR"/>
        </w:rPr>
        <w:t> </w:t>
      </w:r>
      <w:r w:rsidR="0077408A" w:rsidRPr="003F3120">
        <w:rPr>
          <w:lang w:val="fr-FR"/>
        </w:rPr>
        <w:t>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équilibre entre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programme de travail et un budget viable, grâce notamment à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diversification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sources de financement, dont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augmentation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contributions versées par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gouvernements,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secteur privé et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fondations.</w:t>
      </w:r>
    </w:p>
    <w:p w14:paraId="75517722" w14:textId="35919B07" w:rsidR="0077408A" w:rsidRPr="003F3120" w:rsidRDefault="009E728A" w:rsidP="00ED6939">
      <w:pPr>
        <w:pStyle w:val="Normalnumber"/>
        <w:rPr>
          <w:lang w:val="fr-FR"/>
        </w:rPr>
      </w:pPr>
      <w:r w:rsidRPr="003F3120">
        <w:rPr>
          <w:lang w:val="fr-FR"/>
        </w:rPr>
        <w:t>D</w:t>
      </w:r>
      <w:r w:rsidR="0077408A" w:rsidRPr="003F3120">
        <w:rPr>
          <w:lang w:val="fr-FR"/>
        </w:rPr>
        <w:t>ans sa réponse,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Secrétaire exécutive </w:t>
      </w:r>
      <w:r w:rsidR="0077408A" w:rsidRPr="003F3120">
        <w:rPr>
          <w:lang w:val="fr-FR"/>
        </w:rPr>
        <w:t>a mis en exergue trois domaines clefs dans lesquels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examen externe avait souligné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conclusions de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examen interne. Premièrement, concernant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nomination et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sélection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experts, elle a déclaré que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experts multidisciplinaire et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Bureau continuaient de s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employer à remédier au manque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équilibre constaté entre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 xml:space="preserve">disciplines scientifiques, notamment en ciblant </w:t>
      </w:r>
      <w:r w:rsidR="0051776B" w:rsidRPr="003F3120">
        <w:rPr>
          <w:lang w:val="fr-FR"/>
        </w:rPr>
        <w:t>expressément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spécialistes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sciences sociales dans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 xml:space="preserve">appels à contribution liés aux évaluations. Ces efforts avaient </w:t>
      </w:r>
      <w:r w:rsidR="005F46AD">
        <w:rPr>
          <w:lang w:val="fr-FR"/>
        </w:rPr>
        <w:t>produit</w:t>
      </w:r>
      <w:r w:rsidR="0077408A" w:rsidRPr="003F3120">
        <w:rPr>
          <w:lang w:val="fr-FR"/>
        </w:rPr>
        <w:t xml:space="preserve"> quelques améliorations.</w:t>
      </w:r>
    </w:p>
    <w:p w14:paraId="51543A87" w14:textId="2348C969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Deuxièmement, concernant l</w:t>
      </w:r>
      <w:r w:rsidR="00FA5ADB">
        <w:rPr>
          <w:lang w:val="fr-FR"/>
        </w:rPr>
        <w:t>’</w:t>
      </w:r>
      <w:r w:rsidRPr="003F3120">
        <w:rPr>
          <w:lang w:val="fr-FR"/>
        </w:rPr>
        <w:t>impact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évaluations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à ce jour,</w:t>
      </w:r>
      <w:r w:rsidR="007031E0">
        <w:rPr>
          <w:lang w:val="fr-FR"/>
        </w:rPr>
        <w:t xml:space="preserve"> la </w:t>
      </w:r>
      <w:r w:rsidR="0051776B" w:rsidRPr="003F3120">
        <w:rPr>
          <w:lang w:val="fr-FR"/>
        </w:rPr>
        <w:t xml:space="preserve">Secrétaire exécutive </w:t>
      </w:r>
      <w:r w:rsidRPr="003F3120">
        <w:rPr>
          <w:lang w:val="fr-FR"/>
        </w:rPr>
        <w:t>a indiqué que celles-ci continuaient d</w:t>
      </w:r>
      <w:r w:rsidR="00FA5ADB">
        <w:rPr>
          <w:lang w:val="fr-FR"/>
        </w:rPr>
        <w:t>’</w:t>
      </w:r>
      <w:r w:rsidRPr="003F3120">
        <w:rPr>
          <w:lang w:val="fr-FR"/>
        </w:rPr>
        <w:t>être considérées comme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produits finaux et non comme faisant partie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un processus plus large et plus </w:t>
      </w:r>
      <w:r w:rsidRPr="00EC6B3F">
        <w:rPr>
          <w:bCs/>
          <w:lang w:val="fr-FR"/>
        </w:rPr>
        <w:t>complexe</w:t>
      </w:r>
      <w:r w:rsidRPr="003F3120">
        <w:rPr>
          <w:lang w:val="fr-FR"/>
        </w:rPr>
        <w:t xml:space="preserve"> tendant à influencer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formulation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politiques, mais que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secrétariat,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 et leurs</w:t>
      </w:r>
      <w:r w:rsidR="007E024D">
        <w:rPr>
          <w:lang w:val="fr-FR"/>
        </w:rPr>
        <w:t> </w:t>
      </w:r>
      <w:r w:rsidRPr="003F3120">
        <w:rPr>
          <w:lang w:val="fr-FR"/>
        </w:rPr>
        <w:t>partenaires s</w:t>
      </w:r>
      <w:r w:rsidR="00FA5ADB">
        <w:rPr>
          <w:lang w:val="fr-FR"/>
        </w:rPr>
        <w:t>’</w:t>
      </w:r>
      <w:r w:rsidRPr="003F3120">
        <w:rPr>
          <w:lang w:val="fr-FR"/>
        </w:rPr>
        <w:t>étaient employés à faciliter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 et à renforcer l</w:t>
      </w:r>
      <w:r w:rsidR="00FA5ADB">
        <w:rPr>
          <w:lang w:val="fr-FR"/>
        </w:rPr>
        <w:t>’</w:t>
      </w:r>
      <w:r w:rsidRPr="003F3120">
        <w:rPr>
          <w:lang w:val="fr-FR"/>
        </w:rPr>
        <w:t>impact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rapports d</w:t>
      </w:r>
      <w:r w:rsidR="00FA5ADB">
        <w:rPr>
          <w:lang w:val="fr-FR"/>
        </w:rPr>
        <w:t>’</w:t>
      </w:r>
      <w:r w:rsidRPr="003F3120">
        <w:rPr>
          <w:lang w:val="fr-FR"/>
        </w:rPr>
        <w:t>évaluation, notamment grâce à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initiatives lancées en collaboration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réseau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services écosystémiques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secrétariats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accords multilatéraux sur</w:t>
      </w:r>
      <w:r w:rsidR="007E024D">
        <w:rPr>
          <w:lang w:val="fr-FR"/>
        </w:rPr>
        <w:t> </w:t>
      </w: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environnement, notamment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Convention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diversité biologique.</w:t>
      </w:r>
    </w:p>
    <w:p w14:paraId="27562B88" w14:textId="3326725B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Enfin, s</w:t>
      </w:r>
      <w:r w:rsidR="00FA5ADB">
        <w:rPr>
          <w:lang w:val="fr-FR"/>
        </w:rPr>
        <w:t>’</w:t>
      </w:r>
      <w:r w:rsidRPr="003F3120">
        <w:rPr>
          <w:lang w:val="fr-FR"/>
        </w:rPr>
        <w:t>agissant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résultats limités obtenus à ce jour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stratégie de collecte de fonds auprès du secteur privé,</w:t>
      </w:r>
      <w:r w:rsidR="007031E0">
        <w:rPr>
          <w:lang w:val="fr-FR"/>
        </w:rPr>
        <w:t xml:space="preserve"> la </w:t>
      </w:r>
      <w:r w:rsidR="0051776B" w:rsidRPr="003F3120">
        <w:rPr>
          <w:lang w:val="fr-FR"/>
        </w:rPr>
        <w:t xml:space="preserve">Secrétaire exécutive </w:t>
      </w:r>
      <w:r w:rsidRPr="003F3120">
        <w:rPr>
          <w:lang w:val="fr-FR"/>
        </w:rPr>
        <w:t>a souligné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efforts dans ce domaine n</w:t>
      </w:r>
      <w:r w:rsidR="00FA5ADB">
        <w:rPr>
          <w:lang w:val="fr-FR"/>
        </w:rPr>
        <w:t>’</w:t>
      </w:r>
      <w:r w:rsidRPr="003F3120">
        <w:rPr>
          <w:lang w:val="fr-FR"/>
        </w:rPr>
        <w:t>étaient déployés que depuis un an,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suite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une </w:t>
      </w:r>
      <w:r w:rsidRPr="00EC6B3F">
        <w:rPr>
          <w:bCs/>
          <w:lang w:val="fr-FR"/>
        </w:rPr>
        <w:t>contribution</w:t>
      </w:r>
      <w:r w:rsidRPr="003F3120">
        <w:rPr>
          <w:lang w:val="fr-FR"/>
        </w:rPr>
        <w:t xml:space="preserve"> du </w:t>
      </w:r>
      <w:r w:rsidR="0051776B" w:rsidRPr="003F3120">
        <w:rPr>
          <w:lang w:val="fr-FR"/>
        </w:rPr>
        <w:t>G</w:t>
      </w:r>
      <w:r w:rsidRPr="003F3120">
        <w:rPr>
          <w:lang w:val="fr-FR"/>
        </w:rPr>
        <w:t>ouvernement français, et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 place d</w:t>
      </w:r>
      <w:r w:rsidR="00FA5ADB">
        <w:rPr>
          <w:lang w:val="fr-FR"/>
        </w:rPr>
        <w:t>’</w:t>
      </w:r>
      <w:r w:rsidRPr="003F3120">
        <w:rPr>
          <w:lang w:val="fr-FR"/>
        </w:rPr>
        <w:t>un réseau solide prendrait du temps.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devait envisager d</w:t>
      </w:r>
      <w:r w:rsidR="00FA5ADB">
        <w:rPr>
          <w:lang w:val="fr-FR"/>
        </w:rPr>
        <w:t>’</w:t>
      </w:r>
      <w:r w:rsidRPr="003F3120">
        <w:rPr>
          <w:lang w:val="fr-FR"/>
        </w:rPr>
        <w:t>investir dans ce type d</w:t>
      </w:r>
      <w:r w:rsidR="00FA5ADB">
        <w:rPr>
          <w:lang w:val="fr-FR"/>
        </w:rPr>
        <w:t>’</w:t>
      </w:r>
      <w:r w:rsidRPr="003F3120">
        <w:rPr>
          <w:lang w:val="fr-FR"/>
        </w:rPr>
        <w:t>efforts si elle entendait véritablement tirer parti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premières réussites prometteuses.</w:t>
      </w:r>
    </w:p>
    <w:p w14:paraId="2FD0B5C2" w14:textId="76A1214F" w:rsidR="0077408A" w:rsidRPr="003F3120" w:rsidRDefault="0077408A" w:rsidP="00ED6939">
      <w:pPr>
        <w:pStyle w:val="Normalnumber"/>
        <w:rPr>
          <w:rFonts w:cs="Arial"/>
          <w:szCs w:val="28"/>
          <w:lang w:val="fr-FR"/>
        </w:rPr>
      </w:pPr>
      <w:r w:rsidRPr="003F3120">
        <w:rPr>
          <w:lang w:val="fr-FR"/>
        </w:rPr>
        <w:t>La Plénière a convenu de créer un groupe de travail, copré</w:t>
      </w:r>
      <w:r w:rsidR="00EE266A" w:rsidRPr="003F3120">
        <w:rPr>
          <w:lang w:val="fr-FR"/>
        </w:rPr>
        <w:t>sidé par M. </w:t>
      </w:r>
      <w:r w:rsidRPr="003F3120">
        <w:rPr>
          <w:lang w:val="fr-FR"/>
        </w:rPr>
        <w:t xml:space="preserve">Mketeni </w:t>
      </w:r>
      <w:r w:rsidR="00EE266A" w:rsidRPr="003F3120">
        <w:rPr>
          <w:lang w:val="fr-FR"/>
        </w:rPr>
        <w:t>et Mme </w:t>
      </w:r>
      <w:r w:rsidRPr="003F3120">
        <w:rPr>
          <w:lang w:val="fr-FR"/>
        </w:rPr>
        <w:t>Senka</w:t>
      </w:r>
      <w:r w:rsidR="007E024D">
        <w:rPr>
          <w:lang w:val="fr-FR"/>
        </w:rPr>
        <w:t> </w:t>
      </w:r>
      <w:r w:rsidR="003F3120" w:rsidRPr="003F3120">
        <w:rPr>
          <w:lang w:val="fr-FR"/>
        </w:rPr>
        <w:t xml:space="preserve">Barudanović </w:t>
      </w:r>
      <w:r w:rsidRPr="003F3120">
        <w:rPr>
          <w:lang w:val="fr-FR"/>
        </w:rPr>
        <w:t>(Bosnie-Herzégovine), chargé d</w:t>
      </w:r>
      <w:r w:rsidR="00FA5ADB">
        <w:rPr>
          <w:lang w:val="fr-FR"/>
        </w:rPr>
        <w:t>’</w:t>
      </w:r>
      <w:r w:rsidRPr="003F3120">
        <w:rPr>
          <w:lang w:val="fr-FR"/>
        </w:rPr>
        <w:t>étudier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rapport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commission d</w:t>
      </w:r>
      <w:r w:rsidR="00FA5ADB">
        <w:rPr>
          <w:lang w:val="fr-FR"/>
        </w:rPr>
        <w:t>’</w:t>
      </w:r>
      <w:r w:rsidRPr="003F3120">
        <w:rPr>
          <w:lang w:val="fr-FR"/>
        </w:rPr>
        <w:t>examen et d</w:t>
      </w:r>
      <w:r w:rsidR="00FA5ADB">
        <w:rPr>
          <w:lang w:val="fr-FR"/>
        </w:rPr>
        <w:t>’</w:t>
      </w:r>
      <w:r w:rsidRPr="003F3120">
        <w:rPr>
          <w:lang w:val="fr-FR"/>
        </w:rPr>
        <w:t>élaborer un projet de décision pour examen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Plénière,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base du projet de décision figurant au paragraphe 2 du document IPBES/7/1/Add.2 et compte tenu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note informelle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question établie par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Président.</w:t>
      </w:r>
    </w:p>
    <w:p w14:paraId="74D9938A" w14:textId="57BFE5F1" w:rsidR="0077408A" w:rsidRPr="003F3120" w:rsidRDefault="0077408A" w:rsidP="00ED6939">
      <w:pPr>
        <w:pStyle w:val="Normalnumber"/>
        <w:rPr>
          <w:rFonts w:cs="Arial"/>
          <w:szCs w:val="28"/>
          <w:lang w:val="fr-FR"/>
        </w:rPr>
      </w:pPr>
      <w:r w:rsidRPr="003F3120">
        <w:rPr>
          <w:lang w:val="fr-FR"/>
        </w:rPr>
        <w:t>La Plénière a ultérieurement adopté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projet de décision établi par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de travail.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décision IPBES-7/</w:t>
      </w:r>
      <w:r w:rsidR="00EE266A" w:rsidRPr="003F3120">
        <w:rPr>
          <w:lang w:val="fr-FR"/>
        </w:rPr>
        <w:t>2</w:t>
      </w:r>
      <w:r w:rsidRPr="003F3120">
        <w:rPr>
          <w:lang w:val="fr-FR"/>
        </w:rPr>
        <w:t xml:space="preserve"> correspondante est </w:t>
      </w:r>
      <w:r w:rsidRPr="00EC6B3F">
        <w:rPr>
          <w:bCs/>
          <w:lang w:val="fr-FR"/>
        </w:rPr>
        <w:t>reproduite</w:t>
      </w:r>
      <w:r w:rsidRPr="003F3120">
        <w:rPr>
          <w:lang w:val="fr-FR"/>
        </w:rPr>
        <w:t xml:space="preserve"> dans l</w:t>
      </w:r>
      <w:r w:rsidR="00FA5ADB">
        <w:rPr>
          <w:lang w:val="fr-FR"/>
        </w:rPr>
        <w:t>’</w:t>
      </w:r>
      <w:r w:rsidRPr="003F3120">
        <w:rPr>
          <w:lang w:val="fr-FR"/>
        </w:rPr>
        <w:t>annexe du présent rapport.</w:t>
      </w:r>
    </w:p>
    <w:p w14:paraId="59FDFA96" w14:textId="15D5045D" w:rsidR="0077408A" w:rsidRPr="003F3120" w:rsidRDefault="007E024D" w:rsidP="007E024D">
      <w:pPr>
        <w:pStyle w:val="CH1"/>
        <w:rPr>
          <w:lang w:val="fr-FR"/>
        </w:rPr>
      </w:pPr>
      <w:r>
        <w:rPr>
          <w:lang w:val="fr-FR"/>
        </w:rPr>
        <w:tab/>
        <w:t>IX.</w:t>
      </w:r>
      <w:r>
        <w:rPr>
          <w:lang w:val="fr-FR"/>
        </w:rPr>
        <w:tab/>
      </w:r>
      <w:r w:rsidR="005F46AD">
        <w:rPr>
          <w:lang w:val="fr-FR"/>
        </w:rPr>
        <w:t>Prochain</w:t>
      </w:r>
      <w:r w:rsidR="0077408A" w:rsidRPr="003F3120">
        <w:rPr>
          <w:lang w:val="fr-FR"/>
        </w:rPr>
        <w:t xml:space="preserve"> programme de travail</w:t>
      </w:r>
      <w:r w:rsidR="005F46AD">
        <w:rPr>
          <w:lang w:val="fr-FR"/>
        </w:rPr>
        <w:t xml:space="preserve"> de</w:t>
      </w:r>
      <w:r w:rsidR="007031E0">
        <w:rPr>
          <w:lang w:val="fr-FR"/>
        </w:rPr>
        <w:t xml:space="preserve"> la </w:t>
      </w:r>
      <w:r w:rsidR="005F46AD">
        <w:rPr>
          <w:lang w:val="fr-FR"/>
        </w:rPr>
        <w:t>Plateforme</w:t>
      </w:r>
    </w:p>
    <w:p w14:paraId="7F83243B" w14:textId="30DC8C56" w:rsidR="0077408A" w:rsidRPr="003F3120" w:rsidRDefault="0077408A" w:rsidP="00ED6939">
      <w:pPr>
        <w:pStyle w:val="Normalnumber"/>
        <w:rPr>
          <w:rFonts w:cs="Arial"/>
          <w:szCs w:val="28"/>
          <w:lang w:val="fr-FR"/>
        </w:rPr>
      </w:pPr>
      <w:r w:rsidRPr="003F3120">
        <w:rPr>
          <w:lang w:val="fr-FR"/>
        </w:rPr>
        <w:t>Présentant ce point,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Président a appelé l</w:t>
      </w:r>
      <w:r w:rsidR="00FA5ADB">
        <w:rPr>
          <w:lang w:val="fr-FR"/>
        </w:rPr>
        <w:t>’</w:t>
      </w:r>
      <w:r w:rsidRPr="003F3120">
        <w:rPr>
          <w:lang w:val="fr-FR"/>
        </w:rPr>
        <w:t>attention</w:t>
      </w:r>
      <w:r w:rsidR="007031E0">
        <w:rPr>
          <w:lang w:val="fr-FR"/>
        </w:rPr>
        <w:t xml:space="preserve"> des </w:t>
      </w:r>
      <w:r w:rsidR="0051776B" w:rsidRPr="003F3120">
        <w:rPr>
          <w:lang w:val="fr-FR"/>
        </w:rPr>
        <w:t xml:space="preserve">participants </w:t>
      </w:r>
      <w:r w:rsidRPr="003F3120">
        <w:rPr>
          <w:lang w:val="fr-FR"/>
        </w:rPr>
        <w:t>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documents </w:t>
      </w:r>
      <w:r w:rsidR="0051776B" w:rsidRPr="003F3120">
        <w:rPr>
          <w:lang w:val="fr-FR"/>
        </w:rPr>
        <w:t>établis sur</w:t>
      </w:r>
      <w:r w:rsidR="007031E0">
        <w:rPr>
          <w:lang w:val="fr-FR"/>
        </w:rPr>
        <w:t xml:space="preserve"> le </w:t>
      </w:r>
      <w:r w:rsidR="0051776B" w:rsidRPr="003F3120">
        <w:rPr>
          <w:lang w:val="fr-FR"/>
        </w:rPr>
        <w:t>sujet</w:t>
      </w:r>
      <w:r w:rsidRPr="003F3120">
        <w:rPr>
          <w:lang w:val="fr-FR"/>
        </w:rPr>
        <w:t xml:space="preserve"> (IPBES/7/6, IPBES/7/6/Add.1, IPBES/7/6/Add.2 et divers documents d</w:t>
      </w:r>
      <w:r w:rsidR="00FA5ADB">
        <w:rPr>
          <w:lang w:val="fr-FR"/>
        </w:rPr>
        <w:t>’</w:t>
      </w:r>
      <w:r w:rsidR="00E2495C">
        <w:rPr>
          <w:lang w:val="fr-FR"/>
        </w:rPr>
        <w:t>information). Il a </w:t>
      </w:r>
      <w:r w:rsidRPr="003F3120">
        <w:rPr>
          <w:lang w:val="fr-FR"/>
        </w:rPr>
        <w:t>rappelé que dans sa décision IPBES-6/2,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avait prié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Bureau, avec l</w:t>
      </w:r>
      <w:r w:rsidR="00FA5ADB">
        <w:rPr>
          <w:lang w:val="fr-FR"/>
        </w:rPr>
        <w:t>’</w:t>
      </w:r>
      <w:r w:rsidRPr="003F3120">
        <w:rPr>
          <w:lang w:val="fr-FR"/>
        </w:rPr>
        <w:t>appui du secrétariat, d</w:t>
      </w:r>
      <w:r w:rsidR="00FA5ADB">
        <w:rPr>
          <w:lang w:val="fr-FR"/>
        </w:rPr>
        <w:t>’</w:t>
      </w:r>
      <w:r w:rsidRPr="003F3120">
        <w:rPr>
          <w:lang w:val="fr-FR"/>
        </w:rPr>
        <w:t>établir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version définitive du projet de cadre stratégique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Pr="003F3120">
        <w:rPr>
          <w:lang w:val="fr-FR"/>
        </w:rPr>
        <w:t>à 2030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éléme</w:t>
      </w:r>
      <w:r w:rsidR="00D67B3F">
        <w:rPr>
          <w:lang w:val="fr-FR"/>
        </w:rPr>
        <w:t>nts du programme de travail, en </w:t>
      </w:r>
      <w:r w:rsidRPr="003F3120">
        <w:rPr>
          <w:lang w:val="fr-FR"/>
        </w:rPr>
        <w:t>suivant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procédure décrite dans ladite décision, pour examen et approbation à sa septième session.</w:t>
      </w:r>
    </w:p>
    <w:p w14:paraId="6511E02C" w14:textId="3EAACE5B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La Secrétaire exécutive a fourni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informations sur l</w:t>
      </w:r>
      <w:r w:rsidR="00FA5ADB">
        <w:rPr>
          <w:lang w:val="fr-FR"/>
        </w:rPr>
        <w:t>’</w:t>
      </w:r>
      <w:r w:rsidRPr="003F3120">
        <w:rPr>
          <w:lang w:val="fr-FR"/>
        </w:rPr>
        <w:t>élaboration du projet de cadre stratégique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éléments du programme de travail glissant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>invitation à présenter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demandes, contributions et suggestions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priorités à court terme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besoins stratégiques à plus long terme pour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prochain programme de travail</w:t>
      </w:r>
      <w:r w:rsidR="00FD5D6A">
        <w:rPr>
          <w:lang w:val="fr-FR"/>
        </w:rPr>
        <w:t> ;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regroupement de ces demandes ainsi que leur classement par ordre de priorité.</w:t>
      </w:r>
    </w:p>
    <w:p w14:paraId="79D1D1D2" w14:textId="479D7A74" w:rsidR="0077408A" w:rsidRPr="003F3120" w:rsidRDefault="009E728A" w:rsidP="00ED6939">
      <w:pPr>
        <w:pStyle w:val="Normalnumber"/>
        <w:rPr>
          <w:lang w:val="fr-FR"/>
        </w:rPr>
      </w:pPr>
      <w:r w:rsidRPr="003F3120">
        <w:rPr>
          <w:lang w:val="fr-FR"/>
        </w:rPr>
        <w:t>P</w:t>
      </w:r>
      <w:r w:rsidR="0077408A" w:rsidRPr="003F3120">
        <w:rPr>
          <w:lang w:val="fr-FR"/>
        </w:rPr>
        <w:t>renant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parole au nom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commission et du Bureau,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coprésident du Groupe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experts multidisciplinaire, M. Luthando Dziba, </w:t>
      </w:r>
      <w:r w:rsidR="0077408A" w:rsidRPr="003F3120">
        <w:rPr>
          <w:lang w:val="fr-FR"/>
        </w:rPr>
        <w:t>a expliqué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principales considérations qui avaient guidé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élaboration du projet de programme de travail. Sur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base de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invitation à présenter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demandes, contributions et suggestions sur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priorités à court terme et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besoins stratégiques à plus long terme,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trois thèmes ci-après ont été qualifiés de prioritaires</w:t>
      </w:r>
      <w:r w:rsidR="00FD5D6A">
        <w:rPr>
          <w:lang w:val="fr-FR"/>
        </w:rPr>
        <w:t> :</w:t>
      </w:r>
      <w:r w:rsidR="0077408A" w:rsidRPr="003F3120">
        <w:rPr>
          <w:lang w:val="fr-FR"/>
        </w:rPr>
        <w:t xml:space="preserve"> promouvoir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biodiversité p</w:t>
      </w:r>
      <w:r w:rsidRPr="003F3120">
        <w:rPr>
          <w:lang w:val="fr-FR"/>
        </w:rPr>
        <w:t>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réalisation du Programme </w:t>
      </w:r>
      <w:r w:rsidR="0077408A" w:rsidRPr="003F3120">
        <w:rPr>
          <w:lang w:val="fr-FR"/>
        </w:rPr>
        <w:t>2030</w:t>
      </w:r>
      <w:r w:rsidR="00FD5D6A">
        <w:rPr>
          <w:lang w:val="fr-FR"/>
        </w:rPr>
        <w:t> ;</w:t>
      </w:r>
      <w:r w:rsidR="0077408A" w:rsidRPr="003F3120">
        <w:rPr>
          <w:lang w:val="fr-FR"/>
        </w:rPr>
        <w:t xml:space="preserve"> comprendre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liens entre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causes profondes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perte de biodiversité et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déterminants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changements transformateurs tendant à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réalisation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Vision 2050 pour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biodiversité</w:t>
      </w:r>
      <w:r w:rsidR="00FD5D6A">
        <w:rPr>
          <w:lang w:val="fr-FR"/>
        </w:rPr>
        <w:t> ;</w:t>
      </w:r>
      <w:r w:rsidR="0077408A" w:rsidRPr="003F3120">
        <w:rPr>
          <w:lang w:val="fr-FR"/>
        </w:rPr>
        <w:t xml:space="preserve"> mesurer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impact commercial et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dépendance vis-à-vis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contributions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nature aux personnes.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 xml:space="preserve">projet de programme de travail, structuré par rapport à </w:t>
      </w:r>
      <w:r w:rsidR="005F46AD">
        <w:rPr>
          <w:lang w:val="fr-FR"/>
        </w:rPr>
        <w:t>6</w:t>
      </w:r>
      <w:r w:rsidR="0077408A" w:rsidRPr="003F3120">
        <w:rPr>
          <w:lang w:val="fr-FR"/>
        </w:rPr>
        <w:t xml:space="preserve"> objectifs et 15 résultats concrets, prévoirait </w:t>
      </w:r>
      <w:r w:rsidR="005F46AD">
        <w:rPr>
          <w:lang w:val="fr-FR"/>
        </w:rPr>
        <w:t>5</w:t>
      </w:r>
      <w:r w:rsidR="0077408A" w:rsidRPr="003F3120">
        <w:rPr>
          <w:lang w:val="fr-FR"/>
        </w:rPr>
        <w:t xml:space="preserve"> équipes spéciales, chacune consacrée à </w:t>
      </w:r>
      <w:r w:rsidR="0077408A" w:rsidRPr="003F3120">
        <w:rPr>
          <w:lang w:val="fr-FR"/>
        </w:rPr>
        <w:lastRenderedPageBreak/>
        <w:t>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un</w:t>
      </w:r>
      <w:r w:rsidR="00EC6B3F">
        <w:rPr>
          <w:lang w:val="fr-FR"/>
        </w:rPr>
        <w:t> </w:t>
      </w:r>
      <w:r w:rsidR="007031E0">
        <w:rPr>
          <w:lang w:val="fr-FR"/>
        </w:rPr>
        <w:t>des </w:t>
      </w:r>
      <w:r w:rsidR="0077408A" w:rsidRPr="003F3120">
        <w:rPr>
          <w:lang w:val="fr-FR"/>
        </w:rPr>
        <w:t>domaines suivants</w:t>
      </w:r>
      <w:r w:rsidR="00FD5D6A">
        <w:rPr>
          <w:lang w:val="fr-FR"/>
        </w:rPr>
        <w:t> :</w:t>
      </w:r>
      <w:r w:rsidR="0077408A" w:rsidRPr="003F3120">
        <w:rPr>
          <w:lang w:val="fr-FR"/>
        </w:rPr>
        <w:t xml:space="preserve"> renforcement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capacités</w:t>
      </w:r>
      <w:r w:rsidR="00FD5D6A">
        <w:rPr>
          <w:lang w:val="fr-FR"/>
        </w:rPr>
        <w:t> ;</w:t>
      </w:r>
      <w:r w:rsidR="0077408A" w:rsidRPr="003F3120">
        <w:rPr>
          <w:lang w:val="fr-FR"/>
        </w:rPr>
        <w:t xml:space="preserve"> connaissances et données</w:t>
      </w:r>
      <w:r w:rsidR="00FD5D6A">
        <w:rPr>
          <w:lang w:val="fr-FR"/>
        </w:rPr>
        <w:t> ;</w:t>
      </w:r>
      <w:r w:rsidR="0077408A" w:rsidRPr="003F3120">
        <w:rPr>
          <w:lang w:val="fr-FR"/>
        </w:rPr>
        <w:t xml:space="preserve"> savoirs autochtones et locaux</w:t>
      </w:r>
      <w:r w:rsidR="00FD5D6A">
        <w:rPr>
          <w:lang w:val="fr-FR"/>
        </w:rPr>
        <w:t> ;</w:t>
      </w:r>
      <w:r w:rsidR="0077408A" w:rsidRPr="003F3120">
        <w:rPr>
          <w:lang w:val="fr-FR"/>
        </w:rPr>
        <w:t xml:space="preserve"> scénarios et modèles</w:t>
      </w:r>
      <w:r w:rsidR="00FD5D6A">
        <w:rPr>
          <w:lang w:val="fr-FR"/>
        </w:rPr>
        <w:t> ;</w:t>
      </w:r>
      <w:r w:rsidR="0077408A" w:rsidRPr="003F3120">
        <w:rPr>
          <w:lang w:val="fr-FR"/>
        </w:rPr>
        <w:t xml:space="preserve"> outils et méthodes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appui à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politiques.</w:t>
      </w:r>
    </w:p>
    <w:p w14:paraId="4E1D4245" w14:textId="608E1DFF" w:rsidR="006A7BDF" w:rsidRPr="003F3120" w:rsidRDefault="0077408A" w:rsidP="00ED6939">
      <w:pPr>
        <w:pStyle w:val="Normalnumber"/>
        <w:rPr>
          <w:rFonts w:cs="Arial"/>
          <w:i/>
          <w:szCs w:val="28"/>
          <w:lang w:val="fr-FR"/>
        </w:rPr>
      </w:pPr>
      <w:r w:rsidRPr="003F3120">
        <w:rPr>
          <w:lang w:val="fr-FR"/>
        </w:rPr>
        <w:t>La Plénière a convenu que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 xml:space="preserve">groupe de travail qui avait </w:t>
      </w:r>
      <w:r w:rsidR="0051776B" w:rsidRPr="003F3120">
        <w:rPr>
          <w:lang w:val="fr-FR"/>
        </w:rPr>
        <w:t>été constitué au titre du point </w:t>
      </w:r>
      <w:r w:rsidRPr="003F3120">
        <w:rPr>
          <w:lang w:val="fr-FR"/>
        </w:rPr>
        <w:t>8 (</w:t>
      </w:r>
      <w:r w:rsidRPr="00EC6B3F">
        <w:rPr>
          <w:bCs/>
          <w:lang w:val="fr-FR"/>
        </w:rPr>
        <w:t>Examen</w:t>
      </w:r>
      <w:r w:rsidRPr="003F3120">
        <w:rPr>
          <w:lang w:val="fr-FR"/>
        </w:rPr>
        <w:t xml:space="preserve">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à l</w:t>
      </w:r>
      <w:r w:rsidR="00FA5ADB">
        <w:rPr>
          <w:lang w:val="fr-FR"/>
        </w:rPr>
        <w:t>’</w:t>
      </w:r>
      <w:r w:rsidRPr="003F3120">
        <w:rPr>
          <w:lang w:val="fr-FR"/>
        </w:rPr>
        <w:t>issue de son premier programme de travail) examinerait également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point de l</w:t>
      </w:r>
      <w:r w:rsidR="00FA5ADB">
        <w:rPr>
          <w:lang w:val="fr-FR"/>
        </w:rPr>
        <w:t>’</w:t>
      </w:r>
      <w:r w:rsidRPr="003F3120">
        <w:rPr>
          <w:lang w:val="fr-FR"/>
        </w:rPr>
        <w:t>ordre du jour</w:t>
      </w:r>
      <w:r w:rsidR="005F46AD">
        <w:rPr>
          <w:lang w:val="fr-FR"/>
        </w:rPr>
        <w:t xml:space="preserve"> à l</w:t>
      </w:r>
      <w:r w:rsidR="00FA5ADB">
        <w:rPr>
          <w:lang w:val="fr-FR"/>
        </w:rPr>
        <w:t>’</w:t>
      </w:r>
      <w:r w:rsidR="005F46AD">
        <w:rPr>
          <w:lang w:val="fr-FR"/>
        </w:rPr>
        <w:t>examen</w:t>
      </w:r>
      <w:r w:rsidRPr="003F3120">
        <w:rPr>
          <w:lang w:val="fr-FR"/>
        </w:rPr>
        <w:t>. Il a été par ailleurs chargé d</w:t>
      </w:r>
      <w:r w:rsidR="00FA5ADB">
        <w:rPr>
          <w:lang w:val="fr-FR"/>
        </w:rPr>
        <w:t>’</w:t>
      </w:r>
      <w:r w:rsidRPr="003F3120">
        <w:rPr>
          <w:lang w:val="fr-FR"/>
        </w:rPr>
        <w:t>examiner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projet de programme de travail présenté dans l</w:t>
      </w:r>
      <w:r w:rsidR="00FA5ADB">
        <w:rPr>
          <w:lang w:val="fr-FR"/>
        </w:rPr>
        <w:t>’</w:t>
      </w:r>
      <w:r w:rsidRPr="003F3120">
        <w:rPr>
          <w:lang w:val="fr-FR"/>
        </w:rPr>
        <w:t>annexe au document IPBES/7/6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projet de décision connexe figurant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document IPBES/7/1/Add.2 et d</w:t>
      </w:r>
      <w:r w:rsidR="00FA5ADB">
        <w:rPr>
          <w:lang w:val="fr-FR"/>
        </w:rPr>
        <w:t>’</w:t>
      </w:r>
      <w:r w:rsidRPr="003F3120">
        <w:rPr>
          <w:lang w:val="fr-FR"/>
        </w:rPr>
        <w:t>établir un projet de décision pour examen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Plénière.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a également convenu qu</w:t>
      </w:r>
      <w:r w:rsidR="00FA5ADB">
        <w:rPr>
          <w:lang w:val="fr-FR"/>
        </w:rPr>
        <w:t>’</w:t>
      </w:r>
      <w:r w:rsidRPr="003F3120">
        <w:rPr>
          <w:lang w:val="fr-FR"/>
        </w:rPr>
        <w:t>à l</w:t>
      </w:r>
      <w:r w:rsidR="00FA5ADB">
        <w:rPr>
          <w:lang w:val="fr-FR"/>
        </w:rPr>
        <w:t>’</w:t>
      </w:r>
      <w:r w:rsidRPr="003F3120">
        <w:rPr>
          <w:lang w:val="fr-FR"/>
        </w:rPr>
        <w:t>achèvement de ses travaux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point 8 de l</w:t>
      </w:r>
      <w:r w:rsidR="00FA5ADB">
        <w:rPr>
          <w:lang w:val="fr-FR"/>
        </w:rPr>
        <w:t>’</w:t>
      </w:r>
      <w:r w:rsidRPr="003F3120">
        <w:rPr>
          <w:lang w:val="fr-FR"/>
        </w:rPr>
        <w:t>ordre du jour,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de travail</w:t>
      </w:r>
      <w:r w:rsidR="00EE266A" w:rsidRPr="003F3120">
        <w:rPr>
          <w:lang w:val="fr-FR"/>
        </w:rPr>
        <w:t xml:space="preserve"> serait coprésidé par </w:t>
      </w:r>
      <w:r w:rsidR="006A7BDF" w:rsidRPr="003F3120">
        <w:rPr>
          <w:rFonts w:eastAsia="MS Mincho" w:cs="Arial"/>
          <w:szCs w:val="28"/>
          <w:lang w:val="fr-FR"/>
        </w:rPr>
        <w:t>Mme </w:t>
      </w:r>
      <w:r w:rsidR="00EE266A" w:rsidRPr="003F3120">
        <w:rPr>
          <w:rFonts w:eastAsia="MS Mincho"/>
          <w:szCs w:val="28"/>
          <w:lang w:val="fr-FR"/>
        </w:rPr>
        <w:t>Ana María Hernández</w:t>
      </w:r>
      <w:r w:rsidR="006A7BDF" w:rsidRPr="003F3120">
        <w:rPr>
          <w:rFonts w:eastAsia="MS Mincho"/>
          <w:szCs w:val="28"/>
          <w:lang w:val="fr-FR"/>
        </w:rPr>
        <w:t xml:space="preserve"> (Colombie</w:t>
      </w:r>
      <w:r w:rsidR="00EE266A" w:rsidRPr="003F3120">
        <w:rPr>
          <w:rFonts w:eastAsia="MS Mincho"/>
          <w:szCs w:val="28"/>
          <w:lang w:val="fr-FR"/>
        </w:rPr>
        <w:t xml:space="preserve">) </w:t>
      </w:r>
      <w:r w:rsidR="006A7BDF" w:rsidRPr="003F3120">
        <w:rPr>
          <w:rFonts w:eastAsia="MS Mincho"/>
          <w:szCs w:val="28"/>
          <w:lang w:val="fr-FR"/>
        </w:rPr>
        <w:t>et M. Ivar Baste (Norvège</w:t>
      </w:r>
      <w:r w:rsidR="00EE266A" w:rsidRPr="003F3120">
        <w:rPr>
          <w:rFonts w:eastAsia="MS Mincho"/>
          <w:szCs w:val="28"/>
          <w:lang w:val="fr-FR"/>
        </w:rPr>
        <w:t>).</w:t>
      </w:r>
      <w:bookmarkStart w:id="53" w:name="_DV_C202"/>
    </w:p>
    <w:p w14:paraId="0EE812B2" w14:textId="4EDC5DC1" w:rsidR="0077408A" w:rsidRPr="003F3120" w:rsidRDefault="006C63F7" w:rsidP="00ED6939">
      <w:pPr>
        <w:pStyle w:val="Normalnumber"/>
        <w:rPr>
          <w:rStyle w:val="DeltaViewInsertion"/>
          <w:rFonts w:cs="Arial"/>
          <w:i/>
          <w:color w:val="auto"/>
          <w:szCs w:val="28"/>
          <w:u w:val="none"/>
          <w:lang w:val="fr-FR"/>
        </w:rPr>
      </w:pPr>
      <w:r w:rsidRPr="003F3120">
        <w:rPr>
          <w:lang w:val="fr-FR"/>
        </w:rPr>
        <w:t>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suite, à l</w:t>
      </w:r>
      <w:r w:rsidR="00FA5ADB">
        <w:rPr>
          <w:lang w:val="fr-FR"/>
        </w:rPr>
        <w:t>’</w:t>
      </w:r>
      <w:r w:rsidRPr="003F3120">
        <w:rPr>
          <w:lang w:val="fr-FR"/>
        </w:rPr>
        <w:t>issue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travaux du groupe de travail,</w:t>
      </w:r>
      <w:r w:rsidR="007031E0">
        <w:rPr>
          <w:lang w:val="fr-FR"/>
        </w:rPr>
        <w:t xml:space="preserve"> la </w:t>
      </w:r>
      <w:r w:rsidR="006B131C">
        <w:rPr>
          <w:lang w:val="fr-FR"/>
        </w:rPr>
        <w:t>Plénière a adopté</w:t>
      </w:r>
      <w:r w:rsidR="007031E0">
        <w:rPr>
          <w:lang w:val="fr-FR"/>
        </w:rPr>
        <w:t xml:space="preserve"> la </w:t>
      </w:r>
      <w:r w:rsidR="006B131C">
        <w:rPr>
          <w:lang w:val="fr-FR"/>
        </w:rPr>
        <w:t>décision </w:t>
      </w:r>
      <w:r w:rsidRPr="003F3120">
        <w:rPr>
          <w:lang w:val="fr-FR"/>
        </w:rPr>
        <w:t>IPBES</w:t>
      </w:r>
      <w:r w:rsidR="0051776B" w:rsidRPr="003F3120">
        <w:rPr>
          <w:lang w:val="fr-FR"/>
        </w:rPr>
        <w:noBreakHyphen/>
      </w:r>
      <w:r w:rsidRPr="003F3120">
        <w:rPr>
          <w:lang w:val="fr-FR"/>
        </w:rPr>
        <w:t>7/1 (</w:t>
      </w:r>
      <w:r w:rsidR="005165E3" w:rsidRPr="003F3120">
        <w:rPr>
          <w:lang w:val="fr-FR"/>
        </w:rPr>
        <w:t>Programme de travail glissant de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Plateforme pour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5165E3" w:rsidRPr="003F3120">
        <w:rPr>
          <w:lang w:val="fr-FR"/>
        </w:rPr>
        <w:t>en</w:t>
      </w:r>
      <w:r w:rsidR="007E024D">
        <w:rPr>
          <w:lang w:val="fr-FR"/>
        </w:rPr>
        <w:t> </w:t>
      </w:r>
      <w:r w:rsidR="005165E3" w:rsidRPr="003F3120">
        <w:rPr>
          <w:lang w:val="fr-FR"/>
        </w:rPr>
        <w:t>2030</w:t>
      </w:r>
      <w:r w:rsidRPr="003F3120">
        <w:rPr>
          <w:lang w:val="fr-FR"/>
        </w:rPr>
        <w:t>)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base du projet de déc</w:t>
      </w:r>
      <w:r w:rsidR="006B131C">
        <w:rPr>
          <w:lang w:val="fr-FR"/>
        </w:rPr>
        <w:t>ision figurant dans</w:t>
      </w:r>
      <w:r w:rsidR="007031E0">
        <w:rPr>
          <w:lang w:val="fr-FR"/>
        </w:rPr>
        <w:t xml:space="preserve"> le </w:t>
      </w:r>
      <w:r w:rsidR="006B131C">
        <w:rPr>
          <w:lang w:val="fr-FR"/>
        </w:rPr>
        <w:t>document </w:t>
      </w:r>
      <w:r w:rsidRPr="003F3120">
        <w:rPr>
          <w:lang w:val="fr-FR"/>
        </w:rPr>
        <w:t xml:space="preserve">IPBES/7/L.5, tel </w:t>
      </w:r>
      <w:r w:rsidRPr="00EC6B3F">
        <w:rPr>
          <w:bCs/>
          <w:lang w:val="fr-FR"/>
        </w:rPr>
        <w:t>qu</w:t>
      </w:r>
      <w:r w:rsidR="00FA5ADB">
        <w:rPr>
          <w:bCs/>
          <w:lang w:val="fr-FR"/>
        </w:rPr>
        <w:t>’</w:t>
      </w:r>
      <w:r w:rsidRPr="00EC6B3F">
        <w:rPr>
          <w:bCs/>
          <w:lang w:val="fr-FR"/>
        </w:rPr>
        <w:t>amendé</w:t>
      </w:r>
      <w:r w:rsidRPr="003F3120">
        <w:rPr>
          <w:lang w:val="fr-FR"/>
        </w:rPr>
        <w:t xml:space="preserve"> oralement</w:t>
      </w:r>
      <w:r w:rsidR="00C6409C">
        <w:rPr>
          <w:lang w:val="fr-FR"/>
        </w:rPr>
        <w:t>.</w:t>
      </w:r>
      <w:bookmarkEnd w:id="53"/>
    </w:p>
    <w:p w14:paraId="189C89A4" w14:textId="2BBC3147" w:rsidR="003F7C1A" w:rsidRPr="003F3120" w:rsidRDefault="006C63F7" w:rsidP="00ED6939">
      <w:pPr>
        <w:pStyle w:val="Normalnumber"/>
        <w:rPr>
          <w:rFonts w:cs="Arial"/>
          <w:i/>
          <w:szCs w:val="28"/>
          <w:lang w:val="fr-FR"/>
        </w:rPr>
      </w:pPr>
      <w:bookmarkStart w:id="54" w:name="_DV_C204"/>
      <w:r w:rsidRPr="003F3120">
        <w:rPr>
          <w:lang w:val="fr-FR"/>
        </w:rPr>
        <w:t>Après l</w:t>
      </w:r>
      <w:r w:rsidR="00FA5ADB">
        <w:rPr>
          <w:lang w:val="fr-FR"/>
        </w:rPr>
        <w:t>’</w:t>
      </w:r>
      <w:r w:rsidRPr="003F3120">
        <w:rPr>
          <w:lang w:val="fr-FR"/>
        </w:rPr>
        <w:t>adoption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décision,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représentante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Norvège a réaffirmé que son pays restait disposé à </w:t>
      </w:r>
      <w:r w:rsidRPr="00EC6B3F">
        <w:rPr>
          <w:bCs/>
          <w:lang w:val="fr-FR"/>
        </w:rPr>
        <w:t>accueillir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appui technique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renforcement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capacités, et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représentante de l</w:t>
      </w:r>
      <w:r w:rsidR="00FA5ADB">
        <w:rPr>
          <w:lang w:val="fr-FR"/>
        </w:rPr>
        <w:t>’</w:t>
      </w:r>
      <w:r w:rsidRPr="003F3120">
        <w:rPr>
          <w:lang w:val="fr-FR"/>
        </w:rPr>
        <w:t>UNESCO a fait de même en ce qui concerne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appui technique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savoirs autochtones et locaux</w:t>
      </w:r>
      <w:r w:rsidR="00C6409C">
        <w:rPr>
          <w:lang w:val="fr-FR"/>
        </w:rPr>
        <w:t>.</w:t>
      </w:r>
      <w:bookmarkEnd w:id="54"/>
    </w:p>
    <w:p w14:paraId="7821EC76" w14:textId="333DB949" w:rsidR="0077408A" w:rsidRPr="003F3120" w:rsidRDefault="007E024D" w:rsidP="007E024D">
      <w:pPr>
        <w:pStyle w:val="CH1"/>
        <w:rPr>
          <w:lang w:val="fr-FR"/>
        </w:rPr>
      </w:pPr>
      <w:r>
        <w:rPr>
          <w:lang w:val="fr-FR"/>
        </w:rPr>
        <w:tab/>
        <w:t>X.</w:t>
      </w:r>
      <w:r>
        <w:rPr>
          <w:lang w:val="fr-FR"/>
        </w:rPr>
        <w:tab/>
      </w:r>
      <w:r w:rsidR="0077408A" w:rsidRPr="003F3120">
        <w:rPr>
          <w:lang w:val="fr-FR"/>
        </w:rPr>
        <w:t>Organisation</w:t>
      </w:r>
      <w:r w:rsidR="007031E0">
        <w:rPr>
          <w:lang w:val="fr-FR"/>
        </w:rPr>
        <w:t xml:space="preserve"> des </w:t>
      </w:r>
      <w:r w:rsidR="00A71852">
        <w:rPr>
          <w:lang w:val="fr-FR"/>
        </w:rPr>
        <w:t xml:space="preserve">travaux </w:t>
      </w:r>
      <w:r w:rsidR="0077408A"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Plénière et date et lieu de ses</w:t>
      </w:r>
      <w:r>
        <w:rPr>
          <w:lang w:val="fr-FR"/>
        </w:rPr>
        <w:t> </w:t>
      </w:r>
      <w:r w:rsidR="0077408A" w:rsidRPr="003F3120">
        <w:rPr>
          <w:lang w:val="fr-FR"/>
        </w:rPr>
        <w:t>futures sessions</w:t>
      </w:r>
    </w:p>
    <w:p w14:paraId="4879603E" w14:textId="2C8AD9D5" w:rsidR="0077408A" w:rsidRPr="003F3120" w:rsidRDefault="0077408A" w:rsidP="00ED6939">
      <w:pPr>
        <w:pStyle w:val="Normalnumber"/>
        <w:rPr>
          <w:lang w:val="fr-FR"/>
        </w:rPr>
      </w:pPr>
      <w:r w:rsidRPr="003F3120">
        <w:rPr>
          <w:lang w:val="fr-FR"/>
        </w:rPr>
        <w:t>Présentant ce point,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Président a indiqué qu</w:t>
      </w:r>
      <w:r w:rsidR="00FA5ADB">
        <w:rPr>
          <w:lang w:val="fr-FR"/>
        </w:rPr>
        <w:t>’</w:t>
      </w:r>
      <w:r w:rsidRPr="003F3120">
        <w:rPr>
          <w:lang w:val="fr-FR"/>
        </w:rPr>
        <w:t>un projet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ordre du jour provisoire et </w:t>
      </w:r>
      <w:r w:rsidRPr="00EC6B3F">
        <w:rPr>
          <w:bCs/>
          <w:lang w:val="fr-FR"/>
        </w:rPr>
        <w:t>d</w:t>
      </w:r>
      <w:r w:rsidR="00FA5ADB">
        <w:rPr>
          <w:bCs/>
          <w:lang w:val="fr-FR"/>
        </w:rPr>
        <w:t>’</w:t>
      </w:r>
      <w:r w:rsidRPr="00EC6B3F">
        <w:rPr>
          <w:bCs/>
          <w:lang w:val="fr-FR"/>
        </w:rPr>
        <w:t>organisation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travaux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huitième session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éta</w:t>
      </w:r>
      <w:r w:rsidR="00A71852">
        <w:rPr>
          <w:lang w:val="fr-FR"/>
        </w:rPr>
        <w:t>it disponible dans une note du s</w:t>
      </w:r>
      <w:r w:rsidRPr="003F3120">
        <w:rPr>
          <w:lang w:val="fr-FR"/>
        </w:rPr>
        <w:t>ecrétariat (IPBES/7/7).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ne serait invitée à examiner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résumés à l</w:t>
      </w:r>
      <w:r w:rsidR="00FA5ADB">
        <w:rPr>
          <w:lang w:val="fr-FR"/>
        </w:rPr>
        <w:t>’</w:t>
      </w:r>
      <w:r w:rsidRPr="003F3120">
        <w:rPr>
          <w:lang w:val="fr-FR"/>
        </w:rPr>
        <w:t>intention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décideurs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évaluations en cours concernant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valeurs et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 durable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espèces sauvages qu</w:t>
      </w:r>
      <w:r w:rsidR="00FA5ADB">
        <w:rPr>
          <w:lang w:val="fr-FR"/>
        </w:rPr>
        <w:t>’</w:t>
      </w:r>
      <w:r w:rsidRPr="003F3120">
        <w:rPr>
          <w:lang w:val="fr-FR"/>
        </w:rPr>
        <w:t>à sa neuvième session.</w:t>
      </w:r>
    </w:p>
    <w:p w14:paraId="736E0602" w14:textId="498D8BF9" w:rsidR="0077408A" w:rsidRPr="003F3120" w:rsidRDefault="0077408A" w:rsidP="00ED6939">
      <w:pPr>
        <w:pStyle w:val="Normalnumber"/>
        <w:rPr>
          <w:rFonts w:cs="Arial"/>
          <w:szCs w:val="28"/>
          <w:lang w:val="fr-FR"/>
        </w:rPr>
      </w:pPr>
      <w:r w:rsidRPr="003F3120">
        <w:rPr>
          <w:lang w:val="fr-FR"/>
        </w:rPr>
        <w:t>Le représentant du secrétariat a déclaré que l</w:t>
      </w:r>
      <w:r w:rsidR="00FA5ADB">
        <w:rPr>
          <w:lang w:val="fr-FR"/>
        </w:rPr>
        <w:t>’</w:t>
      </w:r>
      <w:r w:rsidRPr="003F3120">
        <w:rPr>
          <w:lang w:val="fr-FR"/>
        </w:rPr>
        <w:t>ordre du jour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huitième session, qui se</w:t>
      </w:r>
      <w:r w:rsidR="00EC6B3F">
        <w:rPr>
          <w:lang w:val="fr-FR"/>
        </w:rPr>
        <w:t> </w:t>
      </w:r>
      <w:r w:rsidRPr="003F3120">
        <w:rPr>
          <w:lang w:val="fr-FR"/>
        </w:rPr>
        <w:t>tiendrait sur cinq jours, dépendrait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résultats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session en cours et pourrait inclure l</w:t>
      </w:r>
      <w:r w:rsidR="00FA5ADB">
        <w:rPr>
          <w:lang w:val="fr-FR"/>
        </w:rPr>
        <w:t>’</w:t>
      </w:r>
      <w:r w:rsidRPr="003F3120">
        <w:rPr>
          <w:lang w:val="fr-FR"/>
        </w:rPr>
        <w:t>examen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rapports </w:t>
      </w:r>
      <w:r w:rsidRPr="00EC6B3F">
        <w:rPr>
          <w:bCs/>
          <w:lang w:val="fr-FR"/>
        </w:rPr>
        <w:t>d</w:t>
      </w:r>
      <w:r w:rsidR="00FA5ADB">
        <w:rPr>
          <w:bCs/>
          <w:lang w:val="fr-FR"/>
        </w:rPr>
        <w:t>’</w:t>
      </w:r>
      <w:r w:rsidRPr="00EC6B3F">
        <w:rPr>
          <w:bCs/>
          <w:lang w:val="fr-FR"/>
        </w:rPr>
        <w:t>évaluation</w:t>
      </w:r>
      <w:r w:rsidRPr="003F3120">
        <w:rPr>
          <w:lang w:val="fr-FR"/>
        </w:rPr>
        <w:t>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questions relatives aux équipes spéciales ou toute autre décision en</w:t>
      </w:r>
      <w:r w:rsidR="00EC6B3F">
        <w:rPr>
          <w:lang w:val="fr-FR"/>
        </w:rPr>
        <w:t> </w:t>
      </w:r>
      <w:r w:rsidRPr="003F3120">
        <w:rPr>
          <w:lang w:val="fr-FR"/>
        </w:rPr>
        <w:t>suspens concernant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programme de travail.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membres qui envisageaient d</w:t>
      </w:r>
      <w:r w:rsidR="00FA5ADB">
        <w:rPr>
          <w:lang w:val="fr-FR"/>
        </w:rPr>
        <w:t>’</w:t>
      </w:r>
      <w:r w:rsidRPr="003F3120">
        <w:rPr>
          <w:lang w:val="fr-FR"/>
        </w:rPr>
        <w:t>accueillir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huitième</w:t>
      </w:r>
      <w:r w:rsidR="00EC6B3F">
        <w:rPr>
          <w:lang w:val="fr-FR"/>
        </w:rPr>
        <w:t> </w:t>
      </w:r>
      <w:r w:rsidRPr="003F3120">
        <w:rPr>
          <w:lang w:val="fr-FR"/>
        </w:rPr>
        <w:t>ou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neuvième session étaient invités à faire une propo</w:t>
      </w:r>
      <w:r w:rsidR="006A7BDF" w:rsidRPr="003F3120">
        <w:rPr>
          <w:lang w:val="fr-FR"/>
        </w:rPr>
        <w:t>sition officielle dans ce sens.</w:t>
      </w:r>
    </w:p>
    <w:p w14:paraId="7121103F" w14:textId="097F4CED" w:rsidR="003E5332" w:rsidRPr="007E024D" w:rsidRDefault="003E5332" w:rsidP="00ED6939">
      <w:pPr>
        <w:pStyle w:val="Normalnumber"/>
      </w:pPr>
      <w:r w:rsidRPr="003F3120">
        <w:rPr>
          <w:lang w:val="fr-FR"/>
        </w:rPr>
        <w:t>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suite, après avoir annoncé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huitième session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se tiendrait en jan</w:t>
      </w:r>
      <w:r w:rsidR="00C6409C">
        <w:rPr>
          <w:lang w:val="fr-FR"/>
        </w:rPr>
        <w:t>vier</w:t>
      </w:r>
      <w:r w:rsidR="00EC6B3F">
        <w:rPr>
          <w:lang w:val="fr-FR"/>
        </w:rPr>
        <w:t> </w:t>
      </w:r>
      <w:r w:rsidR="00C6409C">
        <w:rPr>
          <w:lang w:val="fr-FR"/>
        </w:rPr>
        <w:t>ou</w:t>
      </w:r>
      <w:r w:rsidR="007E024D">
        <w:rPr>
          <w:lang w:val="fr-FR"/>
        </w:rPr>
        <w:t> </w:t>
      </w:r>
      <w:r w:rsidR="00C6409C">
        <w:rPr>
          <w:lang w:val="fr-FR"/>
        </w:rPr>
        <w:t>février </w:t>
      </w:r>
      <w:r w:rsidRPr="003F3120">
        <w:rPr>
          <w:lang w:val="fr-FR"/>
        </w:rPr>
        <w:t>2021 et</w:t>
      </w:r>
      <w:r w:rsidR="007031E0">
        <w:rPr>
          <w:lang w:val="fr-FR"/>
        </w:rPr>
        <w:t xml:space="preserve"> </w:t>
      </w:r>
      <w:r w:rsidR="007031E0" w:rsidRPr="00EC6B3F">
        <w:rPr>
          <w:bCs/>
          <w:lang w:val="fr-FR"/>
        </w:rPr>
        <w:t>la</w:t>
      </w:r>
      <w:r w:rsidR="007031E0">
        <w:rPr>
          <w:lang w:val="fr-FR"/>
        </w:rPr>
        <w:t> </w:t>
      </w:r>
      <w:r w:rsidRPr="003F3120">
        <w:rPr>
          <w:lang w:val="fr-FR"/>
        </w:rPr>
        <w:t>neuvième session en 2022,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représentant du Maroc a déclaré que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Gouvernement de son pays se proposait d</w:t>
      </w:r>
      <w:r w:rsidR="00FA5ADB">
        <w:rPr>
          <w:lang w:val="fr-FR"/>
        </w:rPr>
        <w:t>’</w:t>
      </w:r>
      <w:r w:rsidRPr="003F3120">
        <w:rPr>
          <w:lang w:val="fr-FR"/>
        </w:rPr>
        <w:t>accueillir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huitième session, ce dont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s</w:t>
      </w:r>
      <w:r w:rsidR="00FA5ADB">
        <w:rPr>
          <w:lang w:val="fr-FR"/>
        </w:rPr>
        <w:t>’</w:t>
      </w:r>
      <w:r w:rsidRPr="003F3120">
        <w:rPr>
          <w:lang w:val="fr-FR"/>
        </w:rPr>
        <w:t>est</w:t>
      </w:r>
      <w:r w:rsidR="007E024D">
        <w:rPr>
          <w:lang w:val="fr-FR"/>
        </w:rPr>
        <w:t> </w:t>
      </w:r>
      <w:r w:rsidRPr="003F3120">
        <w:rPr>
          <w:lang w:val="fr-FR"/>
        </w:rPr>
        <w:t>réjouie.</w:t>
      </w:r>
    </w:p>
    <w:p w14:paraId="1C793DCB" w14:textId="49DF290E" w:rsidR="003E5332" w:rsidRPr="003F3120" w:rsidRDefault="003E5332" w:rsidP="00ED6939">
      <w:pPr>
        <w:pStyle w:val="Normalnumber"/>
        <w:rPr>
          <w:rFonts w:cs="Arial"/>
          <w:i/>
          <w:szCs w:val="28"/>
          <w:lang w:val="fr-FR"/>
        </w:rPr>
      </w:pPr>
      <w:r w:rsidRPr="003F3120">
        <w:rPr>
          <w:lang w:val="fr-FR"/>
        </w:rPr>
        <w:t>L</w:t>
      </w:r>
      <w:r w:rsidR="006B131C">
        <w:rPr>
          <w:lang w:val="fr-FR"/>
        </w:rPr>
        <w:t>a Plénière a adopté</w:t>
      </w:r>
      <w:r w:rsidR="007031E0">
        <w:rPr>
          <w:lang w:val="fr-FR"/>
        </w:rPr>
        <w:t xml:space="preserve"> la </w:t>
      </w:r>
      <w:r w:rsidR="006B131C">
        <w:rPr>
          <w:lang w:val="fr-FR"/>
        </w:rPr>
        <w:t>décision </w:t>
      </w:r>
      <w:r w:rsidRPr="003F3120">
        <w:rPr>
          <w:lang w:val="fr-FR"/>
        </w:rPr>
        <w:t>IPBES-7/3 (Organisation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travaux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Plénière et date et lieu de ses futures </w:t>
      </w:r>
      <w:r w:rsidRPr="00EC6B3F">
        <w:rPr>
          <w:bCs/>
          <w:lang w:val="fr-FR"/>
        </w:rPr>
        <w:t>sessions</w:t>
      </w:r>
      <w:r w:rsidRPr="003F3120">
        <w:rPr>
          <w:lang w:val="fr-FR"/>
        </w:rPr>
        <w:t>)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base du projet de déc</w:t>
      </w:r>
      <w:r w:rsidR="006B131C">
        <w:rPr>
          <w:lang w:val="fr-FR"/>
        </w:rPr>
        <w:t>ision figurant dans</w:t>
      </w:r>
      <w:r w:rsidR="007031E0">
        <w:rPr>
          <w:lang w:val="fr-FR"/>
        </w:rPr>
        <w:t xml:space="preserve"> le </w:t>
      </w:r>
      <w:r w:rsidR="006B131C">
        <w:rPr>
          <w:lang w:val="fr-FR"/>
        </w:rPr>
        <w:t>document </w:t>
      </w:r>
      <w:r w:rsidRPr="003F3120">
        <w:rPr>
          <w:lang w:val="fr-FR"/>
        </w:rPr>
        <w:t>IPBES/7/L.3, tel qu</w:t>
      </w:r>
      <w:r w:rsidR="00FA5ADB">
        <w:rPr>
          <w:lang w:val="fr-FR"/>
        </w:rPr>
        <w:t>’</w:t>
      </w:r>
      <w:r w:rsidRPr="003F3120">
        <w:rPr>
          <w:lang w:val="fr-FR"/>
        </w:rPr>
        <w:t>amendé oralement.</w:t>
      </w:r>
    </w:p>
    <w:p w14:paraId="3CDEBC7D" w14:textId="3B6C1574" w:rsidR="0077408A" w:rsidRPr="003F3120" w:rsidRDefault="007E024D" w:rsidP="007E024D">
      <w:pPr>
        <w:pStyle w:val="CH1"/>
        <w:rPr>
          <w:lang w:val="fr-FR"/>
        </w:rPr>
      </w:pPr>
      <w:r>
        <w:tab/>
        <w:t>XI.</w:t>
      </w:r>
      <w:r>
        <w:tab/>
      </w:r>
      <w:r w:rsidR="0077408A" w:rsidRPr="007E024D">
        <w:t>Dispositions</w:t>
      </w:r>
      <w:r w:rsidR="0077408A" w:rsidRPr="003F3120">
        <w:rPr>
          <w:lang w:val="fr-FR"/>
        </w:rPr>
        <w:t xml:space="preserve"> institutionnelles</w:t>
      </w:r>
      <w:r w:rsidR="00FD5D6A">
        <w:rPr>
          <w:lang w:val="fr-FR"/>
        </w:rPr>
        <w:t> :</w:t>
      </w:r>
      <w:r w:rsidR="0077408A" w:rsidRPr="003F3120">
        <w:rPr>
          <w:lang w:val="fr-FR"/>
        </w:rPr>
        <w:t xml:space="preserve"> dispositions concernant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partenariats de collaborat</w:t>
      </w:r>
      <w:r w:rsidR="00C6409C">
        <w:rPr>
          <w:lang w:val="fr-FR"/>
        </w:rPr>
        <w:t>ion</w:t>
      </w:r>
      <w:r w:rsidR="007031E0">
        <w:rPr>
          <w:lang w:val="fr-FR"/>
        </w:rPr>
        <w:t xml:space="preserve"> des </w:t>
      </w:r>
      <w:r w:rsidR="00C6409C">
        <w:rPr>
          <w:lang w:val="fr-FR"/>
        </w:rPr>
        <w:t>Nations Unies pour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travaux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 et de son secrétariat</w:t>
      </w:r>
    </w:p>
    <w:p w14:paraId="47F1DDE1" w14:textId="36E68BAB" w:rsidR="0077408A" w:rsidRPr="003F3120" w:rsidRDefault="0077408A" w:rsidP="00ED6939">
      <w:pPr>
        <w:pStyle w:val="Normalnumber"/>
        <w:rPr>
          <w:rFonts w:cs="Arial"/>
          <w:szCs w:val="28"/>
          <w:lang w:val="fr-FR"/>
        </w:rPr>
      </w:pPr>
      <w:r w:rsidRPr="003F3120">
        <w:rPr>
          <w:lang w:val="fr-FR"/>
        </w:rPr>
        <w:t>Présentant ce point,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Président a rappelé que, par sa décision IPBES-2/8,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avait approuvé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partenariat de collaboration visant à établir un lien institutionnel entre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PNUE, l</w:t>
      </w:r>
      <w:r w:rsidR="00FA5ADB">
        <w:rPr>
          <w:lang w:val="fr-FR"/>
        </w:rPr>
        <w:t>’</w:t>
      </w:r>
      <w:r w:rsidRPr="003F3120">
        <w:rPr>
          <w:lang w:val="fr-FR"/>
        </w:rPr>
        <w:t>UNESCO,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FAO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PNUD. Il a appelé l</w:t>
      </w:r>
      <w:r w:rsidR="00FA5ADB">
        <w:rPr>
          <w:lang w:val="fr-FR"/>
        </w:rPr>
        <w:t>’</w:t>
      </w:r>
      <w:r w:rsidR="001F511B">
        <w:rPr>
          <w:lang w:val="fr-FR"/>
        </w:rPr>
        <w:t>attention</w:t>
      </w:r>
      <w:r w:rsidR="007031E0">
        <w:rPr>
          <w:lang w:val="fr-FR"/>
        </w:rPr>
        <w:t xml:space="preserve"> des </w:t>
      </w:r>
      <w:r w:rsidR="00A71852">
        <w:rPr>
          <w:lang w:val="fr-FR"/>
        </w:rPr>
        <w:t xml:space="preserve">participants </w:t>
      </w:r>
      <w:r w:rsidR="001F511B">
        <w:rPr>
          <w:lang w:val="fr-FR"/>
        </w:rPr>
        <w:t>sur une note du s</w:t>
      </w:r>
      <w:r w:rsidRPr="003F3120">
        <w:rPr>
          <w:lang w:val="fr-FR"/>
        </w:rPr>
        <w:t xml:space="preserve">ecrétariat contenant un rapport </w:t>
      </w:r>
      <w:r w:rsidRPr="00EC6B3F">
        <w:rPr>
          <w:bCs/>
          <w:lang w:val="fr-FR"/>
        </w:rPr>
        <w:t>d</w:t>
      </w:r>
      <w:r w:rsidR="00FA5ADB">
        <w:rPr>
          <w:bCs/>
          <w:lang w:val="fr-FR"/>
        </w:rPr>
        <w:t>’</w:t>
      </w:r>
      <w:r w:rsidRPr="00EC6B3F">
        <w:rPr>
          <w:bCs/>
          <w:lang w:val="fr-FR"/>
        </w:rPr>
        <w:t>activité</w:t>
      </w:r>
      <w:r w:rsidRPr="003F3120">
        <w:rPr>
          <w:lang w:val="fr-FR"/>
        </w:rPr>
        <w:t xml:space="preserve">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partenariat (IPBES/7/INF/12).</w:t>
      </w:r>
    </w:p>
    <w:p w14:paraId="24D9CBBE" w14:textId="69476603" w:rsidR="0077408A" w:rsidRPr="003F3120" w:rsidRDefault="0077408A" w:rsidP="00ED6939">
      <w:pPr>
        <w:pStyle w:val="Normalnumber"/>
        <w:rPr>
          <w:rFonts w:cs="Arial"/>
          <w:szCs w:val="28"/>
          <w:lang w:val="fr-FR"/>
        </w:rPr>
      </w:pPr>
      <w:r w:rsidRPr="003F3120">
        <w:rPr>
          <w:lang w:val="fr-FR"/>
        </w:rPr>
        <w:t>Le représentant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FAO a lu une déclaration au nom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quatre organisations partenaires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 Unies appuyant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Plateforme. Il a déclaré que ces organisations fournissaient un appui tant direct qu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indirect au secrétariat, aux fins notamment </w:t>
      </w:r>
      <w:r w:rsidR="00A71852">
        <w:rPr>
          <w:lang w:val="fr-FR"/>
        </w:rPr>
        <w:t>d</w:t>
      </w:r>
      <w:r w:rsidR="00FA5ADB">
        <w:rPr>
          <w:lang w:val="fr-FR"/>
        </w:rPr>
        <w:t>’</w:t>
      </w:r>
      <w:r w:rsidR="00A71852">
        <w:rPr>
          <w:lang w:val="fr-FR"/>
        </w:rPr>
        <w:t>atteindre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quatre objectifs de l</w:t>
      </w:r>
      <w:r w:rsidR="00FA5ADB">
        <w:rPr>
          <w:lang w:val="fr-FR"/>
        </w:rPr>
        <w:t>’</w:t>
      </w:r>
      <w:r w:rsidRPr="003F3120">
        <w:rPr>
          <w:lang w:val="fr-FR"/>
        </w:rPr>
        <w:t>actuel programme de travail et de convoquer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réunions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équipes spéciales,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groupes d</w:t>
      </w:r>
      <w:r w:rsidR="00FA5ADB">
        <w:rPr>
          <w:lang w:val="fr-FR"/>
        </w:rPr>
        <w:t>’</w:t>
      </w:r>
      <w:r w:rsidRPr="003F3120">
        <w:rPr>
          <w:lang w:val="fr-FR"/>
        </w:rPr>
        <w:t>experts et</w:t>
      </w:r>
      <w:r w:rsidR="007031E0">
        <w:rPr>
          <w:lang w:val="fr-FR"/>
        </w:rPr>
        <w:t xml:space="preserve"> des </w:t>
      </w:r>
      <w:r w:rsidR="00A71852">
        <w:rPr>
          <w:lang w:val="fr-FR"/>
        </w:rPr>
        <w:t>groupes</w:t>
      </w:r>
      <w:r w:rsidRPr="003F3120">
        <w:rPr>
          <w:lang w:val="fr-FR"/>
        </w:rPr>
        <w:t xml:space="preserve"> d</w:t>
      </w:r>
      <w:r w:rsidR="00FA5ADB">
        <w:rPr>
          <w:lang w:val="fr-FR"/>
        </w:rPr>
        <w:t>’</w:t>
      </w:r>
      <w:r w:rsidRPr="003F3120">
        <w:rPr>
          <w:lang w:val="fr-FR"/>
        </w:rPr>
        <w:t>appui technique.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travaux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demeuraient hautement pertinents pour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travail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organisations. Toutefois, </w:t>
      </w:r>
      <w:r w:rsidR="00A71852">
        <w:rPr>
          <w:lang w:val="fr-FR"/>
        </w:rPr>
        <w:t>c</w:t>
      </w:r>
      <w:r w:rsidRPr="003F3120">
        <w:rPr>
          <w:lang w:val="fr-FR"/>
        </w:rPr>
        <w:t>es organisations étaient selon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cas plus ou moins en accord avec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conclusion 8 de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examen </w:t>
      </w:r>
      <w:r w:rsidRPr="00EC6B3F">
        <w:rPr>
          <w:bCs/>
          <w:lang w:val="fr-FR"/>
        </w:rPr>
        <w:t>du</w:t>
      </w:r>
      <w:r w:rsidRPr="003F3120">
        <w:rPr>
          <w:lang w:val="fr-FR"/>
        </w:rPr>
        <w:t xml:space="preserve"> premier programme de travail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(IPBES/7/INF/18), selon laquelle leur valeur potentielle était nettement sous-utilisée, voire mal comprise, par l</w:t>
      </w:r>
      <w:r w:rsidR="00FA5ADB">
        <w:rPr>
          <w:lang w:val="fr-FR"/>
        </w:rPr>
        <w:t>’</w:t>
      </w:r>
      <w:r w:rsidRPr="003F3120">
        <w:rPr>
          <w:lang w:val="fr-FR"/>
        </w:rPr>
        <w:t>ensemble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parties.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organisations pourraient renforcer leur collaboration avec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 faire un usage plus dynamique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importants travaux effectués en vue de</w:t>
      </w:r>
      <w:r w:rsidR="007031E0">
        <w:rPr>
          <w:lang w:val="fr-FR"/>
        </w:rPr>
        <w:t xml:space="preserve"> </w:t>
      </w:r>
      <w:r w:rsidR="007031E0">
        <w:rPr>
          <w:lang w:val="fr-FR"/>
        </w:rPr>
        <w:lastRenderedPageBreak/>
        <w:t>la </w:t>
      </w:r>
      <w:r w:rsidRPr="003F3120">
        <w:rPr>
          <w:lang w:val="fr-FR"/>
        </w:rPr>
        <w:t>réalisation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objectifs de développement durable.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parution de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mondiale et du résumé à l</w:t>
      </w:r>
      <w:r w:rsidR="00FA5ADB">
        <w:rPr>
          <w:lang w:val="fr-FR"/>
        </w:rPr>
        <w:t>’</w:t>
      </w:r>
      <w:r w:rsidRPr="003F3120">
        <w:rPr>
          <w:lang w:val="fr-FR"/>
        </w:rPr>
        <w:t>intention</w:t>
      </w:r>
      <w:r w:rsidR="007031E0">
        <w:rPr>
          <w:lang w:val="fr-FR"/>
        </w:rPr>
        <w:t xml:space="preserve"> </w:t>
      </w:r>
      <w:r w:rsidR="007031E0" w:rsidRPr="00EC6B3F">
        <w:rPr>
          <w:bCs/>
          <w:lang w:val="fr-FR"/>
        </w:rPr>
        <w:t>des</w:t>
      </w:r>
      <w:r w:rsidR="007031E0">
        <w:rPr>
          <w:lang w:val="fr-FR"/>
        </w:rPr>
        <w:t> </w:t>
      </w:r>
      <w:r w:rsidRPr="003F3120">
        <w:rPr>
          <w:lang w:val="fr-FR"/>
        </w:rPr>
        <w:t>décideurs était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occasion de démontrer </w:t>
      </w:r>
      <w:r w:rsidR="00A71852">
        <w:rPr>
          <w:lang w:val="fr-FR"/>
        </w:rPr>
        <w:t>l</w:t>
      </w:r>
      <w:r w:rsidR="00FA5ADB">
        <w:rPr>
          <w:lang w:val="fr-FR"/>
        </w:rPr>
        <w:t>’</w:t>
      </w:r>
      <w:r w:rsidR="00A71852">
        <w:rPr>
          <w:lang w:val="fr-FR"/>
        </w:rPr>
        <w:t>intérêt</w:t>
      </w:r>
      <w:r w:rsidRPr="003F3120">
        <w:rPr>
          <w:lang w:val="fr-FR"/>
        </w:rPr>
        <w:t xml:space="preserve">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aux</w:t>
      </w:r>
      <w:r w:rsidR="007E024D">
        <w:rPr>
          <w:lang w:val="fr-FR"/>
        </w:rPr>
        <w:t> </w:t>
      </w:r>
      <w:r w:rsidRPr="003F3120">
        <w:rPr>
          <w:lang w:val="fr-FR"/>
        </w:rPr>
        <w:t>organisations et à leurs mandants.</w:t>
      </w:r>
    </w:p>
    <w:p w14:paraId="526A0B0B" w14:textId="392656F5" w:rsidR="0077408A" w:rsidRPr="003F3120" w:rsidRDefault="00A71852" w:rsidP="00ED6939">
      <w:pPr>
        <w:pStyle w:val="Normalnumber"/>
        <w:rPr>
          <w:lang w:val="fr-FR"/>
        </w:rPr>
      </w:pPr>
      <w:r w:rsidRPr="003F3120">
        <w:rPr>
          <w:lang w:val="fr-FR"/>
        </w:rPr>
        <w:t>Le représentant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FAO</w:t>
      </w:r>
      <w:r w:rsidR="009E728A" w:rsidRPr="003F3120">
        <w:rPr>
          <w:lang w:val="fr-FR"/>
        </w:rPr>
        <w:t xml:space="preserve"> </w:t>
      </w:r>
      <w:r w:rsidR="0077408A" w:rsidRPr="003F3120">
        <w:rPr>
          <w:lang w:val="fr-FR"/>
        </w:rPr>
        <w:t>a déclaré que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 xml:space="preserve">organisations </w:t>
      </w:r>
      <w:r>
        <w:rPr>
          <w:lang w:val="fr-FR"/>
        </w:rPr>
        <w:t>saluaient</w:t>
      </w:r>
      <w:r w:rsidR="0077408A"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appui financier fourni par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donateurs pour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activités de collaboration précises entre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 et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>organisations et a encouragé</w:t>
      </w:r>
      <w:r w:rsidR="007031E0">
        <w:rPr>
          <w:lang w:val="fr-FR"/>
        </w:rPr>
        <w:t xml:space="preserve"> les </w:t>
      </w:r>
      <w:r w:rsidR="0077408A" w:rsidRPr="003F3120">
        <w:rPr>
          <w:lang w:val="fr-FR"/>
        </w:rPr>
        <w:t xml:space="preserve">autres </w:t>
      </w:r>
      <w:r w:rsidR="0077408A" w:rsidRPr="00EC6B3F">
        <w:rPr>
          <w:bCs/>
          <w:lang w:val="fr-FR"/>
        </w:rPr>
        <w:t>donateurs</w:t>
      </w:r>
      <w:r w:rsidR="0077408A" w:rsidRPr="003F3120">
        <w:rPr>
          <w:lang w:val="fr-FR"/>
        </w:rPr>
        <w:t xml:space="preserve"> à suivre cet exemple. Elles étaient prêtes à agir à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demande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Plateforme, s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agissant d</w:t>
      </w:r>
      <w:r w:rsidR="00FA5ADB">
        <w:rPr>
          <w:lang w:val="fr-FR"/>
        </w:rPr>
        <w:t>’</w:t>
      </w:r>
      <w:r w:rsidR="0077408A" w:rsidRPr="003F3120">
        <w:rPr>
          <w:lang w:val="fr-FR"/>
        </w:rPr>
        <w:t>une assistance technique liée à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mise en œuvre du prochain programme de travail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Plateforme, et continueraient de contribuer à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réalisation</w:t>
      </w:r>
      <w:r w:rsidR="007031E0">
        <w:rPr>
          <w:lang w:val="fr-FR"/>
        </w:rPr>
        <w:t xml:space="preserve"> des </w:t>
      </w:r>
      <w:r w:rsidR="0077408A" w:rsidRPr="003F3120">
        <w:rPr>
          <w:lang w:val="fr-FR"/>
        </w:rPr>
        <w:t>objectifs de</w:t>
      </w:r>
      <w:r w:rsidR="007031E0">
        <w:rPr>
          <w:lang w:val="fr-FR"/>
        </w:rPr>
        <w:t xml:space="preserve"> la </w:t>
      </w:r>
      <w:r w:rsidR="0077408A" w:rsidRPr="003F3120">
        <w:rPr>
          <w:lang w:val="fr-FR"/>
        </w:rPr>
        <w:t>Plateforme par</w:t>
      </w:r>
      <w:r w:rsidR="007031E0">
        <w:rPr>
          <w:lang w:val="fr-FR"/>
        </w:rPr>
        <w:t xml:space="preserve"> le </w:t>
      </w:r>
      <w:r w:rsidR="0077408A" w:rsidRPr="003F3120">
        <w:rPr>
          <w:lang w:val="fr-FR"/>
        </w:rPr>
        <w:t>biais de leurs propres politiques et programmes de travail.</w:t>
      </w:r>
    </w:p>
    <w:p w14:paraId="51E51BA9" w14:textId="5FF58DDB" w:rsidR="0077408A" w:rsidRPr="003F3120" w:rsidRDefault="0077408A" w:rsidP="00ED6939">
      <w:pPr>
        <w:pStyle w:val="Normalnumber"/>
        <w:rPr>
          <w:rFonts w:cs="Arial"/>
          <w:szCs w:val="28"/>
          <w:lang w:val="fr-FR"/>
        </w:rPr>
      </w:pPr>
      <w:r w:rsidRPr="003F3120">
        <w:rPr>
          <w:lang w:val="fr-FR"/>
        </w:rPr>
        <w:t>Au nom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Président a remercié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PNUE, l</w:t>
      </w:r>
      <w:r w:rsidR="00FA5ADB">
        <w:rPr>
          <w:lang w:val="fr-FR"/>
        </w:rPr>
        <w:t>’</w:t>
      </w:r>
      <w:r w:rsidRPr="003F3120">
        <w:rPr>
          <w:lang w:val="fr-FR"/>
        </w:rPr>
        <w:t>UNESCO,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FAO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 xml:space="preserve">PNUD </w:t>
      </w:r>
      <w:r w:rsidR="00D30115" w:rsidRPr="003F3120">
        <w:rPr>
          <w:lang w:val="fr-FR"/>
        </w:rPr>
        <w:t>de</w:t>
      </w:r>
      <w:r w:rsidRPr="003F3120">
        <w:rPr>
          <w:lang w:val="fr-FR"/>
        </w:rPr>
        <w:t> l</w:t>
      </w:r>
      <w:r w:rsidR="00FA5ADB">
        <w:rPr>
          <w:lang w:val="fr-FR"/>
        </w:rPr>
        <w:t>’</w:t>
      </w:r>
      <w:r w:rsidRPr="003F3120">
        <w:rPr>
          <w:lang w:val="fr-FR"/>
        </w:rPr>
        <w:t>appui fourni à</w:t>
      </w:r>
      <w:r w:rsidR="007031E0">
        <w:rPr>
          <w:lang w:val="fr-FR"/>
        </w:rPr>
        <w:t xml:space="preserve"> </w:t>
      </w:r>
      <w:r w:rsidR="007031E0" w:rsidRPr="00EC6B3F">
        <w:rPr>
          <w:bCs/>
          <w:lang w:val="fr-FR"/>
        </w:rPr>
        <w:t>la</w:t>
      </w:r>
      <w:r w:rsidR="007031E0">
        <w:rPr>
          <w:lang w:val="fr-FR"/>
        </w:rPr>
        <w:t> </w:t>
      </w:r>
      <w:r w:rsidRPr="003F3120">
        <w:rPr>
          <w:lang w:val="fr-FR"/>
        </w:rPr>
        <w:t>Plateforme dans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 œuvre de son premier programme de travail et leur a demandé de maintenir cet appui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du prochain programme de travail.</w:t>
      </w:r>
    </w:p>
    <w:p w14:paraId="6E5D56A6" w14:textId="3A5D48E9" w:rsidR="00B76887" w:rsidRPr="003F3120" w:rsidRDefault="007E024D" w:rsidP="007E024D">
      <w:pPr>
        <w:pStyle w:val="CH1"/>
        <w:rPr>
          <w:rFonts w:eastAsia="MS Mincho"/>
          <w:lang w:val="fr-FR"/>
        </w:rPr>
      </w:pPr>
      <w:r>
        <w:rPr>
          <w:lang w:val="fr-FR"/>
        </w:rPr>
        <w:tab/>
        <w:t>XII.</w:t>
      </w:r>
      <w:r>
        <w:rPr>
          <w:lang w:val="fr-FR"/>
        </w:rPr>
        <w:tab/>
      </w:r>
      <w:r w:rsidR="003E5332" w:rsidRPr="003F3120">
        <w:rPr>
          <w:lang w:val="fr-FR"/>
        </w:rPr>
        <w:t>Adoption</w:t>
      </w:r>
      <w:r w:rsidR="007031E0">
        <w:rPr>
          <w:lang w:val="fr-FR"/>
        </w:rPr>
        <w:t xml:space="preserve"> des </w:t>
      </w:r>
      <w:r w:rsidR="003E5332" w:rsidRPr="003F3120">
        <w:rPr>
          <w:lang w:val="fr-FR"/>
        </w:rPr>
        <w:t>décisions et du rapport de</w:t>
      </w:r>
      <w:r w:rsidR="007031E0">
        <w:rPr>
          <w:lang w:val="fr-FR"/>
        </w:rPr>
        <w:t xml:space="preserve"> la </w:t>
      </w:r>
      <w:r w:rsidR="003E5332" w:rsidRPr="003F3120">
        <w:rPr>
          <w:lang w:val="fr-FR"/>
        </w:rPr>
        <w:t>session</w:t>
      </w:r>
    </w:p>
    <w:p w14:paraId="510E9137" w14:textId="15CBF0CC" w:rsidR="00B76887" w:rsidRPr="003F3120" w:rsidRDefault="003E5332" w:rsidP="00ED6939">
      <w:pPr>
        <w:pStyle w:val="Normalnumber"/>
        <w:rPr>
          <w:rFonts w:eastAsia="MS Mincho" w:cs="Arial"/>
          <w:szCs w:val="28"/>
          <w:lang w:val="fr-FR"/>
        </w:rPr>
      </w:pPr>
      <w:bookmarkStart w:id="55" w:name="_DV_C227"/>
      <w:r w:rsidRPr="003F3120">
        <w:rPr>
          <w:lang w:val="fr-FR"/>
        </w:rPr>
        <w:t xml:space="preserve">La </w:t>
      </w:r>
      <w:r w:rsidR="006534B9">
        <w:rPr>
          <w:lang w:val="fr-FR"/>
        </w:rPr>
        <w:t>Plénière a adopté</w:t>
      </w:r>
      <w:r w:rsidR="007031E0">
        <w:rPr>
          <w:lang w:val="fr-FR"/>
        </w:rPr>
        <w:t xml:space="preserve"> les </w:t>
      </w:r>
      <w:r w:rsidR="006534B9">
        <w:rPr>
          <w:lang w:val="fr-FR"/>
        </w:rPr>
        <w:t>décisions </w:t>
      </w:r>
      <w:r w:rsidRPr="003F3120">
        <w:rPr>
          <w:lang w:val="fr-FR"/>
        </w:rPr>
        <w:t>IPBES-7/1 à IPBES-7/4, qui figurent dans l</w:t>
      </w:r>
      <w:r w:rsidR="00FA5ADB">
        <w:rPr>
          <w:lang w:val="fr-FR"/>
        </w:rPr>
        <w:t>’</w:t>
      </w:r>
      <w:r w:rsidRPr="003F3120">
        <w:rPr>
          <w:lang w:val="fr-FR"/>
        </w:rPr>
        <w:t>annexe du</w:t>
      </w:r>
      <w:r w:rsidR="007E024D">
        <w:rPr>
          <w:lang w:val="fr-FR"/>
        </w:rPr>
        <w:t> </w:t>
      </w:r>
      <w:r w:rsidRPr="003F3120">
        <w:rPr>
          <w:lang w:val="fr-FR"/>
        </w:rPr>
        <w:t xml:space="preserve">présent </w:t>
      </w:r>
      <w:r w:rsidRPr="00EC6B3F">
        <w:rPr>
          <w:bCs/>
          <w:lang w:val="fr-FR"/>
        </w:rPr>
        <w:t>rapport</w:t>
      </w:r>
      <w:r w:rsidRPr="003F3120">
        <w:rPr>
          <w:lang w:val="fr-FR"/>
        </w:rPr>
        <w:t>.</w:t>
      </w:r>
    </w:p>
    <w:p w14:paraId="36E5DB86" w14:textId="2CDCD5F3" w:rsidR="00B76887" w:rsidRPr="003F3120" w:rsidRDefault="003E5332" w:rsidP="00ED6939">
      <w:pPr>
        <w:pStyle w:val="Normalnumber"/>
        <w:rPr>
          <w:rFonts w:eastAsia="MS Mincho" w:cs="Arial"/>
          <w:szCs w:val="28"/>
          <w:lang w:val="fr-FR"/>
        </w:rPr>
      </w:pPr>
      <w:bookmarkStart w:id="56" w:name="_DV_C228"/>
      <w:bookmarkEnd w:id="55"/>
      <w:r w:rsidRPr="003F3120">
        <w:rPr>
          <w:lang w:val="fr-FR"/>
        </w:rPr>
        <w:t xml:space="preserve">La </w:t>
      </w:r>
      <w:r w:rsidRPr="00EC6B3F">
        <w:rPr>
          <w:bCs/>
          <w:lang w:val="fr-FR"/>
        </w:rPr>
        <w:t>Plénière</w:t>
      </w:r>
      <w:r w:rsidRPr="003F3120">
        <w:rPr>
          <w:lang w:val="fr-FR"/>
        </w:rPr>
        <w:t xml:space="preserve"> a adopté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présent rapport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base du projet de rapport figura</w:t>
      </w:r>
      <w:r w:rsidR="006B131C">
        <w:rPr>
          <w:lang w:val="fr-FR"/>
        </w:rPr>
        <w:t>nt dans</w:t>
      </w:r>
      <w:r w:rsidR="007031E0">
        <w:rPr>
          <w:lang w:val="fr-FR"/>
        </w:rPr>
        <w:t xml:space="preserve"> le </w:t>
      </w:r>
      <w:r w:rsidR="006B131C">
        <w:rPr>
          <w:lang w:val="fr-FR"/>
        </w:rPr>
        <w:t>document </w:t>
      </w:r>
      <w:r w:rsidRPr="003F3120">
        <w:rPr>
          <w:lang w:val="fr-FR"/>
        </w:rPr>
        <w:t>IPBES/7/L.1, étant entendu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version finale en serait établie par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secrétariat sous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supervision du Bureau.</w:t>
      </w:r>
      <w:bookmarkEnd w:id="56"/>
    </w:p>
    <w:p w14:paraId="2B2376C7" w14:textId="49EF5183" w:rsidR="00B76887" w:rsidRPr="003F3120" w:rsidRDefault="00B76887" w:rsidP="007E024D">
      <w:pPr>
        <w:pStyle w:val="CH1"/>
        <w:rPr>
          <w:rFonts w:eastAsia="MS Mincho"/>
          <w:lang w:val="fr-FR"/>
        </w:rPr>
      </w:pPr>
      <w:bookmarkStart w:id="57" w:name="_DV_M146"/>
      <w:bookmarkEnd w:id="57"/>
      <w:r w:rsidRPr="003F3120">
        <w:rPr>
          <w:rFonts w:eastAsia="MS Mincho"/>
          <w:lang w:val="fr-FR"/>
        </w:rPr>
        <w:tab/>
        <w:t>XIII.</w:t>
      </w:r>
      <w:r w:rsidRPr="003F3120">
        <w:rPr>
          <w:rFonts w:eastAsia="MS Mincho"/>
          <w:lang w:val="fr-FR"/>
        </w:rPr>
        <w:tab/>
      </w:r>
      <w:r w:rsidR="003E5332" w:rsidRPr="003F3120">
        <w:rPr>
          <w:lang w:val="fr-FR"/>
        </w:rPr>
        <w:t>Clôture de</w:t>
      </w:r>
      <w:r w:rsidR="007031E0">
        <w:rPr>
          <w:lang w:val="fr-FR"/>
        </w:rPr>
        <w:t xml:space="preserve"> la </w:t>
      </w:r>
      <w:r w:rsidR="003E5332" w:rsidRPr="003F3120">
        <w:rPr>
          <w:lang w:val="fr-FR"/>
        </w:rPr>
        <w:t>session</w:t>
      </w:r>
    </w:p>
    <w:p w14:paraId="719BD95E" w14:textId="120454BF" w:rsidR="00953349" w:rsidRPr="003F3120" w:rsidRDefault="003E5332" w:rsidP="00ED6939">
      <w:pPr>
        <w:pStyle w:val="Normalnumber"/>
        <w:rPr>
          <w:rFonts w:cs="Arial"/>
          <w:szCs w:val="28"/>
          <w:lang w:val="fr-FR"/>
        </w:rPr>
        <w:sectPr w:rsidR="00953349" w:rsidRPr="003F3120" w:rsidSect="00FB690D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type w:val="continuous"/>
          <w:pgSz w:w="11907" w:h="16840" w:code="9"/>
          <w:pgMar w:top="907" w:right="992" w:bottom="1418" w:left="1418" w:header="539" w:footer="975" w:gutter="0"/>
          <w:cols w:space="720"/>
          <w:titlePg/>
          <w:docGrid w:linePitch="360"/>
        </w:sectPr>
      </w:pPr>
      <w:bookmarkStart w:id="58" w:name="_DV_C230"/>
      <w:r w:rsidRPr="003F3120">
        <w:rPr>
          <w:lang w:val="fr-FR"/>
        </w:rPr>
        <w:t>Après l</w:t>
      </w:r>
      <w:r w:rsidR="00FA5ADB">
        <w:rPr>
          <w:lang w:val="fr-FR"/>
        </w:rPr>
        <w:t>’</w:t>
      </w:r>
      <w:r w:rsidRPr="003F3120">
        <w:rPr>
          <w:lang w:val="fr-FR"/>
        </w:rPr>
        <w:t>échange habituel de courtoisies et plusieurs h</w:t>
      </w:r>
      <w:r w:rsidR="00D67B3F">
        <w:rPr>
          <w:lang w:val="fr-FR"/>
        </w:rPr>
        <w:t>ommages au Bureau sortant et au </w:t>
      </w:r>
      <w:r w:rsidRPr="003F3120">
        <w:rPr>
          <w:lang w:val="fr-FR"/>
        </w:rPr>
        <w:t>Président pour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dévouement dont celui-ci avait fait preuve au se</w:t>
      </w:r>
      <w:r w:rsidR="00D67B3F">
        <w:rPr>
          <w:lang w:val="fr-FR"/>
        </w:rPr>
        <w:t>rvice de</w:t>
      </w:r>
      <w:r w:rsidR="007031E0">
        <w:rPr>
          <w:lang w:val="fr-FR"/>
        </w:rPr>
        <w:t xml:space="preserve"> la </w:t>
      </w:r>
      <w:r w:rsidR="00D67B3F">
        <w:rPr>
          <w:lang w:val="fr-FR"/>
        </w:rPr>
        <w:t>Plateforme et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science en général,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Président a déclaré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session </w:t>
      </w:r>
      <w:r w:rsidR="006B131C">
        <w:rPr>
          <w:lang w:val="fr-FR"/>
        </w:rPr>
        <w:t>close</w:t>
      </w:r>
      <w:r w:rsidR="007031E0">
        <w:rPr>
          <w:lang w:val="fr-FR"/>
        </w:rPr>
        <w:t xml:space="preserve"> le </w:t>
      </w:r>
      <w:r w:rsidR="006B131C">
        <w:rPr>
          <w:lang w:val="fr-FR"/>
        </w:rPr>
        <w:t>samedi 4 mai 2019 à 15 </w:t>
      </w:r>
      <w:r w:rsidRPr="003F3120">
        <w:rPr>
          <w:lang w:val="fr-FR"/>
        </w:rPr>
        <w:t>heures</w:t>
      </w:r>
      <w:bookmarkEnd w:id="58"/>
      <w:r w:rsidR="009E728A" w:rsidRPr="00E87609">
        <w:rPr>
          <w:rStyle w:val="DeltaViewInsertion"/>
          <w:rFonts w:eastAsia="MS Mincho"/>
          <w:color w:val="auto"/>
          <w:u w:val="none"/>
          <w:lang w:val="fr-FR"/>
        </w:rPr>
        <w:t>.</w:t>
      </w:r>
    </w:p>
    <w:p w14:paraId="4504A5F0" w14:textId="4CC553C6" w:rsidR="00A7230F" w:rsidRPr="003F3120" w:rsidRDefault="00A7230F" w:rsidP="00EC6B3F">
      <w:pPr>
        <w:pStyle w:val="ZZAnxheader"/>
        <w:rPr>
          <w:rFonts w:eastAsia="MS Mincho"/>
          <w:lang w:val="fr-FR"/>
        </w:rPr>
      </w:pPr>
      <w:bookmarkStart w:id="59" w:name="_DV_C237"/>
      <w:r w:rsidRPr="00EC6B3F">
        <w:rPr>
          <w:rStyle w:val="DeltaViewInsertion"/>
          <w:rFonts w:eastAsia="MS Mincho"/>
          <w:color w:val="auto"/>
          <w:u w:val="none"/>
        </w:rPr>
        <w:lastRenderedPageBreak/>
        <w:t>Annex</w:t>
      </w:r>
      <w:bookmarkEnd w:id="59"/>
      <w:r w:rsidR="00F14BB2" w:rsidRPr="00EC6B3F">
        <w:rPr>
          <w:rStyle w:val="DeltaViewInsertion"/>
          <w:rFonts w:eastAsia="MS Mincho"/>
          <w:color w:val="auto"/>
          <w:u w:val="none"/>
        </w:rPr>
        <w:t>e</w:t>
      </w:r>
    </w:p>
    <w:p w14:paraId="5E5EC2ED" w14:textId="01AEE99D" w:rsidR="00A7230F" w:rsidRPr="003F3120" w:rsidRDefault="003E5332" w:rsidP="00EC6B3F">
      <w:pPr>
        <w:pStyle w:val="ZZAnxtitle"/>
        <w:rPr>
          <w:rFonts w:eastAsia="MS Mincho"/>
          <w:lang w:val="fr-FR"/>
        </w:rPr>
      </w:pPr>
      <w:bookmarkStart w:id="60" w:name="_DV_C238"/>
      <w:r w:rsidRPr="00EC6B3F">
        <w:t>Décisions</w:t>
      </w:r>
      <w:r w:rsidRPr="003F3120">
        <w:rPr>
          <w:lang w:val="fr-FR"/>
        </w:rPr>
        <w:t xml:space="preserve"> adoptées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Plateforme </w:t>
      </w:r>
      <w:r w:rsidRPr="00A37F24">
        <w:t>intergouvernementale</w:t>
      </w:r>
      <w:r w:rsidRPr="003F3120">
        <w:rPr>
          <w:lang w:val="fr-FR"/>
        </w:rPr>
        <w:t xml:space="preserve"> scie</w:t>
      </w:r>
      <w:r w:rsidR="0088288D">
        <w:rPr>
          <w:lang w:val="fr-FR"/>
        </w:rPr>
        <w:t xml:space="preserve">ntifique et </w:t>
      </w:r>
      <w:r w:rsidRPr="003F3120">
        <w:rPr>
          <w:lang w:val="fr-FR"/>
        </w:rPr>
        <w:t>p</w:t>
      </w:r>
      <w:r w:rsidR="00520B69">
        <w:rPr>
          <w:lang w:val="fr-FR"/>
        </w:rPr>
        <w:t>olitique sur</w:t>
      </w:r>
      <w:r w:rsidR="007031E0">
        <w:rPr>
          <w:lang w:val="fr-FR"/>
        </w:rPr>
        <w:t xml:space="preserve"> la </w:t>
      </w:r>
      <w:r w:rsidR="00520B69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services écosystémiques à sa septi</w:t>
      </w:r>
      <w:r w:rsidR="0088288D">
        <w:rPr>
          <w:lang w:val="fr-FR"/>
        </w:rPr>
        <w:t>è</w:t>
      </w:r>
      <w:r w:rsidRPr="003F3120">
        <w:rPr>
          <w:lang w:val="fr-FR"/>
        </w:rPr>
        <w:t>me session</w:t>
      </w:r>
      <w:bookmarkEnd w:id="60"/>
    </w:p>
    <w:p w14:paraId="7468D6A9" w14:textId="649431A8" w:rsidR="00A7230F" w:rsidRPr="003F3120" w:rsidRDefault="009E728A" w:rsidP="009E2DCC">
      <w:pPr>
        <w:pStyle w:val="NormalNonumber"/>
        <w:tabs>
          <w:tab w:val="clear" w:pos="2381"/>
          <w:tab w:val="left" w:pos="2552"/>
        </w:tabs>
        <w:spacing w:before="240"/>
        <w:ind w:left="2552" w:hanging="1305"/>
        <w:rPr>
          <w:rFonts w:eastAsia="MS Mincho"/>
        </w:rPr>
      </w:pPr>
      <w:bookmarkStart w:id="61" w:name="_DV_C239"/>
      <w:r w:rsidRPr="003F3120">
        <w:rPr>
          <w:rStyle w:val="DeltaViewInsertion"/>
          <w:rFonts w:eastAsia="MS Mincho"/>
          <w:color w:val="auto"/>
          <w:u w:val="none"/>
          <w:lang w:val="fr-FR"/>
        </w:rPr>
        <w:t>IPBES-7/1</w:t>
      </w:r>
      <w:r w:rsidR="00EC6B3F">
        <w:rPr>
          <w:rStyle w:val="DeltaViewInsertion"/>
          <w:rFonts w:eastAsia="MS Mincho"/>
          <w:color w:val="auto"/>
          <w:u w:val="none"/>
          <w:lang w:val="fr-FR"/>
        </w:rPr>
        <w:t> :</w:t>
      </w:r>
      <w:r w:rsidR="00A7230F" w:rsidRPr="003F3120">
        <w:rPr>
          <w:rStyle w:val="DeltaViewInsertion"/>
          <w:rFonts w:eastAsia="MS Mincho"/>
          <w:u w:val="none"/>
          <w:lang w:val="fr-FR"/>
        </w:rPr>
        <w:tab/>
      </w:r>
      <w:bookmarkEnd w:id="61"/>
      <w:r w:rsidR="005165E3" w:rsidRPr="003F3120">
        <w:t>Prog</w:t>
      </w:r>
      <w:r w:rsidR="00C6409C">
        <w:t>ramme de travail glissant de</w:t>
      </w:r>
      <w:r w:rsidR="007031E0">
        <w:t xml:space="preserve"> la </w:t>
      </w:r>
      <w:r w:rsidR="005165E3" w:rsidRPr="003F3120">
        <w:t>Plateforme inter</w:t>
      </w:r>
      <w:r w:rsidR="00C6409C">
        <w:t>gouvernementale scientifique et</w:t>
      </w:r>
      <w:r w:rsidR="00A37F24">
        <w:t> </w:t>
      </w:r>
      <w:r w:rsidR="00C6409C">
        <w:t>politique sur</w:t>
      </w:r>
      <w:r w:rsidR="007031E0">
        <w:t xml:space="preserve"> la </w:t>
      </w:r>
      <w:r w:rsidR="00C6409C">
        <w:t>biodiversité et</w:t>
      </w:r>
      <w:r w:rsidR="007031E0">
        <w:t xml:space="preserve"> les </w:t>
      </w:r>
      <w:r w:rsidR="005165E3" w:rsidRPr="003F3120">
        <w:t>services écosystémiques pour</w:t>
      </w:r>
      <w:r w:rsidR="007031E0">
        <w:t xml:space="preserve"> la </w:t>
      </w:r>
      <w:r w:rsidR="005165E3" w:rsidRPr="003F3120">
        <w:t>période allant jusqu</w:t>
      </w:r>
      <w:r w:rsidR="00FA5ADB">
        <w:t>’</w:t>
      </w:r>
      <w:r w:rsidR="005165E3" w:rsidRPr="003F3120">
        <w:t>en 2030</w:t>
      </w:r>
    </w:p>
    <w:p w14:paraId="7500060E" w14:textId="0E7DABC3" w:rsidR="00A7230F" w:rsidRPr="003F3120" w:rsidRDefault="00A7230F" w:rsidP="009E2DCC">
      <w:pPr>
        <w:pStyle w:val="NormalNonumber"/>
        <w:tabs>
          <w:tab w:val="clear" w:pos="2381"/>
          <w:tab w:val="left" w:pos="2552"/>
        </w:tabs>
        <w:spacing w:before="240"/>
        <w:ind w:left="2552" w:hanging="1305"/>
        <w:rPr>
          <w:rFonts w:eastAsia="MS Mincho"/>
          <w:lang w:val="fr-FR"/>
        </w:rPr>
      </w:pPr>
      <w:bookmarkStart w:id="62" w:name="_DV_C240"/>
      <w:r w:rsidRPr="003F3120">
        <w:rPr>
          <w:rStyle w:val="DeltaViewInsertion"/>
          <w:rFonts w:eastAsia="MS Mincho"/>
          <w:color w:val="auto"/>
          <w:u w:val="none"/>
          <w:lang w:val="fr-FR"/>
        </w:rPr>
        <w:t>IPBES-7/2</w:t>
      </w:r>
      <w:r w:rsidR="00EC6B3F">
        <w:rPr>
          <w:rStyle w:val="DeltaViewInsertion"/>
          <w:rFonts w:eastAsia="MS Mincho"/>
          <w:color w:val="auto"/>
          <w:u w:val="none"/>
          <w:lang w:val="fr-FR"/>
        </w:rPr>
        <w:t> :</w:t>
      </w:r>
      <w:r w:rsidRPr="003F3120">
        <w:rPr>
          <w:rStyle w:val="DeltaViewInsertion"/>
          <w:rFonts w:eastAsia="MS Mincho"/>
          <w:u w:val="none"/>
          <w:lang w:val="fr-FR"/>
        </w:rPr>
        <w:tab/>
      </w:r>
      <w:bookmarkEnd w:id="62"/>
      <w:r w:rsidR="00D943CA" w:rsidRPr="003F3120">
        <w:rPr>
          <w:lang w:val="fr-FR"/>
        </w:rPr>
        <w:t>Examen de</w:t>
      </w:r>
      <w:r w:rsidR="007031E0">
        <w:rPr>
          <w:lang w:val="fr-FR"/>
        </w:rPr>
        <w:t xml:space="preserve"> la </w:t>
      </w:r>
      <w:r w:rsidR="00D943CA" w:rsidRPr="003F3120">
        <w:rPr>
          <w:lang w:val="fr-FR"/>
        </w:rPr>
        <w:t>Plateforme intergouvernementale scientifique et politique sur</w:t>
      </w:r>
      <w:r w:rsidR="007031E0">
        <w:rPr>
          <w:lang w:val="fr-FR"/>
        </w:rPr>
        <w:t xml:space="preserve"> la </w:t>
      </w:r>
      <w:r w:rsidR="00D943CA"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="00D943CA" w:rsidRPr="003F3120">
        <w:rPr>
          <w:lang w:val="fr-FR"/>
        </w:rPr>
        <w:t>services écosystémiques à l</w:t>
      </w:r>
      <w:r w:rsidR="00FA5ADB">
        <w:rPr>
          <w:lang w:val="fr-FR"/>
        </w:rPr>
        <w:t>’</w:t>
      </w:r>
      <w:r w:rsidR="00C6409C">
        <w:rPr>
          <w:lang w:val="fr-FR"/>
        </w:rPr>
        <w:t xml:space="preserve">issue de son </w:t>
      </w:r>
      <w:r w:rsidR="00E60FB8">
        <w:rPr>
          <w:lang w:val="fr-FR"/>
        </w:rPr>
        <w:t>premier programme de</w:t>
      </w:r>
      <w:r w:rsidR="00A37F24">
        <w:rPr>
          <w:lang w:val="fr-FR"/>
        </w:rPr>
        <w:t> </w:t>
      </w:r>
      <w:r w:rsidR="00E60FB8">
        <w:rPr>
          <w:lang w:val="fr-FR"/>
        </w:rPr>
        <w:t>travail</w:t>
      </w:r>
    </w:p>
    <w:p w14:paraId="1CF5403F" w14:textId="382AB380" w:rsidR="00A7230F" w:rsidRPr="003F3120" w:rsidRDefault="00A7230F" w:rsidP="009E2DCC">
      <w:pPr>
        <w:pStyle w:val="NormalNonumber"/>
        <w:tabs>
          <w:tab w:val="clear" w:pos="2381"/>
          <w:tab w:val="left" w:pos="2552"/>
        </w:tabs>
        <w:spacing w:before="240"/>
        <w:ind w:left="2552" w:hanging="1305"/>
        <w:rPr>
          <w:rFonts w:eastAsia="MS Mincho"/>
          <w:lang w:val="fr-FR"/>
        </w:rPr>
      </w:pPr>
      <w:bookmarkStart w:id="63" w:name="_DV_C241"/>
      <w:r w:rsidRPr="003F3120">
        <w:rPr>
          <w:rStyle w:val="DeltaViewInsertion"/>
          <w:rFonts w:eastAsia="MS Mincho"/>
          <w:color w:val="auto"/>
          <w:u w:val="none"/>
          <w:lang w:val="fr-FR"/>
        </w:rPr>
        <w:t>IPBES-7/3</w:t>
      </w:r>
      <w:r w:rsidR="00EC6B3F">
        <w:rPr>
          <w:rStyle w:val="DeltaViewInsertion"/>
          <w:rFonts w:eastAsia="MS Mincho"/>
          <w:color w:val="auto"/>
          <w:u w:val="none"/>
          <w:lang w:val="fr-FR"/>
        </w:rPr>
        <w:t> :</w:t>
      </w:r>
      <w:r w:rsidRPr="003F3120">
        <w:rPr>
          <w:rStyle w:val="DeltaViewInsertion"/>
          <w:rFonts w:eastAsia="MS Mincho"/>
          <w:u w:val="none"/>
          <w:lang w:val="fr-FR"/>
        </w:rPr>
        <w:tab/>
      </w:r>
      <w:bookmarkEnd w:id="63"/>
      <w:r w:rsidR="00AD6490" w:rsidRPr="009E2DCC">
        <w:t>Organisation</w:t>
      </w:r>
      <w:r w:rsidR="007031E0">
        <w:rPr>
          <w:bCs/>
          <w:lang w:val="fr-FR"/>
        </w:rPr>
        <w:t xml:space="preserve"> des </w:t>
      </w:r>
      <w:r w:rsidR="00AD6490" w:rsidRPr="003F3120">
        <w:rPr>
          <w:bCs/>
          <w:lang w:val="fr-FR"/>
        </w:rPr>
        <w:t>travaux de</w:t>
      </w:r>
      <w:r w:rsidR="007031E0">
        <w:rPr>
          <w:bCs/>
          <w:lang w:val="fr-FR"/>
        </w:rPr>
        <w:t xml:space="preserve"> la </w:t>
      </w:r>
      <w:r w:rsidR="00AD6490" w:rsidRPr="003F3120">
        <w:rPr>
          <w:bCs/>
          <w:lang w:val="fr-FR"/>
        </w:rPr>
        <w:t>Plénière et date et lieu de ses futures sessions</w:t>
      </w:r>
    </w:p>
    <w:p w14:paraId="07AE7FCA" w14:textId="632FF30F" w:rsidR="00A7230F" w:rsidRPr="003F3120" w:rsidRDefault="00A7230F" w:rsidP="009E2DCC">
      <w:pPr>
        <w:pStyle w:val="NormalNonumber"/>
        <w:tabs>
          <w:tab w:val="clear" w:pos="2381"/>
          <w:tab w:val="left" w:pos="2552"/>
        </w:tabs>
        <w:spacing w:before="240"/>
        <w:ind w:left="2552" w:hanging="1305"/>
        <w:rPr>
          <w:rFonts w:eastAsia="MS Mincho"/>
          <w:lang w:val="fr-FR"/>
        </w:rPr>
      </w:pPr>
      <w:bookmarkStart w:id="64" w:name="_DV_C242"/>
      <w:r w:rsidRPr="003F3120">
        <w:rPr>
          <w:rStyle w:val="DeltaViewInsertion"/>
          <w:rFonts w:eastAsia="MS Mincho"/>
          <w:color w:val="auto"/>
          <w:u w:val="none"/>
          <w:lang w:val="fr-FR"/>
        </w:rPr>
        <w:t>IPBES-7/4</w:t>
      </w:r>
      <w:r w:rsidR="00EC6B3F">
        <w:rPr>
          <w:rStyle w:val="DeltaViewInsertion"/>
          <w:rFonts w:eastAsia="MS Mincho"/>
          <w:color w:val="auto"/>
          <w:u w:val="none"/>
          <w:lang w:val="fr-FR"/>
        </w:rPr>
        <w:t> :</w:t>
      </w:r>
      <w:r w:rsidRPr="003F3120">
        <w:rPr>
          <w:rStyle w:val="DeltaViewInsertion"/>
          <w:rFonts w:eastAsia="MS Mincho"/>
          <w:u w:val="none"/>
          <w:lang w:val="fr-FR"/>
        </w:rPr>
        <w:tab/>
      </w:r>
      <w:bookmarkEnd w:id="64"/>
      <w:r w:rsidR="00AD6490" w:rsidRPr="009E2DCC">
        <w:t>Dispositifs</w:t>
      </w:r>
      <w:r w:rsidR="00AD6490" w:rsidRPr="003F3120">
        <w:rPr>
          <w:lang w:val="fr-FR"/>
        </w:rPr>
        <w:t xml:space="preserve"> financiers et</w:t>
      </w:r>
      <w:r w:rsidR="00C6409C">
        <w:rPr>
          <w:lang w:val="fr-FR"/>
        </w:rPr>
        <w:t xml:space="preserve"> </w:t>
      </w:r>
      <w:r w:rsidR="00AD6490" w:rsidRPr="003F3120">
        <w:rPr>
          <w:lang w:val="fr-FR"/>
        </w:rPr>
        <w:t>budgétaires</w:t>
      </w:r>
    </w:p>
    <w:p w14:paraId="6BC7842C" w14:textId="4C692620" w:rsidR="00DE0481" w:rsidRPr="003F3120" w:rsidRDefault="00A7230F" w:rsidP="00A7230F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120" w:after="120"/>
        <w:ind w:left="2494" w:hanging="1247"/>
        <w:rPr>
          <w:lang w:val="fr-FR"/>
        </w:rPr>
      </w:pPr>
      <w:bookmarkStart w:id="65" w:name="_DV_C243"/>
      <w:r w:rsidRPr="003F3120">
        <w:rPr>
          <w:rStyle w:val="DeltaViewInsertion"/>
          <w:rFonts w:eastAsia="MS Mincho" w:cs="Arial"/>
          <w:szCs w:val="28"/>
          <w:lang w:val="fr-FR"/>
        </w:rPr>
        <w:br w:type="page"/>
      </w:r>
      <w:bookmarkEnd w:id="65"/>
    </w:p>
    <w:p w14:paraId="201879CC" w14:textId="6FEF8C77" w:rsidR="000F3FDB" w:rsidRPr="003F3120" w:rsidRDefault="00A37F24" w:rsidP="00A37F24">
      <w:pPr>
        <w:pStyle w:val="CH1"/>
      </w:pPr>
      <w:r>
        <w:lastRenderedPageBreak/>
        <w:tab/>
      </w:r>
      <w:r>
        <w:tab/>
        <w:t>D</w:t>
      </w:r>
      <w:r w:rsidR="006534B9">
        <w:t>écision </w:t>
      </w:r>
      <w:r w:rsidR="000F3FDB" w:rsidRPr="003F3120">
        <w:t>IPBES-7/</w:t>
      </w:r>
      <w:r w:rsidR="00F14BB2" w:rsidRPr="003F3120">
        <w:t>1</w:t>
      </w:r>
      <w:r w:rsidR="00FD5D6A">
        <w:t> :</w:t>
      </w:r>
      <w:r w:rsidR="000F3FDB" w:rsidRPr="003F3120">
        <w:t xml:space="preserve"> Prog</w:t>
      </w:r>
      <w:r w:rsidR="00C6409C">
        <w:t>ramme de travail glissant de</w:t>
      </w:r>
      <w:r w:rsidR="007031E0">
        <w:t xml:space="preserve"> la </w:t>
      </w:r>
      <w:r w:rsidR="000F3FDB" w:rsidRPr="003F3120">
        <w:t>Plateforme inter</w:t>
      </w:r>
      <w:r w:rsidR="00C6409C">
        <w:t>gouvernementale scientifique et politique sur</w:t>
      </w:r>
      <w:r w:rsidR="007031E0">
        <w:t xml:space="preserve"> la </w:t>
      </w:r>
      <w:r w:rsidR="00C6409C">
        <w:t>biodiversité et</w:t>
      </w:r>
      <w:r w:rsidR="007031E0">
        <w:t xml:space="preserve"> les </w:t>
      </w:r>
      <w:r w:rsidR="000F3FDB" w:rsidRPr="003F3120">
        <w:t xml:space="preserve">services écosystémiques </w:t>
      </w:r>
      <w:r w:rsidR="005165E3" w:rsidRPr="003F3120">
        <w:t>pour</w:t>
      </w:r>
      <w:r w:rsidR="007031E0">
        <w:t xml:space="preserve"> la </w:t>
      </w:r>
      <w:r w:rsidR="005165E3" w:rsidRPr="003F3120">
        <w:t xml:space="preserve">période allant </w:t>
      </w:r>
      <w:r w:rsidR="000F3FDB" w:rsidRPr="003F3120">
        <w:t>jusqu</w:t>
      </w:r>
      <w:r w:rsidR="00FA5ADB">
        <w:t>’</w:t>
      </w:r>
      <w:r w:rsidR="000F3FDB" w:rsidRPr="003F3120">
        <w:t>en 2030</w:t>
      </w:r>
    </w:p>
    <w:p w14:paraId="660551D0" w14:textId="77777777" w:rsidR="000F3FDB" w:rsidRPr="003F3120" w:rsidRDefault="000F3FDB" w:rsidP="000F3FDB">
      <w:pPr>
        <w:pStyle w:val="NormalNonumber"/>
        <w:rPr>
          <w:i/>
          <w:lang w:val="fr-FR"/>
        </w:rPr>
      </w:pPr>
      <w:r w:rsidRPr="003F3120">
        <w:rPr>
          <w:lang w:val="fr-FR"/>
        </w:rPr>
        <w:tab/>
      </w:r>
      <w:r w:rsidRPr="003F3120">
        <w:rPr>
          <w:i/>
          <w:lang w:val="fr-FR"/>
        </w:rPr>
        <w:t>La Plénière,</w:t>
      </w:r>
    </w:p>
    <w:p w14:paraId="75207612" w14:textId="353B8AD8" w:rsidR="000F3FDB" w:rsidRPr="003F3120" w:rsidRDefault="00C6409C" w:rsidP="000F3FDB">
      <w:pPr>
        <w:pStyle w:val="NormalNonumber"/>
        <w:rPr>
          <w:i/>
          <w:lang w:val="fr-FR"/>
        </w:rPr>
      </w:pPr>
      <w:r>
        <w:rPr>
          <w:i/>
          <w:iCs/>
          <w:lang w:val="fr-FR"/>
        </w:rPr>
        <w:tab/>
        <w:t xml:space="preserve">Rappelant </w:t>
      </w:r>
      <w:r w:rsidRPr="00520B69">
        <w:rPr>
          <w:iCs/>
          <w:lang w:val="fr-FR"/>
        </w:rPr>
        <w:t>ses</w:t>
      </w:r>
      <w:r>
        <w:rPr>
          <w:i/>
          <w:iCs/>
          <w:lang w:val="fr-FR"/>
        </w:rPr>
        <w:t xml:space="preserve"> </w:t>
      </w:r>
      <w:r w:rsidR="000F3FDB" w:rsidRPr="003F3120">
        <w:rPr>
          <w:lang w:val="fr-FR"/>
        </w:rPr>
        <w:t>décisions IPBES-5/3 et IPBES-6/2,</w:t>
      </w:r>
    </w:p>
    <w:p w14:paraId="795E84C0" w14:textId="0ABDD463" w:rsidR="000F3FDB" w:rsidRPr="003F3120" w:rsidRDefault="000F3FDB" w:rsidP="000F3FDB">
      <w:pPr>
        <w:pStyle w:val="NormalNonumber"/>
        <w:rPr>
          <w:lang w:val="fr-FR"/>
        </w:rPr>
      </w:pPr>
      <w:r w:rsidRPr="003F3120">
        <w:rPr>
          <w:i/>
          <w:iCs/>
          <w:lang w:val="fr-FR"/>
        </w:rPr>
        <w:tab/>
        <w:t>Accueillant avec satisfaction</w:t>
      </w:r>
      <w:r w:rsidR="007031E0">
        <w:rPr>
          <w:i/>
          <w:iCs/>
          <w:lang w:val="fr-FR"/>
        </w:rPr>
        <w:t xml:space="preserve"> les </w:t>
      </w:r>
      <w:r w:rsidRPr="003F3120">
        <w:rPr>
          <w:lang w:val="fr-FR"/>
        </w:rPr>
        <w:t>effor</w:t>
      </w:r>
      <w:r w:rsidR="00C6409C">
        <w:rPr>
          <w:lang w:val="fr-FR"/>
        </w:rPr>
        <w:t>ts déployés par</w:t>
      </w:r>
      <w:r w:rsidR="007031E0">
        <w:rPr>
          <w:lang w:val="fr-FR"/>
        </w:rPr>
        <w:t xml:space="preserve"> le </w:t>
      </w:r>
      <w:r w:rsidR="00C6409C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ainsi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contribution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membres</w:t>
      </w:r>
      <w:r w:rsidR="00C6409C">
        <w:rPr>
          <w:lang w:val="fr-FR"/>
        </w:rPr>
        <w:t xml:space="preserve"> et</w:t>
      </w:r>
      <w:r w:rsidR="007031E0">
        <w:rPr>
          <w:lang w:val="fr-FR"/>
        </w:rPr>
        <w:t xml:space="preserve"> des </w:t>
      </w:r>
      <w:r w:rsidR="00C6409C">
        <w:rPr>
          <w:lang w:val="fr-FR"/>
        </w:rPr>
        <w:t>parties prenantes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intergouvernementale scientifique et politique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services écosystémiques à l</w:t>
      </w:r>
      <w:r w:rsidR="00FA5ADB">
        <w:rPr>
          <w:lang w:val="fr-FR"/>
        </w:rPr>
        <w:t>’</w:t>
      </w:r>
      <w:r w:rsidRPr="003F3120">
        <w:rPr>
          <w:lang w:val="fr-FR"/>
        </w:rPr>
        <w:t>élaboration du programme de travail glissant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Plateforme </w:t>
      </w:r>
      <w:r w:rsidR="005165E3" w:rsidRPr="003F3120">
        <w:rPr>
          <w:lang w:val="fr-FR"/>
        </w:rPr>
        <w:t>pour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 xml:space="preserve">période allant </w:t>
      </w:r>
      <w:r w:rsidRPr="003F3120">
        <w:rPr>
          <w:lang w:val="fr-FR"/>
        </w:rPr>
        <w:t>jusqu</w:t>
      </w:r>
      <w:r w:rsidR="00FA5ADB">
        <w:rPr>
          <w:lang w:val="fr-FR"/>
        </w:rPr>
        <w:t>’</w:t>
      </w:r>
      <w:r w:rsidRPr="003F3120">
        <w:rPr>
          <w:lang w:val="fr-FR"/>
        </w:rPr>
        <w:t>en 2030,</w:t>
      </w:r>
    </w:p>
    <w:p w14:paraId="3A17AF77" w14:textId="51C629AF" w:rsidR="000F3FDB" w:rsidRPr="003F3120" w:rsidRDefault="000F3FDB" w:rsidP="000F3FDB">
      <w:pPr>
        <w:pStyle w:val="NormalNonumber"/>
        <w:rPr>
          <w:lang w:val="fr-FR"/>
        </w:rPr>
      </w:pPr>
      <w:r w:rsidRPr="003F3120">
        <w:rPr>
          <w:i/>
          <w:iCs/>
          <w:lang w:val="fr-FR"/>
        </w:rPr>
        <w:tab/>
        <w:t>Se félicitant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demandes, contribution</w:t>
      </w:r>
      <w:r w:rsidR="00C6409C">
        <w:rPr>
          <w:lang w:val="fr-FR"/>
        </w:rPr>
        <w:t>s et suggestions concernant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priorités à court terme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besoins stratégiques à plus long terme,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compris celles présentées par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organes compétents d</w:t>
      </w:r>
      <w:r w:rsidR="00FA5ADB">
        <w:rPr>
          <w:lang w:val="fr-FR"/>
        </w:rPr>
        <w:t>’</w:t>
      </w:r>
      <w:r w:rsidRPr="003F3120">
        <w:rPr>
          <w:lang w:val="fr-FR"/>
        </w:rPr>
        <w:t>accords multilatéraux sur l</w:t>
      </w:r>
      <w:r w:rsidR="00FA5ADB">
        <w:rPr>
          <w:lang w:val="fr-FR"/>
        </w:rPr>
        <w:t>’</w:t>
      </w:r>
      <w:r w:rsidRPr="003F3120">
        <w:rPr>
          <w:lang w:val="fr-FR"/>
        </w:rPr>
        <w:t>environnement relatifs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 aux services écosystémiques,</w:t>
      </w:r>
    </w:p>
    <w:p w14:paraId="39B3297E" w14:textId="5C15D686" w:rsidR="000F3FDB" w:rsidRPr="003F3120" w:rsidRDefault="000F3FDB" w:rsidP="000F3FDB">
      <w:pPr>
        <w:pStyle w:val="NormalNonumber"/>
        <w:rPr>
          <w:lang w:val="fr-FR"/>
        </w:rPr>
      </w:pPr>
      <w:r w:rsidRPr="003F3120">
        <w:rPr>
          <w:i/>
          <w:iCs/>
          <w:lang w:val="fr-FR"/>
        </w:rPr>
        <w:tab/>
        <w:t>Prenant note</w:t>
      </w:r>
      <w:r w:rsidRPr="003F3120">
        <w:rPr>
          <w:lang w:val="fr-FR"/>
        </w:rPr>
        <w:t xml:space="preserve"> du rapport du 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et du Bureau</w:t>
      </w:r>
      <w:r w:rsidRPr="003F3120">
        <w:rPr>
          <w:rStyle w:val="FootnoteReference"/>
          <w:szCs w:val="20"/>
          <w:lang w:val="fr-FR"/>
        </w:rPr>
        <w:footnoteReference w:id="1"/>
      </w:r>
      <w:r w:rsidR="00C6409C">
        <w:rPr>
          <w:lang w:val="fr-FR"/>
        </w:rPr>
        <w:t xml:space="preserve"> contenant une</w:t>
      </w:r>
      <w:r w:rsidR="00A37F24">
        <w:rPr>
          <w:lang w:val="fr-FR"/>
        </w:rPr>
        <w:t> </w:t>
      </w:r>
      <w:r w:rsidRPr="003F3120">
        <w:rPr>
          <w:lang w:val="fr-FR"/>
        </w:rPr>
        <w:t>liste hiérarchisée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demandes, contributions et sugge</w:t>
      </w:r>
      <w:r w:rsidR="00C6409C">
        <w:rPr>
          <w:lang w:val="fr-FR"/>
        </w:rPr>
        <w:t>stions établie comme suite à</w:t>
      </w:r>
      <w:r w:rsidR="007031E0">
        <w:rPr>
          <w:lang w:val="fr-FR"/>
        </w:rPr>
        <w:t xml:space="preserve"> la </w:t>
      </w:r>
      <w:r w:rsidR="00C6409C">
        <w:rPr>
          <w:lang w:val="fr-FR"/>
        </w:rPr>
        <w:t>décision IPBES</w:t>
      </w:r>
      <w:r w:rsidR="00C6409C">
        <w:rPr>
          <w:lang w:val="fr-FR"/>
        </w:rPr>
        <w:noBreakHyphen/>
      </w:r>
      <w:r w:rsidRPr="003F3120">
        <w:rPr>
          <w:lang w:val="fr-FR"/>
        </w:rPr>
        <w:t>6/2 et conformément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procédure de réce</w:t>
      </w:r>
      <w:r w:rsidR="00C6409C">
        <w:rPr>
          <w:lang w:val="fr-FR"/>
        </w:rPr>
        <w:t>ption et de hiérarchisation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demandes présentées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Plateforme, qui figure dans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décision IPBES</w:t>
      </w:r>
      <w:r w:rsidRPr="003F3120">
        <w:rPr>
          <w:lang w:val="fr-FR"/>
        </w:rPr>
        <w:noBreakHyphen/>
        <w:t>1/3,</w:t>
      </w:r>
    </w:p>
    <w:p w14:paraId="686C9209" w14:textId="798BDEB2" w:rsidR="004843BC" w:rsidRPr="003F3120" w:rsidRDefault="000F3FDB" w:rsidP="00ED6939">
      <w:pPr>
        <w:numPr>
          <w:ilvl w:val="0"/>
          <w:numId w:val="2"/>
        </w:numPr>
        <w:tabs>
          <w:tab w:val="clear" w:pos="1134"/>
          <w:tab w:val="num" w:pos="624"/>
        </w:tabs>
        <w:spacing w:after="120"/>
        <w:ind w:firstLine="624"/>
      </w:pPr>
      <w:r w:rsidRPr="003F3120">
        <w:rPr>
          <w:i/>
          <w:iCs/>
        </w:rPr>
        <w:t>Adopte</w:t>
      </w:r>
      <w:r w:rsidR="007031E0">
        <w:t xml:space="preserve"> le </w:t>
      </w:r>
      <w:r w:rsidRPr="003F3120">
        <w:t>prog</w:t>
      </w:r>
      <w:r w:rsidR="00C6409C">
        <w:t>ramme de travail glissant de</w:t>
      </w:r>
      <w:r w:rsidR="007031E0">
        <w:t xml:space="preserve"> la </w:t>
      </w:r>
      <w:r w:rsidRPr="003F3120">
        <w:t xml:space="preserve">Plateforme </w:t>
      </w:r>
      <w:r w:rsidR="005165E3" w:rsidRPr="003F3120">
        <w:t>pour</w:t>
      </w:r>
      <w:r w:rsidR="007031E0">
        <w:t xml:space="preserve"> la </w:t>
      </w:r>
      <w:r w:rsidR="005165E3" w:rsidRPr="003F3120">
        <w:t xml:space="preserve">période allant </w:t>
      </w:r>
      <w:r w:rsidRPr="003F3120">
        <w:t>jusqu</w:t>
      </w:r>
      <w:r w:rsidR="00FA5ADB">
        <w:t>’</w:t>
      </w:r>
      <w:r w:rsidR="00C6409C">
        <w:t xml:space="preserve">en 2030, qui figure dans </w:t>
      </w:r>
      <w:r w:rsidRPr="003F3120">
        <w:t>l</w:t>
      </w:r>
      <w:r w:rsidR="00FA5ADB">
        <w:t>’</w:t>
      </w:r>
      <w:r w:rsidR="00C6409C">
        <w:t>annexe I de</w:t>
      </w:r>
      <w:r w:rsidR="007031E0">
        <w:t xml:space="preserve"> la </w:t>
      </w:r>
      <w:r w:rsidRPr="003F3120">
        <w:t>présente décision</w:t>
      </w:r>
      <w:r w:rsidR="00FD5D6A">
        <w:t> ;</w:t>
      </w:r>
    </w:p>
    <w:p w14:paraId="282B5709" w14:textId="4C77558D" w:rsidR="004843BC" w:rsidRPr="003F3120" w:rsidRDefault="000F3FDB" w:rsidP="00ED6939">
      <w:pPr>
        <w:numPr>
          <w:ilvl w:val="0"/>
          <w:numId w:val="2"/>
        </w:numPr>
        <w:tabs>
          <w:tab w:val="num" w:pos="624"/>
        </w:tabs>
        <w:spacing w:after="120"/>
        <w:ind w:firstLine="624"/>
        <w:rPr>
          <w:i/>
        </w:rPr>
      </w:pPr>
      <w:r w:rsidRPr="003F3120">
        <w:rPr>
          <w:i/>
          <w:iCs/>
        </w:rPr>
        <w:t xml:space="preserve">Décide </w:t>
      </w:r>
      <w:r w:rsidRPr="003F3120">
        <w:t>de lancer un appel sollicitant de nouvelles demandes, contributions et suggestions concer</w:t>
      </w:r>
      <w:r w:rsidR="00C6409C">
        <w:t>nant</w:t>
      </w:r>
      <w:r w:rsidR="007031E0">
        <w:t xml:space="preserve"> le </w:t>
      </w:r>
      <w:r w:rsidRPr="003F3120">
        <w:t xml:space="preserve">programme de travail, assorti de délais </w:t>
      </w:r>
      <w:r w:rsidR="00C6409C">
        <w:t>lui permettant de procéder à un</w:t>
      </w:r>
      <w:r w:rsidR="00A37F24">
        <w:t> </w:t>
      </w:r>
      <w:r w:rsidRPr="003F3120">
        <w:t xml:space="preserve">examen à sa dixième session, et </w:t>
      </w:r>
      <w:r w:rsidR="00993AE7">
        <w:t>de déterminer</w:t>
      </w:r>
      <w:r w:rsidRPr="003F3120">
        <w:t xml:space="preserve"> à cette même session s</w:t>
      </w:r>
      <w:r w:rsidR="00FA5ADB">
        <w:t>’</w:t>
      </w:r>
      <w:r w:rsidRPr="003F3120">
        <w:t>il faut organiser d</w:t>
      </w:r>
      <w:r w:rsidR="00FA5ADB">
        <w:t>’</w:t>
      </w:r>
      <w:r w:rsidR="00C6409C">
        <w:t>autres appels et,</w:t>
      </w:r>
      <w:r w:rsidR="007031E0">
        <w:t xml:space="preserve"> le </w:t>
      </w:r>
      <w:r w:rsidRPr="003F3120">
        <w:t>cas échéant, à quel moment</w:t>
      </w:r>
      <w:r w:rsidR="00FD5D6A">
        <w:t> ;</w:t>
      </w:r>
    </w:p>
    <w:p w14:paraId="2C75D7EE" w14:textId="77777777" w:rsidR="004C0022" w:rsidRPr="003F3120" w:rsidRDefault="004C0022" w:rsidP="004C0022">
      <w:pPr>
        <w:pStyle w:val="Normal-pool"/>
        <w:keepNext/>
        <w:keepLines/>
        <w:spacing w:before="24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t>I</w:t>
      </w:r>
    </w:p>
    <w:p w14:paraId="3FE98154" w14:textId="1091FE2F" w:rsidR="004C0022" w:rsidRPr="003F3120" w:rsidRDefault="004C0022" w:rsidP="004C0022">
      <w:pPr>
        <w:pStyle w:val="Normal-pool"/>
        <w:keepNext/>
        <w:keepLines/>
        <w:spacing w:before="12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t>Mise en œuvre du programme de travail glissant de</w:t>
      </w:r>
      <w:r w:rsidR="007031E0">
        <w:rPr>
          <w:b/>
          <w:bCs/>
          <w:lang w:val="fr-FR"/>
        </w:rPr>
        <w:t xml:space="preserve"> la </w:t>
      </w:r>
      <w:r w:rsidRPr="003F3120">
        <w:rPr>
          <w:b/>
          <w:bCs/>
          <w:lang w:val="fr-FR"/>
        </w:rPr>
        <w:t xml:space="preserve">Plateforme </w:t>
      </w:r>
      <w:r w:rsidR="005165E3" w:rsidRPr="003F3120">
        <w:rPr>
          <w:b/>
          <w:lang w:val="fr-FR"/>
        </w:rPr>
        <w:t>pour</w:t>
      </w:r>
      <w:r w:rsidR="007031E0">
        <w:rPr>
          <w:b/>
          <w:lang w:val="fr-FR"/>
        </w:rPr>
        <w:t xml:space="preserve"> la </w:t>
      </w:r>
      <w:r w:rsidR="005165E3" w:rsidRPr="003F3120">
        <w:rPr>
          <w:b/>
          <w:lang w:val="fr-FR"/>
        </w:rPr>
        <w:t>période allant</w:t>
      </w:r>
      <w:r w:rsidR="00A37F24">
        <w:rPr>
          <w:b/>
          <w:lang w:val="fr-FR"/>
        </w:rPr>
        <w:t> </w:t>
      </w:r>
      <w:r w:rsidRPr="003F3120">
        <w:rPr>
          <w:b/>
          <w:bCs/>
          <w:lang w:val="fr-FR"/>
        </w:rPr>
        <w:t>jusqu</w:t>
      </w:r>
      <w:r w:rsidR="00FA5ADB">
        <w:rPr>
          <w:b/>
          <w:bCs/>
          <w:lang w:val="fr-FR"/>
        </w:rPr>
        <w:t>’</w:t>
      </w:r>
      <w:r w:rsidRPr="003F3120">
        <w:rPr>
          <w:b/>
          <w:bCs/>
          <w:lang w:val="fr-FR"/>
        </w:rPr>
        <w:t>en 2030</w:t>
      </w:r>
    </w:p>
    <w:p w14:paraId="7C13525F" w14:textId="3003E03A" w:rsidR="004C0022" w:rsidRPr="003F3120" w:rsidRDefault="002D74CD" w:rsidP="004C0022">
      <w:pPr>
        <w:pStyle w:val="NormalNonumber"/>
        <w:keepNext/>
        <w:keepLines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1.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Décide </w:t>
      </w:r>
      <w:r w:rsidR="004C0022" w:rsidRPr="003F3120">
        <w:rPr>
          <w:lang w:val="fr-FR"/>
        </w:rPr>
        <w:t>de procéder à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mise en œuvre du prog</w:t>
      </w:r>
      <w:r w:rsidR="00C6409C">
        <w:rPr>
          <w:lang w:val="fr-FR"/>
        </w:rPr>
        <w:t>ramme de travail glissant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 xml:space="preserve">Plateforme </w:t>
      </w:r>
      <w:r w:rsidR="005165E3" w:rsidRPr="003F3120">
        <w:rPr>
          <w:lang w:val="fr-FR"/>
        </w:rPr>
        <w:t>pour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 xml:space="preserve">période allant </w:t>
      </w:r>
      <w:r w:rsidR="004C0022" w:rsidRPr="003F3120">
        <w:rPr>
          <w:lang w:val="fr-FR"/>
        </w:rPr>
        <w:t>jusqu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en 2030 conformément au b</w:t>
      </w:r>
      <w:r w:rsidR="00C6409C">
        <w:rPr>
          <w:lang w:val="fr-FR"/>
        </w:rPr>
        <w:t>udget approuvé figurant dans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décision IPBES</w:t>
      </w:r>
      <w:r w:rsidR="004C0022" w:rsidRPr="003F3120">
        <w:rPr>
          <w:lang w:val="fr-FR"/>
        </w:rPr>
        <w:noBreakHyphen/>
        <w:t>7/</w:t>
      </w:r>
      <w:r w:rsidR="00252F48" w:rsidRPr="003F3120">
        <w:rPr>
          <w:lang w:val="fr-FR"/>
        </w:rPr>
        <w:t>4 et dans</w:t>
      </w:r>
      <w:r w:rsidR="007031E0">
        <w:rPr>
          <w:lang w:val="fr-FR"/>
        </w:rPr>
        <w:t xml:space="preserve"> la </w:t>
      </w:r>
      <w:r w:rsidR="00252F48" w:rsidRPr="003F3120">
        <w:rPr>
          <w:lang w:val="fr-FR"/>
        </w:rPr>
        <w:t>limite</w:t>
      </w:r>
      <w:r w:rsidR="007031E0">
        <w:rPr>
          <w:lang w:val="fr-FR"/>
        </w:rPr>
        <w:t xml:space="preserve"> des </w:t>
      </w:r>
      <w:r w:rsidR="00252F48" w:rsidRPr="003F3120">
        <w:rPr>
          <w:lang w:val="fr-FR"/>
        </w:rPr>
        <w:t>ressources disponibles</w:t>
      </w:r>
      <w:r w:rsidR="00FD5D6A">
        <w:rPr>
          <w:lang w:val="fr-FR"/>
        </w:rPr>
        <w:t> ;</w:t>
      </w:r>
    </w:p>
    <w:p w14:paraId="0C4C0512" w14:textId="532926FB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2.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la </w:t>
      </w:r>
      <w:r w:rsidR="004C0022" w:rsidRPr="003F3120">
        <w:rPr>
          <w:lang w:val="fr-FR"/>
        </w:rPr>
        <w:t>Secrétaire exécutive de lui prése</w:t>
      </w:r>
      <w:r w:rsidR="00C6409C">
        <w:rPr>
          <w:lang w:val="fr-FR"/>
        </w:rPr>
        <w:t>nter, à sa huitième session, un rapport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progrès accomplis dans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exécution du program</w:t>
      </w:r>
      <w:r w:rsidR="00C6409C">
        <w:rPr>
          <w:lang w:val="fr-FR"/>
        </w:rPr>
        <w:t>me de travail conformément à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présente décision</w:t>
      </w:r>
      <w:r w:rsidR="00FD5D6A">
        <w:rPr>
          <w:lang w:val="fr-FR"/>
        </w:rPr>
        <w:t> ;</w:t>
      </w:r>
    </w:p>
    <w:p w14:paraId="5B6B2F12" w14:textId="77777777" w:rsidR="004C0022" w:rsidRPr="003F3120" w:rsidRDefault="004C0022" w:rsidP="004C0022">
      <w:pPr>
        <w:pStyle w:val="Normal-pool"/>
        <w:keepNext/>
        <w:keepLines/>
        <w:spacing w:before="240" w:after="120"/>
        <w:ind w:left="1247"/>
        <w:jc w:val="center"/>
        <w:rPr>
          <w:b/>
          <w:bCs/>
          <w:lang w:val="fr-FR"/>
        </w:rPr>
      </w:pPr>
      <w:r w:rsidRPr="003F3120">
        <w:rPr>
          <w:b/>
          <w:bCs/>
          <w:lang w:val="fr-FR"/>
        </w:rPr>
        <w:t>II</w:t>
      </w:r>
    </w:p>
    <w:p w14:paraId="39F9B3D6" w14:textId="22F751F1" w:rsidR="004C0022" w:rsidRPr="003F3120" w:rsidRDefault="004C0022" w:rsidP="004C0022">
      <w:pPr>
        <w:pStyle w:val="Normal-pool"/>
        <w:keepNext/>
        <w:keepLines/>
        <w:spacing w:before="120" w:after="120"/>
        <w:ind w:left="1247"/>
        <w:jc w:val="center"/>
        <w:rPr>
          <w:b/>
          <w:bCs/>
          <w:lang w:val="fr-FR"/>
        </w:rPr>
      </w:pPr>
      <w:r w:rsidRPr="003F3120">
        <w:rPr>
          <w:b/>
          <w:bCs/>
          <w:lang w:val="fr-FR"/>
        </w:rPr>
        <w:t>Évaluation</w:t>
      </w:r>
      <w:r w:rsidR="007031E0">
        <w:rPr>
          <w:b/>
          <w:bCs/>
          <w:lang w:val="fr-FR"/>
        </w:rPr>
        <w:t xml:space="preserve"> des </w:t>
      </w:r>
      <w:r w:rsidRPr="003F3120">
        <w:rPr>
          <w:b/>
          <w:bCs/>
          <w:lang w:val="fr-FR"/>
        </w:rPr>
        <w:t>connaissances</w:t>
      </w:r>
    </w:p>
    <w:p w14:paraId="3B74DA9B" w14:textId="356C3417" w:rsidR="004C0022" w:rsidRPr="003F3120" w:rsidRDefault="002D74CD" w:rsidP="004C0022">
      <w:pPr>
        <w:pStyle w:val="NormalNonumber"/>
        <w:rPr>
          <w:rFonts w:eastAsia="Calibri"/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1.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Approuve</w:t>
      </w:r>
      <w:r w:rsidR="007031E0">
        <w:rPr>
          <w:i/>
          <w:iCs/>
          <w:lang w:val="fr-FR"/>
        </w:rPr>
        <w:t xml:space="preserve"> le </w:t>
      </w:r>
      <w:r w:rsidR="004C0022" w:rsidRPr="003F3120">
        <w:rPr>
          <w:lang w:val="fr-FR"/>
        </w:rPr>
        <w:t>résumé à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intention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décideurs de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évaluation mondiale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services écosystémiques</w:t>
      </w:r>
      <w:r w:rsidR="004C0022" w:rsidRPr="003F3120">
        <w:rPr>
          <w:rStyle w:val="FootnoteReference"/>
          <w:rFonts w:eastAsia="Calibri"/>
          <w:szCs w:val="20"/>
          <w:lang w:val="fr-FR"/>
        </w:rPr>
        <w:footnoteReference w:id="2"/>
      </w:r>
      <w:r w:rsidR="004C0022" w:rsidRPr="003F3120">
        <w:rPr>
          <w:lang w:val="fr-FR"/>
        </w:rPr>
        <w:t xml:space="preserve"> et accepte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chapitres de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évaluation,</w:t>
      </w:r>
      <w:r w:rsidR="007031E0">
        <w:rPr>
          <w:lang w:val="fr-FR"/>
        </w:rPr>
        <w:t xml:space="preserve"> y </w:t>
      </w:r>
      <w:r w:rsidR="004C0022" w:rsidRPr="003F3120">
        <w:rPr>
          <w:lang w:val="fr-FR"/>
        </w:rPr>
        <w:t>compris leurs résumés analytiques</w:t>
      </w:r>
      <w:r w:rsidR="004C0022" w:rsidRPr="003F3120">
        <w:rPr>
          <w:rFonts w:eastAsia="Calibri"/>
          <w:vertAlign w:val="superscript"/>
          <w:lang w:val="fr-FR"/>
        </w:rPr>
        <w:footnoteReference w:id="3"/>
      </w:r>
      <w:r w:rsidR="00FD5D6A">
        <w:rPr>
          <w:lang w:val="fr-FR"/>
        </w:rPr>
        <w:t> ;</w:t>
      </w:r>
    </w:p>
    <w:p w14:paraId="0CF33930" w14:textId="5F87AC78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2.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Approuve également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deux processus de cadrage suivants, pour examen à sa huitième session</w:t>
      </w:r>
      <w:r w:rsidR="00FD5D6A">
        <w:rPr>
          <w:lang w:val="fr-FR"/>
        </w:rPr>
        <w:t> :</w:t>
      </w:r>
    </w:p>
    <w:p w14:paraId="69E5A7D9" w14:textId="50CB887F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a)</w:t>
      </w:r>
      <w:r w:rsidR="004C0022" w:rsidRPr="003F3120">
        <w:rPr>
          <w:lang w:val="fr-FR"/>
        </w:rPr>
        <w:tab/>
        <w:t>Une évaluation thématique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 xml:space="preserve">liens </w:t>
      </w:r>
      <w:r w:rsidR="003849C4" w:rsidRPr="003F3120">
        <w:rPr>
          <w:lang w:val="fr-FR"/>
        </w:rPr>
        <w:t>d</w:t>
      </w:r>
      <w:r w:rsidR="00FA5ADB">
        <w:rPr>
          <w:lang w:val="fr-FR"/>
        </w:rPr>
        <w:t>’</w:t>
      </w:r>
      <w:r w:rsidR="003849C4" w:rsidRPr="003F3120">
        <w:rPr>
          <w:lang w:val="fr-FR"/>
        </w:rPr>
        <w:t xml:space="preserve">interdépendance </w:t>
      </w:r>
      <w:r w:rsidR="004C0022" w:rsidRPr="003F3120">
        <w:rPr>
          <w:lang w:val="fr-FR"/>
        </w:rPr>
        <w:t>entre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 xml:space="preserve">biodiversité, </w:t>
      </w:r>
      <w:r w:rsidR="003849C4" w:rsidRPr="003F3120">
        <w:rPr>
          <w:lang w:val="fr-FR"/>
        </w:rPr>
        <w:t>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 xml:space="preserve">eau, </w:t>
      </w:r>
      <w:r w:rsidR="003849C4" w:rsidRPr="003F3120">
        <w:rPr>
          <w:lang w:val="fr-FR"/>
        </w:rPr>
        <w:t>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alimentation et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santé, conformément aux procédures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établissement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produits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</w:t>
      </w:r>
      <w:r w:rsidR="004C0022" w:rsidRPr="003F3120">
        <w:rPr>
          <w:rStyle w:val="FootnoteReference"/>
          <w:rFonts w:eastAsia="Calibri"/>
          <w:szCs w:val="20"/>
          <w:lang w:val="fr-FR"/>
        </w:rPr>
        <w:footnoteReference w:id="4"/>
      </w:r>
      <w:r w:rsidR="004C0022" w:rsidRPr="003F3120">
        <w:rPr>
          <w:lang w:val="fr-FR"/>
        </w:rPr>
        <w:t xml:space="preserve"> et sur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base du rapport initial de cadrage de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évaluation</w:t>
      </w:r>
      <w:r w:rsidR="004C0022" w:rsidRPr="003F3120">
        <w:rPr>
          <w:rStyle w:val="FootnoteReference"/>
          <w:rFonts w:eastAsia="Calibri"/>
          <w:szCs w:val="20"/>
          <w:lang w:val="fr-FR"/>
        </w:rPr>
        <w:footnoteReference w:id="5"/>
      </w:r>
      <w:r w:rsidR="00FD5D6A">
        <w:rPr>
          <w:lang w:val="fr-FR"/>
        </w:rPr>
        <w:t> ;</w:t>
      </w:r>
      <w:bookmarkStart w:id="66" w:name="_Hlk500170660"/>
    </w:p>
    <w:p w14:paraId="2A651FA0" w14:textId="42476865" w:rsidR="004C0022" w:rsidRPr="003F3120" w:rsidRDefault="002D74CD" w:rsidP="004C0022">
      <w:pPr>
        <w:pStyle w:val="NormalNonumber"/>
        <w:rPr>
          <w:rFonts w:eastAsia="Calibri"/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b)</w:t>
      </w:r>
      <w:r w:rsidR="004C0022" w:rsidRPr="003F3120">
        <w:rPr>
          <w:lang w:val="fr-FR"/>
        </w:rPr>
        <w:tab/>
      </w:r>
      <w:bookmarkStart w:id="67" w:name="_DV_C123"/>
      <w:r w:rsidR="004C0022" w:rsidRPr="003F3120">
        <w:rPr>
          <w:lang w:val="fr-FR"/>
        </w:rPr>
        <w:t>Une évaluation thématique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causes profondes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 xml:space="preserve">perte de biodiversité </w:t>
      </w:r>
      <w:r w:rsidR="004C0022" w:rsidRPr="003F3120">
        <w:rPr>
          <w:rStyle w:val="DeltaViewInsertion"/>
          <w:color w:val="auto"/>
          <w:u w:val="none"/>
          <w:lang w:val="fr-FR"/>
        </w:rPr>
        <w:t>et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moteurs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transformation ainsi que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mesures pouvant être prises pour concrétiser</w:t>
      </w:r>
      <w:r w:rsidR="007031E0">
        <w:rPr>
          <w:rStyle w:val="DeltaViewInsertion"/>
          <w:color w:val="auto"/>
          <w:u w:val="none"/>
          <w:lang w:val="fr-FR"/>
        </w:rPr>
        <w:t xml:space="preserve"> </w:t>
      </w:r>
      <w:r w:rsidR="007031E0">
        <w:rPr>
          <w:rStyle w:val="DeltaViewInsertion"/>
          <w:color w:val="auto"/>
          <w:u w:val="none"/>
          <w:lang w:val="fr-FR"/>
        </w:rPr>
        <w:lastRenderedPageBreak/>
        <w:t>la </w:t>
      </w:r>
      <w:r w:rsidR="004C0022" w:rsidRPr="003F3120">
        <w:rPr>
          <w:rStyle w:val="DeltaViewInsertion"/>
          <w:color w:val="auto"/>
          <w:u w:val="none"/>
          <w:lang w:val="fr-FR"/>
        </w:rPr>
        <w:t>Vision 2050 pour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biodiversité, conformément aux procédures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établissement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produits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Plateforme</w:t>
      </w:r>
      <w:r w:rsidR="004C0022" w:rsidRPr="003F3120">
        <w:rPr>
          <w:rStyle w:val="DeltaViewInsertion"/>
          <w:color w:val="auto"/>
          <w:u w:val="none"/>
          <w:vertAlign w:val="superscript"/>
          <w:lang w:val="fr-FR"/>
        </w:rPr>
        <w:t>4</w:t>
      </w:r>
      <w:r w:rsidR="004C0022" w:rsidRPr="003F3120">
        <w:rPr>
          <w:rStyle w:val="DeltaViewInsertion"/>
          <w:color w:val="auto"/>
          <w:u w:val="none"/>
          <w:lang w:val="fr-FR"/>
        </w:rPr>
        <w:t xml:space="preserve"> et sur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base du rapport initial de cadrage de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évaluation</w:t>
      </w:r>
      <w:r w:rsidR="009E2DCC">
        <w:rPr>
          <w:rStyle w:val="FootnoteReference"/>
          <w:lang w:val="fr-FR"/>
        </w:rPr>
        <w:footnoteReference w:id="6"/>
      </w:r>
      <w:bookmarkEnd w:id="67"/>
      <w:r w:rsidR="00C6409C">
        <w:rPr>
          <w:rStyle w:val="DeltaViewInsertion"/>
          <w:color w:val="auto"/>
          <w:u w:val="none"/>
          <w:vertAlign w:val="superscript"/>
          <w:lang w:val="fr-FR"/>
        </w:rPr>
        <w:t> </w:t>
      </w:r>
      <w:r w:rsidR="00C6409C">
        <w:rPr>
          <w:rStyle w:val="DeltaViewInsertion"/>
          <w:color w:val="auto"/>
          <w:u w:val="none"/>
          <w:lang w:val="fr-FR"/>
        </w:rPr>
        <w:t>;</w:t>
      </w:r>
    </w:p>
    <w:p w14:paraId="047B1745" w14:textId="45AC24FC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3.</w:t>
      </w:r>
      <w:r w:rsidR="004C0022" w:rsidRPr="003F3120">
        <w:rPr>
          <w:lang w:val="fr-FR"/>
        </w:rPr>
        <w:tab/>
      </w:r>
      <w:r w:rsidR="004C0022" w:rsidRPr="003F3120">
        <w:rPr>
          <w:rStyle w:val="DeltaViewInsertion"/>
          <w:i/>
          <w:color w:val="auto"/>
          <w:u w:val="none"/>
          <w:lang w:val="fr-FR"/>
        </w:rPr>
        <w:t>Prie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4C0022" w:rsidRPr="003F3120">
        <w:rPr>
          <w:rStyle w:val="DeltaViewInsertion"/>
          <w:color w:val="auto"/>
          <w:u w:val="none"/>
          <w:lang w:val="fr-FR"/>
        </w:rPr>
        <w:t>Groupe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experts multidisciplinaire,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4C0022" w:rsidRPr="003F3120">
        <w:rPr>
          <w:rStyle w:val="DeltaViewInsertion"/>
          <w:color w:val="auto"/>
          <w:u w:val="none"/>
          <w:lang w:val="fr-FR"/>
        </w:rPr>
        <w:t>Bureau et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Secrétaire exécutive de faciliter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color w:val="auto"/>
          <w:u w:val="none"/>
          <w:lang w:val="fr-FR"/>
        </w:rPr>
        <w:t>travaux entre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color w:val="auto"/>
          <w:u w:val="none"/>
          <w:lang w:val="fr-FR"/>
        </w:rPr>
        <w:t>deux processus de cadrage en vue de dégager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4C0022" w:rsidRPr="003F3120">
        <w:rPr>
          <w:rStyle w:val="DeltaViewInsertion"/>
          <w:color w:val="auto"/>
          <w:u w:val="none"/>
          <w:lang w:val="fr-FR"/>
        </w:rPr>
        <w:t>plus de synergies possible</w:t>
      </w:r>
      <w:r w:rsidR="00993AE7">
        <w:rPr>
          <w:rStyle w:val="DeltaViewInsertion"/>
          <w:color w:val="auto"/>
          <w:u w:val="none"/>
          <w:lang w:val="fr-FR"/>
        </w:rPr>
        <w:t>s</w:t>
      </w:r>
      <w:r w:rsidR="004C0022" w:rsidRPr="003F3120">
        <w:rPr>
          <w:rStyle w:val="DeltaViewInsertion"/>
          <w:color w:val="auto"/>
          <w:u w:val="none"/>
          <w:lang w:val="fr-FR"/>
        </w:rPr>
        <w:t xml:space="preserve"> entre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color w:val="auto"/>
          <w:u w:val="none"/>
          <w:lang w:val="fr-FR"/>
        </w:rPr>
        <w:t>évaluations et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éviter que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color w:val="auto"/>
          <w:u w:val="none"/>
          <w:lang w:val="fr-FR"/>
        </w:rPr>
        <w:t>mêmes sujets soient examinés deux fois</w:t>
      </w:r>
      <w:r w:rsidR="00FD5D6A">
        <w:rPr>
          <w:rStyle w:val="DeltaViewInsertion"/>
          <w:color w:val="auto"/>
          <w:u w:val="none"/>
          <w:lang w:val="fr-FR"/>
        </w:rPr>
        <w:t> ;</w:t>
      </w:r>
    </w:p>
    <w:p w14:paraId="013852E4" w14:textId="11ADB52D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4.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Approuve </w:t>
      </w:r>
      <w:r w:rsidR="004C0022" w:rsidRPr="00993AE7">
        <w:rPr>
          <w:iCs/>
          <w:lang w:val="fr-FR"/>
        </w:rPr>
        <w:t>un</w:t>
      </w:r>
      <w:r w:rsidR="004C0022" w:rsidRPr="003F3120">
        <w:rPr>
          <w:i/>
          <w:iCs/>
          <w:lang w:val="fr-FR"/>
        </w:rPr>
        <w:t> </w:t>
      </w:r>
      <w:r w:rsidR="004C0022" w:rsidRPr="003F3120">
        <w:rPr>
          <w:lang w:val="fr-FR"/>
        </w:rPr>
        <w:t>processus de cadrage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une évaluation méthodologique de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impact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entreprises sur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biodiversité et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dépendance de ces dernières vis</w:t>
      </w:r>
      <w:r w:rsidR="004C0022" w:rsidRPr="003F3120">
        <w:rPr>
          <w:lang w:val="fr-FR"/>
        </w:rPr>
        <w:noBreakHyphen/>
        <w:t>à</w:t>
      </w:r>
      <w:r w:rsidR="004C0022" w:rsidRPr="003F3120">
        <w:rPr>
          <w:lang w:val="fr-FR"/>
        </w:rPr>
        <w:noBreakHyphen/>
        <w:t>vis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biodiversité ainsi que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contributions apportées par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nature aux</w:t>
      </w:r>
      <w:r w:rsidR="003D36E8" w:rsidRPr="003F3120">
        <w:rPr>
          <w:lang w:val="fr-FR"/>
        </w:rPr>
        <w:t xml:space="preserve"> populations, pour examen à sa </w:t>
      </w:r>
      <w:r w:rsidR="004C0022" w:rsidRPr="003F3120">
        <w:rPr>
          <w:lang w:val="fr-FR"/>
        </w:rPr>
        <w:t>neuvième session, conformément aux procédures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établissement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produits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</w:t>
      </w:r>
      <w:r w:rsidR="004C0022" w:rsidRPr="003F3120">
        <w:rPr>
          <w:vertAlign w:val="superscript"/>
          <w:lang w:val="fr-FR"/>
        </w:rPr>
        <w:t>4</w:t>
      </w:r>
      <w:r w:rsidR="00520B69">
        <w:rPr>
          <w:lang w:val="fr-FR"/>
        </w:rPr>
        <w:t xml:space="preserve"> et </w:t>
      </w:r>
      <w:r w:rsidR="004C0022" w:rsidRPr="003F3120">
        <w:rPr>
          <w:lang w:val="fr-FR"/>
        </w:rPr>
        <w:t>sur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base du rapport initial de cadrage de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évaluation</w:t>
      </w:r>
      <w:r w:rsidR="004C0022" w:rsidRPr="003F3120">
        <w:rPr>
          <w:rStyle w:val="FootnoteReference"/>
          <w:rFonts w:eastAsia="Calibri"/>
          <w:szCs w:val="20"/>
          <w:lang w:val="fr-FR"/>
        </w:rPr>
        <w:footnoteReference w:id="7"/>
      </w:r>
      <w:r w:rsidR="004C0022" w:rsidRPr="003F3120">
        <w:rPr>
          <w:lang w:val="fr-FR"/>
        </w:rPr>
        <w:t>, et décide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envisager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effectuer cette évaluation sur une période de deux ans selon une méthode accélérée</w:t>
      </w:r>
      <w:r w:rsidR="004C0022" w:rsidRPr="003F3120">
        <w:rPr>
          <w:rStyle w:val="FootnoteReference"/>
          <w:rFonts w:eastAsia="Calibri"/>
          <w:szCs w:val="20"/>
          <w:lang w:val="fr-FR"/>
        </w:rPr>
        <w:footnoteReference w:id="8"/>
      </w:r>
      <w:r w:rsidR="00FD5D6A">
        <w:rPr>
          <w:lang w:val="fr-FR"/>
        </w:rPr>
        <w:t> ;</w:t>
      </w:r>
    </w:p>
    <w:p w14:paraId="68D0975E" w14:textId="2AC9662E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color w:val="auto"/>
          <w:u w:val="none"/>
          <w:lang w:val="fr-FR"/>
        </w:rPr>
        <w:t>5.</w:t>
      </w:r>
      <w:r w:rsidR="004C0022"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i/>
          <w:color w:val="auto"/>
          <w:u w:val="none"/>
          <w:lang w:val="fr-FR"/>
        </w:rPr>
        <w:t>Décide</w:t>
      </w:r>
      <w:r w:rsidR="004C0022" w:rsidRPr="003F3120">
        <w:rPr>
          <w:rStyle w:val="DeltaViewInsertion"/>
          <w:color w:val="auto"/>
          <w:u w:val="none"/>
          <w:lang w:val="fr-FR"/>
        </w:rPr>
        <w:t>, dans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4C0022" w:rsidRPr="003F3120">
        <w:rPr>
          <w:rStyle w:val="DeltaViewInsertion"/>
          <w:color w:val="auto"/>
          <w:u w:val="none"/>
          <w:lang w:val="fr-FR"/>
        </w:rPr>
        <w:t>cadre du processus de cadrage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FC442C">
        <w:rPr>
          <w:rStyle w:val="DeltaViewInsertion"/>
          <w:color w:val="auto"/>
          <w:u w:val="none"/>
          <w:lang w:val="fr-FR"/>
        </w:rPr>
        <w:t>évaluations visé au paragraphe </w:t>
      </w:r>
      <w:r w:rsidR="004C0022" w:rsidRPr="003F3120">
        <w:rPr>
          <w:rStyle w:val="DeltaViewInsertion"/>
          <w:color w:val="auto"/>
          <w:u w:val="none"/>
          <w:lang w:val="fr-FR"/>
        </w:rPr>
        <w:t>2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présente section,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examiner comment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color w:val="auto"/>
          <w:u w:val="none"/>
          <w:lang w:val="fr-FR"/>
        </w:rPr>
        <w:t>fonctions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Plateforme en matière de renforcement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capacités, de consolidation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base de connaissances et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appui à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élaboration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politiques ainsi que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color w:val="auto"/>
          <w:u w:val="none"/>
          <w:lang w:val="fr-FR"/>
        </w:rPr>
        <w:t>différentes équipes spéciales peuvent être utilisées pour faciliter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préparation et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réalisation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évaluations ainsi que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adoption de politiques de manière intégrée</w:t>
      </w:r>
      <w:r w:rsidR="00FD5D6A">
        <w:rPr>
          <w:rStyle w:val="DeltaViewInsertion"/>
          <w:color w:val="auto"/>
          <w:u w:val="none"/>
          <w:lang w:val="fr-FR"/>
        </w:rPr>
        <w:t> ;</w:t>
      </w:r>
    </w:p>
    <w:bookmarkEnd w:id="66"/>
    <w:p w14:paraId="254BE73D" w14:textId="2F730EEF" w:rsidR="004C0022" w:rsidRPr="003F3120" w:rsidRDefault="002D74CD" w:rsidP="004C0022">
      <w:pPr>
        <w:pStyle w:val="NormalNonumber"/>
        <w:rPr>
          <w:rFonts w:eastAsia="Calibri"/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6.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Approuve </w:t>
      </w:r>
      <w:r w:rsidR="004C0022" w:rsidRPr="003F3120">
        <w:rPr>
          <w:lang w:val="fr-FR"/>
        </w:rPr>
        <w:t>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élaboration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un document technique sur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changements climatiques fondé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documents auxquels renvoient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rapports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évaluation établis par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 ou</w:t>
      </w:r>
      <w:r w:rsidR="007031E0">
        <w:rPr>
          <w:lang w:val="fr-FR"/>
        </w:rPr>
        <w:t xml:space="preserve"> y </w:t>
      </w:r>
      <w:r w:rsidR="004C0022" w:rsidRPr="003F3120">
        <w:rPr>
          <w:lang w:val="fr-FR"/>
        </w:rPr>
        <w:t>figurant et, de manière exceptionnelle,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rapports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évaluation du Groupe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intergouvernemental sur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 xml:space="preserve">évolution du climat, </w:t>
      </w:r>
      <w:bookmarkStart w:id="69" w:name="_DV_C151"/>
      <w:r w:rsidR="004C0022" w:rsidRPr="003F3120">
        <w:rPr>
          <w:lang w:val="fr-FR"/>
        </w:rPr>
        <w:t>en vue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informer, entre autres,</w:t>
      </w:r>
      <w:r w:rsidR="007031E0">
        <w:rPr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Conférence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Parties à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Convention sur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diversité biologique à sa quinzième</w:t>
      </w:r>
      <w:r w:rsidR="00FC442C">
        <w:rPr>
          <w:rStyle w:val="DeltaViewInsertion"/>
          <w:color w:val="auto"/>
          <w:u w:val="none"/>
          <w:lang w:val="fr-FR"/>
        </w:rPr>
        <w:t> </w:t>
      </w:r>
      <w:r w:rsidR="004C0022" w:rsidRPr="003F3120">
        <w:rPr>
          <w:rStyle w:val="DeltaViewInsertion"/>
          <w:color w:val="auto"/>
          <w:u w:val="none"/>
          <w:lang w:val="fr-FR"/>
        </w:rPr>
        <w:t>réunion et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Conférence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Parties à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FootnoteReference"/>
          <w:bCs/>
          <w:szCs w:val="20"/>
          <w:vertAlign w:val="baseline"/>
          <w:lang w:val="fr-FR"/>
        </w:rPr>
        <w:t>Convention-cadre</w:t>
      </w:r>
      <w:r w:rsidR="007031E0">
        <w:rPr>
          <w:rStyle w:val="FootnoteReference"/>
          <w:bCs/>
          <w:szCs w:val="20"/>
          <w:vertAlign w:val="baseline"/>
          <w:lang w:val="fr-FR"/>
        </w:rPr>
        <w:t xml:space="preserve"> des </w:t>
      </w:r>
      <w:r w:rsidR="004C0022" w:rsidRPr="003F3120">
        <w:rPr>
          <w:rStyle w:val="FootnoteReference"/>
          <w:bCs/>
          <w:szCs w:val="20"/>
          <w:vertAlign w:val="baseline"/>
          <w:lang w:val="fr-FR"/>
        </w:rPr>
        <w:t>Nations Unies sur</w:t>
      </w:r>
      <w:r w:rsidR="007031E0">
        <w:rPr>
          <w:rStyle w:val="FootnoteReference"/>
          <w:bCs/>
          <w:szCs w:val="20"/>
          <w:vertAlign w:val="baseline"/>
          <w:lang w:val="fr-FR"/>
        </w:rPr>
        <w:t xml:space="preserve"> les </w:t>
      </w:r>
      <w:r w:rsidR="004C0022" w:rsidRPr="003F3120">
        <w:rPr>
          <w:rStyle w:val="FootnoteReference"/>
          <w:bCs/>
          <w:szCs w:val="20"/>
          <w:vertAlign w:val="baseline"/>
          <w:lang w:val="fr-FR"/>
        </w:rPr>
        <w:t>changements climatiques</w:t>
      </w:r>
      <w:r w:rsidR="004C0022" w:rsidRPr="003F3120">
        <w:rPr>
          <w:rStyle w:val="DeltaViewInsertion"/>
          <w:color w:val="auto"/>
          <w:u w:val="none"/>
          <w:lang w:val="fr-FR"/>
        </w:rPr>
        <w:t xml:space="preserve"> à sa vingt-sixième session, par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4C0022" w:rsidRPr="003F3120">
        <w:rPr>
          <w:rStyle w:val="DeltaViewInsertion"/>
          <w:color w:val="auto"/>
          <w:u w:val="none"/>
          <w:lang w:val="fr-FR"/>
        </w:rPr>
        <w:t>biais du document technique devant être produit</w:t>
      </w:r>
      <w:bookmarkEnd w:id="69"/>
      <w:r w:rsidR="004C0022" w:rsidRPr="003F3120">
        <w:rPr>
          <w:rStyle w:val="DeltaViewInsertion"/>
          <w:color w:val="auto"/>
          <w:u w:val="none"/>
          <w:lang w:val="fr-FR"/>
        </w:rPr>
        <w:t>,</w:t>
      </w:r>
      <w:r w:rsidR="004C0022" w:rsidRPr="00993AE7">
        <w:rPr>
          <w:rStyle w:val="DeltaViewInsertion"/>
          <w:color w:val="auto"/>
          <w:u w:val="none"/>
          <w:lang w:val="fr-FR"/>
        </w:rPr>
        <w:t xml:space="preserve"> </w:t>
      </w:r>
      <w:r w:rsidR="004C0022" w:rsidRPr="003F3120">
        <w:rPr>
          <w:lang w:val="fr-FR"/>
        </w:rPr>
        <w:t>conformément au processus de validation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documents techniques, qui figure dans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procédures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établissement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produits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</w:t>
      </w:r>
      <w:r w:rsidR="004C0022" w:rsidRPr="003F3120">
        <w:rPr>
          <w:rStyle w:val="FootnoteReference"/>
          <w:rFonts w:eastAsia="Calibri"/>
          <w:szCs w:val="20"/>
          <w:lang w:val="fr-FR"/>
        </w:rPr>
        <w:footnoteReference w:id="9"/>
      </w:r>
      <w:r w:rsidR="004C0022" w:rsidRPr="003F3120">
        <w:rPr>
          <w:lang w:val="fr-FR"/>
        </w:rPr>
        <w:t>, et sur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base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note de cadrage du document technique</w:t>
      </w:r>
      <w:r w:rsidR="004C0022" w:rsidRPr="003F3120">
        <w:rPr>
          <w:rStyle w:val="FootnoteReference"/>
          <w:rFonts w:eastAsia="Calibri"/>
          <w:szCs w:val="20"/>
          <w:lang w:val="fr-FR"/>
        </w:rPr>
        <w:footnoteReference w:id="10"/>
      </w:r>
      <w:r w:rsidR="00FD5D6A">
        <w:rPr>
          <w:lang w:val="fr-FR"/>
        </w:rPr>
        <w:t> ;</w:t>
      </w:r>
    </w:p>
    <w:p w14:paraId="6BF2D84A" w14:textId="51EBFB0C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7.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la </w:t>
      </w:r>
      <w:r w:rsidR="004C0022" w:rsidRPr="003F3120">
        <w:rPr>
          <w:lang w:val="fr-FR"/>
        </w:rPr>
        <w:t>Secrétaire exécutive, à cette fin,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étudier, en collaboration avec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secrétariat du</w:t>
      </w:r>
      <w:r w:rsidR="00520B69">
        <w:rPr>
          <w:lang w:val="fr-FR"/>
        </w:rPr>
        <w:t> </w:t>
      </w:r>
      <w:r w:rsidR="004C0022"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intergouvernemental sur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évolution du climat,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activités conjointes pouvant être mises en œuvre dans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domaines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changements climatiques,</w:t>
      </w:r>
      <w:r w:rsidR="007031E0">
        <w:rPr>
          <w:lang w:val="fr-FR"/>
        </w:rPr>
        <w:t xml:space="preserve"> y </w:t>
      </w:r>
      <w:r w:rsidR="004C0022" w:rsidRPr="003F3120">
        <w:rPr>
          <w:lang w:val="fr-FR"/>
        </w:rPr>
        <w:t>compris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possibilité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élaborer conjointement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document technique mentionné ci</w:t>
      </w:r>
      <w:r w:rsidR="004C0022" w:rsidRPr="003F3120">
        <w:rPr>
          <w:lang w:val="fr-FR"/>
        </w:rPr>
        <w:noBreakHyphen/>
        <w:t>dessus, et de lui faire rapport, à sa huitième session,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débats concernant</w:t>
      </w:r>
      <w:r w:rsidR="007031E0">
        <w:rPr>
          <w:lang w:val="fr-FR"/>
        </w:rPr>
        <w:t xml:space="preserve"> les </w:t>
      </w:r>
      <w:r w:rsidR="003D36E8" w:rsidRPr="003F3120">
        <w:rPr>
          <w:lang w:val="fr-FR"/>
        </w:rPr>
        <w:t>autres</w:t>
      </w:r>
      <w:r w:rsidR="004C0022" w:rsidRPr="003F3120">
        <w:rPr>
          <w:lang w:val="fr-FR"/>
        </w:rPr>
        <w:t xml:space="preserve"> activités conjointes potentielles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produits liés à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biodiversité et aux services écosystémiques ainsi qu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aux changements climatiques, en précisant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incidences en termes de temps et de ressources, et prie également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Secrétaire exécutive de transmettre rapidement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présente décision au secrétariat du Groupe</w:t>
      </w:r>
      <w:r w:rsidR="00FD5D6A">
        <w:rPr>
          <w:lang w:val="fr-FR"/>
        </w:rPr>
        <w:t> ;</w:t>
      </w:r>
    </w:p>
    <w:p w14:paraId="5E607383" w14:textId="65EE1326" w:rsidR="004C0022" w:rsidRPr="003F3120" w:rsidRDefault="002D74CD" w:rsidP="004C0022">
      <w:pPr>
        <w:pStyle w:val="NormalNonumber"/>
        <w:rPr>
          <w:lang w:val="fr-FR"/>
        </w:rPr>
      </w:pPr>
      <w:bookmarkStart w:id="70" w:name="_DV_C175"/>
      <w:r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color w:val="auto"/>
          <w:u w:val="none"/>
          <w:lang w:val="fr-FR"/>
        </w:rPr>
        <w:t>8.</w:t>
      </w:r>
      <w:r w:rsidR="004C0022"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i/>
          <w:color w:val="auto"/>
          <w:u w:val="none"/>
          <w:lang w:val="fr-FR"/>
        </w:rPr>
        <w:t xml:space="preserve">Décide </w:t>
      </w:r>
      <w:r w:rsidR="004C0022" w:rsidRPr="003F3120">
        <w:rPr>
          <w:rStyle w:val="DeltaViewInsertion"/>
          <w:color w:val="auto"/>
          <w:u w:val="none"/>
          <w:lang w:val="fr-FR"/>
        </w:rPr>
        <w:t>de réexaminer, à sa neuvième session,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color w:val="auto"/>
          <w:u w:val="none"/>
          <w:lang w:val="fr-FR"/>
        </w:rPr>
        <w:t>demandes, contributions et suggestions reçues suffisamment à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avance pour être examinées à ladite session,</w:t>
      </w:r>
      <w:r w:rsidR="007031E0">
        <w:rPr>
          <w:rStyle w:val="DeltaViewInsertion"/>
          <w:color w:val="auto"/>
          <w:u w:val="none"/>
          <w:lang w:val="fr-FR"/>
        </w:rPr>
        <w:t xml:space="preserve"> y </w:t>
      </w:r>
      <w:r w:rsidR="004C0022" w:rsidRPr="003F3120">
        <w:rPr>
          <w:rStyle w:val="DeltaViewInsertion"/>
          <w:color w:val="auto"/>
          <w:u w:val="none"/>
          <w:lang w:val="fr-FR"/>
        </w:rPr>
        <w:t>compris aux fins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une deuxième évaluation mondiale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biodiversité et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services écosystémiques et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une évaluation sur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connectivité écologique, et prie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Secrétaire exécutive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inscrire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question à 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ordre du jour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neuvième session</w:t>
      </w:r>
      <w:r w:rsidR="00FD5D6A">
        <w:rPr>
          <w:rStyle w:val="DeltaViewInsertion"/>
          <w:color w:val="auto"/>
          <w:u w:val="none"/>
          <w:lang w:val="fr-FR"/>
        </w:rPr>
        <w:t> ;</w:t>
      </w:r>
      <w:bookmarkEnd w:id="70"/>
    </w:p>
    <w:p w14:paraId="353C4055" w14:textId="18521A5E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9.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la </w:t>
      </w:r>
      <w:r w:rsidR="004C0022" w:rsidRPr="003F3120">
        <w:rPr>
          <w:lang w:val="fr-FR"/>
        </w:rPr>
        <w:t>Secrétaire exécutive de mettre régulièrement à jour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guide sur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réalisation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évaluations</w:t>
      </w:r>
      <w:r w:rsidR="004C0022" w:rsidRPr="003F3120">
        <w:rPr>
          <w:rStyle w:val="FootnoteReference"/>
          <w:rFonts w:eastAsia="Calibri"/>
          <w:szCs w:val="20"/>
          <w:lang w:val="fr-FR"/>
        </w:rPr>
        <w:footnoteReference w:id="11"/>
      </w:r>
      <w:r w:rsidR="004C0022" w:rsidRPr="003F3120">
        <w:rPr>
          <w:lang w:val="fr-FR"/>
        </w:rPr>
        <w:t xml:space="preserve"> à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lumière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travaux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équipes spéciales et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groupes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 et de tout autre document pertinent</w:t>
      </w:r>
      <w:r w:rsidR="00FD5D6A">
        <w:rPr>
          <w:lang w:val="fr-FR"/>
        </w:rPr>
        <w:t> ;</w:t>
      </w:r>
    </w:p>
    <w:p w14:paraId="637CCB41" w14:textId="7DE244DB" w:rsidR="004C0022" w:rsidRPr="003F3120" w:rsidRDefault="002D74CD" w:rsidP="004C0022">
      <w:pPr>
        <w:pStyle w:val="NormalNonumber"/>
        <w:rPr>
          <w:rStyle w:val="DeltaViewInsertion"/>
          <w:color w:val="auto"/>
          <w:u w:val="none"/>
          <w:lang w:val="fr-FR"/>
        </w:rPr>
      </w:pPr>
      <w:bookmarkStart w:id="71" w:name="_DV_C184"/>
      <w:r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color w:val="auto"/>
          <w:u w:val="none"/>
          <w:lang w:val="fr-FR"/>
        </w:rPr>
        <w:t>10.</w:t>
      </w:r>
      <w:r w:rsidR="004C0022"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i/>
          <w:color w:val="auto"/>
          <w:u w:val="none"/>
          <w:lang w:val="fr-FR"/>
        </w:rPr>
        <w:t>Prie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4C0022" w:rsidRPr="003F3120">
        <w:rPr>
          <w:rStyle w:val="DeltaViewInsertion"/>
          <w:color w:val="auto"/>
          <w:u w:val="none"/>
          <w:lang w:val="fr-FR"/>
        </w:rPr>
        <w:t>Groupe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experts multidisciplinaire et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4C0022" w:rsidRPr="003F3120">
        <w:rPr>
          <w:rStyle w:val="DeltaViewInsertion"/>
          <w:color w:val="auto"/>
          <w:u w:val="none"/>
          <w:lang w:val="fr-FR"/>
        </w:rPr>
        <w:t>Bureau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examiner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4C0022" w:rsidRPr="003F3120">
        <w:rPr>
          <w:rStyle w:val="DeltaViewInsertion"/>
          <w:color w:val="auto"/>
          <w:u w:val="none"/>
          <w:lang w:val="fr-FR"/>
        </w:rPr>
        <w:t>cadre conceptuel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Plateforme conformément à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FC442C">
        <w:rPr>
          <w:rStyle w:val="DeltaViewInsertion"/>
          <w:color w:val="auto"/>
          <w:u w:val="none"/>
          <w:lang w:val="fr-FR"/>
        </w:rPr>
        <w:t>objectif 6 </w:t>
      </w:r>
      <w:r w:rsidR="004C0022" w:rsidRPr="003F3120">
        <w:rPr>
          <w:rStyle w:val="DeltaViewInsertion"/>
          <w:color w:val="auto"/>
          <w:u w:val="none"/>
          <w:lang w:val="fr-FR"/>
        </w:rPr>
        <w:t>b) du programme de travail</w:t>
      </w:r>
      <w:r w:rsidR="00FD5D6A">
        <w:rPr>
          <w:rStyle w:val="DeltaViewInsertion"/>
          <w:color w:val="auto"/>
          <w:u w:val="none"/>
          <w:lang w:val="fr-FR"/>
        </w:rPr>
        <w:t> ;</w:t>
      </w:r>
      <w:bookmarkEnd w:id="71"/>
    </w:p>
    <w:p w14:paraId="458E564D" w14:textId="3181FA8A" w:rsidR="004C0022" w:rsidRPr="003F3120" w:rsidRDefault="002D74CD" w:rsidP="004C0022">
      <w:pPr>
        <w:pStyle w:val="NormalNonumber"/>
        <w:rPr>
          <w:lang w:val="fr-FR"/>
        </w:rPr>
      </w:pPr>
      <w:bookmarkStart w:id="72" w:name="_DV_C185"/>
      <w:r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color w:val="auto"/>
          <w:u w:val="none"/>
          <w:lang w:val="fr-FR"/>
        </w:rPr>
        <w:t xml:space="preserve">11. </w:t>
      </w:r>
      <w:r w:rsidR="004C0022"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i/>
          <w:color w:val="auto"/>
          <w:u w:val="none"/>
          <w:lang w:val="fr-FR"/>
        </w:rPr>
        <w:t>Prie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Secrétaire exécutive de faciliter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transmission aux personnes qui effectueront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color w:val="auto"/>
          <w:u w:val="none"/>
          <w:lang w:val="fr-FR"/>
        </w:rPr>
        <w:t>futures évaluations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enseignements tirés et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conseils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auteurs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évaluations passées et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autres personnes ayant contribué à ces dernières</w:t>
      </w:r>
      <w:r w:rsidR="00FD5D6A">
        <w:rPr>
          <w:rStyle w:val="DeltaViewInsertion"/>
          <w:color w:val="auto"/>
          <w:u w:val="none"/>
          <w:lang w:val="fr-FR"/>
        </w:rPr>
        <w:t> ;</w:t>
      </w:r>
      <w:bookmarkEnd w:id="72"/>
    </w:p>
    <w:p w14:paraId="0091B213" w14:textId="6D0C1327" w:rsidR="004C0022" w:rsidRPr="003F3120" w:rsidRDefault="002D74CD" w:rsidP="004C0022">
      <w:pPr>
        <w:pStyle w:val="NormalNonumber"/>
        <w:rPr>
          <w:i/>
          <w:lang w:val="fr-FR"/>
        </w:rPr>
      </w:pPr>
      <w:bookmarkStart w:id="73" w:name="_DV_C186"/>
      <w:r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color w:val="auto"/>
          <w:u w:val="none"/>
          <w:lang w:val="fr-FR"/>
        </w:rPr>
        <w:t>12.</w:t>
      </w:r>
      <w:r w:rsidR="004C0022" w:rsidRPr="003F3120">
        <w:rPr>
          <w:rStyle w:val="DeltaViewInsertion"/>
          <w:i/>
          <w:color w:val="auto"/>
          <w:u w:val="none"/>
          <w:lang w:val="fr-FR"/>
        </w:rPr>
        <w:tab/>
        <w:t xml:space="preserve">Estime </w:t>
      </w:r>
      <w:r w:rsidR="004C0022" w:rsidRPr="003F3120">
        <w:rPr>
          <w:rStyle w:val="DeltaViewInsertion"/>
          <w:color w:val="auto"/>
          <w:u w:val="none"/>
          <w:lang w:val="fr-FR"/>
        </w:rPr>
        <w:t>qu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il faut gérer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Plateforme avec souplesse en fonction de ses besoins et priorités et décide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examiner tout ajustement au calendrier et à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4C0022" w:rsidRPr="003F3120">
        <w:rPr>
          <w:rStyle w:val="DeltaViewInsertion"/>
          <w:color w:val="auto"/>
          <w:u w:val="none"/>
          <w:lang w:val="fr-FR"/>
        </w:rPr>
        <w:t>liste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évaluations, si nécessaire</w:t>
      </w:r>
      <w:r w:rsidR="00FD5D6A">
        <w:rPr>
          <w:rStyle w:val="DeltaViewInsertion"/>
          <w:color w:val="auto"/>
          <w:u w:val="none"/>
          <w:lang w:val="fr-FR"/>
        </w:rPr>
        <w:t> ;</w:t>
      </w:r>
      <w:bookmarkEnd w:id="73"/>
    </w:p>
    <w:p w14:paraId="70693E2B" w14:textId="77777777" w:rsidR="004C0022" w:rsidRPr="003F3120" w:rsidRDefault="004C0022" w:rsidP="004C0022">
      <w:pPr>
        <w:pStyle w:val="Normal-pool"/>
        <w:keepNext/>
        <w:keepLines/>
        <w:spacing w:before="24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lastRenderedPageBreak/>
        <w:t>III</w:t>
      </w:r>
    </w:p>
    <w:p w14:paraId="1082EB77" w14:textId="22FB4381" w:rsidR="004C0022" w:rsidRPr="003F3120" w:rsidRDefault="004C0022" w:rsidP="004C0022">
      <w:pPr>
        <w:pStyle w:val="Normal-pool"/>
        <w:keepNext/>
        <w:keepLines/>
        <w:spacing w:before="12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t>Renforcement</w:t>
      </w:r>
      <w:r w:rsidR="007031E0">
        <w:rPr>
          <w:b/>
          <w:bCs/>
          <w:lang w:val="fr-FR"/>
        </w:rPr>
        <w:t xml:space="preserve"> des </w:t>
      </w:r>
      <w:r w:rsidRPr="003F3120">
        <w:rPr>
          <w:b/>
          <w:bCs/>
          <w:lang w:val="fr-FR"/>
        </w:rPr>
        <w:t>capacités</w:t>
      </w:r>
    </w:p>
    <w:p w14:paraId="098FEC35" w14:textId="0C435072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1.</w:t>
      </w:r>
      <w:r w:rsidR="004C0022" w:rsidRPr="003F3120">
        <w:rPr>
          <w:lang w:val="fr-FR"/>
        </w:rPr>
        <w:tab/>
      </w:r>
      <w:r w:rsidR="004C0022" w:rsidRPr="003F3120">
        <w:rPr>
          <w:i/>
          <w:lang w:val="fr-FR"/>
        </w:rPr>
        <w:t>Rappelle</w:t>
      </w:r>
      <w:r w:rsidR="004C0022" w:rsidRPr="003F3120">
        <w:rPr>
          <w:lang w:val="fr-FR"/>
        </w:rPr>
        <w:t xml:space="preserve"> qu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une équipe spéciale sur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renforcement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capacités a été créée comme suite à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section I du paragraphe 1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décision IPBES-2/5, proroge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mandat de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pour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ré</w:t>
      </w:r>
      <w:r w:rsidR="00FC442C">
        <w:rPr>
          <w:lang w:val="fr-FR"/>
        </w:rPr>
        <w:t>alisation</w:t>
      </w:r>
      <w:r w:rsidR="007031E0">
        <w:rPr>
          <w:lang w:val="fr-FR"/>
        </w:rPr>
        <w:t xml:space="preserve"> des </w:t>
      </w:r>
      <w:r w:rsidR="00FC442C">
        <w:rPr>
          <w:lang w:val="fr-FR"/>
        </w:rPr>
        <w:t>objectifs 2 a), 2 b) et 2 </w:t>
      </w:r>
      <w:r w:rsidR="004C0022" w:rsidRPr="003F3120">
        <w:rPr>
          <w:lang w:val="fr-FR"/>
        </w:rPr>
        <w:t xml:space="preserve">c) du </w:t>
      </w:r>
      <w:r w:rsidR="005165E3" w:rsidRPr="003F3120">
        <w:rPr>
          <w:lang w:val="fr-FR"/>
        </w:rPr>
        <w:t>programme de travail glissant de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Plateforme pour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5165E3" w:rsidRPr="003F3120">
        <w:rPr>
          <w:lang w:val="fr-FR"/>
        </w:rPr>
        <w:t>en 2030</w:t>
      </w:r>
      <w:r w:rsidR="004C0022" w:rsidRPr="003F3120">
        <w:rPr>
          <w:lang w:val="fr-FR"/>
        </w:rPr>
        <w:t>, conformément au mandat révisé énoncé</w:t>
      </w:r>
      <w:r w:rsidR="003D36E8" w:rsidRPr="003F3120">
        <w:rPr>
          <w:lang w:val="fr-FR"/>
        </w:rPr>
        <w:t xml:space="preserve"> aux sections I et II de</w:t>
      </w:r>
      <w:r w:rsidR="004C0022"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="00FC442C">
        <w:rPr>
          <w:lang w:val="fr-FR"/>
        </w:rPr>
        <w:t>annexe </w:t>
      </w:r>
      <w:r w:rsidR="004C0022" w:rsidRPr="003F3120">
        <w:rPr>
          <w:lang w:val="fr-FR"/>
        </w:rPr>
        <w:t>II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présente décision, et prie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multidisciplinaire, par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intermédiaire du secrétariat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Plateforme, de constituer cette équipe spéciale conformément au mandat</w:t>
      </w:r>
      <w:r w:rsidR="00FD5D6A">
        <w:rPr>
          <w:lang w:val="fr-FR"/>
        </w:rPr>
        <w:t> ;</w:t>
      </w:r>
    </w:p>
    <w:p w14:paraId="716554AA" w14:textId="67AE66A2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2.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Décide </w:t>
      </w:r>
      <w:r w:rsidR="004C0022" w:rsidRPr="003F3120">
        <w:rPr>
          <w:lang w:val="fr-FR"/>
        </w:rPr>
        <w:t>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examiner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mandat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attributions de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à sa dixième session</w:t>
      </w:r>
      <w:r w:rsidR="00FD5D6A">
        <w:rPr>
          <w:lang w:val="fr-FR"/>
        </w:rPr>
        <w:t> ;</w:t>
      </w:r>
    </w:p>
    <w:p w14:paraId="576DEC6D" w14:textId="3F355BBD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3.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Prend note</w:t>
      </w:r>
      <w:r w:rsidR="007031E0">
        <w:rPr>
          <w:i/>
          <w:iCs/>
          <w:lang w:val="fr-FR"/>
        </w:rPr>
        <w:t xml:space="preserve"> des </w:t>
      </w:r>
      <w:r w:rsidR="004C0022" w:rsidRPr="003F3120">
        <w:rPr>
          <w:lang w:val="fr-FR"/>
        </w:rPr>
        <w:t>activités que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doit entreprendre en 2019 et 2020</w:t>
      </w:r>
      <w:r w:rsidR="004C0022" w:rsidRPr="003F3120">
        <w:rPr>
          <w:rStyle w:val="FootnoteReference"/>
          <w:szCs w:val="20"/>
          <w:lang w:val="fr-FR"/>
        </w:rPr>
        <w:footnoteReference w:id="12"/>
      </w:r>
      <w:r w:rsidR="00FD5D6A">
        <w:rPr>
          <w:lang w:val="fr-FR"/>
        </w:rPr>
        <w:t> ;</w:t>
      </w:r>
    </w:p>
    <w:p w14:paraId="2F13F661" w14:textId="5485992D" w:rsidR="004C0022" w:rsidRPr="003F3120" w:rsidRDefault="002D74CD" w:rsidP="004C0022">
      <w:pPr>
        <w:pStyle w:val="NormalNonumber"/>
        <w:rPr>
          <w:lang w:val="fr-FR"/>
        </w:rPr>
      </w:pPr>
      <w:bookmarkStart w:id="74" w:name="_DV_C207"/>
      <w:r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color w:val="auto"/>
          <w:u w:val="none"/>
          <w:lang w:val="fr-FR"/>
        </w:rPr>
        <w:t xml:space="preserve">4. </w:t>
      </w:r>
      <w:r w:rsidR="004C0022" w:rsidRPr="003F3120">
        <w:rPr>
          <w:rStyle w:val="DeltaViewInsertion"/>
          <w:color w:val="auto"/>
          <w:u w:val="none"/>
          <w:lang w:val="fr-FR"/>
        </w:rPr>
        <w:tab/>
      </w:r>
      <w:r w:rsidR="004C0022" w:rsidRPr="003F3120">
        <w:rPr>
          <w:rStyle w:val="DeltaViewInsertion"/>
          <w:i/>
          <w:color w:val="auto"/>
          <w:u w:val="none"/>
          <w:lang w:val="fr-FR"/>
        </w:rPr>
        <w:t>Prie</w:t>
      </w:r>
      <w:r w:rsidR="004C0022" w:rsidRPr="003F3120">
        <w:rPr>
          <w:rStyle w:val="DeltaViewInsertion"/>
          <w:color w:val="auto"/>
          <w:u w:val="none"/>
          <w:lang w:val="fr-FR"/>
        </w:rPr>
        <w:t xml:space="preserve">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équipe spéciale de définir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produits spécifiques pour chacun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color w:val="auto"/>
          <w:u w:val="none"/>
          <w:lang w:val="fr-FR"/>
        </w:rPr>
        <w:t>sujets prio</w:t>
      </w:r>
      <w:r w:rsidR="00FC442C">
        <w:rPr>
          <w:rStyle w:val="DeltaViewInsertion"/>
          <w:color w:val="auto"/>
          <w:u w:val="none"/>
          <w:lang w:val="fr-FR"/>
        </w:rPr>
        <w:t>ritaires énumérés au paragraphe </w:t>
      </w:r>
      <w:r w:rsidR="00F14BB2" w:rsidRPr="003F3120">
        <w:rPr>
          <w:rStyle w:val="DeltaViewInsertion"/>
          <w:color w:val="auto"/>
          <w:u w:val="none"/>
          <w:lang w:val="fr-FR"/>
        </w:rPr>
        <w:t>8</w:t>
      </w:r>
      <w:r w:rsidR="004C0022" w:rsidRPr="003F3120">
        <w:rPr>
          <w:rStyle w:val="DeltaViewInsertion"/>
          <w:color w:val="auto"/>
          <w:u w:val="none"/>
          <w:lang w:val="fr-FR"/>
        </w:rPr>
        <w:t xml:space="preserve"> du programme de travail glissant </w:t>
      </w:r>
      <w:r w:rsidR="003D36E8" w:rsidRPr="003F3120">
        <w:rPr>
          <w:rStyle w:val="DeltaViewInsertion"/>
          <w:color w:val="auto"/>
          <w:u w:val="none"/>
          <w:lang w:val="fr-FR"/>
        </w:rPr>
        <w:t>pour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3D36E8" w:rsidRPr="003F3120">
        <w:rPr>
          <w:rStyle w:val="DeltaViewInsertion"/>
          <w:color w:val="auto"/>
          <w:u w:val="none"/>
          <w:lang w:val="fr-FR"/>
        </w:rPr>
        <w:t xml:space="preserve">période allant </w:t>
      </w:r>
      <w:r w:rsidR="004C0022" w:rsidRPr="003F3120">
        <w:rPr>
          <w:rStyle w:val="DeltaViewInsertion"/>
          <w:color w:val="auto"/>
          <w:u w:val="none"/>
          <w:lang w:val="fr-FR"/>
        </w:rPr>
        <w:t>jusqu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color w:val="auto"/>
          <w:u w:val="none"/>
          <w:lang w:val="fr-FR"/>
        </w:rPr>
        <w:t>en</w:t>
      </w:r>
      <w:r w:rsidR="007E0D14">
        <w:rPr>
          <w:rStyle w:val="DeltaViewInsertion"/>
          <w:color w:val="auto"/>
          <w:u w:val="none"/>
          <w:lang w:val="fr-FR"/>
        </w:rPr>
        <w:t> </w:t>
      </w:r>
      <w:r w:rsidR="004C0022" w:rsidRPr="003F3120">
        <w:rPr>
          <w:rStyle w:val="DeltaViewInsertion"/>
          <w:color w:val="auto"/>
          <w:u w:val="none"/>
          <w:lang w:val="fr-FR"/>
        </w:rPr>
        <w:t xml:space="preserve">2030, </w:t>
      </w:r>
      <w:r w:rsidR="009207E4" w:rsidRPr="003F3120">
        <w:rPr>
          <w:rStyle w:val="DeltaViewInsertion"/>
          <w:color w:val="auto"/>
          <w:u w:val="none"/>
          <w:lang w:val="fr-FR"/>
        </w:rPr>
        <w:t>qui figure à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9207E4" w:rsidRPr="003F3120">
        <w:rPr>
          <w:rStyle w:val="DeltaViewInsertion"/>
          <w:color w:val="auto"/>
          <w:u w:val="none"/>
          <w:lang w:val="fr-FR"/>
        </w:rPr>
        <w:t>annexe I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9207E4" w:rsidRPr="003F3120">
        <w:rPr>
          <w:rStyle w:val="DeltaViewInsertion"/>
          <w:color w:val="auto"/>
          <w:u w:val="none"/>
          <w:lang w:val="fr-FR"/>
        </w:rPr>
        <w:t xml:space="preserve">présente décision, </w:t>
      </w:r>
      <w:r w:rsidR="004C0022" w:rsidRPr="003F3120">
        <w:rPr>
          <w:rStyle w:val="DeltaViewInsertion"/>
          <w:color w:val="auto"/>
          <w:u w:val="none"/>
          <w:lang w:val="fr-FR"/>
        </w:rPr>
        <w:t>pour examen à sa huitième session</w:t>
      </w:r>
      <w:r w:rsidR="00FD5D6A">
        <w:rPr>
          <w:rStyle w:val="DeltaViewInsertion"/>
          <w:color w:val="auto"/>
          <w:u w:val="none"/>
          <w:lang w:val="fr-FR"/>
        </w:rPr>
        <w:t> ;</w:t>
      </w:r>
      <w:bookmarkEnd w:id="74"/>
    </w:p>
    <w:p w14:paraId="2BDFA67B" w14:textId="77777777" w:rsidR="004C0022" w:rsidRPr="003F3120" w:rsidRDefault="004C0022" w:rsidP="004C0022">
      <w:pPr>
        <w:pStyle w:val="Normal-pool"/>
        <w:keepNext/>
        <w:keepLines/>
        <w:spacing w:before="240" w:after="120"/>
        <w:ind w:left="1247"/>
        <w:jc w:val="center"/>
        <w:rPr>
          <w:b/>
          <w:lang w:val="fr-FR"/>
        </w:rPr>
      </w:pPr>
      <w:r w:rsidRPr="003F3120">
        <w:rPr>
          <w:b/>
          <w:lang w:val="fr-FR"/>
        </w:rPr>
        <w:t>IV</w:t>
      </w:r>
    </w:p>
    <w:p w14:paraId="3E027BD9" w14:textId="638951B5" w:rsidR="004C0022" w:rsidRPr="003F3120" w:rsidRDefault="004C0022" w:rsidP="004C0022">
      <w:pPr>
        <w:pStyle w:val="Normal-pool"/>
        <w:keepNext/>
        <w:keepLines/>
        <w:spacing w:before="12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t>Renforcement de</w:t>
      </w:r>
      <w:r w:rsidR="007031E0">
        <w:rPr>
          <w:b/>
          <w:bCs/>
          <w:lang w:val="fr-FR"/>
        </w:rPr>
        <w:t xml:space="preserve"> la </w:t>
      </w:r>
      <w:r w:rsidRPr="003F3120">
        <w:rPr>
          <w:b/>
          <w:bCs/>
          <w:lang w:val="fr-FR"/>
        </w:rPr>
        <w:t>base de connaissances</w:t>
      </w:r>
    </w:p>
    <w:p w14:paraId="00561265" w14:textId="0806EA6E" w:rsidR="004C0022" w:rsidRPr="003F3120" w:rsidRDefault="002D74CD" w:rsidP="004C0022">
      <w:pPr>
        <w:pStyle w:val="NormalNonumber"/>
        <w:rPr>
          <w:lang w:val="fr-FR"/>
        </w:rPr>
      </w:pPr>
      <w:bookmarkStart w:id="75" w:name="_Hlk500240677"/>
      <w:r w:rsidRPr="003F3120">
        <w:rPr>
          <w:lang w:val="fr-FR"/>
        </w:rPr>
        <w:tab/>
      </w:r>
      <w:r w:rsidR="004C0022" w:rsidRPr="003F3120">
        <w:rPr>
          <w:lang w:val="fr-FR"/>
        </w:rPr>
        <w:t>1.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Rappelle </w:t>
      </w:r>
      <w:r w:rsidR="004C0022" w:rsidRPr="003F3120">
        <w:rPr>
          <w:iCs/>
          <w:lang w:val="fr-FR"/>
        </w:rPr>
        <w:t>qu</w:t>
      </w:r>
      <w:r w:rsidR="00FA5ADB">
        <w:rPr>
          <w:iCs/>
          <w:lang w:val="fr-FR"/>
        </w:rPr>
        <w:t>’</w:t>
      </w:r>
      <w:r w:rsidR="004C0022" w:rsidRPr="003F3120">
        <w:rPr>
          <w:lang w:val="fr-FR"/>
        </w:rPr>
        <w:t>une équipe spéciale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connaissances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données a été créée comme suite à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section II du paragraphe 2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décision IPBES-2/5, proroge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mandat de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pour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réalisation de l</w:t>
      </w:r>
      <w:r w:rsidR="00FA5ADB">
        <w:rPr>
          <w:lang w:val="fr-FR"/>
        </w:rPr>
        <w:t>’</w:t>
      </w:r>
      <w:r w:rsidR="00FC442C">
        <w:rPr>
          <w:lang w:val="fr-FR"/>
        </w:rPr>
        <w:t>objectif 3 </w:t>
      </w:r>
      <w:r w:rsidR="004C0022" w:rsidRPr="003F3120">
        <w:rPr>
          <w:lang w:val="fr-FR"/>
        </w:rPr>
        <w:t xml:space="preserve">a) du </w:t>
      </w:r>
      <w:r w:rsidR="005165E3" w:rsidRPr="003F3120">
        <w:rPr>
          <w:lang w:val="fr-FR"/>
        </w:rPr>
        <w:t>programme de travail glissant de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Plateforme pour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5165E3" w:rsidRPr="003F3120">
        <w:rPr>
          <w:lang w:val="fr-FR"/>
        </w:rPr>
        <w:t>en 2030</w:t>
      </w:r>
      <w:r w:rsidR="004C0022" w:rsidRPr="003F3120">
        <w:rPr>
          <w:lang w:val="fr-FR"/>
        </w:rPr>
        <w:t xml:space="preserve">, conformément au mandat révisé énoncé </w:t>
      </w:r>
      <w:r w:rsidR="00FC442C">
        <w:rPr>
          <w:lang w:val="fr-FR"/>
        </w:rPr>
        <w:t>aux sections I et </w:t>
      </w:r>
      <w:r w:rsidR="009207E4" w:rsidRPr="003F3120">
        <w:rPr>
          <w:lang w:val="fr-FR"/>
        </w:rPr>
        <w:t>III de l</w:t>
      </w:r>
      <w:r w:rsidR="00FA5ADB">
        <w:rPr>
          <w:lang w:val="fr-FR"/>
        </w:rPr>
        <w:t>’</w:t>
      </w:r>
      <w:r w:rsidR="009207E4" w:rsidRPr="003F3120">
        <w:rPr>
          <w:lang w:val="fr-FR"/>
        </w:rPr>
        <w:t xml:space="preserve">annexe II </w:t>
      </w:r>
      <w:r w:rsidR="004C0022"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présente décision, et prie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multidisciplinaire, par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intermédiaire du</w:t>
      </w:r>
      <w:r w:rsidR="007E0D14">
        <w:rPr>
          <w:lang w:val="fr-FR"/>
        </w:rPr>
        <w:t> </w:t>
      </w:r>
      <w:r w:rsidR="004C0022" w:rsidRPr="003F3120">
        <w:rPr>
          <w:lang w:val="fr-FR"/>
        </w:rPr>
        <w:t>secrétariat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Plateforme, de constituer cette équipe spéciale conformément au mandat</w:t>
      </w:r>
      <w:r w:rsidR="00FD5D6A">
        <w:rPr>
          <w:lang w:val="fr-FR"/>
        </w:rPr>
        <w:t> ;</w:t>
      </w:r>
    </w:p>
    <w:p w14:paraId="010C6903" w14:textId="777549B0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2.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Rappelle également </w:t>
      </w:r>
      <w:r w:rsidR="004C0022" w:rsidRPr="003F3120">
        <w:rPr>
          <w:iCs/>
          <w:lang w:val="fr-FR"/>
        </w:rPr>
        <w:t>qu</w:t>
      </w:r>
      <w:r w:rsidR="00FA5ADB">
        <w:rPr>
          <w:iCs/>
          <w:lang w:val="fr-FR"/>
        </w:rPr>
        <w:t>’</w:t>
      </w:r>
      <w:r w:rsidR="004C0022" w:rsidRPr="003F3120">
        <w:rPr>
          <w:lang w:val="fr-FR"/>
        </w:rPr>
        <w:t>une équipe spéciale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savoirs autochtones et locaux a été créée comme suite à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section II du paragraphe 1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décision IPBES-2/5, proroge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mandat de</w:t>
      </w:r>
      <w:r w:rsidR="007E0D14">
        <w:rPr>
          <w:lang w:val="fr-FR"/>
        </w:rPr>
        <w:t> </w:t>
      </w:r>
      <w:r w:rsidR="004C0022" w:rsidRPr="003F3120">
        <w:rPr>
          <w:lang w:val="fr-FR"/>
        </w:rPr>
        <w:t>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pour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réalisation de l</w:t>
      </w:r>
      <w:r w:rsidR="00FA5ADB">
        <w:rPr>
          <w:lang w:val="fr-FR"/>
        </w:rPr>
        <w:t>’</w:t>
      </w:r>
      <w:r w:rsidR="00FC442C">
        <w:rPr>
          <w:lang w:val="fr-FR"/>
        </w:rPr>
        <w:t>objectif </w:t>
      </w:r>
      <w:r w:rsidR="004C0022" w:rsidRPr="003F3120">
        <w:rPr>
          <w:lang w:val="fr-FR"/>
        </w:rPr>
        <w:t xml:space="preserve">3 b) du </w:t>
      </w:r>
      <w:r w:rsidR="005165E3" w:rsidRPr="003F3120">
        <w:rPr>
          <w:lang w:val="fr-FR"/>
        </w:rPr>
        <w:t>programme de travail glissant de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Plateforme pour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5165E3" w:rsidRPr="003F3120">
        <w:rPr>
          <w:lang w:val="fr-FR"/>
        </w:rPr>
        <w:t>en 2030</w:t>
      </w:r>
      <w:r w:rsidR="004C0022" w:rsidRPr="003F3120">
        <w:rPr>
          <w:lang w:val="fr-FR"/>
        </w:rPr>
        <w:t xml:space="preserve">, conformément au mandat révisé énoncé </w:t>
      </w:r>
      <w:r w:rsidR="00FC442C">
        <w:rPr>
          <w:lang w:val="fr-FR"/>
        </w:rPr>
        <w:t>aux</w:t>
      </w:r>
      <w:r w:rsidR="007E0D14">
        <w:rPr>
          <w:lang w:val="fr-FR"/>
        </w:rPr>
        <w:t> </w:t>
      </w:r>
      <w:r w:rsidR="00FC442C">
        <w:rPr>
          <w:lang w:val="fr-FR"/>
        </w:rPr>
        <w:t>sections I et </w:t>
      </w:r>
      <w:r w:rsidR="009207E4" w:rsidRPr="003F3120">
        <w:rPr>
          <w:lang w:val="fr-FR"/>
        </w:rPr>
        <w:t>IV de l</w:t>
      </w:r>
      <w:r w:rsidR="00FA5ADB">
        <w:rPr>
          <w:lang w:val="fr-FR"/>
        </w:rPr>
        <w:t>’</w:t>
      </w:r>
      <w:r w:rsidR="009207E4" w:rsidRPr="003F3120">
        <w:rPr>
          <w:lang w:val="fr-FR"/>
        </w:rPr>
        <w:t xml:space="preserve">annexe II </w:t>
      </w:r>
      <w:r w:rsidR="004C0022"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présente décision, et prie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multidisciplinaire, par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intermédiaire du secrétariat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Plateforme, de constituer cette équipe spéciale conformément au mandat</w:t>
      </w:r>
      <w:r w:rsidR="00FD5D6A">
        <w:rPr>
          <w:lang w:val="fr-FR"/>
        </w:rPr>
        <w:t> ;</w:t>
      </w:r>
    </w:p>
    <w:p w14:paraId="54255408" w14:textId="272E83C3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3.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Décide </w:t>
      </w:r>
      <w:r w:rsidR="004C0022" w:rsidRPr="003F3120">
        <w:rPr>
          <w:lang w:val="fr-FR"/>
        </w:rPr>
        <w:t>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examiner à sa dixième session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mandats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attributions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équipes spéciales</w:t>
      </w:r>
      <w:r w:rsidR="00FD5D6A">
        <w:rPr>
          <w:lang w:val="fr-FR"/>
        </w:rPr>
        <w:t> ;</w:t>
      </w:r>
    </w:p>
    <w:p w14:paraId="3715AB1C" w14:textId="3AFEEAE9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4.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Prend note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activités que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connaissances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données</w:t>
      </w:r>
      <w:r w:rsidR="004C0022" w:rsidRPr="003F3120">
        <w:rPr>
          <w:rStyle w:val="FootnoteReference"/>
          <w:szCs w:val="20"/>
          <w:lang w:val="fr-FR"/>
        </w:rPr>
        <w:footnoteReference w:id="13"/>
      </w:r>
      <w:r w:rsidR="004C0022" w:rsidRPr="003F3120">
        <w:rPr>
          <w:lang w:val="fr-FR"/>
        </w:rPr>
        <w:t xml:space="preserve"> et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savoirs autochtones et locaux</w:t>
      </w:r>
      <w:r w:rsidR="004C0022" w:rsidRPr="003F3120">
        <w:rPr>
          <w:rStyle w:val="FootnoteReference"/>
          <w:szCs w:val="20"/>
          <w:lang w:val="fr-FR"/>
        </w:rPr>
        <w:footnoteReference w:id="14"/>
      </w:r>
      <w:r w:rsidR="004C0022" w:rsidRPr="003F3120">
        <w:rPr>
          <w:lang w:val="fr-FR"/>
        </w:rPr>
        <w:t xml:space="preserve"> doivent entreprendre en 2019 et 2020</w:t>
      </w:r>
      <w:r w:rsidR="00FD5D6A">
        <w:rPr>
          <w:lang w:val="fr-FR"/>
        </w:rPr>
        <w:t> ;</w:t>
      </w:r>
    </w:p>
    <w:p w14:paraId="5552150E" w14:textId="048C1A09" w:rsidR="004C0022" w:rsidRPr="003F3120" w:rsidRDefault="002D74CD" w:rsidP="004C0022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/>
        <w:rPr>
          <w:rFonts w:eastAsia="MS Mincho"/>
          <w:lang w:val="fr-FR"/>
        </w:rPr>
      </w:pPr>
      <w:bookmarkStart w:id="76" w:name="_DV_C244"/>
      <w:r w:rsidRPr="003F3120">
        <w:rPr>
          <w:rStyle w:val="DeltaViewInsertion"/>
          <w:rFonts w:eastAsia="MS Mincho"/>
          <w:color w:val="auto"/>
          <w:u w:val="none"/>
          <w:lang w:val="fr-FR"/>
        </w:rPr>
        <w:tab/>
      </w:r>
      <w:r w:rsidRPr="003F3120">
        <w:rPr>
          <w:rStyle w:val="DeltaViewInsertion"/>
          <w:rFonts w:eastAsia="MS Mincho"/>
          <w:color w:val="auto"/>
          <w:u w:val="none"/>
          <w:lang w:val="fr-FR"/>
        </w:rPr>
        <w:tab/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5.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ab/>
      </w:r>
      <w:r w:rsidR="004C0022" w:rsidRPr="003F3120">
        <w:rPr>
          <w:rStyle w:val="DeltaViewInsertion"/>
          <w:rFonts w:eastAsia="MS Mincho"/>
          <w:i/>
          <w:color w:val="auto"/>
          <w:u w:val="none"/>
          <w:lang w:val="fr-FR"/>
        </w:rPr>
        <w:t>Prie</w:t>
      </w:r>
      <w:r w:rsidR="007031E0">
        <w:rPr>
          <w:rStyle w:val="DeltaViewInsertion"/>
          <w:rFonts w:eastAsia="MS Mincho"/>
          <w:i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équipes spéciales d</w:t>
      </w:r>
      <w:r w:rsidR="00FA5ADB">
        <w:rPr>
          <w:rStyle w:val="DeltaViewInsertion"/>
          <w:rFonts w:eastAsia="MS Mincho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établir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produits spécifiques pour chacun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sujets prio</w:t>
      </w:r>
      <w:r w:rsidR="009207E4" w:rsidRPr="003F3120">
        <w:rPr>
          <w:rStyle w:val="DeltaViewInsertion"/>
          <w:rFonts w:eastAsia="MS Mincho"/>
          <w:color w:val="auto"/>
          <w:u w:val="none"/>
          <w:lang w:val="fr-FR"/>
        </w:rPr>
        <w:t>ritaires énumérés au paragraphe 8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 du programme de travail glissant 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>pour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la 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période allant 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jusqu</w:t>
      </w:r>
      <w:r w:rsidR="00FA5ADB">
        <w:rPr>
          <w:rStyle w:val="DeltaViewInsertion"/>
          <w:rFonts w:eastAsia="MS Mincho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en</w:t>
      </w:r>
      <w:r w:rsidR="007E0D14">
        <w:rPr>
          <w:rStyle w:val="DeltaViewInsertion"/>
          <w:rFonts w:eastAsia="MS Mincho"/>
          <w:color w:val="auto"/>
          <w:u w:val="none"/>
          <w:lang w:val="fr-FR"/>
        </w:rPr>
        <w:t> 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2030, </w:t>
      </w:r>
      <w:r w:rsidR="009207E4" w:rsidRPr="003F3120">
        <w:rPr>
          <w:rStyle w:val="DeltaViewInsertion"/>
          <w:color w:val="auto"/>
          <w:u w:val="none"/>
          <w:lang w:val="fr-FR"/>
        </w:rPr>
        <w:t>qui figure à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9207E4" w:rsidRPr="003F3120">
        <w:rPr>
          <w:rStyle w:val="DeltaViewInsertion"/>
          <w:color w:val="auto"/>
          <w:u w:val="none"/>
          <w:lang w:val="fr-FR"/>
        </w:rPr>
        <w:t>annexe I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9207E4" w:rsidRPr="003F3120">
        <w:rPr>
          <w:rStyle w:val="DeltaViewInsertion"/>
          <w:color w:val="auto"/>
          <w:u w:val="none"/>
          <w:lang w:val="fr-FR"/>
        </w:rPr>
        <w:t xml:space="preserve">présente décision, 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pour examen à sa huitième session</w:t>
      </w:r>
      <w:r w:rsidR="00FD5D6A">
        <w:rPr>
          <w:rStyle w:val="DeltaViewInsertion"/>
          <w:rFonts w:eastAsia="MS Mincho"/>
          <w:color w:val="auto"/>
          <w:u w:val="none"/>
          <w:lang w:val="fr-FR"/>
        </w:rPr>
        <w:t> ;</w:t>
      </w:r>
      <w:bookmarkEnd w:id="76"/>
    </w:p>
    <w:bookmarkEnd w:id="75"/>
    <w:p w14:paraId="48FEA9A7" w14:textId="77777777" w:rsidR="004C0022" w:rsidRPr="003F3120" w:rsidRDefault="004C0022" w:rsidP="004C0022">
      <w:pPr>
        <w:pStyle w:val="Normal-pool"/>
        <w:keepNext/>
        <w:keepLines/>
        <w:spacing w:before="24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t>V</w:t>
      </w:r>
    </w:p>
    <w:p w14:paraId="6CBF5743" w14:textId="6C18101A" w:rsidR="004C0022" w:rsidRPr="003F3120" w:rsidRDefault="004C0022" w:rsidP="004C0022">
      <w:pPr>
        <w:pStyle w:val="Normal-pool"/>
        <w:keepNext/>
        <w:keepLines/>
        <w:spacing w:before="12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t>Appui à l</w:t>
      </w:r>
      <w:r w:rsidR="00FA5ADB">
        <w:rPr>
          <w:b/>
          <w:bCs/>
          <w:lang w:val="fr-FR"/>
        </w:rPr>
        <w:t>’</w:t>
      </w:r>
      <w:r w:rsidRPr="003F3120">
        <w:rPr>
          <w:b/>
          <w:bCs/>
          <w:lang w:val="fr-FR"/>
        </w:rPr>
        <w:t>élaboration</w:t>
      </w:r>
      <w:r w:rsidR="007031E0">
        <w:rPr>
          <w:b/>
          <w:bCs/>
          <w:lang w:val="fr-FR"/>
        </w:rPr>
        <w:t xml:space="preserve"> des </w:t>
      </w:r>
      <w:r w:rsidRPr="003F3120">
        <w:rPr>
          <w:b/>
          <w:bCs/>
          <w:lang w:val="fr-FR"/>
        </w:rPr>
        <w:t>politiques</w:t>
      </w:r>
    </w:p>
    <w:p w14:paraId="03839F41" w14:textId="79AC6FF1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1.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Crée </w:t>
      </w:r>
      <w:r w:rsidR="004C0022" w:rsidRPr="00E12A9F">
        <w:rPr>
          <w:iCs/>
          <w:lang w:val="fr-FR"/>
        </w:rPr>
        <w:t>une</w:t>
      </w:r>
      <w:r w:rsidR="004C0022" w:rsidRPr="003F3120">
        <w:rPr>
          <w:i/>
          <w:iCs/>
          <w:lang w:val="fr-FR"/>
        </w:rPr>
        <w:t> </w:t>
      </w:r>
      <w:r w:rsidR="004C0022"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outils et méthodes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politiques pour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réalisation de l</w:t>
      </w:r>
      <w:r w:rsidR="00FA5ADB">
        <w:rPr>
          <w:lang w:val="fr-FR"/>
        </w:rPr>
        <w:t>’</w:t>
      </w:r>
      <w:r w:rsidR="00FC442C">
        <w:rPr>
          <w:lang w:val="fr-FR"/>
        </w:rPr>
        <w:t>objectif </w:t>
      </w:r>
      <w:r w:rsidR="004C0022" w:rsidRPr="003F3120">
        <w:rPr>
          <w:lang w:val="fr-FR"/>
        </w:rPr>
        <w:t xml:space="preserve">4 a) du </w:t>
      </w:r>
      <w:r w:rsidR="005165E3" w:rsidRPr="003F3120">
        <w:rPr>
          <w:lang w:val="fr-FR"/>
        </w:rPr>
        <w:t>programme de travail glissant de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Plateforme pour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5165E3" w:rsidRPr="003F3120">
        <w:rPr>
          <w:lang w:val="fr-FR"/>
        </w:rPr>
        <w:t>en 2030</w:t>
      </w:r>
      <w:r w:rsidR="004C0022" w:rsidRPr="003F3120">
        <w:rPr>
          <w:lang w:val="fr-FR"/>
        </w:rPr>
        <w:t xml:space="preserve">, conformément au mandat énoncé </w:t>
      </w:r>
      <w:r w:rsidR="00FC442C">
        <w:rPr>
          <w:lang w:val="fr-FR"/>
        </w:rPr>
        <w:t>aux sections I et </w:t>
      </w:r>
      <w:r w:rsidR="009207E4" w:rsidRPr="003F3120">
        <w:rPr>
          <w:lang w:val="fr-FR"/>
        </w:rPr>
        <w:t>IV de l</w:t>
      </w:r>
      <w:r w:rsidR="00FA5ADB">
        <w:rPr>
          <w:lang w:val="fr-FR"/>
        </w:rPr>
        <w:t>’</w:t>
      </w:r>
      <w:r w:rsidR="009207E4" w:rsidRPr="003F3120">
        <w:rPr>
          <w:lang w:val="fr-FR"/>
        </w:rPr>
        <w:t>annexe II</w:t>
      </w:r>
      <w:r w:rsidR="004C0022" w:rsidRPr="003F3120">
        <w:rPr>
          <w:lang w:val="fr-FR"/>
        </w:rPr>
        <w:t xml:space="preserve">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présente décision, et prie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multidisciplinaire, par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intermédiaire du secrétariat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Plateforme, de constituer cette équipe spéciale en fonction dudit mandat</w:t>
      </w:r>
      <w:r w:rsidR="00FD5D6A">
        <w:rPr>
          <w:lang w:val="fr-FR"/>
        </w:rPr>
        <w:t> ;</w:t>
      </w:r>
    </w:p>
    <w:p w14:paraId="6B81221B" w14:textId="0CBB33ED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2.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Crée également </w:t>
      </w:r>
      <w:r w:rsidR="004C0022" w:rsidRPr="00E12A9F">
        <w:rPr>
          <w:iCs/>
          <w:lang w:val="fr-FR"/>
        </w:rPr>
        <w:t>une</w:t>
      </w:r>
      <w:r w:rsidR="004C0022" w:rsidRPr="003F3120">
        <w:rPr>
          <w:i/>
          <w:iCs/>
          <w:lang w:val="fr-FR"/>
        </w:rPr>
        <w:t> </w:t>
      </w:r>
      <w:r w:rsidR="004C0022"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scénarios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modèles pour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réalisation de l</w:t>
      </w:r>
      <w:r w:rsidR="00FA5ADB">
        <w:rPr>
          <w:lang w:val="fr-FR"/>
        </w:rPr>
        <w:t>’</w:t>
      </w:r>
      <w:r w:rsidR="00FC442C">
        <w:rPr>
          <w:lang w:val="fr-FR"/>
        </w:rPr>
        <w:t>objectif </w:t>
      </w:r>
      <w:r w:rsidR="004C0022" w:rsidRPr="003F3120">
        <w:rPr>
          <w:lang w:val="fr-FR"/>
        </w:rPr>
        <w:t xml:space="preserve">4 b) du </w:t>
      </w:r>
      <w:r w:rsidR="005165E3" w:rsidRPr="003F3120">
        <w:rPr>
          <w:lang w:val="fr-FR"/>
        </w:rPr>
        <w:t>programme de travail glissant de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Plateforme pour</w:t>
      </w:r>
      <w:r w:rsidR="007031E0">
        <w:rPr>
          <w:lang w:val="fr-FR"/>
        </w:rPr>
        <w:t xml:space="preserve"> la </w:t>
      </w:r>
      <w:r w:rsidR="005165E3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5165E3" w:rsidRPr="003F3120">
        <w:rPr>
          <w:lang w:val="fr-FR"/>
        </w:rPr>
        <w:t>en</w:t>
      </w:r>
      <w:r w:rsidR="007E0D14">
        <w:rPr>
          <w:lang w:val="fr-FR"/>
        </w:rPr>
        <w:t> </w:t>
      </w:r>
      <w:r w:rsidR="005165E3" w:rsidRPr="003F3120">
        <w:rPr>
          <w:lang w:val="fr-FR"/>
        </w:rPr>
        <w:t>2030</w:t>
      </w:r>
      <w:r w:rsidR="004C0022" w:rsidRPr="003F3120">
        <w:rPr>
          <w:lang w:val="fr-FR"/>
        </w:rPr>
        <w:t xml:space="preserve">, conformément au mandat énoncé </w:t>
      </w:r>
      <w:r w:rsidR="00FC442C">
        <w:rPr>
          <w:lang w:val="fr-FR"/>
        </w:rPr>
        <w:t>aux sections I et </w:t>
      </w:r>
      <w:r w:rsidR="009207E4" w:rsidRPr="003F3120">
        <w:rPr>
          <w:lang w:val="fr-FR"/>
        </w:rPr>
        <w:t>V de l</w:t>
      </w:r>
      <w:r w:rsidR="00FA5ADB">
        <w:rPr>
          <w:lang w:val="fr-FR"/>
        </w:rPr>
        <w:t>’</w:t>
      </w:r>
      <w:r w:rsidR="009207E4" w:rsidRPr="003F3120">
        <w:rPr>
          <w:lang w:val="fr-FR"/>
        </w:rPr>
        <w:t xml:space="preserve">annexe II </w:t>
      </w:r>
      <w:r w:rsidR="004C0022"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 xml:space="preserve">présente </w:t>
      </w:r>
      <w:r w:rsidR="004C0022" w:rsidRPr="003F3120">
        <w:rPr>
          <w:lang w:val="fr-FR"/>
        </w:rPr>
        <w:lastRenderedPageBreak/>
        <w:t>décision, et prie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multidisciplinaire, par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intermédiaire du secrétariat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Plateforme, de constituer cette équipe spéciale en fonction dudit mandat</w:t>
      </w:r>
      <w:r w:rsidR="00FD5D6A">
        <w:rPr>
          <w:lang w:val="fr-FR"/>
        </w:rPr>
        <w:t> ;</w:t>
      </w:r>
    </w:p>
    <w:p w14:paraId="54064711" w14:textId="65BD7033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3.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 xml:space="preserve">Décide </w:t>
      </w:r>
      <w:r w:rsidR="004C0022" w:rsidRPr="003F3120">
        <w:rPr>
          <w:lang w:val="fr-FR"/>
        </w:rPr>
        <w:t>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examiner à sa dixième session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mandat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attributions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équipes spéciales</w:t>
      </w:r>
      <w:r w:rsidR="00FD5D6A">
        <w:rPr>
          <w:lang w:val="fr-FR"/>
        </w:rPr>
        <w:t> ;</w:t>
      </w:r>
    </w:p>
    <w:p w14:paraId="0FE12854" w14:textId="3258DA9F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4.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Prend note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activités que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outils et méthodes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politiques</w:t>
      </w:r>
      <w:r w:rsidR="004C0022" w:rsidRPr="003F3120">
        <w:rPr>
          <w:rStyle w:val="FootnoteReference"/>
          <w:szCs w:val="20"/>
          <w:lang w:val="fr-FR"/>
        </w:rPr>
        <w:footnoteReference w:id="15"/>
      </w:r>
      <w:r w:rsidR="004C0022" w:rsidRPr="003F3120">
        <w:rPr>
          <w:lang w:val="fr-FR"/>
        </w:rPr>
        <w:t xml:space="preserve"> et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scénarios et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modèles</w:t>
      </w:r>
      <w:r w:rsidR="004C0022" w:rsidRPr="003F3120">
        <w:rPr>
          <w:rStyle w:val="FootnoteReference"/>
          <w:szCs w:val="20"/>
          <w:lang w:val="fr-FR"/>
        </w:rPr>
        <w:footnoteReference w:id="16"/>
      </w:r>
      <w:r w:rsidR="004C0022" w:rsidRPr="003F3120">
        <w:rPr>
          <w:lang w:val="fr-FR"/>
        </w:rPr>
        <w:t xml:space="preserve"> doivent entreprendre en 2019 et</w:t>
      </w:r>
      <w:r w:rsidR="007E0D14">
        <w:rPr>
          <w:lang w:val="fr-FR"/>
        </w:rPr>
        <w:t> </w:t>
      </w:r>
      <w:r w:rsidR="004C0022" w:rsidRPr="003F3120">
        <w:rPr>
          <w:lang w:val="fr-FR"/>
        </w:rPr>
        <w:t>2020</w:t>
      </w:r>
      <w:r w:rsidR="00FD5D6A">
        <w:rPr>
          <w:lang w:val="fr-FR"/>
        </w:rPr>
        <w:t> ;</w:t>
      </w:r>
    </w:p>
    <w:p w14:paraId="4BD4C720" w14:textId="0712FCEC" w:rsidR="004C0022" w:rsidRPr="003F3120" w:rsidRDefault="002D74CD" w:rsidP="004C0022">
      <w:pPr>
        <w:pStyle w:val="NormalNonumber"/>
        <w:rPr>
          <w:rFonts w:eastAsia="MS Mincho"/>
          <w:lang w:val="fr-FR"/>
        </w:rPr>
      </w:pPr>
      <w:r w:rsidRPr="003F3120">
        <w:rPr>
          <w:rStyle w:val="DeltaViewInsertion"/>
          <w:rFonts w:eastAsia="MS Mincho"/>
          <w:color w:val="auto"/>
          <w:u w:val="none"/>
          <w:lang w:val="fr-FR"/>
        </w:rPr>
        <w:tab/>
        <w:t>5.</w:t>
      </w:r>
      <w:r w:rsidRPr="003F3120">
        <w:rPr>
          <w:rStyle w:val="DeltaViewInsertion"/>
          <w:rFonts w:eastAsia="MS Mincho"/>
          <w:color w:val="auto"/>
          <w:u w:val="none"/>
          <w:lang w:val="fr-FR"/>
        </w:rPr>
        <w:tab/>
      </w:r>
      <w:r w:rsidR="004C0022" w:rsidRPr="003F3120">
        <w:rPr>
          <w:rStyle w:val="DeltaViewInsertion"/>
          <w:rFonts w:eastAsia="MS Mincho"/>
          <w:i/>
          <w:color w:val="auto"/>
          <w:u w:val="none"/>
          <w:lang w:val="fr-FR"/>
        </w:rPr>
        <w:t>Prie</w:t>
      </w:r>
      <w:r w:rsidR="007031E0">
        <w:rPr>
          <w:rStyle w:val="DeltaViewInsertion"/>
          <w:rFonts w:eastAsia="MS Mincho"/>
          <w:i/>
          <w:color w:val="auto"/>
          <w:u w:val="none"/>
          <w:lang w:val="fr-FR"/>
        </w:rPr>
        <w:t xml:space="preserve"> les 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équipes spéciales d</w:t>
      </w:r>
      <w:r w:rsidR="00FA5ADB">
        <w:rPr>
          <w:rStyle w:val="DeltaViewInsertion"/>
          <w:rFonts w:eastAsia="MS Mincho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établir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produits spécifiques pour chacun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des 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sujets prioritaires énumérés au paragraphe</w:t>
      </w:r>
      <w:r w:rsidR="009207E4" w:rsidRPr="003F3120">
        <w:rPr>
          <w:rStyle w:val="DeltaViewInsertion"/>
          <w:rFonts w:eastAsia="MS Mincho"/>
          <w:color w:val="auto"/>
          <w:u w:val="none"/>
          <w:lang w:val="fr-FR"/>
        </w:rPr>
        <w:t> 8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 du programme de travail glissant 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>pour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la 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période allant 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jusqu</w:t>
      </w:r>
      <w:r w:rsidR="00FA5ADB">
        <w:rPr>
          <w:rStyle w:val="DeltaViewInsertion"/>
          <w:rFonts w:eastAsia="MS Mincho"/>
          <w:color w:val="auto"/>
          <w:u w:val="none"/>
          <w:lang w:val="fr-FR"/>
        </w:rPr>
        <w:t>’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en</w:t>
      </w:r>
      <w:r w:rsidR="007E0D14">
        <w:rPr>
          <w:rStyle w:val="DeltaViewInsertion"/>
          <w:rFonts w:eastAsia="MS Mincho"/>
          <w:color w:val="auto"/>
          <w:u w:val="none"/>
          <w:lang w:val="fr-FR"/>
        </w:rPr>
        <w:t> 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2030, </w:t>
      </w:r>
      <w:r w:rsidR="009207E4" w:rsidRPr="003F3120">
        <w:rPr>
          <w:rStyle w:val="DeltaViewInsertion"/>
          <w:color w:val="auto"/>
          <w:u w:val="none"/>
          <w:lang w:val="fr-FR"/>
        </w:rPr>
        <w:t>qui figure à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9207E4" w:rsidRPr="003F3120">
        <w:rPr>
          <w:rStyle w:val="DeltaViewInsertion"/>
          <w:color w:val="auto"/>
          <w:u w:val="none"/>
          <w:lang w:val="fr-FR"/>
        </w:rPr>
        <w:t>annexe I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9207E4" w:rsidRPr="003F3120">
        <w:rPr>
          <w:rStyle w:val="DeltaViewInsertion"/>
          <w:color w:val="auto"/>
          <w:u w:val="none"/>
          <w:lang w:val="fr-FR"/>
        </w:rPr>
        <w:t xml:space="preserve">présente décision, 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>pour examen à sa huitième session</w:t>
      </w:r>
      <w:r w:rsidR="00FD5D6A">
        <w:rPr>
          <w:rStyle w:val="DeltaViewInsertion"/>
          <w:rFonts w:eastAsia="MS Mincho"/>
          <w:color w:val="auto"/>
          <w:u w:val="none"/>
          <w:lang w:val="fr-FR"/>
        </w:rPr>
        <w:t> ;</w:t>
      </w:r>
      <w:r w:rsidR="004C0022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 </w:t>
      </w:r>
    </w:p>
    <w:p w14:paraId="3CE801B3" w14:textId="77777777" w:rsidR="004C0022" w:rsidRPr="003F3120" w:rsidRDefault="004C0022" w:rsidP="004C0022">
      <w:pPr>
        <w:pStyle w:val="Normal-pool"/>
        <w:keepNext/>
        <w:keepLines/>
        <w:spacing w:before="240" w:after="120"/>
        <w:ind w:left="1247"/>
        <w:jc w:val="center"/>
        <w:rPr>
          <w:b/>
          <w:lang w:val="fr-FR"/>
        </w:rPr>
      </w:pPr>
      <w:r w:rsidRPr="003F3120">
        <w:rPr>
          <w:b/>
          <w:lang w:val="fr-FR"/>
        </w:rPr>
        <w:t>VI</w:t>
      </w:r>
    </w:p>
    <w:p w14:paraId="2B95F929" w14:textId="3649982B" w:rsidR="004C0022" w:rsidRPr="003F3120" w:rsidRDefault="004C0022" w:rsidP="004C0022">
      <w:pPr>
        <w:pStyle w:val="Normal-pool"/>
        <w:keepNext/>
        <w:keepLines/>
        <w:spacing w:before="12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t>Examen de l</w:t>
      </w:r>
      <w:r w:rsidR="00FA5ADB">
        <w:rPr>
          <w:b/>
          <w:bCs/>
          <w:lang w:val="fr-FR"/>
        </w:rPr>
        <w:t>’</w:t>
      </w:r>
      <w:r w:rsidRPr="003F3120">
        <w:rPr>
          <w:b/>
          <w:bCs/>
          <w:lang w:val="fr-FR"/>
        </w:rPr>
        <w:t>efficacité</w:t>
      </w:r>
    </w:p>
    <w:p w14:paraId="33845829" w14:textId="49214223" w:rsidR="004C0022" w:rsidRPr="003F3120" w:rsidRDefault="002D74CD" w:rsidP="004C0022">
      <w:pPr>
        <w:pStyle w:val="NormalNonumber"/>
        <w:rPr>
          <w:iCs/>
          <w:lang w:val="fr-FR"/>
        </w:rPr>
      </w:pPr>
      <w:r w:rsidRPr="003F3120">
        <w:rPr>
          <w:iCs/>
          <w:lang w:val="fr-FR"/>
        </w:rPr>
        <w:tab/>
      </w:r>
      <w:r w:rsidR="004C0022" w:rsidRPr="003F3120">
        <w:rPr>
          <w:iCs/>
          <w:lang w:val="fr-FR"/>
        </w:rPr>
        <w:t>1</w:t>
      </w:r>
      <w:r w:rsidR="004C0022" w:rsidRPr="003F3120">
        <w:rPr>
          <w:i/>
          <w:iCs/>
          <w:lang w:val="fr-FR"/>
        </w:rPr>
        <w:t>.</w:t>
      </w:r>
      <w:r w:rsidR="004C0022" w:rsidRPr="003F3120">
        <w:rPr>
          <w:i/>
          <w:iCs/>
          <w:lang w:val="fr-FR"/>
        </w:rPr>
        <w:tab/>
        <w:t xml:space="preserve">Rappelant </w:t>
      </w:r>
      <w:r w:rsidR="004C0022" w:rsidRPr="003F3120">
        <w:rPr>
          <w:lang w:val="fr-FR"/>
        </w:rPr>
        <w:t>que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un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principes directeurs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 veut que son efficacité et son efficience feront régulièrement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objet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un examen et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une évaluation indépendants, ainsi qu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elle</w:t>
      </w:r>
      <w:r w:rsidR="007E0D14">
        <w:rPr>
          <w:lang w:val="fr-FR"/>
        </w:rPr>
        <w:t> </w:t>
      </w:r>
      <w:r w:rsidR="004C0022" w:rsidRPr="003F3120">
        <w:rPr>
          <w:lang w:val="fr-FR"/>
        </w:rPr>
        <w:t>en a décidé,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ajustements étant apportés au besoin</w:t>
      </w:r>
      <w:r w:rsidR="004C0022" w:rsidRPr="003F3120">
        <w:rPr>
          <w:rStyle w:val="FootnoteReference"/>
          <w:iCs/>
          <w:szCs w:val="20"/>
          <w:lang w:val="fr-FR"/>
        </w:rPr>
        <w:footnoteReference w:id="17"/>
      </w:r>
      <w:r w:rsidR="00FD5D6A">
        <w:rPr>
          <w:lang w:val="fr-FR"/>
        </w:rPr>
        <w:t> ;</w:t>
      </w:r>
    </w:p>
    <w:p w14:paraId="7736F48F" w14:textId="0017E4BA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2.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la </w:t>
      </w:r>
      <w:r w:rsidR="004C0022" w:rsidRPr="003F3120">
        <w:rPr>
          <w:lang w:val="fr-FR"/>
        </w:rPr>
        <w:t>Secrétaire exécutive de solliciter</w:t>
      </w:r>
      <w:r w:rsidR="007031E0">
        <w:rPr>
          <w:lang w:val="fr-FR"/>
        </w:rPr>
        <w:t xml:space="preserve"> les </w:t>
      </w:r>
      <w:r w:rsidR="004C0022" w:rsidRPr="003F3120">
        <w:rPr>
          <w:lang w:val="fr-FR"/>
        </w:rPr>
        <w:t>vues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 xml:space="preserve">membres </w:t>
      </w:r>
      <w:r w:rsidR="009207E4"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="009207E4" w:rsidRPr="003F3120">
        <w:rPr>
          <w:lang w:val="fr-FR"/>
        </w:rPr>
        <w:t xml:space="preserve">Plateforme </w:t>
      </w:r>
      <w:r w:rsidR="004C0022" w:rsidRPr="003F3120">
        <w:rPr>
          <w:lang w:val="fr-FR"/>
        </w:rPr>
        <w:t>et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parties prenantes au sujet du processus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examen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 à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issue de son premier programme de travail</w:t>
      </w:r>
      <w:r w:rsidR="00FD5D6A">
        <w:rPr>
          <w:lang w:val="fr-FR"/>
        </w:rPr>
        <w:t> ;</w:t>
      </w:r>
    </w:p>
    <w:p w14:paraId="1250FFB9" w14:textId="28048EB7" w:rsidR="004C0022" w:rsidRPr="003F3120" w:rsidRDefault="002D74CD" w:rsidP="004C0022">
      <w:pPr>
        <w:pStyle w:val="NormalNonumber"/>
        <w:rPr>
          <w:lang w:val="fr-FR"/>
        </w:rPr>
      </w:pPr>
      <w:r w:rsidRPr="003F3120">
        <w:rPr>
          <w:lang w:val="fr-FR"/>
        </w:rPr>
        <w:tab/>
      </w:r>
      <w:r w:rsidR="004C0022" w:rsidRPr="003F3120">
        <w:rPr>
          <w:lang w:val="fr-FR"/>
        </w:rPr>
        <w:t>3.</w:t>
      </w:r>
      <w:r w:rsidR="004C0022" w:rsidRPr="003F3120">
        <w:rPr>
          <w:lang w:val="fr-FR"/>
        </w:rPr>
        <w:tab/>
      </w:r>
      <w:r w:rsidR="004C0022"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le </w:t>
      </w:r>
      <w:r w:rsidR="004C0022" w:rsidRPr="003F3120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experts multidisciplinaire de se pencher sur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processus d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examen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Plateforme à l</w:t>
      </w:r>
      <w:r w:rsidR="00FA5ADB">
        <w:rPr>
          <w:lang w:val="fr-FR"/>
        </w:rPr>
        <w:t>’</w:t>
      </w:r>
      <w:r w:rsidR="004C0022" w:rsidRPr="003F3120">
        <w:rPr>
          <w:lang w:val="fr-FR"/>
        </w:rPr>
        <w:t>issue de son premier programme de travail, compte tenu</w:t>
      </w:r>
      <w:r w:rsidR="007031E0">
        <w:rPr>
          <w:lang w:val="fr-FR"/>
        </w:rPr>
        <w:t xml:space="preserve"> des </w:t>
      </w:r>
      <w:r w:rsidR="004C0022" w:rsidRPr="003F3120">
        <w:rPr>
          <w:lang w:val="fr-FR"/>
        </w:rPr>
        <w:t>vues exprimées par ses membres et parties prenantes dans</w:t>
      </w:r>
      <w:r w:rsidR="007031E0">
        <w:rPr>
          <w:lang w:val="fr-FR"/>
        </w:rPr>
        <w:t xml:space="preserve"> le </w:t>
      </w:r>
      <w:r w:rsidR="004C0022" w:rsidRPr="003F3120">
        <w:rPr>
          <w:lang w:val="fr-FR"/>
        </w:rPr>
        <w:t>cadre du processus visé au paragraphe </w:t>
      </w:r>
      <w:r w:rsidR="003F392B">
        <w:rPr>
          <w:lang w:val="fr-FR"/>
        </w:rPr>
        <w:t>2</w:t>
      </w:r>
      <w:r w:rsidR="004C0022" w:rsidRPr="003F3120">
        <w:rPr>
          <w:lang w:val="fr-FR"/>
        </w:rPr>
        <w:t xml:space="preserve"> de</w:t>
      </w:r>
      <w:r w:rsidR="007031E0">
        <w:rPr>
          <w:lang w:val="fr-FR"/>
        </w:rPr>
        <w:t xml:space="preserve"> la </w:t>
      </w:r>
      <w:r w:rsidR="004C0022" w:rsidRPr="003F3120">
        <w:rPr>
          <w:lang w:val="fr-FR"/>
        </w:rPr>
        <w:t>présente section</w:t>
      </w:r>
      <w:r w:rsidR="00FD5D6A">
        <w:rPr>
          <w:lang w:val="fr-FR"/>
        </w:rPr>
        <w:t> ;</w:t>
      </w:r>
    </w:p>
    <w:p w14:paraId="486F13BB" w14:textId="30183E06" w:rsidR="004C0022" w:rsidRPr="003F3120" w:rsidRDefault="004C0022" w:rsidP="004C0022">
      <w:pPr>
        <w:pStyle w:val="NormalNonumber"/>
        <w:rPr>
          <w:lang w:val="fr-FR"/>
        </w:rPr>
      </w:pPr>
      <w:r w:rsidRPr="003F3120">
        <w:rPr>
          <w:lang w:val="fr-FR"/>
        </w:rPr>
        <w:t>4.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>Prie également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d</w:t>
      </w:r>
      <w:r w:rsidR="00FA5ADB">
        <w:rPr>
          <w:lang w:val="fr-FR"/>
        </w:rPr>
        <w:t>’</w:t>
      </w:r>
      <w:r w:rsidRPr="003F3120">
        <w:rPr>
          <w:lang w:val="fr-FR"/>
        </w:rPr>
        <w:t>élaborer un projet de mandat concernant l</w:t>
      </w:r>
      <w:r w:rsidR="00FA5ADB">
        <w:rPr>
          <w:lang w:val="fr-FR"/>
        </w:rPr>
        <w:t>’</w:t>
      </w:r>
      <w:r w:rsidRPr="003F3120">
        <w:rPr>
          <w:lang w:val="fr-FR"/>
        </w:rPr>
        <w:t>examen à mi-parcours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activités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Plateforme, qu</w:t>
      </w:r>
      <w:r w:rsidR="00FA5ADB">
        <w:rPr>
          <w:lang w:val="fr-FR"/>
        </w:rPr>
        <w:t>’</w:t>
      </w:r>
      <w:r w:rsidRPr="003F3120">
        <w:rPr>
          <w:lang w:val="fr-FR"/>
        </w:rPr>
        <w:t>elle examinera à sa neuvième session</w:t>
      </w:r>
      <w:r w:rsidR="00FD5D6A">
        <w:rPr>
          <w:lang w:val="fr-FR"/>
        </w:rPr>
        <w:t> ;</w:t>
      </w:r>
    </w:p>
    <w:p w14:paraId="6854B743" w14:textId="77777777" w:rsidR="004C0022" w:rsidRPr="003F3120" w:rsidRDefault="004C0022" w:rsidP="004C0022">
      <w:pPr>
        <w:pStyle w:val="Normal-pool"/>
        <w:keepNext/>
        <w:keepLines/>
        <w:spacing w:before="240" w:after="120"/>
        <w:ind w:left="1247"/>
        <w:jc w:val="center"/>
        <w:rPr>
          <w:b/>
          <w:lang w:val="fr-FR"/>
        </w:rPr>
      </w:pPr>
      <w:r w:rsidRPr="003F3120">
        <w:rPr>
          <w:b/>
          <w:lang w:val="fr-FR"/>
        </w:rPr>
        <w:t>VII</w:t>
      </w:r>
    </w:p>
    <w:p w14:paraId="15076660" w14:textId="631ECDB6" w:rsidR="004C0022" w:rsidRPr="003F3120" w:rsidRDefault="004C0022" w:rsidP="004C0022">
      <w:pPr>
        <w:pStyle w:val="Normal-pool"/>
        <w:keepNext/>
        <w:keepLines/>
        <w:spacing w:before="120" w:after="120"/>
        <w:ind w:left="1247"/>
        <w:jc w:val="center"/>
        <w:rPr>
          <w:b/>
          <w:lang w:val="fr-FR"/>
        </w:rPr>
      </w:pPr>
      <w:r w:rsidRPr="003F3120">
        <w:rPr>
          <w:b/>
          <w:bCs/>
          <w:lang w:val="fr-FR"/>
        </w:rPr>
        <w:t xml:space="preserve">Appui technique au programme de travail glissant </w:t>
      </w:r>
      <w:r w:rsidR="00F96E46" w:rsidRPr="003F3120">
        <w:rPr>
          <w:rStyle w:val="DeltaViewInsertion"/>
          <w:rFonts w:eastAsia="MS Mincho"/>
          <w:b/>
          <w:color w:val="auto"/>
          <w:u w:val="none"/>
          <w:lang w:val="fr-FR"/>
        </w:rPr>
        <w:t>pour</w:t>
      </w:r>
      <w:r w:rsidR="007031E0">
        <w:rPr>
          <w:rStyle w:val="DeltaViewInsertion"/>
          <w:rFonts w:eastAsia="MS Mincho"/>
          <w:b/>
          <w:color w:val="auto"/>
          <w:u w:val="none"/>
          <w:lang w:val="fr-FR"/>
        </w:rPr>
        <w:t xml:space="preserve"> la </w:t>
      </w:r>
      <w:r w:rsidR="00F96E46" w:rsidRPr="003F3120">
        <w:rPr>
          <w:rStyle w:val="DeltaViewInsertion"/>
          <w:rFonts w:eastAsia="MS Mincho"/>
          <w:b/>
          <w:color w:val="auto"/>
          <w:u w:val="none"/>
          <w:lang w:val="fr-FR"/>
        </w:rPr>
        <w:t>période allant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 </w:t>
      </w:r>
      <w:r w:rsidRPr="003F3120">
        <w:rPr>
          <w:b/>
          <w:bCs/>
          <w:lang w:val="fr-FR"/>
        </w:rPr>
        <w:t>jusqu</w:t>
      </w:r>
      <w:r w:rsidR="00FA5ADB">
        <w:rPr>
          <w:b/>
          <w:bCs/>
          <w:lang w:val="fr-FR"/>
        </w:rPr>
        <w:t>’</w:t>
      </w:r>
      <w:r w:rsidRPr="003F3120">
        <w:rPr>
          <w:b/>
          <w:bCs/>
          <w:lang w:val="fr-FR"/>
        </w:rPr>
        <w:t>en 2030</w:t>
      </w:r>
    </w:p>
    <w:p w14:paraId="491F4BA9" w14:textId="0EEB932B" w:rsidR="0020440E" w:rsidRPr="003F3120" w:rsidRDefault="004C0022" w:rsidP="004C0022">
      <w:pPr>
        <w:pStyle w:val="ListParagraph"/>
        <w:keepNext/>
        <w:keepLines/>
        <w:tabs>
          <w:tab w:val="left" w:pos="4082"/>
        </w:tabs>
        <w:spacing w:after="120"/>
        <w:ind w:left="1247"/>
      </w:pPr>
      <w:r w:rsidRPr="003F3120">
        <w:rPr>
          <w:i/>
          <w:iCs/>
        </w:rPr>
        <w:tab/>
        <w:t>Prie</w:t>
      </w:r>
      <w:r w:rsidR="007031E0">
        <w:rPr>
          <w:i/>
          <w:iCs/>
        </w:rPr>
        <w:t xml:space="preserve"> le </w:t>
      </w:r>
      <w:r w:rsidRPr="003F3120">
        <w:t>secrétariat de mettre en place, en consultation avec</w:t>
      </w:r>
      <w:r w:rsidR="007031E0">
        <w:t xml:space="preserve"> le </w:t>
      </w:r>
      <w:r w:rsidRPr="003F3120">
        <w:t>Bureau et dans</w:t>
      </w:r>
      <w:r w:rsidR="007031E0">
        <w:t xml:space="preserve"> les </w:t>
      </w:r>
      <w:r w:rsidRPr="003F3120">
        <w:t>limites du budget approuvé figurant dans l</w:t>
      </w:r>
      <w:r w:rsidR="00FA5ADB">
        <w:t>’</w:t>
      </w:r>
      <w:r w:rsidRPr="003F3120">
        <w:t>annexe de</w:t>
      </w:r>
      <w:r w:rsidR="007031E0">
        <w:t xml:space="preserve"> la </w:t>
      </w:r>
      <w:r w:rsidRPr="003F3120">
        <w:t>décision IPBES-7/</w:t>
      </w:r>
      <w:r w:rsidR="009207E4" w:rsidRPr="003F3120">
        <w:t>4,</w:t>
      </w:r>
      <w:r w:rsidR="007031E0">
        <w:t xml:space="preserve"> les </w:t>
      </w:r>
      <w:r w:rsidRPr="003F3120">
        <w:t>dispositions institutionnelles nécessaires à</w:t>
      </w:r>
      <w:r w:rsidR="007031E0">
        <w:t xml:space="preserve"> la </w:t>
      </w:r>
      <w:r w:rsidRPr="003F3120">
        <w:t>mise en œuvre de l</w:t>
      </w:r>
      <w:r w:rsidR="00FA5ADB">
        <w:t>’</w:t>
      </w:r>
      <w:r w:rsidRPr="003F3120">
        <w:t>appui technique requis pour</w:t>
      </w:r>
      <w:r w:rsidR="007031E0">
        <w:t xml:space="preserve"> le </w:t>
      </w:r>
      <w:r w:rsidRPr="003F3120">
        <w:t xml:space="preserve">programme de travail glissant </w:t>
      </w:r>
      <w:r w:rsidR="00F96E46" w:rsidRPr="003F3120">
        <w:t>pour</w:t>
      </w:r>
      <w:r w:rsidR="007031E0">
        <w:t xml:space="preserve"> la </w:t>
      </w:r>
      <w:r w:rsidR="00F96E46" w:rsidRPr="003F3120">
        <w:t xml:space="preserve">période allant </w:t>
      </w:r>
      <w:r w:rsidRPr="003F3120">
        <w:t>jusqu</w:t>
      </w:r>
      <w:r w:rsidR="00FA5ADB">
        <w:t>’</w:t>
      </w:r>
      <w:r w:rsidRPr="003F3120">
        <w:t>en 2030</w:t>
      </w:r>
      <w:r w:rsidR="00F96E46" w:rsidRPr="003F3120">
        <w:t>.</w:t>
      </w:r>
    </w:p>
    <w:p w14:paraId="07CEB37B" w14:textId="77777777" w:rsidR="0020440E" w:rsidRPr="003F3120" w:rsidRDefault="0020440E" w:rsidP="004843BC">
      <w:pPr>
        <w:keepNext/>
        <w:keepLines/>
        <w:tabs>
          <w:tab w:val="left" w:pos="4082"/>
        </w:tabs>
        <w:spacing w:after="120"/>
        <w:ind w:left="1247" w:firstLine="624"/>
      </w:pPr>
    </w:p>
    <w:p w14:paraId="227C8407" w14:textId="77777777" w:rsidR="0020440E" w:rsidRPr="003F3120" w:rsidRDefault="0020440E" w:rsidP="004843BC">
      <w:pPr>
        <w:keepNext/>
        <w:keepLines/>
        <w:tabs>
          <w:tab w:val="left" w:pos="4082"/>
        </w:tabs>
        <w:spacing w:after="120"/>
        <w:ind w:left="1247" w:firstLine="624"/>
        <w:sectPr w:rsidR="0020440E" w:rsidRPr="003F3120" w:rsidSect="00A37F24">
          <w:headerReference w:type="even" r:id="rId21"/>
          <w:headerReference w:type="default" r:id="rId22"/>
          <w:headerReference w:type="first" r:id="rId23"/>
          <w:footerReference w:type="first" r:id="rId24"/>
          <w:pgSz w:w="11907" w:h="16840" w:code="9"/>
          <w:pgMar w:top="907" w:right="992" w:bottom="1418" w:left="1418" w:header="539" w:footer="975" w:gutter="0"/>
          <w:cols w:space="720"/>
          <w:docGrid w:linePitch="360"/>
        </w:sectPr>
      </w:pPr>
    </w:p>
    <w:p w14:paraId="03D4F48E" w14:textId="4F28B05D" w:rsidR="004843BC" w:rsidRPr="003F3120" w:rsidRDefault="004843BC" w:rsidP="007C65E5">
      <w:pPr>
        <w:pStyle w:val="ZZAnxtitle"/>
        <w:spacing w:before="0"/>
      </w:pPr>
      <w:r w:rsidRPr="003F3120">
        <w:lastRenderedPageBreak/>
        <w:t>Annex</w:t>
      </w:r>
      <w:r w:rsidR="00A608E4" w:rsidRPr="003F3120">
        <w:t>e</w:t>
      </w:r>
      <w:r w:rsidRPr="003F3120">
        <w:t xml:space="preserve"> I</w:t>
      </w:r>
      <w:r w:rsidR="00764B11" w:rsidRPr="003F3120">
        <w:t xml:space="preserve"> </w:t>
      </w:r>
      <w:r w:rsidR="009207E4" w:rsidRPr="003F3120">
        <w:t>de</w:t>
      </w:r>
      <w:r w:rsidR="007031E0">
        <w:t xml:space="preserve"> la </w:t>
      </w:r>
      <w:r w:rsidR="00A608E4" w:rsidRPr="003F3120">
        <w:t>dé</w:t>
      </w:r>
      <w:r w:rsidR="00764B11" w:rsidRPr="003F3120">
        <w:t>cision IPBES-7/1</w:t>
      </w:r>
      <w:r w:rsidR="00B91B80" w:rsidRPr="003F3120">
        <w:t xml:space="preserve"> </w:t>
      </w:r>
    </w:p>
    <w:p w14:paraId="67DFC2ED" w14:textId="19C97832" w:rsidR="001609F3" w:rsidRPr="003F3120" w:rsidRDefault="001609F3" w:rsidP="007E0D14">
      <w:pPr>
        <w:pStyle w:val="BBTitle"/>
      </w:pPr>
      <w:r w:rsidRPr="003F3120">
        <w:t>Programme de travail glissant de</w:t>
      </w:r>
      <w:r w:rsidR="007031E0">
        <w:t xml:space="preserve"> la </w:t>
      </w:r>
      <w:r w:rsidRPr="003F3120">
        <w:t>Plateforme intergouvernementale scientifique et politique sur</w:t>
      </w:r>
      <w:r w:rsidR="007031E0">
        <w:t xml:space="preserve"> la </w:t>
      </w:r>
      <w:r w:rsidRPr="003F3120">
        <w:t>biodiversité et</w:t>
      </w:r>
      <w:r w:rsidR="007031E0">
        <w:t xml:space="preserve"> les </w:t>
      </w:r>
      <w:r w:rsidRPr="003F3120">
        <w:t>services écosystémiques</w:t>
      </w:r>
      <w:r w:rsidR="00F96E46" w:rsidRPr="003F3120">
        <w:t xml:space="preserve"> </w:t>
      </w:r>
      <w:r w:rsidR="00F96E46" w:rsidRPr="007E0D14">
        <w:t>pour</w:t>
      </w:r>
      <w:r w:rsidR="007031E0">
        <w:t xml:space="preserve"> la </w:t>
      </w:r>
      <w:r w:rsidR="00F96E46" w:rsidRPr="007E0D14">
        <w:t>période allant jusqu</w:t>
      </w:r>
      <w:r w:rsidR="00FA5ADB">
        <w:t>’</w:t>
      </w:r>
      <w:r w:rsidR="00F96E46" w:rsidRPr="007E0D14">
        <w:t>en 2030</w:t>
      </w:r>
    </w:p>
    <w:p w14:paraId="0E45DB03" w14:textId="77777777" w:rsidR="001609F3" w:rsidRPr="003F3120" w:rsidRDefault="001609F3" w:rsidP="001609F3">
      <w:pPr>
        <w:pStyle w:val="CH1"/>
        <w:rPr>
          <w:rFonts w:eastAsia="SimSun"/>
          <w:noProof/>
          <w:lang w:val="fr-FR"/>
        </w:rPr>
      </w:pPr>
      <w:bookmarkStart w:id="77" w:name="_Hlk531688603"/>
      <w:bookmarkStart w:id="78" w:name="_Hlk532205030"/>
      <w:r w:rsidRPr="003F3120">
        <w:rPr>
          <w:rFonts w:eastAsia="SimSun"/>
          <w:noProof/>
          <w:lang w:val="fr-FR"/>
        </w:rPr>
        <w:tab/>
        <w:t>I.</w:t>
      </w:r>
      <w:r w:rsidRPr="003F3120">
        <w:rPr>
          <w:rFonts w:eastAsia="SimSun"/>
          <w:noProof/>
          <w:lang w:val="fr-FR"/>
        </w:rPr>
        <w:tab/>
      </w:r>
      <w:bookmarkEnd w:id="77"/>
      <w:r w:rsidRPr="003F3120">
        <w:rPr>
          <w:rFonts w:eastAsia="SimSun"/>
          <w:noProof/>
          <w:lang w:val="fr-FR"/>
        </w:rPr>
        <w:t>Introduction</w:t>
      </w:r>
      <w:bookmarkEnd w:id="78"/>
    </w:p>
    <w:p w14:paraId="28EFBE8F" w14:textId="23CA7A8D" w:rsidR="001609F3" w:rsidRPr="003F3120" w:rsidRDefault="001609F3" w:rsidP="00ED6939">
      <w:pPr>
        <w:pStyle w:val="Normalnumber"/>
        <w:numPr>
          <w:ilvl w:val="0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 xml:space="preserve">Le </w:t>
      </w:r>
      <w:bookmarkStart w:id="79" w:name="_Hlk531157497"/>
      <w:r w:rsidRPr="003F3120">
        <w:rPr>
          <w:rFonts w:eastAsia="SimSun"/>
          <w:lang w:val="fr-FR" w:eastAsia="zh-CN"/>
        </w:rPr>
        <w:t>programme de travail glissant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 intergouvernementale scientifique et politique sur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biodiversité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services écosystémiques (</w:t>
      </w:r>
      <w:r w:rsidR="00F96E46" w:rsidRPr="003F3120">
        <w:rPr>
          <w:rFonts w:eastAsia="SimSun"/>
          <w:lang w:val="fr-FR" w:eastAsia="zh-CN"/>
        </w:rPr>
        <w:t>la « Plateforme »</w:t>
      </w:r>
      <w:r w:rsidRPr="003F3120">
        <w:rPr>
          <w:rFonts w:eastAsia="SimSun"/>
          <w:lang w:val="fr-FR" w:eastAsia="zh-CN"/>
        </w:rPr>
        <w:t xml:space="preserve">) 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>pour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la 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période allant </w:t>
      </w:r>
      <w:r w:rsidRPr="003F3120">
        <w:rPr>
          <w:rFonts w:eastAsia="SimSun"/>
          <w:lang w:val="fr-FR" w:eastAsia="zh-CN"/>
        </w:rPr>
        <w:t>jusqu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en 2030</w:t>
      </w:r>
      <w:bookmarkEnd w:id="79"/>
      <w:r w:rsidRPr="003F3120">
        <w:rPr>
          <w:rFonts w:eastAsia="SimSun"/>
          <w:lang w:val="fr-FR" w:eastAsia="zh-CN"/>
        </w:rPr>
        <w:t xml:space="preserve"> </w:t>
      </w:r>
      <w:r w:rsidR="006B0D1A">
        <w:rPr>
          <w:rFonts w:eastAsia="SimSun"/>
          <w:lang w:val="fr-FR" w:eastAsia="zh-CN"/>
        </w:rPr>
        <w:t xml:space="preserve">(le « programme de travail glissant ») </w:t>
      </w:r>
      <w:r w:rsidRPr="003F3120">
        <w:rPr>
          <w:rFonts w:eastAsia="SimSun"/>
          <w:lang w:val="fr-FR" w:eastAsia="zh-CN"/>
        </w:rPr>
        <w:t xml:space="preserve">a pour but de </w:t>
      </w:r>
      <w:r w:rsidR="006B0D1A">
        <w:rPr>
          <w:rFonts w:eastAsia="SimSun"/>
          <w:lang w:val="fr-FR" w:eastAsia="zh-CN"/>
        </w:rPr>
        <w:t>promouvoir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réalisation de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objectif global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</w:t>
      </w:r>
      <w:r w:rsidRPr="003F3120">
        <w:rPr>
          <w:rStyle w:val="FootnoteReference"/>
          <w:lang w:val="fr-FR"/>
        </w:rPr>
        <w:footnoteReference w:id="18"/>
      </w:r>
      <w:r w:rsidRPr="003F3120">
        <w:rPr>
          <w:rFonts w:eastAsia="SimSun"/>
          <w:lang w:val="fr-FR" w:eastAsia="zh-CN"/>
        </w:rPr>
        <w:t xml:space="preserve">, </w:t>
      </w:r>
      <w:r w:rsidR="006B0D1A">
        <w:rPr>
          <w:rFonts w:eastAsia="SimSun"/>
          <w:lang w:val="fr-FR" w:eastAsia="zh-CN"/>
        </w:rPr>
        <w:t>à savoir</w:t>
      </w:r>
      <w:r w:rsidRPr="003F3120">
        <w:rPr>
          <w:rFonts w:eastAsia="SimSun"/>
          <w:lang w:val="fr-FR" w:eastAsia="zh-CN"/>
        </w:rPr>
        <w:t xml:space="preserve"> renforcer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 xml:space="preserve">interface </w:t>
      </w:r>
      <w:r w:rsidRPr="003F3120">
        <w:rPr>
          <w:lang w:val="fr-FR"/>
        </w:rPr>
        <w:t>science-politique</w:t>
      </w:r>
      <w:r w:rsidR="000C25F6">
        <w:rPr>
          <w:lang w:val="fr-FR"/>
        </w:rPr>
        <w:t>s</w:t>
      </w:r>
      <w:r w:rsidRPr="003F3120">
        <w:rPr>
          <w:lang w:val="fr-FR"/>
        </w:rPr>
        <w:t xml:space="preserve">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services écosystémiques aux fins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conservation et de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 durable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biodiversité, du bien-être humain à long terme et du développement durable. </w:t>
      </w:r>
    </w:p>
    <w:p w14:paraId="106E3DD5" w14:textId="05AE9531" w:rsidR="001609F3" w:rsidRPr="003F3120" w:rsidRDefault="001609F3" w:rsidP="00ED6939">
      <w:pPr>
        <w:pStyle w:val="Normalnumber"/>
        <w:numPr>
          <w:ilvl w:val="0"/>
          <w:numId w:val="6"/>
        </w:numPr>
        <w:rPr>
          <w:lang w:val="fr-FR"/>
        </w:rPr>
      </w:pPr>
      <w:bookmarkStart w:id="80" w:name="_Hlk534726843"/>
      <w:r w:rsidRPr="003F3120">
        <w:rPr>
          <w:lang w:val="fr-FR"/>
        </w:rPr>
        <w:t>Conformément à l</w:t>
      </w:r>
      <w:r w:rsidR="00FA5ADB">
        <w:rPr>
          <w:lang w:val="fr-FR"/>
        </w:rPr>
        <w:t>’</w:t>
      </w:r>
      <w:r w:rsidRPr="003F3120">
        <w:rPr>
          <w:lang w:val="fr-FR"/>
        </w:rPr>
        <w:t>objectif global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décision IPBES-5/3,</w:t>
      </w:r>
      <w:r w:rsidR="007031E0">
        <w:rPr>
          <w:lang w:val="fr-FR"/>
        </w:rPr>
        <w:t xml:space="preserve"> le </w:t>
      </w:r>
      <w:r w:rsidR="006B0D1A">
        <w:rPr>
          <w:lang w:val="fr-FR"/>
        </w:rPr>
        <w:t>plan</w:t>
      </w:r>
      <w:r w:rsidRPr="003F3120">
        <w:rPr>
          <w:lang w:val="fr-FR"/>
        </w:rPr>
        <w:t xml:space="preserve"> </w:t>
      </w:r>
      <w:r w:rsidR="006B0D1A">
        <w:rPr>
          <w:lang w:val="fr-FR"/>
        </w:rPr>
        <w:t>directeur</w:t>
      </w:r>
      <w:r w:rsidRPr="003F3120">
        <w:rPr>
          <w:lang w:val="fr-FR"/>
        </w:rPr>
        <w:t xml:space="preserve"> du programme de travail glissant</w:t>
      </w:r>
      <w:r w:rsidR="00F96E46" w:rsidRPr="003F3120">
        <w:rPr>
          <w:lang w:val="fr-FR"/>
        </w:rPr>
        <w:t xml:space="preserve"> </w:t>
      </w:r>
      <w:r w:rsidRPr="003F3120">
        <w:rPr>
          <w:lang w:val="fr-FR"/>
        </w:rPr>
        <w:t>correspond au Programme de développement durable à l</w:t>
      </w:r>
      <w:r w:rsidR="00FA5ADB">
        <w:rPr>
          <w:lang w:val="fr-FR"/>
        </w:rPr>
        <w:t>’</w:t>
      </w:r>
      <w:r w:rsidRPr="003F3120">
        <w:rPr>
          <w:lang w:val="fr-FR"/>
        </w:rPr>
        <w:t>horizon</w:t>
      </w:r>
      <w:r w:rsidR="007C65E5">
        <w:rPr>
          <w:lang w:val="fr-FR"/>
        </w:rPr>
        <w:t> </w:t>
      </w:r>
      <w:r w:rsidRPr="003F3120">
        <w:rPr>
          <w:lang w:val="fr-FR"/>
        </w:rPr>
        <w:t>2030 et ses objectifs de développement durable, aux conventions relatives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 autres processus concernant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services écosystémiques. </w:t>
      </w:r>
      <w:bookmarkEnd w:id="80"/>
    </w:p>
    <w:p w14:paraId="7046CB99" w14:textId="23889331" w:rsidR="001609F3" w:rsidRPr="003F3120" w:rsidRDefault="001609F3" w:rsidP="00ED6939">
      <w:pPr>
        <w:pStyle w:val="Normalnumber"/>
        <w:numPr>
          <w:ilvl w:val="0"/>
          <w:numId w:val="6"/>
        </w:numPr>
        <w:rPr>
          <w:lang w:val="fr-FR"/>
        </w:rPr>
      </w:pPr>
      <w:r w:rsidRPr="003F3120">
        <w:rPr>
          <w:lang w:val="fr-FR"/>
        </w:rPr>
        <w:t>Le programme de travail glissant est entièrement axé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demande, reposant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demandes reçues </w:t>
      </w:r>
      <w:r w:rsidR="009207E4" w:rsidRPr="003F3120">
        <w:rPr>
          <w:lang w:val="fr-FR"/>
        </w:rPr>
        <w:t>d</w:t>
      </w:r>
      <w:r w:rsidR="00FA5ADB">
        <w:rPr>
          <w:lang w:val="fr-FR"/>
        </w:rPr>
        <w:t>’</w:t>
      </w:r>
      <w:r w:rsidR="009207E4" w:rsidRPr="003F3120">
        <w:rPr>
          <w:lang w:val="fr-FR"/>
        </w:rPr>
        <w:t>organes concernés au titre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accords multilatéraux sur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environnement et de gouvernements et </w:t>
      </w:r>
      <w:r w:rsidR="009207E4" w:rsidRPr="003F3120">
        <w:rPr>
          <w:lang w:val="fr-FR"/>
        </w:rPr>
        <w:t>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contributions et suggestions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autres parties prenantes. Il devrait </w:t>
      </w:r>
      <w:r w:rsidR="006B0D1A">
        <w:rPr>
          <w:lang w:val="fr-FR"/>
        </w:rPr>
        <w:t>éclairer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>ensemble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parties prenantes dans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 œuvre de leurs activités à l</w:t>
      </w:r>
      <w:r w:rsidR="00FA5ADB">
        <w:rPr>
          <w:lang w:val="fr-FR"/>
        </w:rPr>
        <w:t>’</w:t>
      </w:r>
      <w:r w:rsidRPr="003F3120">
        <w:rPr>
          <w:lang w:val="fr-FR"/>
        </w:rPr>
        <w:t>appui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réalisation du Cadre mondial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pour l</w:t>
      </w:r>
      <w:r w:rsidR="00FA5ADB">
        <w:rPr>
          <w:lang w:val="fr-FR"/>
        </w:rPr>
        <w:t>’</w:t>
      </w:r>
      <w:r w:rsidRPr="003F3120">
        <w:rPr>
          <w:lang w:val="fr-FR"/>
        </w:rPr>
        <w:t>après-2020 et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Vision 2050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biodiversité, ainsi que d</w:t>
      </w:r>
      <w:r w:rsidR="00FA5ADB">
        <w:rPr>
          <w:lang w:val="fr-FR"/>
        </w:rPr>
        <w:t>’</w:t>
      </w:r>
      <w:r w:rsidRPr="003F3120">
        <w:rPr>
          <w:lang w:val="fr-FR"/>
        </w:rPr>
        <w:t>autres travaux ayant trait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diversité biologique menés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contexte d</w:t>
      </w:r>
      <w:r w:rsidR="00FA5ADB">
        <w:rPr>
          <w:lang w:val="fr-FR"/>
        </w:rPr>
        <w:t>’</w:t>
      </w:r>
      <w:r w:rsidRPr="003F3120">
        <w:rPr>
          <w:lang w:val="fr-FR"/>
        </w:rPr>
        <w:t>autres accords multilatéraux sur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environnement. </w:t>
      </w:r>
      <w:r w:rsidR="006B0D1A">
        <w:rPr>
          <w:lang w:val="fr-FR"/>
        </w:rPr>
        <w:t>Il</w:t>
      </w:r>
      <w:r w:rsidRPr="003F3120">
        <w:rPr>
          <w:lang w:val="fr-FR"/>
        </w:rPr>
        <w:t xml:space="preserve"> peut également </w:t>
      </w:r>
      <w:r w:rsidR="006B0D1A">
        <w:rPr>
          <w:lang w:val="fr-FR"/>
        </w:rPr>
        <w:t>guider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>application de l</w:t>
      </w:r>
      <w:r w:rsidR="00FA5ADB">
        <w:rPr>
          <w:lang w:val="fr-FR"/>
        </w:rPr>
        <w:t>’</w:t>
      </w:r>
      <w:r w:rsidRPr="003F3120">
        <w:rPr>
          <w:lang w:val="fr-FR"/>
        </w:rPr>
        <w:t>Accord de Paris s</w:t>
      </w:r>
      <w:r w:rsidR="00FA5ADB">
        <w:rPr>
          <w:lang w:val="fr-FR"/>
        </w:rPr>
        <w:t>’</w:t>
      </w:r>
      <w:r w:rsidRPr="003F3120">
        <w:rPr>
          <w:lang w:val="fr-FR"/>
        </w:rPr>
        <w:t>agissant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liens entre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changements climatiques.</w:t>
      </w:r>
    </w:p>
    <w:p w14:paraId="66FDA7C3" w14:textId="126828FE" w:rsidR="001609F3" w:rsidRPr="003F3120" w:rsidRDefault="001609F3" w:rsidP="00ED6939">
      <w:pPr>
        <w:pStyle w:val="Normalnumber"/>
        <w:numPr>
          <w:ilvl w:val="0"/>
          <w:numId w:val="6"/>
        </w:numPr>
        <w:rPr>
          <w:rFonts w:eastAsia="SimSun"/>
          <w:lang w:val="fr-FR" w:eastAsia="zh-CN"/>
        </w:rPr>
      </w:pPr>
      <w:r w:rsidRPr="003F3120">
        <w:rPr>
          <w:lang w:val="fr-FR"/>
        </w:rPr>
        <w:t>Le programme</w:t>
      </w:r>
      <w:r w:rsidRPr="003F3120">
        <w:rPr>
          <w:rFonts w:eastAsia="SimSun"/>
          <w:lang w:val="fr-FR" w:eastAsia="zh-CN"/>
        </w:rPr>
        <w:t xml:space="preserve"> de travail </w:t>
      </w:r>
      <w:r w:rsidR="006B0D1A">
        <w:rPr>
          <w:rFonts w:eastAsia="SimSun"/>
          <w:lang w:val="fr-FR" w:eastAsia="zh-CN"/>
        </w:rPr>
        <w:t xml:space="preserve">glissant </w:t>
      </w:r>
      <w:r w:rsidRPr="003F3120">
        <w:rPr>
          <w:rFonts w:eastAsia="SimSun"/>
          <w:lang w:val="fr-FR" w:eastAsia="zh-CN"/>
        </w:rPr>
        <w:t>a pour but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assurer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exécution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quatre fonctions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 xml:space="preserve">Plateforme, </w:t>
      </w:r>
      <w:r w:rsidR="006B0D1A">
        <w:rPr>
          <w:rFonts w:eastAsia="SimSun"/>
          <w:lang w:val="fr-FR" w:eastAsia="zh-CN"/>
        </w:rPr>
        <w:t>à savoir</w:t>
      </w:r>
      <w:r w:rsidR="00FD5D6A">
        <w:rPr>
          <w:rFonts w:eastAsia="SimSun"/>
          <w:lang w:val="fr-FR" w:eastAsia="zh-CN"/>
        </w:rPr>
        <w:t> :</w:t>
      </w:r>
      <w:r w:rsidRPr="003F3120">
        <w:rPr>
          <w:rFonts w:eastAsia="SimSun"/>
          <w:lang w:val="fr-FR" w:eastAsia="zh-CN"/>
        </w:rPr>
        <w:t xml:space="preserve"> </w:t>
      </w:r>
    </w:p>
    <w:p w14:paraId="2C19D55C" w14:textId="1C74A7E6" w:rsidR="001609F3" w:rsidRPr="003F3120" w:rsidRDefault="001609F3" w:rsidP="00ED6939">
      <w:pPr>
        <w:pStyle w:val="Normalnumber"/>
        <w:numPr>
          <w:ilvl w:val="1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>Identifier, par ordre de priorité,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principales informations scientifiques dont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 xml:space="preserve">décideurs ont </w:t>
      </w:r>
      <w:r w:rsidRPr="003F3120">
        <w:rPr>
          <w:lang w:val="fr-FR"/>
        </w:rPr>
        <w:t>besoin</w:t>
      </w:r>
      <w:r w:rsidRPr="003F3120">
        <w:rPr>
          <w:rFonts w:eastAsia="SimSun"/>
          <w:lang w:val="fr-FR" w:eastAsia="zh-CN"/>
        </w:rPr>
        <w:t>, aux échelles appropriées, et activer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production de nouvelles connaissances en nouant un dialogue avec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organisations scientifiques de renom,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décideurs et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organismes de financement, sans toutefois entreprendre directement de nouvelles recherches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</w:t>
      </w:r>
    </w:p>
    <w:p w14:paraId="761AE503" w14:textId="09A2CA93" w:rsidR="001609F3" w:rsidRPr="003F3120" w:rsidRDefault="001609F3" w:rsidP="00ED6939">
      <w:pPr>
        <w:pStyle w:val="Normalnumber"/>
        <w:numPr>
          <w:ilvl w:val="1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>Réaliser, périodiquement et en temps opportun,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évaluations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connaissances sur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biodiversité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services écosystémiques et leurs liens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interdépendance, qui devraient comporter</w:t>
      </w:r>
      <w:r w:rsidR="00FD5D6A">
        <w:rPr>
          <w:rFonts w:eastAsia="SimSun"/>
          <w:lang w:val="fr-FR" w:eastAsia="zh-CN"/>
        </w:rPr>
        <w:t> :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évaluations complètes aux niveaux mondial, régional et, au besoin, sous-régional</w:t>
      </w:r>
      <w:r w:rsidR="00FD5D6A">
        <w:rPr>
          <w:rFonts w:eastAsia="SimSun"/>
          <w:lang w:val="fr-FR" w:eastAsia="zh-CN"/>
        </w:rPr>
        <w:t> ;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évaluations thématiques à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échelle appropriée</w:t>
      </w:r>
      <w:r w:rsidR="00FD5D6A">
        <w:rPr>
          <w:rFonts w:eastAsia="SimSun"/>
          <w:lang w:val="fr-FR" w:eastAsia="zh-CN"/>
        </w:rPr>
        <w:t> ;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évaluations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nouvelles questions identifiées par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science, sur décision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Plénière</w:t>
      </w:r>
      <w:r w:rsidR="00FD5D6A">
        <w:rPr>
          <w:rFonts w:eastAsia="SimSun"/>
          <w:lang w:val="fr-FR" w:eastAsia="zh-CN"/>
        </w:rPr>
        <w:t> ;</w:t>
      </w:r>
    </w:p>
    <w:p w14:paraId="00D0A5F2" w14:textId="116019B2" w:rsidR="001609F3" w:rsidRPr="003F3120" w:rsidRDefault="001609F3" w:rsidP="00ED6939">
      <w:pPr>
        <w:pStyle w:val="Normalnumber"/>
        <w:numPr>
          <w:ilvl w:val="1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>Appuyer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formulation et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application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 xml:space="preserve">politiques en </w:t>
      </w:r>
      <w:r w:rsidR="006B0D1A">
        <w:rPr>
          <w:rFonts w:eastAsia="SimSun"/>
          <w:lang w:val="fr-FR" w:eastAsia="zh-CN"/>
        </w:rPr>
        <w:t>recensant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outils et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méthodes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aide, découlant notamment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évaluations, en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mettant à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disposition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décideurs et, au besoin, en encourageant et en accélérant leur mise au point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</w:t>
      </w:r>
    </w:p>
    <w:p w14:paraId="5F7AE025" w14:textId="0D71E44C" w:rsidR="001609F3" w:rsidRPr="003F3120" w:rsidRDefault="001609F3" w:rsidP="00ED6939">
      <w:pPr>
        <w:pStyle w:val="Normalnumber"/>
        <w:numPr>
          <w:ilvl w:val="1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>Hiérarchiser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principaux besoins de renforcement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capacités à satisfaire pour améliorer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interface science-politique</w:t>
      </w:r>
      <w:r w:rsidR="000C25F6">
        <w:rPr>
          <w:rFonts w:eastAsia="SimSun"/>
          <w:lang w:val="fr-FR" w:eastAsia="zh-CN"/>
        </w:rPr>
        <w:t>s</w:t>
      </w:r>
      <w:r w:rsidRPr="003F3120">
        <w:rPr>
          <w:rFonts w:eastAsia="SimSun"/>
          <w:lang w:val="fr-FR" w:eastAsia="zh-CN"/>
        </w:rPr>
        <w:t xml:space="preserve"> aux niveaux appropriés, pour ensuite fournir et mobiliser un </w:t>
      </w:r>
      <w:r w:rsidR="006B0D1A">
        <w:rPr>
          <w:rFonts w:eastAsia="SimSun"/>
          <w:lang w:val="fr-FR" w:eastAsia="zh-CN"/>
        </w:rPr>
        <w:t>appui</w:t>
      </w:r>
      <w:r w:rsidRPr="003F3120">
        <w:rPr>
          <w:rFonts w:eastAsia="SimSun"/>
          <w:lang w:val="fr-FR" w:eastAsia="zh-CN"/>
        </w:rPr>
        <w:t xml:space="preserve"> financier et autre afin de répondre aux besoins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plus prioritaires ayant directement trait aux activités de renforcement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capacités, comme décidé par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 xml:space="preserve">Plénière, et </w:t>
      </w:r>
      <w:r w:rsidR="006B0D1A">
        <w:rPr>
          <w:rFonts w:eastAsia="SimSun"/>
          <w:lang w:val="fr-FR" w:eastAsia="zh-CN"/>
        </w:rPr>
        <w:t>mobiliser</w:t>
      </w:r>
      <w:r w:rsidRPr="003F3120">
        <w:rPr>
          <w:rFonts w:eastAsia="SimSun"/>
          <w:lang w:val="fr-FR" w:eastAsia="zh-CN"/>
        </w:rPr>
        <w:t xml:space="preserve"> un financement en faveur de ces activités en créant un forum alimenté par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sources de financement conventionnelles et potentielles.</w:t>
      </w:r>
    </w:p>
    <w:p w14:paraId="07F5E43B" w14:textId="6AB1A466" w:rsidR="001609F3" w:rsidRPr="003F3120" w:rsidRDefault="001609F3" w:rsidP="00ED6939">
      <w:pPr>
        <w:pStyle w:val="Normalnumber"/>
        <w:numPr>
          <w:ilvl w:val="0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>Le programme de travail glissant insiste beaucoup sur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renforcement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collaboration entre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science,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politique et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pratique</w:t>
      </w:r>
      <w:r w:rsidR="00FD5D6A">
        <w:rPr>
          <w:rFonts w:eastAsia="SimSun"/>
          <w:lang w:val="fr-FR" w:eastAsia="zh-CN"/>
        </w:rPr>
        <w:t> ;</w:t>
      </w:r>
      <w:r w:rsidR="007031E0">
        <w:rPr>
          <w:rFonts w:eastAsia="SimSun"/>
          <w:lang w:val="fr-FR" w:eastAsia="zh-CN"/>
        </w:rPr>
        <w:t xml:space="preserve"> les </w:t>
      </w:r>
      <w:r w:rsidR="00C3764A" w:rsidRPr="003F3120">
        <w:rPr>
          <w:rFonts w:eastAsia="SimSun"/>
          <w:lang w:val="fr-FR" w:eastAsia="zh-CN"/>
        </w:rPr>
        <w:t>disciplines scientifiques</w:t>
      </w:r>
      <w:r w:rsidR="00FD5D6A">
        <w:rPr>
          <w:rFonts w:eastAsia="SimSun"/>
          <w:lang w:val="fr-FR" w:eastAsia="zh-CN"/>
        </w:rPr>
        <w:t> ;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différents types de connaissances</w:t>
      </w:r>
      <w:r w:rsidR="00FD5D6A">
        <w:rPr>
          <w:rFonts w:eastAsia="SimSun"/>
          <w:lang w:val="fr-FR" w:eastAsia="zh-CN"/>
        </w:rPr>
        <w:t> ;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quatre fonctions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Plateforme.</w:t>
      </w:r>
    </w:p>
    <w:p w14:paraId="7F4162E1" w14:textId="70FBEA8E" w:rsidR="001609F3" w:rsidRPr="003F3120" w:rsidRDefault="001609F3" w:rsidP="00ED6939">
      <w:pPr>
        <w:pStyle w:val="Normalnumber"/>
        <w:keepLines/>
        <w:numPr>
          <w:ilvl w:val="0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lastRenderedPageBreak/>
        <w:t>Le programme de travail glissant est guidé par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principes régissant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fonctionnement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</w:t>
      </w:r>
      <w:r w:rsidRPr="003F3120">
        <w:rPr>
          <w:rFonts w:eastAsia="SimSun"/>
          <w:vertAlign w:val="superscript"/>
          <w:lang w:val="fr-FR" w:eastAsia="zh-CN"/>
        </w:rPr>
        <w:footnoteReference w:id="19"/>
      </w:r>
      <w:r w:rsidR="00310EA1" w:rsidRPr="003F3120">
        <w:rPr>
          <w:rFonts w:eastAsia="SimSun"/>
          <w:lang w:val="fr-FR" w:eastAsia="zh-CN"/>
        </w:rPr>
        <w:t>, à savoir</w:t>
      </w:r>
      <w:r w:rsidR="00FD5D6A">
        <w:rPr>
          <w:rFonts w:eastAsia="SimSun"/>
          <w:lang w:val="fr-FR" w:eastAsia="zh-CN"/>
        </w:rPr>
        <w:t> :</w:t>
      </w:r>
      <w:r w:rsidRPr="003F3120">
        <w:rPr>
          <w:rFonts w:eastAsia="SimSun"/>
          <w:lang w:val="fr-FR" w:eastAsia="zh-CN"/>
        </w:rPr>
        <w:t xml:space="preserve"> collaborer avec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initiatives existantes sur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biodiversité et</w:t>
      </w:r>
      <w:r w:rsidR="007031E0">
        <w:rPr>
          <w:rFonts w:eastAsia="SimSun"/>
          <w:lang w:val="fr-FR" w:eastAsia="zh-CN"/>
        </w:rPr>
        <w:t xml:space="preserve"> les </w:t>
      </w:r>
      <w:r w:rsidR="00310EA1" w:rsidRPr="003F3120">
        <w:rPr>
          <w:rFonts w:eastAsia="SimSun"/>
          <w:lang w:val="fr-FR" w:eastAsia="zh-CN"/>
        </w:rPr>
        <w:t>services écosystémiques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être indépendante sur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plan scientifique et assurer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crédibilité,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pertinence et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légitimité de ses travaux en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faisant revoir par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pairs et en prenant ses décisions dans</w:t>
      </w:r>
      <w:r w:rsidR="007031E0">
        <w:rPr>
          <w:rFonts w:eastAsia="SimSun"/>
          <w:lang w:val="fr-FR" w:eastAsia="zh-CN"/>
        </w:rPr>
        <w:t xml:space="preserve"> la </w:t>
      </w:r>
      <w:r w:rsidR="005048C0" w:rsidRPr="003F3120">
        <w:rPr>
          <w:rFonts w:eastAsia="SimSun"/>
          <w:lang w:val="fr-FR" w:eastAsia="zh-CN"/>
        </w:rPr>
        <w:t>transparence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employer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moyens de communication clairs, transparents et scientifiquement crédibles pour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échange,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partage et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utilisation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données,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informations et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te</w:t>
      </w:r>
      <w:r w:rsidR="005048C0" w:rsidRPr="003F3120">
        <w:rPr>
          <w:rFonts w:eastAsia="SimSun"/>
          <w:lang w:val="fr-FR" w:eastAsia="zh-CN"/>
        </w:rPr>
        <w:t>chnologies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reconnaître et respecter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contribution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savoir</w:t>
      </w:r>
      <w:r w:rsidR="00263DE4">
        <w:rPr>
          <w:rFonts w:eastAsia="SimSun"/>
          <w:lang w:val="fr-FR" w:eastAsia="zh-CN"/>
        </w:rPr>
        <w:t>s</w:t>
      </w:r>
      <w:r w:rsidRPr="003F3120">
        <w:rPr>
          <w:rFonts w:eastAsia="SimSun"/>
          <w:lang w:val="fr-FR" w:eastAsia="zh-CN"/>
        </w:rPr>
        <w:t xml:space="preserve"> autochtone</w:t>
      </w:r>
      <w:r w:rsidR="00263DE4">
        <w:rPr>
          <w:rFonts w:eastAsia="SimSun"/>
          <w:lang w:val="fr-FR" w:eastAsia="zh-CN"/>
        </w:rPr>
        <w:t>s</w:t>
      </w:r>
      <w:r w:rsidRPr="003F3120">
        <w:rPr>
          <w:rFonts w:eastAsia="SimSun"/>
          <w:lang w:val="fr-FR" w:eastAsia="zh-CN"/>
        </w:rPr>
        <w:t xml:space="preserve"> et loca</w:t>
      </w:r>
      <w:r w:rsidR="00263DE4">
        <w:rPr>
          <w:rFonts w:eastAsia="SimSun"/>
          <w:lang w:val="fr-FR" w:eastAsia="zh-CN"/>
        </w:rPr>
        <w:t>ux</w:t>
      </w:r>
      <w:r w:rsidRPr="003F3120">
        <w:rPr>
          <w:rFonts w:eastAsia="SimSun"/>
          <w:lang w:val="fr-FR" w:eastAsia="zh-CN"/>
        </w:rPr>
        <w:t xml:space="preserve"> à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lang w:val="fr-FR"/>
        </w:rPr>
        <w:t>conservation et à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 durable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="005048C0" w:rsidRPr="003F3120">
        <w:rPr>
          <w:lang w:val="fr-FR"/>
        </w:rPr>
        <w:t>écosystèmes</w:t>
      </w:r>
      <w:r w:rsidR="00FD5D6A">
        <w:rPr>
          <w:lang w:val="fr-FR"/>
        </w:rPr>
        <w:t> ;</w:t>
      </w:r>
      <w:r w:rsidRPr="003F3120">
        <w:rPr>
          <w:rFonts w:eastAsia="SimSun"/>
          <w:lang w:val="fr-FR" w:eastAsia="zh-CN"/>
        </w:rPr>
        <w:t xml:space="preserve"> donner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informations utiles à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élaboration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politiques sans donner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avis prescriptifs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inclure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renforcement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capacités dans tous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lang w:val="fr-FR"/>
        </w:rPr>
        <w:t>aspects pertinents de ses </w:t>
      </w:r>
      <w:r w:rsidR="005048C0" w:rsidRPr="003F3120">
        <w:rPr>
          <w:lang w:val="fr-FR"/>
        </w:rPr>
        <w:t>travaux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prendre en compte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singularité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connaissances scientifiques connexes de chaque région et entre régions, ainsi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nécessité d</w:t>
      </w:r>
      <w:r w:rsidR="00FA5ADB">
        <w:rPr>
          <w:lang w:val="fr-FR"/>
        </w:rPr>
        <w:t>’</w:t>
      </w:r>
      <w:r w:rsidRPr="003F3120">
        <w:rPr>
          <w:lang w:val="fr-FR"/>
        </w:rPr>
        <w:t>une </w:t>
      </w:r>
      <w:r w:rsidRPr="003F3120">
        <w:rPr>
          <w:rFonts w:eastAsia="SimSun"/>
          <w:lang w:val="fr-FR" w:eastAsia="zh-CN"/>
        </w:rPr>
        <w:t>participation pleine et effective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pays en développement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une représentation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une participation régionales équilibrées dans sa structure et ses travaux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adopter une démarche interdisc</w:t>
      </w:r>
      <w:r w:rsidR="005048C0" w:rsidRPr="003F3120">
        <w:rPr>
          <w:rFonts w:eastAsia="SimSun"/>
          <w:lang w:val="fr-FR" w:eastAsia="zh-CN"/>
        </w:rPr>
        <w:t>iplinaire et multidisciplinaire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reconnaître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nécessité de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équité entre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sexes dans tous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aspects pertinents de ses </w:t>
      </w:r>
      <w:r w:rsidR="005048C0" w:rsidRPr="003F3120">
        <w:rPr>
          <w:rFonts w:eastAsia="SimSun"/>
          <w:lang w:val="fr-FR" w:eastAsia="zh-CN"/>
        </w:rPr>
        <w:t>travaux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s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intéresser à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biodiversité et aux services fournis par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écosystèmes terrestres, marins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eaux intérieures ainsi qu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à leurs</w:t>
      </w:r>
      <w:r w:rsidR="005048C0" w:rsidRPr="003F3120">
        <w:rPr>
          <w:lang w:val="fr-FR"/>
        </w:rPr>
        <w:t xml:space="preserve"> interactions</w:t>
      </w:r>
      <w:r w:rsidR="00FD5D6A">
        <w:rPr>
          <w:lang w:val="fr-FR"/>
        </w:rPr>
        <w:t> ;</w:t>
      </w:r>
      <w:r w:rsidRPr="003F3120" w:rsidDel="00663C36">
        <w:rPr>
          <w:rFonts w:eastAsia="SimSun"/>
          <w:lang w:val="fr-FR" w:eastAsia="zh-CN"/>
        </w:rPr>
        <w:t xml:space="preserve"> </w:t>
      </w:r>
      <w:r w:rsidRPr="003F3120">
        <w:rPr>
          <w:rFonts w:eastAsia="SimSun"/>
          <w:lang w:val="fr-FR" w:eastAsia="zh-CN"/>
        </w:rPr>
        <w:t>assurer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pleine utilisation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connaissances nationales, sous-régionales et régionales, selon qu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il convient,</w:t>
      </w:r>
      <w:r w:rsidR="007031E0">
        <w:rPr>
          <w:rFonts w:eastAsia="SimSun"/>
          <w:lang w:val="fr-FR" w:eastAsia="zh-CN"/>
        </w:rPr>
        <w:t xml:space="preserve"> y </w:t>
      </w:r>
      <w:r w:rsidRPr="003F3120">
        <w:rPr>
          <w:rFonts w:eastAsia="SimSun"/>
          <w:lang w:val="fr-FR" w:eastAsia="zh-CN"/>
        </w:rPr>
        <w:t>compris en partant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 xml:space="preserve">base. </w:t>
      </w:r>
    </w:p>
    <w:p w14:paraId="0A7B3B77" w14:textId="4A3A43AC" w:rsidR="001609F3" w:rsidRPr="003F3120" w:rsidRDefault="001609F3" w:rsidP="00ED6939">
      <w:pPr>
        <w:pStyle w:val="Normalnumber"/>
        <w:numPr>
          <w:ilvl w:val="0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 xml:space="preserve">Le programme de travail 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>pour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la 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 xml:space="preserve">période allant </w:t>
      </w:r>
      <w:r w:rsidRPr="003F3120">
        <w:rPr>
          <w:rFonts w:eastAsia="SimSun"/>
          <w:lang w:val="fr-FR" w:eastAsia="zh-CN"/>
        </w:rPr>
        <w:t>jusqu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en 2030 est un programme glissant, dont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calendrier devrait être stratégique et prévisible, afin de permettre aux organismes de recherche et autres entités chargées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programmes, ainsi qu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aux partenaires stratégiques,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appuyer efficacement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réalisation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produits définis.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 xml:space="preserve">Plénière lancera de nouveaux appels à demandes, contributions et </w:t>
      </w:r>
      <w:r w:rsidRPr="003F3120">
        <w:rPr>
          <w:lang w:val="fr-FR"/>
        </w:rPr>
        <w:t>suggestions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courant du programme de travail conformément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procédure prévue dans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décision IPBES-1/3,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demandes, contributions et suggestions devant par conséquent être présentées au plus tard six mois avant une session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Plateforme.</w:t>
      </w:r>
    </w:p>
    <w:p w14:paraId="34A50319" w14:textId="7CEE931F" w:rsidR="001609F3" w:rsidRPr="003F3120" w:rsidRDefault="001609F3" w:rsidP="001609F3">
      <w:pPr>
        <w:pStyle w:val="CH1"/>
        <w:rPr>
          <w:rFonts w:eastAsia="SimSun"/>
          <w:noProof/>
          <w:lang w:val="fr-FR"/>
        </w:rPr>
      </w:pPr>
      <w:r w:rsidRPr="003F3120">
        <w:rPr>
          <w:rFonts w:eastAsia="SimSun"/>
          <w:lang w:val="fr-FR"/>
        </w:rPr>
        <w:tab/>
        <w:t>II</w:t>
      </w:r>
      <w:r w:rsidRPr="003F3120">
        <w:rPr>
          <w:rFonts w:eastAsia="SimSun"/>
          <w:noProof/>
          <w:lang w:val="fr-FR"/>
        </w:rPr>
        <w:t>.</w:t>
      </w:r>
      <w:r w:rsidRPr="003F3120">
        <w:rPr>
          <w:rFonts w:eastAsia="SimSun"/>
          <w:noProof/>
          <w:lang w:val="fr-FR"/>
        </w:rPr>
        <w:tab/>
        <w:t xml:space="preserve">Éléments du programme de travail glissant 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>pour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la 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>période allant</w:t>
      </w:r>
      <w:r w:rsidR="007C65E5">
        <w:rPr>
          <w:rStyle w:val="DeltaViewInsertion"/>
          <w:rFonts w:eastAsia="MS Mincho"/>
          <w:color w:val="auto"/>
          <w:u w:val="none"/>
          <w:lang w:val="fr-FR"/>
        </w:rPr>
        <w:t> </w:t>
      </w:r>
      <w:r w:rsidRPr="003F3120">
        <w:rPr>
          <w:rFonts w:eastAsia="SimSun"/>
          <w:noProof/>
          <w:lang w:val="fr-FR"/>
        </w:rPr>
        <w:t>jusqu</w:t>
      </w:r>
      <w:r w:rsidR="00FA5ADB">
        <w:rPr>
          <w:rFonts w:eastAsia="SimSun"/>
          <w:noProof/>
          <w:lang w:val="fr-FR"/>
        </w:rPr>
        <w:t>’</w:t>
      </w:r>
      <w:r w:rsidRPr="003F3120">
        <w:rPr>
          <w:rFonts w:eastAsia="SimSun"/>
          <w:noProof/>
          <w:lang w:val="fr-FR"/>
        </w:rPr>
        <w:t>en 2030</w:t>
      </w:r>
    </w:p>
    <w:p w14:paraId="397498C5" w14:textId="77777777" w:rsidR="001609F3" w:rsidRPr="003F3120" w:rsidRDefault="001609F3" w:rsidP="001609F3">
      <w:pPr>
        <w:pStyle w:val="CH2"/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ab/>
        <w:t>A.</w:t>
      </w:r>
      <w:r w:rsidRPr="003F3120">
        <w:rPr>
          <w:rFonts w:eastAsia="SimSun"/>
          <w:lang w:val="fr-FR" w:eastAsia="zh-CN"/>
        </w:rPr>
        <w:tab/>
        <w:t xml:space="preserve">Sujets prioritaires </w:t>
      </w:r>
    </w:p>
    <w:p w14:paraId="49158A5E" w14:textId="7579676D" w:rsidR="001609F3" w:rsidRPr="003F3120" w:rsidRDefault="001609F3" w:rsidP="00ED6939">
      <w:pPr>
        <w:pStyle w:val="Normalnumber"/>
        <w:numPr>
          <w:ilvl w:val="0"/>
          <w:numId w:val="6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>Le programme de travail glissant sera axé, dans un premier temps, sur trois sujets découlant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réponses au premier appel à demandes, contributions et suggestions, jugés prioritaires. Ces</w:t>
      </w:r>
      <w:r w:rsidR="007C65E5">
        <w:rPr>
          <w:rFonts w:eastAsia="SimSun"/>
          <w:lang w:val="fr-FR" w:eastAsia="zh-CN"/>
        </w:rPr>
        <w:t> </w:t>
      </w:r>
      <w:r w:rsidRPr="003F3120">
        <w:rPr>
          <w:rFonts w:eastAsia="SimSun"/>
          <w:lang w:val="fr-FR" w:eastAsia="zh-CN"/>
        </w:rPr>
        <w:t>trois</w:t>
      </w:r>
      <w:r w:rsidR="007C65E5">
        <w:rPr>
          <w:rFonts w:eastAsia="SimSun"/>
          <w:lang w:val="fr-FR" w:eastAsia="zh-CN"/>
        </w:rPr>
        <w:t> </w:t>
      </w:r>
      <w:r w:rsidRPr="003F3120">
        <w:rPr>
          <w:rFonts w:eastAsia="SimSun"/>
          <w:lang w:val="fr-FR" w:eastAsia="zh-CN"/>
        </w:rPr>
        <w:t>sujets, qui sont tous alignés sur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objectif global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 et son cadre politique, sont</w:t>
      </w:r>
      <w:r w:rsidR="007031E0">
        <w:rPr>
          <w:rFonts w:eastAsia="SimSun"/>
          <w:lang w:val="fr-FR" w:eastAsia="zh-CN"/>
        </w:rPr>
        <w:t xml:space="preserve"> les </w:t>
      </w:r>
      <w:r w:rsidR="00E11447" w:rsidRPr="003F3120">
        <w:rPr>
          <w:rFonts w:eastAsia="SimSun"/>
          <w:lang w:val="fr-FR" w:eastAsia="zh-CN"/>
        </w:rPr>
        <w:t>suivants</w:t>
      </w:r>
      <w:r w:rsidR="00FD5D6A">
        <w:rPr>
          <w:rFonts w:eastAsia="SimSun"/>
          <w:lang w:val="fr-FR" w:eastAsia="zh-CN"/>
        </w:rPr>
        <w:t> :</w:t>
      </w:r>
      <w:r w:rsidRPr="003F3120">
        <w:rPr>
          <w:rFonts w:eastAsia="SimSun"/>
          <w:lang w:val="fr-FR" w:eastAsia="zh-CN"/>
        </w:rPr>
        <w:t xml:space="preserve"> </w:t>
      </w:r>
    </w:p>
    <w:p w14:paraId="5A6A18F4" w14:textId="71A26068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/>
        </w:rPr>
      </w:pPr>
      <w:bookmarkStart w:id="81" w:name="_Hlk534727804"/>
      <w:bookmarkStart w:id="82" w:name="_Hlk534540629"/>
      <w:r w:rsidRPr="003F3120">
        <w:rPr>
          <w:rFonts w:eastAsia="SimSun"/>
          <w:i/>
          <w:lang w:val="fr-FR" w:eastAsia="zh-CN"/>
        </w:rPr>
        <w:t>Comprendre l</w:t>
      </w:r>
      <w:r w:rsidR="00FA5ADB">
        <w:rPr>
          <w:rFonts w:eastAsia="SimSun"/>
          <w:i/>
          <w:lang w:val="fr-FR" w:eastAsia="zh-CN"/>
        </w:rPr>
        <w:t>’</w:t>
      </w:r>
      <w:r w:rsidRPr="003F3120">
        <w:rPr>
          <w:rFonts w:eastAsia="SimSun"/>
          <w:i/>
          <w:lang w:val="fr-FR" w:eastAsia="zh-CN"/>
        </w:rPr>
        <w:t>importance de</w:t>
      </w:r>
      <w:r w:rsidR="007031E0">
        <w:rPr>
          <w:rFonts w:eastAsia="SimSun"/>
          <w:i/>
          <w:lang w:val="fr-FR" w:eastAsia="zh-CN"/>
        </w:rPr>
        <w:t xml:space="preserve"> la </w:t>
      </w:r>
      <w:r w:rsidRPr="003F3120">
        <w:rPr>
          <w:rFonts w:eastAsia="SimSun"/>
          <w:i/>
          <w:lang w:val="fr-FR" w:eastAsia="zh-CN"/>
        </w:rPr>
        <w:t>biodiversité dans</w:t>
      </w:r>
      <w:r w:rsidR="007031E0">
        <w:rPr>
          <w:rFonts w:eastAsia="SimSun"/>
          <w:i/>
          <w:lang w:val="fr-FR" w:eastAsia="zh-CN"/>
        </w:rPr>
        <w:t xml:space="preserve"> la </w:t>
      </w:r>
      <w:r w:rsidRPr="003F3120">
        <w:rPr>
          <w:rFonts w:eastAsia="SimSun"/>
          <w:i/>
          <w:lang w:val="fr-FR" w:eastAsia="zh-CN"/>
        </w:rPr>
        <w:t>réalisation du Programme de développement durable à l</w:t>
      </w:r>
      <w:r w:rsidR="00FA5ADB">
        <w:rPr>
          <w:rFonts w:eastAsia="SimSun"/>
          <w:i/>
          <w:lang w:val="fr-FR" w:eastAsia="zh-CN"/>
        </w:rPr>
        <w:t>’</w:t>
      </w:r>
      <w:r w:rsidRPr="003F3120">
        <w:rPr>
          <w:rFonts w:eastAsia="SimSun"/>
          <w:i/>
          <w:lang w:val="fr-FR" w:eastAsia="zh-CN"/>
        </w:rPr>
        <w:t>horizon 2030</w:t>
      </w:r>
      <w:bookmarkEnd w:id="81"/>
      <w:r w:rsidR="00FD5D6A">
        <w:rPr>
          <w:rFonts w:eastAsia="SimSun"/>
          <w:i/>
          <w:lang w:val="fr-FR" w:eastAsia="zh-CN"/>
        </w:rPr>
        <w:t> :</w:t>
      </w:r>
      <w:r w:rsidRPr="003F3120">
        <w:rPr>
          <w:rFonts w:eastAsia="SimSun"/>
          <w:lang w:val="fr-FR" w:eastAsia="zh-CN"/>
        </w:rPr>
        <w:t xml:space="preserve">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examen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nature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liens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interdépendance entre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biodiversité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autres questions connexes reprises dans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 xml:space="preserve">Programme 2030 pourrait aider </w:t>
      </w:r>
      <w:r w:rsidR="00263DE4">
        <w:rPr>
          <w:rFonts w:eastAsia="SimSun"/>
          <w:lang w:val="fr-FR" w:eastAsia="zh-CN"/>
        </w:rPr>
        <w:t>à comprendre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conséquences,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dépendances,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synergies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compromis relatifs à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biodiversité dont traitent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objectifs de développement durable, ainsi que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solutions pour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adoption de démarches intégrées et intersectorielles visant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réalisation du Programme 2030</w:t>
      </w:r>
      <w:r w:rsidRPr="003F3120">
        <w:rPr>
          <w:lang w:val="fr-FR"/>
        </w:rPr>
        <w:t>. Pour relever ce défi,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produits </w:t>
      </w:r>
      <w:r w:rsidR="00263DE4">
        <w:rPr>
          <w:lang w:val="fr-FR"/>
        </w:rPr>
        <w:t>correspondants</w:t>
      </w:r>
      <w:r w:rsidRPr="003F3120">
        <w:rPr>
          <w:lang w:val="fr-FR"/>
        </w:rPr>
        <w:t xml:space="preserve"> se pencheront notamment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liens d</w:t>
      </w:r>
      <w:r w:rsidR="00FA5ADB">
        <w:rPr>
          <w:lang w:val="fr-FR"/>
        </w:rPr>
        <w:t>’</w:t>
      </w:r>
      <w:r w:rsidRPr="003F3120">
        <w:rPr>
          <w:lang w:val="fr-FR"/>
        </w:rPr>
        <w:t>interdépendance entre</w:t>
      </w:r>
      <w:r w:rsidR="007031E0">
        <w:rPr>
          <w:lang w:val="fr-FR"/>
        </w:rPr>
        <w:t xml:space="preserve"> la </w:t>
      </w:r>
      <w:r w:rsidRPr="003F3120">
        <w:rPr>
          <w:rFonts w:eastAsia="SimSun"/>
          <w:lang w:val="fr-FR" w:eastAsia="zh-CN"/>
        </w:rPr>
        <w:t>biodiversité,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eau,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alimentation et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santé et aussi entre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biodiversité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changements climatiques, en vue d</w:t>
      </w:r>
      <w:r w:rsidR="00FA5ADB">
        <w:rPr>
          <w:rFonts w:eastAsia="SimSun"/>
          <w:lang w:val="fr-FR" w:eastAsia="zh-CN"/>
        </w:rPr>
        <w:t>’</w:t>
      </w:r>
      <w:r w:rsidR="00263DE4">
        <w:rPr>
          <w:rFonts w:eastAsia="SimSun"/>
          <w:lang w:val="fr-FR" w:eastAsia="zh-CN"/>
        </w:rPr>
        <w:t>orienter</w:t>
      </w:r>
      <w:r w:rsidRPr="003F3120">
        <w:rPr>
          <w:rFonts w:eastAsia="SimSun"/>
          <w:lang w:val="fr-FR" w:eastAsia="zh-CN"/>
        </w:rPr>
        <w:t xml:space="preserve">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élaboration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politiques et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mesures.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aspects étudiés pourront également comprendre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rôle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connectivité pour veiller à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intégrité et à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résilience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systèmes socioécologiques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</w:t>
      </w:r>
      <w:bookmarkEnd w:id="82"/>
    </w:p>
    <w:p w14:paraId="334C3C8E" w14:textId="5D90ADB1" w:rsidR="001609F3" w:rsidRPr="003F3120" w:rsidRDefault="001609F3" w:rsidP="00ED6939">
      <w:pPr>
        <w:pStyle w:val="Normalnumber"/>
        <w:numPr>
          <w:ilvl w:val="1"/>
          <w:numId w:val="6"/>
        </w:numPr>
        <w:rPr>
          <w:rFonts w:eastAsia="SimSun"/>
          <w:lang w:val="fr-FR" w:eastAsia="zh-CN"/>
        </w:rPr>
      </w:pPr>
      <w:bookmarkStart w:id="83" w:name="_Hlk534727844"/>
      <w:bookmarkStart w:id="84" w:name="_Hlk534727207"/>
      <w:r w:rsidRPr="003F3120">
        <w:rPr>
          <w:rFonts w:eastAsia="SimSun"/>
          <w:i/>
          <w:lang w:val="fr-FR" w:eastAsia="zh-CN"/>
        </w:rPr>
        <w:t>Comprendre</w:t>
      </w:r>
      <w:r w:rsidR="007031E0">
        <w:rPr>
          <w:rFonts w:eastAsia="SimSun"/>
          <w:i/>
          <w:lang w:val="fr-FR" w:eastAsia="zh-CN"/>
        </w:rPr>
        <w:t xml:space="preserve"> les </w:t>
      </w:r>
      <w:r w:rsidRPr="003F3120">
        <w:rPr>
          <w:rFonts w:eastAsia="SimSun"/>
          <w:i/>
          <w:lang w:val="fr-FR" w:eastAsia="zh-CN"/>
        </w:rPr>
        <w:t>causes profondes de l</w:t>
      </w:r>
      <w:r w:rsidR="00FA5ADB">
        <w:rPr>
          <w:rFonts w:eastAsia="SimSun"/>
          <w:i/>
          <w:lang w:val="fr-FR" w:eastAsia="zh-CN"/>
        </w:rPr>
        <w:t>’</w:t>
      </w:r>
      <w:r w:rsidRPr="003F3120">
        <w:rPr>
          <w:rFonts w:eastAsia="SimSun"/>
          <w:i/>
          <w:lang w:val="fr-FR" w:eastAsia="zh-CN"/>
        </w:rPr>
        <w:t>érosion de</w:t>
      </w:r>
      <w:r w:rsidR="007031E0">
        <w:rPr>
          <w:rFonts w:eastAsia="SimSun"/>
          <w:i/>
          <w:lang w:val="fr-FR" w:eastAsia="zh-CN"/>
        </w:rPr>
        <w:t xml:space="preserve"> la </w:t>
      </w:r>
      <w:r w:rsidRPr="003F3120">
        <w:rPr>
          <w:rFonts w:eastAsia="SimSun"/>
          <w:i/>
          <w:lang w:val="fr-FR" w:eastAsia="zh-CN"/>
        </w:rPr>
        <w:t>biodiversité et</w:t>
      </w:r>
      <w:r w:rsidR="007031E0">
        <w:rPr>
          <w:rFonts w:eastAsia="SimSun"/>
          <w:i/>
          <w:lang w:val="fr-FR" w:eastAsia="zh-CN"/>
        </w:rPr>
        <w:t xml:space="preserve"> les </w:t>
      </w:r>
      <w:r w:rsidRPr="003F3120">
        <w:rPr>
          <w:rFonts w:eastAsia="SimSun"/>
          <w:i/>
          <w:lang w:val="fr-FR" w:eastAsia="zh-CN"/>
        </w:rPr>
        <w:t>déterminants</w:t>
      </w:r>
      <w:r w:rsidR="007031E0">
        <w:rPr>
          <w:rFonts w:eastAsia="SimSun"/>
          <w:i/>
          <w:lang w:val="fr-FR" w:eastAsia="zh-CN"/>
        </w:rPr>
        <w:t xml:space="preserve"> des </w:t>
      </w:r>
      <w:r w:rsidRPr="003F3120">
        <w:rPr>
          <w:rFonts w:eastAsia="SimSun"/>
          <w:i/>
          <w:lang w:val="fr-FR" w:eastAsia="zh-CN"/>
        </w:rPr>
        <w:t>changements transformateurs</w:t>
      </w:r>
      <w:r w:rsidRPr="003F3120">
        <w:rPr>
          <w:rStyle w:val="FootnoteReference"/>
          <w:rFonts w:eastAsia="SimSun"/>
          <w:i/>
          <w:lang w:val="fr-FR" w:eastAsia="zh-CN"/>
        </w:rPr>
        <w:footnoteReference w:id="20"/>
      </w:r>
      <w:r w:rsidRPr="003F3120">
        <w:rPr>
          <w:rFonts w:eastAsia="SimSun"/>
          <w:i/>
          <w:lang w:val="fr-FR" w:eastAsia="zh-CN"/>
        </w:rPr>
        <w:t xml:space="preserve"> et</w:t>
      </w:r>
      <w:r w:rsidR="007031E0">
        <w:rPr>
          <w:rFonts w:eastAsia="SimSun"/>
          <w:i/>
          <w:lang w:val="fr-FR" w:eastAsia="zh-CN"/>
        </w:rPr>
        <w:t xml:space="preserve"> les </w:t>
      </w:r>
      <w:r w:rsidRPr="003F3120">
        <w:rPr>
          <w:rFonts w:eastAsia="SimSun"/>
          <w:i/>
          <w:lang w:val="fr-FR" w:eastAsia="zh-CN"/>
        </w:rPr>
        <w:t>solutions pour réaliser</w:t>
      </w:r>
      <w:r w:rsidR="007031E0">
        <w:rPr>
          <w:rFonts w:eastAsia="SimSun"/>
          <w:i/>
          <w:lang w:val="fr-FR" w:eastAsia="zh-CN"/>
        </w:rPr>
        <w:t xml:space="preserve"> la </w:t>
      </w:r>
      <w:r w:rsidRPr="003F3120">
        <w:rPr>
          <w:rFonts w:eastAsia="SimSun"/>
          <w:i/>
          <w:lang w:val="fr-FR" w:eastAsia="zh-CN"/>
        </w:rPr>
        <w:t>Vision 2050 pour</w:t>
      </w:r>
      <w:r w:rsidR="007031E0">
        <w:rPr>
          <w:rFonts w:eastAsia="SimSun"/>
          <w:i/>
          <w:lang w:val="fr-FR" w:eastAsia="zh-CN"/>
        </w:rPr>
        <w:t xml:space="preserve"> la </w:t>
      </w:r>
      <w:r w:rsidRPr="003F3120">
        <w:rPr>
          <w:rFonts w:eastAsia="SimSun"/>
          <w:i/>
          <w:lang w:val="fr-FR" w:eastAsia="zh-CN"/>
        </w:rPr>
        <w:t>biodiversité</w:t>
      </w:r>
      <w:bookmarkEnd w:id="83"/>
      <w:r w:rsidR="00FD5D6A">
        <w:rPr>
          <w:rFonts w:eastAsia="SimSun"/>
          <w:i/>
          <w:lang w:val="fr-FR" w:eastAsia="zh-CN"/>
        </w:rPr>
        <w:t> :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réalisation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 xml:space="preserve">Vision </w:t>
      </w:r>
      <w:r w:rsidRPr="003F3120">
        <w:rPr>
          <w:rFonts w:eastAsia="MS Mincho"/>
          <w:snapToGrid w:val="0"/>
          <w:lang w:val="fr-FR"/>
        </w:rPr>
        <w:t>2050 parallèlement aux objectifs de développement durable peut s</w:t>
      </w:r>
      <w:r w:rsidR="00FA5ADB">
        <w:rPr>
          <w:rFonts w:eastAsia="MS Mincho"/>
          <w:snapToGrid w:val="0"/>
          <w:lang w:val="fr-FR"/>
        </w:rPr>
        <w:t>’</w:t>
      </w:r>
      <w:r w:rsidRPr="003F3120">
        <w:rPr>
          <w:rFonts w:eastAsia="MS Mincho"/>
          <w:snapToGrid w:val="0"/>
          <w:lang w:val="fr-FR"/>
        </w:rPr>
        <w:t>appuyer sur une meilleure compréhension</w:t>
      </w:r>
      <w:r w:rsidR="007031E0">
        <w:rPr>
          <w:rFonts w:eastAsia="MS Mincho"/>
          <w:snapToGrid w:val="0"/>
          <w:lang w:val="fr-FR"/>
        </w:rPr>
        <w:t xml:space="preserve"> des </w:t>
      </w:r>
      <w:r w:rsidRPr="003F3120">
        <w:rPr>
          <w:rFonts w:eastAsia="MS Mincho"/>
          <w:snapToGrid w:val="0"/>
          <w:lang w:val="fr-FR"/>
        </w:rPr>
        <w:t>changements fondamentaux nécessaires à de multiples niveaux,</w:t>
      </w:r>
      <w:r w:rsidR="007031E0">
        <w:rPr>
          <w:rFonts w:eastAsia="MS Mincho"/>
          <w:snapToGrid w:val="0"/>
          <w:lang w:val="fr-FR"/>
        </w:rPr>
        <w:t xml:space="preserve"> des </w:t>
      </w:r>
      <w:r w:rsidRPr="003F3120">
        <w:rPr>
          <w:rFonts w:eastAsia="MS Mincho"/>
          <w:snapToGrid w:val="0"/>
          <w:lang w:val="fr-FR"/>
        </w:rPr>
        <w:t>individus jusqu</w:t>
      </w:r>
      <w:r w:rsidR="00FA5ADB">
        <w:rPr>
          <w:rFonts w:eastAsia="MS Mincho"/>
          <w:snapToGrid w:val="0"/>
          <w:lang w:val="fr-FR"/>
        </w:rPr>
        <w:t>’</w:t>
      </w:r>
      <w:r w:rsidRPr="003F3120">
        <w:rPr>
          <w:rFonts w:eastAsia="MS Mincho"/>
          <w:snapToGrid w:val="0"/>
          <w:lang w:val="fr-FR"/>
        </w:rPr>
        <w:t>à l</w:t>
      </w:r>
      <w:r w:rsidR="00FA5ADB">
        <w:rPr>
          <w:rFonts w:eastAsia="MS Mincho"/>
          <w:snapToGrid w:val="0"/>
          <w:lang w:val="fr-FR"/>
        </w:rPr>
        <w:t>’</w:t>
      </w:r>
      <w:r w:rsidRPr="003F3120">
        <w:rPr>
          <w:rFonts w:eastAsia="MS Mincho"/>
          <w:snapToGrid w:val="0"/>
          <w:lang w:val="fr-FR"/>
        </w:rPr>
        <w:t>ensemble de</w:t>
      </w:r>
      <w:r w:rsidR="007031E0">
        <w:rPr>
          <w:rFonts w:eastAsia="MS Mincho"/>
          <w:snapToGrid w:val="0"/>
          <w:lang w:val="fr-FR"/>
        </w:rPr>
        <w:t xml:space="preserve"> la </w:t>
      </w:r>
      <w:r w:rsidRPr="003F3120">
        <w:rPr>
          <w:rFonts w:eastAsia="MS Mincho"/>
          <w:snapToGrid w:val="0"/>
          <w:lang w:val="fr-FR"/>
        </w:rPr>
        <w:t>société, en passant par</w:t>
      </w:r>
      <w:r w:rsidR="007031E0">
        <w:rPr>
          <w:rFonts w:eastAsia="MS Mincho"/>
          <w:snapToGrid w:val="0"/>
          <w:lang w:val="fr-FR"/>
        </w:rPr>
        <w:t xml:space="preserve"> les </w:t>
      </w:r>
      <w:r w:rsidRPr="003F3120">
        <w:rPr>
          <w:rFonts w:eastAsia="MS Mincho"/>
          <w:snapToGrid w:val="0"/>
          <w:lang w:val="fr-FR"/>
        </w:rPr>
        <w:t>comm</w:t>
      </w:r>
      <w:r w:rsidR="00520B69">
        <w:rPr>
          <w:rFonts w:eastAsia="MS Mincho"/>
          <w:snapToGrid w:val="0"/>
          <w:lang w:val="fr-FR"/>
        </w:rPr>
        <w:t>unautés et</w:t>
      </w:r>
      <w:r w:rsidR="007031E0">
        <w:rPr>
          <w:rFonts w:eastAsia="MS Mincho"/>
          <w:snapToGrid w:val="0"/>
          <w:lang w:val="fr-FR"/>
        </w:rPr>
        <w:t xml:space="preserve"> les </w:t>
      </w:r>
      <w:r w:rsidR="00520B69">
        <w:rPr>
          <w:rFonts w:eastAsia="MS Mincho"/>
          <w:snapToGrid w:val="0"/>
          <w:lang w:val="fr-FR"/>
        </w:rPr>
        <w:t>entreprises.</w:t>
      </w:r>
      <w:r w:rsidR="007031E0">
        <w:rPr>
          <w:rFonts w:eastAsia="MS Mincho"/>
          <w:snapToGrid w:val="0"/>
          <w:lang w:val="fr-FR"/>
        </w:rPr>
        <w:t xml:space="preserve"> Les </w:t>
      </w:r>
      <w:r w:rsidRPr="003F3120">
        <w:rPr>
          <w:rFonts w:eastAsia="MS Mincho"/>
          <w:snapToGrid w:val="0"/>
          <w:lang w:val="fr-FR"/>
        </w:rPr>
        <w:t xml:space="preserve">produits </w:t>
      </w:r>
      <w:r w:rsidR="00263DE4">
        <w:rPr>
          <w:rFonts w:eastAsia="MS Mincho"/>
          <w:snapToGrid w:val="0"/>
          <w:lang w:val="fr-FR"/>
        </w:rPr>
        <w:t>correspondants</w:t>
      </w:r>
      <w:r w:rsidRPr="003F3120">
        <w:rPr>
          <w:rFonts w:eastAsia="MS Mincho"/>
          <w:snapToGrid w:val="0"/>
          <w:lang w:val="fr-FR"/>
        </w:rPr>
        <w:t xml:space="preserve"> ont pour but d</w:t>
      </w:r>
      <w:r w:rsidR="00FA5ADB">
        <w:rPr>
          <w:rFonts w:eastAsia="MS Mincho"/>
          <w:snapToGrid w:val="0"/>
          <w:lang w:val="fr-FR"/>
        </w:rPr>
        <w:t>’</w:t>
      </w:r>
      <w:r w:rsidRPr="003F3120">
        <w:rPr>
          <w:rFonts w:eastAsia="MS Mincho"/>
          <w:snapToGrid w:val="0"/>
          <w:lang w:val="fr-FR"/>
        </w:rPr>
        <w:t>identifier et de comprendre</w:t>
      </w:r>
      <w:r w:rsidRPr="003F3120">
        <w:rPr>
          <w:rFonts w:eastAsia="Calibri"/>
          <w:bCs/>
          <w:lang w:val="fr-FR"/>
        </w:rPr>
        <w:t>, chez l</w:t>
      </w:r>
      <w:r w:rsidR="00FA5ADB">
        <w:rPr>
          <w:rFonts w:eastAsia="Calibri"/>
          <w:bCs/>
          <w:lang w:val="fr-FR"/>
        </w:rPr>
        <w:t>’</w:t>
      </w:r>
      <w:r w:rsidRPr="003F3120">
        <w:rPr>
          <w:rFonts w:eastAsia="Calibri"/>
          <w:bCs/>
          <w:lang w:val="fr-FR"/>
        </w:rPr>
        <w:t>individu et dans</w:t>
      </w:r>
      <w:r w:rsidR="007031E0">
        <w:rPr>
          <w:rFonts w:eastAsia="Calibri"/>
          <w:bCs/>
          <w:lang w:val="fr-FR"/>
        </w:rPr>
        <w:t xml:space="preserve"> la </w:t>
      </w:r>
      <w:r w:rsidRPr="003F3120">
        <w:rPr>
          <w:rFonts w:eastAsia="Calibri"/>
          <w:bCs/>
          <w:lang w:val="fr-FR"/>
        </w:rPr>
        <w:t>collectivité, et dans toutes leurs dimensions – comportementale, sociale, culturelle, économique, institutionnelle, technique et technologique –</w:t>
      </w:r>
      <w:r w:rsidR="007031E0">
        <w:rPr>
          <w:rFonts w:eastAsia="Calibri"/>
          <w:bCs/>
          <w:lang w:val="fr-FR"/>
        </w:rPr>
        <w:t xml:space="preserve"> les </w:t>
      </w:r>
      <w:r w:rsidRPr="003F3120">
        <w:rPr>
          <w:rFonts w:eastAsia="Calibri"/>
          <w:bCs/>
          <w:lang w:val="fr-FR"/>
        </w:rPr>
        <w:t>facteurs qui pourraient être mobilisés pour amener</w:t>
      </w:r>
      <w:r w:rsidR="007031E0">
        <w:rPr>
          <w:rFonts w:eastAsia="Calibri"/>
          <w:bCs/>
          <w:lang w:val="fr-FR"/>
        </w:rPr>
        <w:t xml:space="preserve"> des </w:t>
      </w:r>
      <w:r w:rsidRPr="003F3120">
        <w:rPr>
          <w:rFonts w:eastAsia="Calibri"/>
          <w:bCs/>
          <w:lang w:val="fr-FR"/>
        </w:rPr>
        <w:t>changements transformateurs en vue de</w:t>
      </w:r>
      <w:r w:rsidR="007031E0">
        <w:rPr>
          <w:rFonts w:eastAsia="Calibri"/>
          <w:bCs/>
          <w:lang w:val="fr-FR"/>
        </w:rPr>
        <w:t xml:space="preserve"> la </w:t>
      </w:r>
      <w:r w:rsidRPr="003F3120">
        <w:rPr>
          <w:rFonts w:eastAsia="Calibri"/>
          <w:bCs/>
          <w:lang w:val="fr-FR"/>
        </w:rPr>
        <w:t>conservation, de</w:t>
      </w:r>
      <w:r w:rsidR="007031E0">
        <w:rPr>
          <w:rFonts w:eastAsia="Calibri"/>
          <w:bCs/>
          <w:lang w:val="fr-FR"/>
        </w:rPr>
        <w:t xml:space="preserve"> la </w:t>
      </w:r>
      <w:r w:rsidRPr="003F3120">
        <w:rPr>
          <w:rFonts w:eastAsia="Calibri"/>
          <w:bCs/>
          <w:lang w:val="fr-FR"/>
        </w:rPr>
        <w:t>restauration et de l</w:t>
      </w:r>
      <w:r w:rsidR="00FA5ADB">
        <w:rPr>
          <w:rFonts w:eastAsia="Calibri"/>
          <w:bCs/>
          <w:lang w:val="fr-FR"/>
        </w:rPr>
        <w:t>’</w:t>
      </w:r>
      <w:r w:rsidRPr="003F3120">
        <w:rPr>
          <w:rFonts w:eastAsia="Calibri"/>
          <w:bCs/>
          <w:lang w:val="fr-FR"/>
        </w:rPr>
        <w:t xml:space="preserve">utilisation </w:t>
      </w:r>
      <w:r w:rsidRPr="003F3120">
        <w:rPr>
          <w:rFonts w:eastAsia="Calibri"/>
          <w:bCs/>
          <w:lang w:val="fr-FR"/>
        </w:rPr>
        <w:lastRenderedPageBreak/>
        <w:t>rationnelle de</w:t>
      </w:r>
      <w:r w:rsidR="007031E0">
        <w:rPr>
          <w:rFonts w:eastAsia="Calibri"/>
          <w:bCs/>
          <w:lang w:val="fr-FR"/>
        </w:rPr>
        <w:t xml:space="preserve"> la </w:t>
      </w:r>
      <w:r w:rsidRPr="003F3120">
        <w:rPr>
          <w:rFonts w:eastAsia="Calibri"/>
          <w:bCs/>
          <w:lang w:val="fr-FR"/>
        </w:rPr>
        <w:t>biodiversité, tout en tenant compte</w:t>
      </w:r>
      <w:r w:rsidR="007031E0">
        <w:rPr>
          <w:rFonts w:eastAsia="Calibri"/>
          <w:bCs/>
          <w:lang w:val="fr-FR"/>
        </w:rPr>
        <w:t xml:space="preserve"> des </w:t>
      </w:r>
      <w:r w:rsidRPr="003F3120">
        <w:rPr>
          <w:rFonts w:eastAsia="Calibri"/>
          <w:bCs/>
          <w:lang w:val="fr-FR"/>
        </w:rPr>
        <w:t>objectifs socioéconomiques plus vastes dans</w:t>
      </w:r>
      <w:r w:rsidR="007031E0">
        <w:rPr>
          <w:rFonts w:eastAsia="Calibri"/>
          <w:bCs/>
          <w:lang w:val="fr-FR"/>
        </w:rPr>
        <w:t xml:space="preserve"> le </w:t>
      </w:r>
      <w:r w:rsidRPr="003F3120">
        <w:rPr>
          <w:rFonts w:eastAsia="Calibri"/>
          <w:bCs/>
          <w:lang w:val="fr-FR"/>
        </w:rPr>
        <w:t>contexte du développement durable</w:t>
      </w:r>
      <w:r w:rsidR="00FD5D6A">
        <w:rPr>
          <w:rFonts w:eastAsia="Calibri"/>
          <w:bCs/>
          <w:lang w:val="fr-FR"/>
        </w:rPr>
        <w:t> ;</w:t>
      </w:r>
    </w:p>
    <w:bookmarkEnd w:id="84"/>
    <w:p w14:paraId="0EBBED5A" w14:textId="21F7D91D" w:rsidR="001609F3" w:rsidRPr="003F3120" w:rsidRDefault="001609F3" w:rsidP="00ED6939">
      <w:pPr>
        <w:pStyle w:val="Normalnumber"/>
        <w:keepNext/>
        <w:keepLines/>
        <w:numPr>
          <w:ilvl w:val="1"/>
          <w:numId w:val="6"/>
        </w:numPr>
        <w:rPr>
          <w:rFonts w:eastAsia="Calibri"/>
          <w:bCs/>
          <w:color w:val="000000"/>
          <w:lang w:val="fr-FR"/>
        </w:rPr>
      </w:pPr>
      <w:r w:rsidRPr="003F3120">
        <w:rPr>
          <w:rFonts w:eastAsia="SimSun"/>
          <w:i/>
          <w:lang w:val="fr-FR" w:eastAsia="zh-CN"/>
        </w:rPr>
        <w:t>Mesurer l</w:t>
      </w:r>
      <w:r w:rsidR="00FA5ADB">
        <w:rPr>
          <w:rFonts w:eastAsia="SimSun"/>
          <w:i/>
          <w:lang w:val="fr-FR" w:eastAsia="zh-CN"/>
        </w:rPr>
        <w:t>’</w:t>
      </w:r>
      <w:r w:rsidRPr="003F3120">
        <w:rPr>
          <w:rFonts w:eastAsia="SimSun"/>
          <w:i/>
          <w:lang w:val="fr-FR" w:eastAsia="zh-CN"/>
        </w:rPr>
        <w:t>impact et</w:t>
      </w:r>
      <w:r w:rsidR="007031E0">
        <w:rPr>
          <w:rFonts w:eastAsia="SimSun"/>
          <w:i/>
          <w:lang w:val="fr-FR" w:eastAsia="zh-CN"/>
        </w:rPr>
        <w:t xml:space="preserve"> la </w:t>
      </w:r>
      <w:r w:rsidRPr="003F3120">
        <w:rPr>
          <w:rFonts w:eastAsia="SimSun"/>
          <w:i/>
          <w:lang w:val="fr-FR" w:eastAsia="zh-CN"/>
        </w:rPr>
        <w:t>dépendance</w:t>
      </w:r>
      <w:r w:rsidR="007031E0">
        <w:rPr>
          <w:rFonts w:eastAsia="SimSun"/>
          <w:i/>
          <w:lang w:val="fr-FR" w:eastAsia="zh-CN"/>
        </w:rPr>
        <w:t xml:space="preserve"> des </w:t>
      </w:r>
      <w:r w:rsidRPr="003F3120">
        <w:rPr>
          <w:rFonts w:eastAsia="SimSun"/>
          <w:i/>
          <w:lang w:val="fr-FR" w:eastAsia="zh-CN"/>
        </w:rPr>
        <w:t>entreprises</w:t>
      </w:r>
      <w:bookmarkStart w:id="85" w:name="_Hlk534727882"/>
      <w:r w:rsidRPr="003F3120">
        <w:rPr>
          <w:rFonts w:eastAsia="SimSun"/>
          <w:i/>
          <w:lang w:val="fr-FR" w:eastAsia="zh-CN"/>
        </w:rPr>
        <w:t xml:space="preserve"> à l</w:t>
      </w:r>
      <w:r w:rsidR="00FA5ADB">
        <w:rPr>
          <w:rFonts w:eastAsia="SimSun"/>
          <w:i/>
          <w:lang w:val="fr-FR" w:eastAsia="zh-CN"/>
        </w:rPr>
        <w:t>’</w:t>
      </w:r>
      <w:r w:rsidRPr="003F3120">
        <w:rPr>
          <w:rFonts w:eastAsia="SimSun"/>
          <w:i/>
          <w:lang w:val="fr-FR" w:eastAsia="zh-CN"/>
        </w:rPr>
        <w:t>égard de</w:t>
      </w:r>
      <w:r w:rsidR="007031E0">
        <w:rPr>
          <w:rFonts w:eastAsia="SimSun"/>
          <w:i/>
          <w:lang w:val="fr-FR" w:eastAsia="zh-CN"/>
        </w:rPr>
        <w:t xml:space="preserve"> la </w:t>
      </w:r>
      <w:r w:rsidRPr="003F3120">
        <w:rPr>
          <w:rFonts w:eastAsia="SimSun"/>
          <w:i/>
          <w:lang w:val="fr-FR" w:eastAsia="zh-CN"/>
        </w:rPr>
        <w:t>biodiversité et</w:t>
      </w:r>
      <w:bookmarkEnd w:id="85"/>
      <w:r w:rsidR="007031E0">
        <w:rPr>
          <w:rFonts w:eastAsia="SimSun"/>
          <w:i/>
          <w:lang w:val="fr-FR" w:eastAsia="zh-CN"/>
        </w:rPr>
        <w:t xml:space="preserve"> des </w:t>
      </w:r>
      <w:r w:rsidRPr="003F3120">
        <w:rPr>
          <w:rFonts w:eastAsia="SimSun"/>
          <w:i/>
          <w:lang w:val="fr-FR" w:eastAsia="zh-CN"/>
        </w:rPr>
        <w:t>contributions de</w:t>
      </w:r>
      <w:r w:rsidR="007031E0">
        <w:rPr>
          <w:rFonts w:eastAsia="SimSun"/>
          <w:i/>
          <w:lang w:val="fr-FR" w:eastAsia="zh-CN"/>
        </w:rPr>
        <w:t xml:space="preserve"> la </w:t>
      </w:r>
      <w:r w:rsidRPr="003F3120">
        <w:rPr>
          <w:rFonts w:eastAsia="SimSun"/>
          <w:i/>
          <w:lang w:val="fr-FR" w:eastAsia="zh-CN"/>
        </w:rPr>
        <w:t>nature aux populations</w:t>
      </w:r>
      <w:r w:rsidR="00FD5D6A">
        <w:rPr>
          <w:rFonts w:eastAsia="SimSun"/>
          <w:i/>
          <w:lang w:val="fr-FR" w:eastAsia="zh-CN"/>
        </w:rPr>
        <w:t> :</w:t>
      </w:r>
      <w:r w:rsidRPr="003F3120">
        <w:rPr>
          <w:rFonts w:eastAsia="SimSun"/>
          <w:lang w:val="fr-FR" w:eastAsia="zh-CN"/>
        </w:rPr>
        <w:t xml:space="preserve"> il est indispensable de disposer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outils appropriés pour mesurer, évaluer et surveiller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impact et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 xml:space="preserve">dépendance </w:t>
      </w:r>
      <w:bookmarkStart w:id="86" w:name="_Hlk534547578"/>
      <w:r w:rsidRPr="003F3120">
        <w:rPr>
          <w:rFonts w:eastAsia="SimSun"/>
          <w:lang w:val="fr-FR" w:eastAsia="zh-CN"/>
        </w:rPr>
        <w:t>du secteur privé à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égard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 xml:space="preserve">biodiversité </w:t>
      </w:r>
      <w:r w:rsidRPr="003F3120">
        <w:rPr>
          <w:rFonts w:eastAsia="Calibri"/>
          <w:bCs/>
          <w:color w:val="000000"/>
          <w:lang w:val="fr-FR"/>
        </w:rPr>
        <w:t>en vue de réduire</w:t>
      </w:r>
      <w:r w:rsidR="007031E0">
        <w:rPr>
          <w:rFonts w:eastAsia="Calibri"/>
          <w:bCs/>
          <w:color w:val="000000"/>
          <w:lang w:val="fr-FR"/>
        </w:rPr>
        <w:t xml:space="preserve"> les </w:t>
      </w:r>
      <w:r w:rsidRPr="003F3120">
        <w:rPr>
          <w:rFonts w:eastAsia="Calibri"/>
          <w:bCs/>
          <w:color w:val="000000"/>
          <w:lang w:val="fr-FR"/>
        </w:rPr>
        <w:t>effets néfastes de leurs activités. Ces outils sont également essentiels pour promouvoir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prise de mesures par</w:t>
      </w:r>
      <w:r w:rsidR="007031E0">
        <w:rPr>
          <w:rFonts w:eastAsia="Calibri"/>
          <w:bCs/>
          <w:color w:val="000000"/>
          <w:lang w:val="fr-FR"/>
        </w:rPr>
        <w:t xml:space="preserve"> les </w:t>
      </w:r>
      <w:r w:rsidRPr="003F3120">
        <w:rPr>
          <w:rFonts w:eastAsia="Calibri"/>
          <w:bCs/>
          <w:color w:val="000000"/>
          <w:lang w:val="fr-FR"/>
        </w:rPr>
        <w:t>entreprises à l</w:t>
      </w:r>
      <w:r w:rsidR="00FA5ADB">
        <w:rPr>
          <w:rFonts w:eastAsia="Calibri"/>
          <w:bCs/>
          <w:color w:val="000000"/>
          <w:lang w:val="fr-FR"/>
        </w:rPr>
        <w:t>’</w:t>
      </w:r>
      <w:r w:rsidRPr="003F3120">
        <w:rPr>
          <w:rFonts w:eastAsia="Calibri"/>
          <w:bCs/>
          <w:color w:val="000000"/>
          <w:lang w:val="fr-FR"/>
        </w:rPr>
        <w:t>appui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conservation,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restauration et de l</w:t>
      </w:r>
      <w:r w:rsidR="00FA5ADB">
        <w:rPr>
          <w:rFonts w:eastAsia="Calibri"/>
          <w:bCs/>
          <w:color w:val="000000"/>
          <w:lang w:val="fr-FR"/>
        </w:rPr>
        <w:t>’</w:t>
      </w:r>
      <w:r w:rsidRPr="003F3120">
        <w:rPr>
          <w:rFonts w:eastAsia="Calibri"/>
          <w:bCs/>
          <w:color w:val="000000"/>
          <w:lang w:val="fr-FR"/>
        </w:rPr>
        <w:t>utilisation rationnelle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biodiversité et pour élaborer un argumentaire en faveur de leur durabilité à long terme. Ils sont également importants pour promouvoir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responsabilité publique</w:t>
      </w:r>
      <w:r w:rsidR="007031E0">
        <w:rPr>
          <w:rFonts w:eastAsia="Calibri"/>
          <w:bCs/>
          <w:color w:val="000000"/>
          <w:lang w:val="fr-FR"/>
        </w:rPr>
        <w:t xml:space="preserve"> des </w:t>
      </w:r>
      <w:r w:rsidRPr="003F3120">
        <w:rPr>
          <w:rFonts w:eastAsia="Calibri"/>
          <w:bCs/>
          <w:color w:val="000000"/>
          <w:lang w:val="fr-FR"/>
        </w:rPr>
        <w:t>entreprises, informer</w:t>
      </w:r>
      <w:r w:rsidR="007031E0">
        <w:rPr>
          <w:rFonts w:eastAsia="Calibri"/>
          <w:bCs/>
          <w:color w:val="000000"/>
          <w:lang w:val="fr-FR"/>
        </w:rPr>
        <w:t xml:space="preserve"> les </w:t>
      </w:r>
      <w:r w:rsidRPr="003F3120">
        <w:rPr>
          <w:rFonts w:eastAsia="Calibri"/>
          <w:bCs/>
          <w:color w:val="000000"/>
          <w:lang w:val="fr-FR"/>
        </w:rPr>
        <w:t>autorités réglementaires, guider</w:t>
      </w:r>
      <w:r w:rsidR="007031E0">
        <w:rPr>
          <w:rFonts w:eastAsia="Calibri"/>
          <w:bCs/>
          <w:color w:val="000000"/>
          <w:lang w:val="fr-FR"/>
        </w:rPr>
        <w:t xml:space="preserve"> les </w:t>
      </w:r>
      <w:r w:rsidRPr="003F3120">
        <w:rPr>
          <w:rFonts w:eastAsia="Calibri"/>
          <w:bCs/>
          <w:color w:val="000000"/>
          <w:lang w:val="fr-FR"/>
        </w:rPr>
        <w:t>investissements financiers et influencer</w:t>
      </w:r>
      <w:r w:rsidR="007031E0">
        <w:rPr>
          <w:rFonts w:eastAsia="Calibri"/>
          <w:bCs/>
          <w:color w:val="000000"/>
          <w:lang w:val="fr-FR"/>
        </w:rPr>
        <w:t xml:space="preserve"> le </w:t>
      </w:r>
      <w:r w:rsidRPr="003F3120">
        <w:rPr>
          <w:rFonts w:eastAsia="Calibri"/>
          <w:bCs/>
          <w:color w:val="000000"/>
          <w:lang w:val="fr-FR"/>
        </w:rPr>
        <w:t>comportement</w:t>
      </w:r>
      <w:r w:rsidR="007031E0">
        <w:rPr>
          <w:rFonts w:eastAsia="Calibri"/>
          <w:bCs/>
          <w:color w:val="000000"/>
          <w:lang w:val="fr-FR"/>
        </w:rPr>
        <w:t xml:space="preserve"> des </w:t>
      </w:r>
      <w:r w:rsidRPr="003F3120">
        <w:rPr>
          <w:rFonts w:eastAsia="Calibri"/>
          <w:bCs/>
          <w:color w:val="000000"/>
          <w:lang w:val="fr-FR"/>
        </w:rPr>
        <w:t>consommateurs.</w:t>
      </w:r>
      <w:r w:rsidR="007031E0">
        <w:rPr>
          <w:rFonts w:eastAsia="Calibri"/>
          <w:bCs/>
          <w:color w:val="000000"/>
          <w:lang w:val="fr-FR"/>
        </w:rPr>
        <w:t xml:space="preserve"> Les </w:t>
      </w:r>
      <w:r w:rsidRPr="003F3120">
        <w:rPr>
          <w:rFonts w:eastAsia="Calibri"/>
          <w:bCs/>
          <w:color w:val="000000"/>
          <w:lang w:val="fr-FR"/>
        </w:rPr>
        <w:t xml:space="preserve">produits </w:t>
      </w:r>
      <w:r w:rsidR="00DE4B69">
        <w:rPr>
          <w:rFonts w:eastAsia="Calibri"/>
          <w:bCs/>
          <w:color w:val="000000"/>
          <w:lang w:val="fr-FR"/>
        </w:rPr>
        <w:t>correspondants</w:t>
      </w:r>
      <w:r w:rsidRPr="003F3120">
        <w:rPr>
          <w:rFonts w:eastAsia="Calibri"/>
          <w:bCs/>
          <w:color w:val="000000"/>
          <w:lang w:val="fr-FR"/>
        </w:rPr>
        <w:t xml:space="preserve"> comprennent l</w:t>
      </w:r>
      <w:r w:rsidR="00FA5ADB">
        <w:rPr>
          <w:rFonts w:eastAsia="Calibri"/>
          <w:bCs/>
          <w:color w:val="000000"/>
          <w:lang w:val="fr-FR"/>
        </w:rPr>
        <w:t>’</w:t>
      </w:r>
      <w:r w:rsidRPr="003F3120">
        <w:rPr>
          <w:rFonts w:eastAsia="Calibri"/>
          <w:bCs/>
          <w:color w:val="000000"/>
          <w:lang w:val="fr-FR"/>
        </w:rPr>
        <w:t>analyse de l</w:t>
      </w:r>
      <w:r w:rsidR="00FA5ADB">
        <w:rPr>
          <w:rFonts w:eastAsia="Calibri"/>
          <w:bCs/>
          <w:color w:val="000000"/>
          <w:lang w:val="fr-FR"/>
        </w:rPr>
        <w:t>’</w:t>
      </w:r>
      <w:r w:rsidRPr="003F3120">
        <w:rPr>
          <w:rFonts w:eastAsia="Calibri"/>
          <w:bCs/>
          <w:color w:val="000000"/>
          <w:lang w:val="fr-FR"/>
        </w:rPr>
        <w:t>impact et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dépendance</w:t>
      </w:r>
      <w:r w:rsidR="007031E0">
        <w:rPr>
          <w:rFonts w:eastAsia="Calibri"/>
          <w:bCs/>
          <w:color w:val="000000"/>
          <w:lang w:val="fr-FR"/>
        </w:rPr>
        <w:t xml:space="preserve"> des </w:t>
      </w:r>
      <w:r w:rsidRPr="003F3120">
        <w:rPr>
          <w:rFonts w:eastAsia="Calibri"/>
          <w:bCs/>
          <w:color w:val="000000"/>
          <w:lang w:val="fr-FR"/>
        </w:rPr>
        <w:t>entreprises à l</w:t>
      </w:r>
      <w:r w:rsidR="00FA5ADB">
        <w:rPr>
          <w:rFonts w:eastAsia="Calibri"/>
          <w:bCs/>
          <w:color w:val="000000"/>
          <w:lang w:val="fr-FR"/>
        </w:rPr>
        <w:t>’</w:t>
      </w:r>
      <w:r w:rsidRPr="003F3120">
        <w:rPr>
          <w:rFonts w:eastAsia="Calibri"/>
          <w:bCs/>
          <w:color w:val="000000"/>
          <w:lang w:val="fr-FR"/>
        </w:rPr>
        <w:t>égard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biodiversité et</w:t>
      </w:r>
      <w:r w:rsidR="007031E0">
        <w:rPr>
          <w:rFonts w:eastAsia="Calibri"/>
          <w:bCs/>
          <w:color w:val="000000"/>
          <w:lang w:val="fr-FR"/>
        </w:rPr>
        <w:t xml:space="preserve"> des </w:t>
      </w:r>
      <w:r w:rsidRPr="003F3120">
        <w:rPr>
          <w:rFonts w:eastAsia="Calibri"/>
          <w:bCs/>
          <w:color w:val="000000"/>
          <w:lang w:val="fr-FR"/>
        </w:rPr>
        <w:t>contributions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nature aux populations, ainsi que</w:t>
      </w:r>
      <w:r w:rsidR="007031E0">
        <w:rPr>
          <w:rFonts w:eastAsia="Calibri"/>
          <w:bCs/>
          <w:color w:val="000000"/>
          <w:lang w:val="fr-FR"/>
        </w:rPr>
        <w:t xml:space="preserve"> des </w:t>
      </w:r>
      <w:r w:rsidRPr="003F3120">
        <w:rPr>
          <w:rFonts w:eastAsia="Calibri"/>
          <w:bCs/>
          <w:color w:val="000000"/>
          <w:lang w:val="fr-FR"/>
        </w:rPr>
        <w:t>travaux relatifs aux critères et indicateurs servant à mesurer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dépendance et l</w:t>
      </w:r>
      <w:r w:rsidR="00FA5ADB">
        <w:rPr>
          <w:rFonts w:eastAsia="Calibri"/>
          <w:bCs/>
          <w:color w:val="000000"/>
          <w:lang w:val="fr-FR"/>
        </w:rPr>
        <w:t>’</w:t>
      </w:r>
      <w:r w:rsidRPr="003F3120">
        <w:rPr>
          <w:rFonts w:eastAsia="Calibri"/>
          <w:bCs/>
          <w:color w:val="000000"/>
          <w:lang w:val="fr-FR"/>
        </w:rPr>
        <w:t>impact, en prenant en considération</w:t>
      </w:r>
      <w:r w:rsidR="007031E0">
        <w:rPr>
          <w:rFonts w:eastAsia="Calibri"/>
          <w:bCs/>
          <w:color w:val="000000"/>
          <w:lang w:val="fr-FR"/>
        </w:rPr>
        <w:t xml:space="preserve"> les </w:t>
      </w:r>
      <w:r w:rsidRPr="003F3120">
        <w:rPr>
          <w:rFonts w:eastAsia="Calibri"/>
          <w:bCs/>
          <w:color w:val="000000"/>
          <w:lang w:val="fr-FR"/>
        </w:rPr>
        <w:t>moyens d</w:t>
      </w:r>
      <w:r w:rsidR="00FA5ADB">
        <w:rPr>
          <w:rFonts w:eastAsia="Calibri"/>
          <w:bCs/>
          <w:color w:val="000000"/>
          <w:lang w:val="fr-FR"/>
        </w:rPr>
        <w:t>’</w:t>
      </w:r>
      <w:r w:rsidRPr="003F3120">
        <w:rPr>
          <w:rFonts w:eastAsia="Calibri"/>
          <w:bCs/>
          <w:color w:val="000000"/>
          <w:lang w:val="fr-FR"/>
        </w:rPr>
        <w:t>intégrer ces mesures dans d</w:t>
      </w:r>
      <w:r w:rsidR="00FA5ADB">
        <w:rPr>
          <w:rFonts w:eastAsia="Calibri"/>
          <w:bCs/>
          <w:color w:val="000000"/>
          <w:lang w:val="fr-FR"/>
        </w:rPr>
        <w:t>’</w:t>
      </w:r>
      <w:r w:rsidRPr="003F3120">
        <w:rPr>
          <w:rFonts w:eastAsia="Calibri"/>
          <w:bCs/>
          <w:color w:val="000000"/>
          <w:lang w:val="fr-FR"/>
        </w:rPr>
        <w:t>autres aspects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Pr="003F3120">
        <w:rPr>
          <w:rFonts w:eastAsia="Calibri"/>
          <w:bCs/>
          <w:color w:val="000000"/>
          <w:lang w:val="fr-FR"/>
        </w:rPr>
        <w:t>durabilité.</w:t>
      </w:r>
      <w:bookmarkEnd w:id="86"/>
    </w:p>
    <w:p w14:paraId="5A8D6066" w14:textId="5FD3C4F9" w:rsidR="001609F3" w:rsidRPr="003F3120" w:rsidRDefault="001609F3" w:rsidP="001609F3">
      <w:pPr>
        <w:pStyle w:val="CH2"/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ab/>
        <w:t>B.</w:t>
      </w:r>
      <w:r w:rsidRPr="003F3120">
        <w:rPr>
          <w:rFonts w:eastAsia="SimSun"/>
          <w:lang w:val="fr-FR" w:eastAsia="zh-CN"/>
        </w:rPr>
        <w:tab/>
        <w:t xml:space="preserve">Objectifs et produits du </w:t>
      </w:r>
      <w:r w:rsidRPr="003F3120">
        <w:rPr>
          <w:rFonts w:eastAsia="SimSun"/>
          <w:lang w:val="fr-FR"/>
        </w:rPr>
        <w:t xml:space="preserve">programme de travail glissant 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>pour</w:t>
      </w:r>
      <w:r w:rsidR="007031E0">
        <w:rPr>
          <w:rStyle w:val="DeltaViewInsertion"/>
          <w:rFonts w:eastAsia="MS Mincho"/>
          <w:color w:val="auto"/>
          <w:u w:val="none"/>
          <w:lang w:val="fr-FR"/>
        </w:rPr>
        <w:t xml:space="preserve"> la </w:t>
      </w:r>
      <w:r w:rsidR="00F96E46" w:rsidRPr="003F3120">
        <w:rPr>
          <w:rStyle w:val="DeltaViewInsertion"/>
          <w:rFonts w:eastAsia="MS Mincho"/>
          <w:color w:val="auto"/>
          <w:u w:val="none"/>
          <w:lang w:val="fr-FR"/>
        </w:rPr>
        <w:t>période allant</w:t>
      </w:r>
      <w:r w:rsidR="00AD1B7D">
        <w:rPr>
          <w:rStyle w:val="DeltaViewInsertion"/>
          <w:rFonts w:eastAsia="MS Mincho"/>
          <w:color w:val="auto"/>
          <w:u w:val="none"/>
          <w:lang w:val="fr-FR"/>
        </w:rPr>
        <w:t> </w:t>
      </w:r>
      <w:r w:rsidRPr="003F3120">
        <w:rPr>
          <w:rFonts w:eastAsia="SimSun"/>
          <w:lang w:val="fr-FR"/>
        </w:rPr>
        <w:t>jusqu</w:t>
      </w:r>
      <w:r w:rsidR="00FA5ADB">
        <w:rPr>
          <w:rFonts w:eastAsia="SimSun"/>
          <w:lang w:val="fr-FR"/>
        </w:rPr>
        <w:t>’</w:t>
      </w:r>
      <w:r w:rsidRPr="003F3120">
        <w:rPr>
          <w:rFonts w:eastAsia="SimSun"/>
          <w:lang w:val="fr-FR"/>
        </w:rPr>
        <w:t>en 2030</w:t>
      </w:r>
    </w:p>
    <w:p w14:paraId="7CB80690" w14:textId="503FDBC0" w:rsidR="001609F3" w:rsidRPr="003F3120" w:rsidRDefault="001609F3" w:rsidP="00ED6939">
      <w:pPr>
        <w:pStyle w:val="Normalnumber"/>
        <w:numPr>
          <w:ilvl w:val="0"/>
          <w:numId w:val="6"/>
        </w:numPr>
        <w:rPr>
          <w:lang w:val="fr-FR"/>
        </w:rPr>
      </w:pPr>
      <w:r w:rsidRPr="003F3120">
        <w:rPr>
          <w:lang w:val="fr-FR"/>
        </w:rPr>
        <w:t>Le programme d</w:t>
      </w:r>
      <w:r w:rsidR="00E11AE0">
        <w:rPr>
          <w:lang w:val="fr-FR"/>
        </w:rPr>
        <w:t>e travail glissant comprend six </w:t>
      </w:r>
      <w:r w:rsidRPr="003F3120">
        <w:rPr>
          <w:lang w:val="fr-FR"/>
        </w:rPr>
        <w:t xml:space="preserve">objectifs, dont quatre </w:t>
      </w:r>
      <w:r w:rsidR="00DE4B69">
        <w:rPr>
          <w:lang w:val="fr-FR"/>
        </w:rPr>
        <w:t>ont trait aux quatre </w:t>
      </w:r>
      <w:r w:rsidRPr="003F3120">
        <w:rPr>
          <w:lang w:val="fr-FR"/>
        </w:rPr>
        <w:t>fonctions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Plateforme, un aux communications et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participation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gouvernements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parties prenantes, et un à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de l</w:t>
      </w:r>
      <w:r w:rsidR="00FA5ADB">
        <w:rPr>
          <w:lang w:val="fr-FR"/>
        </w:rPr>
        <w:t>’</w:t>
      </w:r>
      <w:r w:rsidRPr="003F3120">
        <w:rPr>
          <w:lang w:val="fr-FR"/>
        </w:rPr>
        <w:t>efficacité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Plateforme. Tous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produits tiendront compte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connaissances acquises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enseignements tirés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mise en œuvre du premier </w:t>
      </w:r>
      <w:r w:rsidRPr="003F3120">
        <w:rPr>
          <w:rFonts w:eastAsia="SimSun"/>
          <w:lang w:val="fr-FR" w:eastAsia="zh-CN"/>
        </w:rPr>
        <w:t>programme de travail.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lang w:val="fr-FR"/>
        </w:rPr>
        <w:t>objectifs sont appuyés par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produits qui portent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trois sujets initiaux prioritaires exposés dans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section A, ainsi que sur l</w:t>
      </w:r>
      <w:r w:rsidR="00FA5ADB">
        <w:rPr>
          <w:lang w:val="fr-FR"/>
        </w:rPr>
        <w:t>’</w:t>
      </w:r>
      <w:r w:rsidRPr="003F3120">
        <w:rPr>
          <w:lang w:val="fr-FR"/>
        </w:rPr>
        <w:t>objectif global de</w:t>
      </w:r>
      <w:r w:rsidR="007031E0">
        <w:rPr>
          <w:lang w:val="fr-FR"/>
        </w:rPr>
        <w:t xml:space="preserve"> la </w:t>
      </w:r>
      <w:r w:rsidR="009207E4" w:rsidRPr="003F3120">
        <w:rPr>
          <w:lang w:val="fr-FR"/>
        </w:rPr>
        <w:t>Plateforme (figure A.1</w:t>
      </w:r>
      <w:r w:rsidRPr="003F3120">
        <w:rPr>
          <w:lang w:val="fr-FR"/>
        </w:rPr>
        <w:t xml:space="preserve">). </w:t>
      </w:r>
    </w:p>
    <w:p w14:paraId="59C72864" w14:textId="32C247A0" w:rsidR="001609F3" w:rsidRDefault="00E11AE0" w:rsidP="001609F3">
      <w:pPr>
        <w:pStyle w:val="Titlefigure"/>
        <w:rPr>
          <w:noProof/>
          <w:lang w:val="fr-FR"/>
        </w:rPr>
      </w:pPr>
      <w:r>
        <w:rPr>
          <w:b w:val="0"/>
          <w:noProof/>
          <w:lang w:val="fr-FR"/>
        </w:rPr>
        <w:t>Figure </w:t>
      </w:r>
      <w:r w:rsidR="009207E4" w:rsidRPr="003F3120">
        <w:rPr>
          <w:b w:val="0"/>
          <w:noProof/>
          <w:lang w:val="fr-FR"/>
        </w:rPr>
        <w:t>A.1</w:t>
      </w:r>
      <w:r w:rsidR="001609F3" w:rsidRPr="003F3120">
        <w:rPr>
          <w:b w:val="0"/>
          <w:noProof/>
          <w:lang w:val="fr-FR"/>
        </w:rPr>
        <w:t xml:space="preserve"> </w:t>
      </w:r>
      <w:r w:rsidR="001609F3" w:rsidRPr="003F3120">
        <w:rPr>
          <w:b w:val="0"/>
          <w:noProof/>
          <w:lang w:val="fr-FR"/>
        </w:rPr>
        <w:br/>
      </w:r>
      <w:r w:rsidR="001609F3" w:rsidRPr="003F3120">
        <w:rPr>
          <w:noProof/>
          <w:lang w:val="fr-FR"/>
        </w:rPr>
        <w:t xml:space="preserve">Structure du </w:t>
      </w:r>
      <w:r w:rsidR="00F96E46" w:rsidRPr="003F3120">
        <w:rPr>
          <w:noProof/>
          <w:lang w:val="fr-FR"/>
        </w:rPr>
        <w:t>programme de travail glissant pour</w:t>
      </w:r>
      <w:r w:rsidR="007031E0">
        <w:rPr>
          <w:noProof/>
          <w:lang w:val="fr-FR"/>
        </w:rPr>
        <w:t xml:space="preserve"> la </w:t>
      </w:r>
      <w:r w:rsidR="00F96E46" w:rsidRPr="003F3120">
        <w:rPr>
          <w:noProof/>
          <w:lang w:val="fr-FR"/>
        </w:rPr>
        <w:t>période allant jusqu</w:t>
      </w:r>
      <w:r w:rsidR="00FA5ADB">
        <w:rPr>
          <w:noProof/>
          <w:lang w:val="fr-FR"/>
        </w:rPr>
        <w:t>’</w:t>
      </w:r>
      <w:r w:rsidR="00F96E46" w:rsidRPr="003F3120">
        <w:rPr>
          <w:noProof/>
          <w:lang w:val="fr-FR"/>
        </w:rPr>
        <w:t>en 2030</w:t>
      </w:r>
    </w:p>
    <w:tbl>
      <w:tblPr>
        <w:tblStyle w:val="TableGrid"/>
        <w:tblW w:w="5000" w:type="pct"/>
        <w:jc w:val="right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86"/>
        <w:gridCol w:w="1811"/>
        <w:gridCol w:w="1546"/>
        <w:gridCol w:w="1576"/>
        <w:gridCol w:w="1608"/>
        <w:gridCol w:w="1354"/>
      </w:tblGrid>
      <w:tr w:rsidR="00444CD5" w:rsidRPr="00C1327B" w14:paraId="71C192B9" w14:textId="77777777" w:rsidTr="00C1327B">
        <w:trPr>
          <w:trHeight w:val="57"/>
          <w:jc w:val="right"/>
        </w:trPr>
        <w:tc>
          <w:tcPr>
            <w:tcW w:w="9481" w:type="dxa"/>
            <w:gridSpan w:val="6"/>
            <w:shd w:val="clear" w:color="auto" w:fill="D9D9D9" w:themeFill="background1" w:themeFillShade="D9"/>
          </w:tcPr>
          <w:p w14:paraId="555EC9CE" w14:textId="5A70A09B" w:rsidR="00444CD5" w:rsidRPr="00C1327B" w:rsidRDefault="00444CD5" w:rsidP="00444CD5">
            <w:pPr>
              <w:pStyle w:val="Normal-pool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1327B">
              <w:rPr>
                <w:b/>
                <w:sz w:val="18"/>
                <w:szCs w:val="18"/>
              </w:rPr>
              <w:t>Objectif global de</w:t>
            </w:r>
            <w:r w:rsidR="007031E0">
              <w:rPr>
                <w:b/>
                <w:sz w:val="18"/>
                <w:szCs w:val="18"/>
              </w:rPr>
              <w:t xml:space="preserve"> la </w:t>
            </w:r>
            <w:r w:rsidRPr="00C1327B">
              <w:rPr>
                <w:b/>
                <w:sz w:val="18"/>
                <w:szCs w:val="18"/>
              </w:rPr>
              <w:t>Plateforme</w:t>
            </w:r>
          </w:p>
          <w:p w14:paraId="3070C000" w14:textId="5DB1CF24" w:rsidR="00444CD5" w:rsidRPr="00C1327B" w:rsidRDefault="00444CD5" w:rsidP="00444CD5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Renforcer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pacing w:val="-3"/>
                <w:sz w:val="15"/>
                <w:szCs w:val="15"/>
              </w:rPr>
              <w:t>interface science-politiques pour</w:t>
            </w:r>
            <w:r w:rsidR="007031E0">
              <w:rPr>
                <w:spacing w:val="-3"/>
                <w:sz w:val="15"/>
                <w:szCs w:val="15"/>
              </w:rPr>
              <w:t xml:space="preserve"> la </w:t>
            </w:r>
            <w:r w:rsidRPr="00C1327B">
              <w:rPr>
                <w:spacing w:val="-3"/>
                <w:sz w:val="15"/>
                <w:szCs w:val="15"/>
              </w:rPr>
              <w:t>biodiversité et</w:t>
            </w:r>
            <w:r w:rsidR="007031E0">
              <w:rPr>
                <w:spacing w:val="-3"/>
                <w:sz w:val="15"/>
                <w:szCs w:val="15"/>
              </w:rPr>
              <w:t xml:space="preserve"> les </w:t>
            </w:r>
            <w:r w:rsidRPr="00C1327B">
              <w:rPr>
                <w:spacing w:val="-3"/>
                <w:sz w:val="15"/>
                <w:szCs w:val="15"/>
              </w:rPr>
              <w:t>services écosystémiques aux fins de</w:t>
            </w:r>
            <w:r w:rsidR="007031E0">
              <w:rPr>
                <w:spacing w:val="-3"/>
                <w:sz w:val="15"/>
                <w:szCs w:val="15"/>
              </w:rPr>
              <w:t xml:space="preserve"> la </w:t>
            </w:r>
            <w:r w:rsidRPr="00C1327B">
              <w:rPr>
                <w:spacing w:val="-3"/>
                <w:sz w:val="15"/>
                <w:szCs w:val="15"/>
              </w:rPr>
              <w:t xml:space="preserve">conservation </w:t>
            </w:r>
            <w:r w:rsidRPr="00C1327B">
              <w:rPr>
                <w:spacing w:val="-3"/>
                <w:sz w:val="15"/>
                <w:szCs w:val="15"/>
              </w:rPr>
              <w:br/>
              <w:t>et de l</w:t>
            </w:r>
            <w:r w:rsidR="00FA5ADB">
              <w:rPr>
                <w:spacing w:val="-3"/>
                <w:sz w:val="15"/>
                <w:szCs w:val="15"/>
              </w:rPr>
              <w:t>’</w:t>
            </w:r>
            <w:r w:rsidRPr="00C1327B">
              <w:rPr>
                <w:spacing w:val="-3"/>
                <w:sz w:val="15"/>
                <w:szCs w:val="15"/>
              </w:rPr>
              <w:t>utilisation durable de</w:t>
            </w:r>
            <w:r w:rsidR="007031E0">
              <w:rPr>
                <w:spacing w:val="-3"/>
                <w:sz w:val="15"/>
                <w:szCs w:val="15"/>
              </w:rPr>
              <w:t xml:space="preserve"> la </w:t>
            </w:r>
            <w:r w:rsidRPr="00C1327B">
              <w:rPr>
                <w:spacing w:val="-3"/>
                <w:sz w:val="15"/>
                <w:szCs w:val="15"/>
              </w:rPr>
              <w:t>biodiversité, du bien-être humain à long terme et du développement durable</w:t>
            </w:r>
          </w:p>
          <w:p w14:paraId="70828382" w14:textId="70785340" w:rsidR="00444CD5" w:rsidRPr="00C1327B" w:rsidRDefault="00444CD5" w:rsidP="00444CD5">
            <w:pPr>
              <w:pStyle w:val="Normal-pool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C1327B">
              <w:rPr>
                <w:b/>
                <w:sz w:val="18"/>
                <w:szCs w:val="18"/>
              </w:rPr>
              <w:t>Plan directeur du programme de travail glissant pour</w:t>
            </w:r>
            <w:r w:rsidR="007031E0">
              <w:rPr>
                <w:b/>
                <w:sz w:val="18"/>
                <w:szCs w:val="18"/>
              </w:rPr>
              <w:t xml:space="preserve"> la </w:t>
            </w:r>
            <w:r w:rsidRPr="00C1327B">
              <w:rPr>
                <w:b/>
                <w:sz w:val="18"/>
                <w:szCs w:val="18"/>
              </w:rPr>
              <w:t>période allant jusqu</w:t>
            </w:r>
            <w:r w:rsidR="00FA5ADB">
              <w:rPr>
                <w:b/>
                <w:sz w:val="18"/>
                <w:szCs w:val="18"/>
              </w:rPr>
              <w:t>’</w:t>
            </w:r>
            <w:r w:rsidRPr="00C1327B">
              <w:rPr>
                <w:b/>
                <w:sz w:val="18"/>
                <w:szCs w:val="18"/>
              </w:rPr>
              <w:t>en 2030</w:t>
            </w:r>
          </w:p>
          <w:p w14:paraId="3A0F2314" w14:textId="5E0453E2" w:rsidR="00444CD5" w:rsidRPr="00C1327B" w:rsidRDefault="00444CD5" w:rsidP="00444CD5">
            <w:pPr>
              <w:pStyle w:val="Normal-pool"/>
              <w:spacing w:before="40" w:after="40"/>
              <w:jc w:val="center"/>
              <w:rPr>
                <w:sz w:val="15"/>
                <w:szCs w:val="15"/>
                <w:lang w:val="fr-FR"/>
              </w:rPr>
            </w:pPr>
            <w:r w:rsidRPr="00C1327B">
              <w:rPr>
                <w:sz w:val="15"/>
                <w:szCs w:val="15"/>
              </w:rPr>
              <w:t>Le Programme de développement durable à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horizon 2030,</w:t>
            </w:r>
            <w:r w:rsidR="007031E0">
              <w:rPr>
                <w:sz w:val="15"/>
                <w:szCs w:val="15"/>
              </w:rPr>
              <w:t xml:space="preserve"> y </w:t>
            </w:r>
            <w:r w:rsidRPr="00C1327B">
              <w:rPr>
                <w:sz w:val="15"/>
                <w:szCs w:val="15"/>
              </w:rPr>
              <w:t>compris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objectifs de développement durable,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 xml:space="preserve">conventions relatives </w:t>
            </w:r>
            <w:r w:rsidR="00C1327B">
              <w:rPr>
                <w:sz w:val="15"/>
                <w:szCs w:val="15"/>
              </w:rPr>
              <w:br/>
            </w:r>
            <w:r w:rsidRPr="00C1327B">
              <w:rPr>
                <w:sz w:val="15"/>
                <w:szCs w:val="15"/>
              </w:rPr>
              <w:t>à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diversité biologique et autres processus concernant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biodiversité et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services écosystémiques</w:t>
            </w:r>
          </w:p>
        </w:tc>
      </w:tr>
      <w:tr w:rsidR="00C1327B" w:rsidRPr="00C1327B" w14:paraId="17CC8BFA" w14:textId="77777777" w:rsidTr="00C1327B">
        <w:trPr>
          <w:trHeight w:val="2410"/>
          <w:jc w:val="right"/>
        </w:trPr>
        <w:tc>
          <w:tcPr>
            <w:tcW w:w="3397" w:type="dxa"/>
            <w:gridSpan w:val="2"/>
            <w:shd w:val="clear" w:color="auto" w:fill="BFBFBF" w:themeFill="background1" w:themeFillShade="BF"/>
          </w:tcPr>
          <w:p w14:paraId="648CDCE5" w14:textId="4F2D2917" w:rsidR="00C1327B" w:rsidRPr="00C1327B" w:rsidRDefault="00C1327B" w:rsidP="00C1327B">
            <w:pPr>
              <w:pStyle w:val="Normal-pool"/>
              <w:spacing w:before="40" w:after="40"/>
              <w:jc w:val="right"/>
              <w:rPr>
                <w:w w:val="105"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>SUJETS PRIORITAIRES INITIAUX</w:t>
            </w:r>
            <w:r w:rsidRPr="00C1327B">
              <w:rPr>
                <w:sz w:val="15"/>
                <w:szCs w:val="15"/>
              </w:rPr>
              <w:t xml:space="preserve"> </w:t>
            </w:r>
            <w:r w:rsidRPr="00C1327B">
              <w:rPr>
                <w:w w:val="105"/>
                <w:sz w:val="15"/>
                <w:szCs w:val="15"/>
              </w:rPr>
              <w:t>du programme de travail</w:t>
            </w:r>
          </w:p>
          <w:p w14:paraId="7888587B" w14:textId="405A3179" w:rsidR="00C1327B" w:rsidRPr="00C1327B" w:rsidRDefault="00C1327B" w:rsidP="00C1327B">
            <w:pPr>
              <w:pStyle w:val="Normal-pool"/>
              <w:spacing w:before="1700" w:after="40"/>
              <w:rPr>
                <w:sz w:val="15"/>
                <w:szCs w:val="15"/>
                <w:lang w:val="fr-FR"/>
              </w:rPr>
            </w:pPr>
            <w:r w:rsidRPr="00C1327B">
              <w:rPr>
                <w:b/>
                <w:w w:val="105"/>
                <w:sz w:val="15"/>
                <w:szCs w:val="15"/>
              </w:rPr>
              <w:t>OBJECTIFS</w:t>
            </w:r>
            <w:r w:rsidRPr="00C1327B">
              <w:rPr>
                <w:w w:val="105"/>
                <w:sz w:val="15"/>
                <w:szCs w:val="15"/>
              </w:rPr>
              <w:t xml:space="preserve"> du programme </w:t>
            </w:r>
            <w:r w:rsidRPr="00C1327B">
              <w:rPr>
                <w:rFonts w:ascii="Arial" w:eastAsia="Arial" w:hAnsi="Arial" w:cs="Arial"/>
                <w:b/>
                <w:noProof/>
                <w:sz w:val="15"/>
                <w:szCs w:val="15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8BF0E" wp14:editId="46CB22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992573" cy="1064525"/>
                      <wp:effectExtent l="0" t="0" r="27305" b="215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2573" cy="1064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line w14:anchorId="3C5A93C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pt" to="156.9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sBywEAAHkDAAAOAAAAZHJzL2Uyb0RvYy54bWysU8uO0zAU3SPxD5b306QZWmaiprNoNWwQ&#10;VBr4gFvHTiz5pWvTtH/PtRs6A+wQWTj3nXuOTzZPZ2vYSWLU3nV8uag5k074Xruh49+/Pd89cBYT&#10;uB6Md7LjFxn50/b9u80UWtn40ZteIqMhLrZT6PiYUmirKopRWogLH6SjpPJoIZGLQ9UjTDTdmqqp&#10;63U1eewDeiFjpOj+muTbMl8pKdJXpaJMzHScdkvlxHIe81ltN9AOCGHUYl4D/mELC9rRR2+j9pCA&#10;/UD91yirBfroVVoIbyuvlBayYCA0y/oPNC8jBFmwEDkx3GiK/2+s+HI6INN9xxvOHFi6opeEoIcx&#10;sZ13jgj0yJrM0xRiS+U7d8DZi+GAGfRZoc1vgsPOhdvLjVt5TkxQcPn42Kw+3nMmKLes1x9WzSpP&#10;rV7bA8b0SXrLstFxo10GDy2cPsd0Lf1VksPOP2tjKA6tcWzq+Pp+RVcsgGSkDCQybSBg0Q2cgRlI&#10;nyJhmRi90X3uzs1Fa3JnkJ2AVHIclvNev1XlL+8hjteikspl0FqdSMFG244/1PmZu43LWVk0OO+f&#10;Gbxylq2j7y+Fyip7dL+FjFmLWUBvfbLf/jHbnwAAAP//AwBQSwMEFAAGAAgAAAAhAOxzbRDdAAAA&#10;BQEAAA8AAABkcnMvZG93bnJldi54bWxMj0FLw0AUhO+C/2F5ghexu7VSQ8ymBKmCIKhtLr1ts88k&#10;mn0bspsm/nufJz0OM8x8k21m14kTDqH1pGG5UCCQKm9bqjWU+8frBESIhqzpPKGGbwywyc/PMpNa&#10;P9E7nnaxFlxCITUamhj7VMpQNehMWPgeib0PPzgTWQ61tIOZuNx18kaptXSmJV5oTI8PDVZfu9Fp&#10;2BaTOhQvV9tkLOfyuXmSn3dvr1pfXszFPYiIc/wLwy8+o0POTEc/kg2i08BHooZbEOytliu+ceTQ&#10;OlEg80z+p89/AAAA//8DAFBLAQItABQABgAIAAAAIQC2gziS/gAAAOEBAAATAAAAAAAAAAAAAAAA&#10;AAAAAABbQ29udGVudF9UeXBlc10ueG1sUEsBAi0AFAAGAAgAAAAhADj9If/WAAAAlAEAAAsAAAAA&#10;AAAAAAAAAAAALwEAAF9yZWxzLy5yZWxzUEsBAi0AFAAGAAgAAAAhABUMCwHLAQAAeQMAAA4AAAAA&#10;AAAAAAAAAAAALgIAAGRycy9lMm9Eb2MueG1sUEsBAi0AFAAGAAgAAAAhAOxzbRDdAAAABQEAAA8A&#10;AAAAAAAAAAAAAAAAJQQAAGRycy9kb3ducmV2LnhtbFBLBQYAAAAABAAEAPMAAAAvBQAAAAA=&#10;" strokecolor="white [3212]" strokeweight=".5pt">
                      <v:stroke joinstyle="miter"/>
                    </v:line>
                  </w:pict>
                </mc:Fallback>
              </mc:AlternateContent>
            </w:r>
            <w:r w:rsidRPr="00C1327B">
              <w:rPr>
                <w:w w:val="105"/>
                <w:sz w:val="15"/>
                <w:szCs w:val="15"/>
              </w:rPr>
              <w:t>de travail</w:t>
            </w:r>
            <w:r w:rsidRPr="00C1327B">
              <w:rPr>
                <w:color w:val="FFFFFF"/>
                <w:w w:val="105"/>
                <w:sz w:val="15"/>
                <w:szCs w:val="15"/>
              </w:rPr>
              <w:t xml:space="preserve"> </w:t>
            </w:r>
          </w:p>
        </w:tc>
        <w:tc>
          <w:tcPr>
            <w:tcW w:w="1546" w:type="dxa"/>
            <w:shd w:val="clear" w:color="auto" w:fill="5E665B"/>
          </w:tcPr>
          <w:p w14:paraId="5FF6F06A" w14:textId="77777777" w:rsidR="00C1327B" w:rsidRPr="00C1327B" w:rsidRDefault="00C1327B" w:rsidP="00444CD5">
            <w:pPr>
              <w:pStyle w:val="Normal-pool"/>
              <w:spacing w:before="40" w:after="40"/>
              <w:rPr>
                <w:b/>
                <w:color w:val="FFFFFF"/>
                <w:sz w:val="15"/>
                <w:szCs w:val="15"/>
              </w:rPr>
            </w:pPr>
            <w:r w:rsidRPr="00C1327B">
              <w:rPr>
                <w:b/>
                <w:color w:val="FFFFFF"/>
                <w:sz w:val="15"/>
                <w:szCs w:val="15"/>
              </w:rPr>
              <w:t>SUJET 1</w:t>
            </w:r>
          </w:p>
          <w:p w14:paraId="21B75B6D" w14:textId="238F6DBD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  <w:lang w:val="fr-FR"/>
              </w:rPr>
            </w:pPr>
            <w:r w:rsidRPr="00C1327B">
              <w:rPr>
                <w:color w:val="FFFFFF"/>
                <w:w w:val="105"/>
                <w:sz w:val="15"/>
                <w:szCs w:val="15"/>
              </w:rPr>
              <w:t>Comprendre l</w:t>
            </w:r>
            <w:r w:rsidR="00FA5ADB">
              <w:rPr>
                <w:color w:val="FFFFFF"/>
                <w:w w:val="105"/>
                <w:sz w:val="15"/>
                <w:szCs w:val="15"/>
              </w:rPr>
              <w:t>’</w:t>
            </w:r>
            <w:r w:rsidRPr="00C1327B">
              <w:rPr>
                <w:color w:val="FFFFFF"/>
                <w:w w:val="105"/>
                <w:sz w:val="15"/>
                <w:szCs w:val="15"/>
              </w:rPr>
              <w:t>importance de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biodiversité pour réaliser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le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Programme de développement durable à l</w:t>
            </w:r>
            <w:r w:rsidR="00FA5ADB">
              <w:rPr>
                <w:color w:val="FFFFFF"/>
                <w:w w:val="105"/>
                <w:sz w:val="15"/>
                <w:szCs w:val="15"/>
              </w:rPr>
              <w:t>’</w:t>
            </w:r>
            <w:r w:rsidRPr="00C1327B">
              <w:rPr>
                <w:color w:val="FFFFFF"/>
                <w:w w:val="105"/>
                <w:sz w:val="15"/>
                <w:szCs w:val="15"/>
              </w:rPr>
              <w:t>horizon</w:t>
            </w:r>
            <w:r w:rsidR="00AD1B7D">
              <w:rPr>
                <w:color w:val="FFFFFF"/>
                <w:w w:val="105"/>
                <w:sz w:val="15"/>
                <w:szCs w:val="15"/>
              </w:rPr>
              <w:t>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2030</w:t>
            </w:r>
          </w:p>
        </w:tc>
        <w:tc>
          <w:tcPr>
            <w:tcW w:w="1576" w:type="dxa"/>
            <w:shd w:val="clear" w:color="auto" w:fill="5E665B"/>
          </w:tcPr>
          <w:p w14:paraId="74C0933F" w14:textId="77777777" w:rsidR="00C1327B" w:rsidRPr="00AD1B7D" w:rsidRDefault="00C1327B" w:rsidP="00444CD5">
            <w:pPr>
              <w:pStyle w:val="Normal-pool"/>
              <w:spacing w:before="40" w:after="40"/>
              <w:rPr>
                <w:b/>
                <w:color w:val="FFFFFF"/>
                <w:sz w:val="15"/>
                <w:szCs w:val="15"/>
              </w:rPr>
            </w:pPr>
            <w:r w:rsidRPr="00C1327B">
              <w:rPr>
                <w:b/>
                <w:color w:val="FFFFFF"/>
                <w:sz w:val="15"/>
                <w:szCs w:val="15"/>
              </w:rPr>
              <w:t>SUJET 2</w:t>
            </w:r>
          </w:p>
          <w:p w14:paraId="123B1814" w14:textId="3445EF9F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  <w:lang w:val="fr-FR"/>
              </w:rPr>
            </w:pPr>
            <w:r w:rsidRPr="00C1327B">
              <w:rPr>
                <w:color w:val="FFFFFF"/>
                <w:w w:val="105"/>
                <w:sz w:val="15"/>
                <w:szCs w:val="15"/>
              </w:rPr>
              <w:t>Comprendre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les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liens entre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les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causes profondes de l</w:t>
            </w:r>
            <w:r w:rsidR="00FA5ADB">
              <w:rPr>
                <w:color w:val="FFFFFF"/>
                <w:w w:val="105"/>
                <w:sz w:val="15"/>
                <w:szCs w:val="15"/>
              </w:rPr>
              <w:t>’</w:t>
            </w:r>
            <w:r w:rsidRPr="00C1327B">
              <w:rPr>
                <w:color w:val="FFFFFF"/>
                <w:w w:val="105"/>
                <w:sz w:val="15"/>
                <w:szCs w:val="15"/>
              </w:rPr>
              <w:t>érosion de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biodiversité et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les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déterminants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des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changements transformateurs et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les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solutions pour réaliser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Vision</w:t>
            </w:r>
            <w:r w:rsidR="00AD1B7D">
              <w:rPr>
                <w:color w:val="FFFFFF"/>
                <w:w w:val="105"/>
                <w:sz w:val="15"/>
                <w:szCs w:val="15"/>
              </w:rPr>
              <w:t>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2050 pour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biodiversité</w:t>
            </w:r>
          </w:p>
        </w:tc>
        <w:tc>
          <w:tcPr>
            <w:tcW w:w="1608" w:type="dxa"/>
            <w:shd w:val="clear" w:color="auto" w:fill="5E665B"/>
          </w:tcPr>
          <w:p w14:paraId="48C97DEE" w14:textId="77777777" w:rsidR="00C1327B" w:rsidRPr="00C1327B" w:rsidRDefault="00C1327B" w:rsidP="00444CD5">
            <w:pPr>
              <w:pStyle w:val="Normal-pool"/>
              <w:spacing w:before="40" w:after="40"/>
              <w:rPr>
                <w:b/>
                <w:color w:val="FFFFFF"/>
                <w:sz w:val="15"/>
                <w:szCs w:val="15"/>
              </w:rPr>
            </w:pPr>
            <w:r w:rsidRPr="00C1327B">
              <w:rPr>
                <w:b/>
                <w:color w:val="FFFFFF"/>
                <w:sz w:val="15"/>
                <w:szCs w:val="15"/>
              </w:rPr>
              <w:t>SUJET 3</w:t>
            </w:r>
          </w:p>
          <w:p w14:paraId="00176294" w14:textId="51CC1C10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  <w:lang w:val="fr-FR"/>
              </w:rPr>
            </w:pPr>
            <w:r w:rsidRPr="00C1327B">
              <w:rPr>
                <w:color w:val="FFFFFF"/>
                <w:w w:val="105"/>
                <w:sz w:val="15"/>
                <w:szCs w:val="15"/>
              </w:rPr>
              <w:t>Mesurer l</w:t>
            </w:r>
            <w:r w:rsidR="00FA5ADB">
              <w:rPr>
                <w:color w:val="FFFFFF"/>
                <w:w w:val="105"/>
                <w:sz w:val="15"/>
                <w:szCs w:val="15"/>
              </w:rPr>
              <w:t>’</w:t>
            </w:r>
            <w:r w:rsidRPr="00C1327B">
              <w:rPr>
                <w:color w:val="FFFFFF"/>
                <w:w w:val="105"/>
                <w:sz w:val="15"/>
                <w:szCs w:val="15"/>
              </w:rPr>
              <w:t>impact et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dépendance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des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entreprises à l</w:t>
            </w:r>
            <w:r w:rsidR="00FA5ADB">
              <w:rPr>
                <w:color w:val="FFFFFF"/>
                <w:w w:val="105"/>
                <w:sz w:val="15"/>
                <w:szCs w:val="15"/>
              </w:rPr>
              <w:t>’</w:t>
            </w:r>
            <w:r w:rsidRPr="00C1327B">
              <w:rPr>
                <w:color w:val="FFFFFF"/>
                <w:w w:val="105"/>
                <w:sz w:val="15"/>
                <w:szCs w:val="15"/>
              </w:rPr>
              <w:t>égard de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biodiversité et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des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contributions de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nature aux populations</w:t>
            </w:r>
          </w:p>
        </w:tc>
        <w:tc>
          <w:tcPr>
            <w:tcW w:w="1354" w:type="dxa"/>
            <w:shd w:val="clear" w:color="auto" w:fill="5E665B"/>
          </w:tcPr>
          <w:p w14:paraId="4077958D" w14:textId="77777777" w:rsidR="00C1327B" w:rsidRPr="00C1327B" w:rsidRDefault="00C1327B" w:rsidP="00444CD5">
            <w:pPr>
              <w:pStyle w:val="Normal-pool"/>
              <w:spacing w:before="40" w:after="40"/>
              <w:rPr>
                <w:color w:val="FFFFFF"/>
                <w:w w:val="105"/>
                <w:sz w:val="15"/>
                <w:szCs w:val="15"/>
              </w:rPr>
            </w:pPr>
          </w:p>
          <w:p w14:paraId="1C2D7ACB" w14:textId="0205EB30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  <w:lang w:val="fr-FR"/>
              </w:rPr>
            </w:pPr>
            <w:r w:rsidRPr="00C1327B">
              <w:rPr>
                <w:color w:val="FFFFFF"/>
                <w:w w:val="105"/>
                <w:sz w:val="15"/>
                <w:szCs w:val="15"/>
              </w:rPr>
              <w:t>Soutenir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réalisation de l</w:t>
            </w:r>
            <w:r w:rsidR="00FA5ADB">
              <w:rPr>
                <w:color w:val="FFFFFF"/>
                <w:w w:val="105"/>
                <w:sz w:val="15"/>
                <w:szCs w:val="15"/>
              </w:rPr>
              <w:t>’</w:t>
            </w:r>
            <w:r w:rsidRPr="00C1327B">
              <w:rPr>
                <w:color w:val="FFFFFF"/>
                <w:w w:val="105"/>
                <w:sz w:val="15"/>
                <w:szCs w:val="15"/>
              </w:rPr>
              <w:t>objectif global de</w:t>
            </w:r>
            <w:r w:rsidR="007031E0">
              <w:rPr>
                <w:color w:val="FFFFFF"/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color w:val="FFFFFF"/>
                <w:w w:val="105"/>
                <w:sz w:val="15"/>
                <w:szCs w:val="15"/>
              </w:rPr>
              <w:t>Plateforme</w:t>
            </w:r>
          </w:p>
        </w:tc>
      </w:tr>
      <w:tr w:rsidR="00C1327B" w:rsidRPr="00C1327B" w14:paraId="7C274790" w14:textId="77777777" w:rsidTr="005C2FB4">
        <w:trPr>
          <w:trHeight w:val="57"/>
          <w:jc w:val="right"/>
        </w:trPr>
        <w:tc>
          <w:tcPr>
            <w:tcW w:w="3397" w:type="dxa"/>
            <w:gridSpan w:val="2"/>
            <w:shd w:val="clear" w:color="auto" w:fill="C5E0B3" w:themeFill="accent6" w:themeFillTint="66"/>
          </w:tcPr>
          <w:p w14:paraId="348B03C4" w14:textId="77777777" w:rsidR="00C1327B" w:rsidRPr="00C1327B" w:rsidRDefault="00C1327B" w:rsidP="00444CD5">
            <w:pPr>
              <w:pStyle w:val="Normal-pool"/>
              <w:spacing w:before="40" w:after="40"/>
              <w:rPr>
                <w:b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>OBJECTIF 1</w:t>
            </w:r>
          </w:p>
          <w:p w14:paraId="50A28ACD" w14:textId="2FC69E7B" w:rsidR="00C1327B" w:rsidRPr="00C1327B" w:rsidRDefault="00C1327B" w:rsidP="00444CD5">
            <w:pPr>
              <w:pStyle w:val="Normal-pool"/>
              <w:spacing w:before="40" w:after="40"/>
              <w:rPr>
                <w:color w:val="FFFFFF"/>
                <w:w w:val="105"/>
                <w:sz w:val="15"/>
                <w:szCs w:val="15"/>
              </w:rPr>
            </w:pPr>
            <w:r w:rsidRPr="00C1327B">
              <w:rPr>
                <w:w w:val="105"/>
                <w:sz w:val="15"/>
                <w:szCs w:val="15"/>
              </w:rPr>
              <w:t>Évaluer</w:t>
            </w:r>
            <w:r w:rsidR="007031E0">
              <w:rPr>
                <w:w w:val="105"/>
                <w:sz w:val="15"/>
                <w:szCs w:val="15"/>
              </w:rPr>
              <w:t xml:space="preserve"> les </w:t>
            </w:r>
            <w:r w:rsidRPr="00C1327B">
              <w:rPr>
                <w:w w:val="105"/>
                <w:sz w:val="15"/>
                <w:szCs w:val="15"/>
              </w:rPr>
              <w:t>connaissances</w:t>
            </w:r>
          </w:p>
        </w:tc>
        <w:tc>
          <w:tcPr>
            <w:tcW w:w="1546" w:type="dxa"/>
            <w:shd w:val="clear" w:color="auto" w:fill="C5E0B3" w:themeFill="accent6" w:themeFillTint="66"/>
          </w:tcPr>
          <w:p w14:paraId="532F42CB" w14:textId="42983820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 xml:space="preserve">Produit 1 a) : </w:t>
            </w:r>
            <w:r w:rsidRPr="00C1327B">
              <w:rPr>
                <w:sz w:val="15"/>
                <w:szCs w:val="15"/>
              </w:rPr>
              <w:t>Évaluation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liens d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interdépendance entre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biodiversité,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eau,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alimentation et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santé (évaluation thématique)</w:t>
            </w:r>
          </w:p>
          <w:p w14:paraId="06B3CC98" w14:textId="036E3E0F" w:rsidR="00C1327B" w:rsidRPr="00C1327B" w:rsidRDefault="00C1327B" w:rsidP="00444CD5">
            <w:pPr>
              <w:pStyle w:val="Normal-pool"/>
              <w:spacing w:before="40" w:after="40"/>
              <w:rPr>
                <w:color w:val="FFFFFF"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 xml:space="preserve">Produit 1 b) : </w:t>
            </w:r>
            <w:r w:rsidRPr="00C1327B">
              <w:rPr>
                <w:spacing w:val="-4"/>
                <w:sz w:val="15"/>
                <w:szCs w:val="15"/>
              </w:rPr>
              <w:t>Évaluation</w:t>
            </w:r>
            <w:r w:rsidR="007031E0">
              <w:rPr>
                <w:spacing w:val="-4"/>
                <w:sz w:val="15"/>
                <w:szCs w:val="15"/>
              </w:rPr>
              <w:t xml:space="preserve"> des </w:t>
            </w:r>
            <w:r w:rsidRPr="00C1327B">
              <w:rPr>
                <w:spacing w:val="-4"/>
                <w:sz w:val="15"/>
                <w:szCs w:val="15"/>
              </w:rPr>
              <w:t>liens d</w:t>
            </w:r>
            <w:r w:rsidR="00FA5ADB">
              <w:rPr>
                <w:spacing w:val="-4"/>
                <w:sz w:val="15"/>
                <w:szCs w:val="15"/>
              </w:rPr>
              <w:t>’</w:t>
            </w:r>
            <w:r w:rsidRPr="00C1327B">
              <w:rPr>
                <w:spacing w:val="-4"/>
                <w:sz w:val="15"/>
                <w:szCs w:val="15"/>
              </w:rPr>
              <w:t>interdépendance entre</w:t>
            </w:r>
            <w:r w:rsidR="007031E0">
              <w:rPr>
                <w:spacing w:val="-4"/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biodiversité et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changements climatiques (document technique</w:t>
            </w:r>
            <w:r w:rsidRPr="00C1327B">
              <w:rPr>
                <w:spacing w:val="-4"/>
                <w:sz w:val="15"/>
                <w:szCs w:val="15"/>
              </w:rPr>
              <w:t>)</w:t>
            </w:r>
          </w:p>
        </w:tc>
        <w:tc>
          <w:tcPr>
            <w:tcW w:w="1576" w:type="dxa"/>
            <w:shd w:val="clear" w:color="auto" w:fill="C5E0B3" w:themeFill="accent6" w:themeFillTint="66"/>
          </w:tcPr>
          <w:p w14:paraId="3ABC88D5" w14:textId="7FD062E7" w:rsidR="00C1327B" w:rsidRPr="00C1327B" w:rsidRDefault="00C1327B" w:rsidP="00444CD5">
            <w:pPr>
              <w:pStyle w:val="Normal-pool"/>
              <w:spacing w:before="40" w:after="40"/>
              <w:rPr>
                <w:color w:val="FFFFFF"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>Produit 1 c) :</w:t>
            </w:r>
            <w:r w:rsidRPr="00C1327B">
              <w:rPr>
                <w:sz w:val="15"/>
                <w:szCs w:val="15"/>
              </w:rPr>
              <w:t xml:space="preserve"> Évaluation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causes profondes de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érosion de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biodiversité,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déterminants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changements transformateurs et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solutions pour réaliser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Vision 2050 pour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biodiversité (évaluation thématique)</w:t>
            </w:r>
          </w:p>
        </w:tc>
        <w:tc>
          <w:tcPr>
            <w:tcW w:w="1608" w:type="dxa"/>
            <w:shd w:val="clear" w:color="auto" w:fill="C5E0B3" w:themeFill="accent6" w:themeFillTint="66"/>
          </w:tcPr>
          <w:p w14:paraId="6DDA3442" w14:textId="7CAA3250" w:rsidR="00C1327B" w:rsidRPr="00C1327B" w:rsidRDefault="00C1327B" w:rsidP="00444CD5">
            <w:pPr>
              <w:pStyle w:val="Normal-pool"/>
              <w:spacing w:before="40" w:after="40"/>
              <w:rPr>
                <w:color w:val="FFFFFF"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 xml:space="preserve">Produit 1 d) : </w:t>
            </w:r>
            <w:r w:rsidRPr="00C1327B">
              <w:rPr>
                <w:sz w:val="15"/>
                <w:szCs w:val="15"/>
              </w:rPr>
              <w:t>Évaluation de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impact et de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dépendance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entreprises à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égard de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biodiversité et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contributions de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nature aux populations (évaluation méthodologique rapide)</w:t>
            </w:r>
          </w:p>
        </w:tc>
        <w:tc>
          <w:tcPr>
            <w:tcW w:w="1354" w:type="dxa"/>
            <w:shd w:val="clear" w:color="auto" w:fill="C5E0B3" w:themeFill="accent6" w:themeFillTint="66"/>
          </w:tcPr>
          <w:p w14:paraId="6713C2DB" w14:textId="77777777" w:rsidR="00C1327B" w:rsidRPr="00C1327B" w:rsidRDefault="00C1327B" w:rsidP="00444CD5">
            <w:pPr>
              <w:pStyle w:val="Normal-pool"/>
              <w:spacing w:before="40" w:after="40"/>
              <w:rPr>
                <w:color w:val="FFFFFF"/>
                <w:w w:val="105"/>
                <w:sz w:val="15"/>
                <w:szCs w:val="15"/>
              </w:rPr>
            </w:pPr>
          </w:p>
        </w:tc>
      </w:tr>
      <w:tr w:rsidR="00C1327B" w:rsidRPr="00C1327B" w14:paraId="5C5844B0" w14:textId="77777777" w:rsidTr="00C1327B">
        <w:trPr>
          <w:trHeight w:val="57"/>
          <w:jc w:val="right"/>
        </w:trPr>
        <w:tc>
          <w:tcPr>
            <w:tcW w:w="1586" w:type="dxa"/>
            <w:vMerge w:val="restart"/>
            <w:shd w:val="clear" w:color="auto" w:fill="FBB98D"/>
          </w:tcPr>
          <w:p w14:paraId="414FF3FF" w14:textId="77777777" w:rsidR="00C1327B" w:rsidRPr="00C1327B" w:rsidRDefault="00C1327B" w:rsidP="00444CD5">
            <w:pPr>
              <w:pStyle w:val="Normal-pool"/>
              <w:spacing w:before="40" w:after="40"/>
              <w:rPr>
                <w:b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>OBJECTIF 2</w:t>
            </w:r>
          </w:p>
          <w:p w14:paraId="77B9B840" w14:textId="24ABEE23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w w:val="105"/>
                <w:sz w:val="15"/>
                <w:szCs w:val="15"/>
              </w:rPr>
              <w:t>Renforcer</w:t>
            </w:r>
            <w:r w:rsidR="007031E0">
              <w:rPr>
                <w:w w:val="105"/>
                <w:sz w:val="15"/>
                <w:szCs w:val="15"/>
              </w:rPr>
              <w:t xml:space="preserve"> les </w:t>
            </w:r>
            <w:r w:rsidRPr="00C1327B">
              <w:rPr>
                <w:w w:val="105"/>
                <w:sz w:val="15"/>
                <w:szCs w:val="15"/>
              </w:rPr>
              <w:t>capacités</w:t>
            </w:r>
          </w:p>
        </w:tc>
        <w:tc>
          <w:tcPr>
            <w:tcW w:w="1811" w:type="dxa"/>
            <w:shd w:val="clear" w:color="auto" w:fill="FBB98D"/>
          </w:tcPr>
          <w:p w14:paraId="2ADE7406" w14:textId="2B6F7E0C" w:rsidR="00C1327B" w:rsidRPr="00C1327B" w:rsidRDefault="00C1327B" w:rsidP="00444CD5">
            <w:pPr>
              <w:pStyle w:val="Normal-pool"/>
              <w:spacing w:before="40" w:after="40"/>
              <w:rPr>
                <w:color w:val="FFFFFF"/>
                <w:w w:val="105"/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a) Apprentissage et engagement améliorés</w:t>
            </w:r>
          </w:p>
        </w:tc>
        <w:tc>
          <w:tcPr>
            <w:tcW w:w="1546" w:type="dxa"/>
            <w:shd w:val="clear" w:color="auto" w:fill="FBB98D"/>
          </w:tcPr>
          <w:p w14:paraId="3315DEED" w14:textId="6F435950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576" w:type="dxa"/>
            <w:shd w:val="clear" w:color="auto" w:fill="FBB98D"/>
          </w:tcPr>
          <w:p w14:paraId="6915EE48" w14:textId="05C652CB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608" w:type="dxa"/>
            <w:shd w:val="clear" w:color="auto" w:fill="FBB98D"/>
          </w:tcPr>
          <w:p w14:paraId="0963253D" w14:textId="2462EB9F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354" w:type="dxa"/>
            <w:shd w:val="clear" w:color="auto" w:fill="FBB98D"/>
          </w:tcPr>
          <w:p w14:paraId="3B9849E9" w14:textId="01F5FD3F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color w:val="FFFFFF"/>
                <w:w w:val="105"/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</w:tr>
      <w:tr w:rsidR="00C1327B" w:rsidRPr="00C1327B" w14:paraId="50741A46" w14:textId="77777777" w:rsidTr="00C1327B">
        <w:trPr>
          <w:trHeight w:val="57"/>
          <w:jc w:val="right"/>
        </w:trPr>
        <w:tc>
          <w:tcPr>
            <w:tcW w:w="1586" w:type="dxa"/>
            <w:vMerge/>
            <w:shd w:val="clear" w:color="auto" w:fill="FBB98D"/>
          </w:tcPr>
          <w:p w14:paraId="3F578916" w14:textId="77777777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FBB98D"/>
          </w:tcPr>
          <w:p w14:paraId="1C32D927" w14:textId="7E889D48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b) Accès facilité aux compétences d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experts et à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information</w:t>
            </w:r>
          </w:p>
        </w:tc>
        <w:tc>
          <w:tcPr>
            <w:tcW w:w="1546" w:type="dxa"/>
            <w:shd w:val="clear" w:color="auto" w:fill="FBB98D"/>
          </w:tcPr>
          <w:p w14:paraId="65C15D92" w14:textId="35A1C20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576" w:type="dxa"/>
            <w:shd w:val="clear" w:color="auto" w:fill="FBB98D"/>
          </w:tcPr>
          <w:p w14:paraId="462F90EA" w14:textId="199D5419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608" w:type="dxa"/>
            <w:shd w:val="clear" w:color="auto" w:fill="FBB98D"/>
          </w:tcPr>
          <w:p w14:paraId="29D749E9" w14:textId="43AFF67C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354" w:type="dxa"/>
            <w:shd w:val="clear" w:color="auto" w:fill="FBB98D"/>
          </w:tcPr>
          <w:p w14:paraId="433B2E82" w14:textId="508FBDC0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</w:tr>
      <w:tr w:rsidR="00444CD5" w:rsidRPr="00C1327B" w14:paraId="3C301150" w14:textId="77777777" w:rsidTr="00C1327B">
        <w:trPr>
          <w:trHeight w:val="57"/>
          <w:jc w:val="right"/>
        </w:trPr>
        <w:tc>
          <w:tcPr>
            <w:tcW w:w="1586" w:type="dxa"/>
            <w:shd w:val="clear" w:color="auto" w:fill="FBB98D"/>
          </w:tcPr>
          <w:p w14:paraId="6817968F" w14:textId="77777777" w:rsidR="007E0D14" w:rsidRPr="00C1327B" w:rsidRDefault="007E0D14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FBB98D"/>
          </w:tcPr>
          <w:p w14:paraId="6BF7D406" w14:textId="1B14F644" w:rsidR="007E0D14" w:rsidRPr="00C1327B" w:rsidRDefault="007E0D14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c) Capacités nationales et régionales renforcées</w:t>
            </w:r>
          </w:p>
        </w:tc>
        <w:tc>
          <w:tcPr>
            <w:tcW w:w="1546" w:type="dxa"/>
            <w:shd w:val="clear" w:color="auto" w:fill="FBB98D"/>
          </w:tcPr>
          <w:p w14:paraId="1D8DCF7C" w14:textId="0E385E21" w:rsidR="007E0D14" w:rsidRPr="00C1327B" w:rsidRDefault="007E0D14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576" w:type="dxa"/>
            <w:shd w:val="clear" w:color="auto" w:fill="FBB98D"/>
          </w:tcPr>
          <w:p w14:paraId="645D91B3" w14:textId="237FE025" w:rsidR="007E0D14" w:rsidRPr="00C1327B" w:rsidRDefault="007E0D14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608" w:type="dxa"/>
            <w:shd w:val="clear" w:color="auto" w:fill="FBB98D"/>
          </w:tcPr>
          <w:p w14:paraId="74AB6F11" w14:textId="7BC6C234" w:rsidR="007E0D14" w:rsidRPr="00C1327B" w:rsidRDefault="007E0D14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354" w:type="dxa"/>
            <w:shd w:val="clear" w:color="auto" w:fill="FBB98D"/>
          </w:tcPr>
          <w:p w14:paraId="6FD0E6B8" w14:textId="13155222" w:rsidR="007E0D14" w:rsidRPr="00C1327B" w:rsidRDefault="007E0D14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</w:tr>
      <w:tr w:rsidR="00C1327B" w:rsidRPr="00C1327B" w14:paraId="797FC426" w14:textId="77777777" w:rsidTr="00C1327B">
        <w:trPr>
          <w:trHeight w:val="57"/>
          <w:jc w:val="right"/>
        </w:trPr>
        <w:tc>
          <w:tcPr>
            <w:tcW w:w="1586" w:type="dxa"/>
            <w:vMerge w:val="restart"/>
            <w:shd w:val="clear" w:color="auto" w:fill="DCA3A4"/>
          </w:tcPr>
          <w:p w14:paraId="3594EA47" w14:textId="77777777" w:rsidR="00C1327B" w:rsidRPr="00C1327B" w:rsidRDefault="00C1327B" w:rsidP="00444CD5">
            <w:pPr>
              <w:pStyle w:val="Normal-pool"/>
              <w:spacing w:before="40" w:after="40"/>
              <w:rPr>
                <w:b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lastRenderedPageBreak/>
              <w:t>OBJECTIF 3</w:t>
            </w:r>
          </w:p>
          <w:p w14:paraId="6209D96D" w14:textId="747EF13D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w w:val="105"/>
                <w:sz w:val="15"/>
                <w:szCs w:val="15"/>
              </w:rPr>
              <w:t>Consolider</w:t>
            </w:r>
            <w:r w:rsidR="007031E0">
              <w:rPr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w w:val="105"/>
                <w:sz w:val="15"/>
                <w:szCs w:val="15"/>
              </w:rPr>
              <w:t>base</w:t>
            </w:r>
            <w:r w:rsidR="007031E0">
              <w:rPr>
                <w:w w:val="105"/>
                <w:sz w:val="15"/>
                <w:szCs w:val="15"/>
              </w:rPr>
              <w:t xml:space="preserve"> des </w:t>
            </w:r>
            <w:r w:rsidRPr="00C1327B">
              <w:rPr>
                <w:w w:val="105"/>
                <w:sz w:val="15"/>
                <w:szCs w:val="15"/>
              </w:rPr>
              <w:t>connaissances</w:t>
            </w:r>
          </w:p>
        </w:tc>
        <w:tc>
          <w:tcPr>
            <w:tcW w:w="1811" w:type="dxa"/>
            <w:shd w:val="clear" w:color="auto" w:fill="DCA3A4"/>
          </w:tcPr>
          <w:p w14:paraId="2EE70D81" w14:textId="374594B5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a) Travaux avancés sur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connaissances et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données</w:t>
            </w:r>
          </w:p>
        </w:tc>
        <w:tc>
          <w:tcPr>
            <w:tcW w:w="1546" w:type="dxa"/>
            <w:shd w:val="clear" w:color="auto" w:fill="DCA3A4"/>
          </w:tcPr>
          <w:p w14:paraId="70FDDEB5" w14:textId="1D6B2533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576" w:type="dxa"/>
            <w:shd w:val="clear" w:color="auto" w:fill="DCA3A4"/>
          </w:tcPr>
          <w:p w14:paraId="5655C595" w14:textId="327ED85D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608" w:type="dxa"/>
            <w:shd w:val="clear" w:color="auto" w:fill="DCA3A4"/>
          </w:tcPr>
          <w:p w14:paraId="3389BA79" w14:textId="473F4286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354" w:type="dxa"/>
            <w:shd w:val="clear" w:color="auto" w:fill="DCA3A4"/>
          </w:tcPr>
          <w:p w14:paraId="45C38986" w14:textId="60E7E73E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</w:tr>
      <w:tr w:rsidR="00C1327B" w:rsidRPr="00C1327B" w14:paraId="7BBE9535" w14:textId="77777777" w:rsidTr="00C1327B">
        <w:trPr>
          <w:trHeight w:val="57"/>
          <w:jc w:val="right"/>
        </w:trPr>
        <w:tc>
          <w:tcPr>
            <w:tcW w:w="1586" w:type="dxa"/>
            <w:vMerge/>
            <w:shd w:val="clear" w:color="auto" w:fill="DCA3A4"/>
          </w:tcPr>
          <w:p w14:paraId="712CCF9F" w14:textId="77777777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DCA3A4"/>
          </w:tcPr>
          <w:p w14:paraId="5F25F581" w14:textId="3A0D6ED8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b) Reconnaissance et utilisation améliorées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systèmes de savoirs autochtones et locaux</w:t>
            </w:r>
          </w:p>
        </w:tc>
        <w:tc>
          <w:tcPr>
            <w:tcW w:w="1546" w:type="dxa"/>
            <w:shd w:val="clear" w:color="auto" w:fill="DCA3A4"/>
          </w:tcPr>
          <w:p w14:paraId="4E4841AF" w14:textId="139A160C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576" w:type="dxa"/>
            <w:shd w:val="clear" w:color="auto" w:fill="DCA3A4"/>
          </w:tcPr>
          <w:p w14:paraId="450CBF06" w14:textId="194C8076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608" w:type="dxa"/>
            <w:shd w:val="clear" w:color="auto" w:fill="DCA3A4"/>
          </w:tcPr>
          <w:p w14:paraId="15092AF7" w14:textId="26E8E7E4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354" w:type="dxa"/>
            <w:shd w:val="clear" w:color="auto" w:fill="DCA3A4"/>
          </w:tcPr>
          <w:p w14:paraId="1BC1FAC8" w14:textId="5014D212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</w:tr>
      <w:tr w:rsidR="00C1327B" w:rsidRPr="00C1327B" w14:paraId="01F669D3" w14:textId="77777777" w:rsidTr="00C1327B">
        <w:trPr>
          <w:trHeight w:val="57"/>
          <w:jc w:val="right"/>
        </w:trPr>
        <w:tc>
          <w:tcPr>
            <w:tcW w:w="1586" w:type="dxa"/>
            <w:vMerge w:val="restart"/>
            <w:shd w:val="clear" w:color="auto" w:fill="B1ABD1"/>
          </w:tcPr>
          <w:p w14:paraId="654682E4" w14:textId="77777777" w:rsidR="00C1327B" w:rsidRPr="00C1327B" w:rsidRDefault="00C1327B" w:rsidP="00444CD5">
            <w:pPr>
              <w:pStyle w:val="Normal-pool"/>
              <w:spacing w:before="40" w:after="40"/>
              <w:rPr>
                <w:b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>OBJECTIF 4</w:t>
            </w:r>
          </w:p>
          <w:p w14:paraId="48EDCAF5" w14:textId="54151483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w w:val="105"/>
                <w:sz w:val="15"/>
                <w:szCs w:val="15"/>
              </w:rPr>
              <w:t>Fournir une aide à l</w:t>
            </w:r>
            <w:r w:rsidR="00FA5ADB">
              <w:rPr>
                <w:w w:val="105"/>
                <w:sz w:val="15"/>
                <w:szCs w:val="15"/>
              </w:rPr>
              <w:t>’</w:t>
            </w:r>
            <w:r w:rsidRPr="00C1327B">
              <w:rPr>
                <w:w w:val="105"/>
                <w:sz w:val="15"/>
                <w:szCs w:val="15"/>
              </w:rPr>
              <w:t>élaboration</w:t>
            </w:r>
            <w:r w:rsidR="007031E0">
              <w:rPr>
                <w:w w:val="105"/>
                <w:sz w:val="15"/>
                <w:szCs w:val="15"/>
              </w:rPr>
              <w:t xml:space="preserve"> des </w:t>
            </w:r>
            <w:r w:rsidRPr="00C1327B">
              <w:rPr>
                <w:w w:val="105"/>
                <w:sz w:val="15"/>
                <w:szCs w:val="15"/>
              </w:rPr>
              <w:t>politiques</w:t>
            </w:r>
          </w:p>
        </w:tc>
        <w:tc>
          <w:tcPr>
            <w:tcW w:w="1811" w:type="dxa"/>
            <w:shd w:val="clear" w:color="auto" w:fill="B1ABD1"/>
          </w:tcPr>
          <w:p w14:paraId="658FF490" w14:textId="0B26D508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a) Travaux avancés sur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moyens d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action,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outils d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appui à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élaboration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politiques et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méthodes</w:t>
            </w:r>
          </w:p>
        </w:tc>
        <w:tc>
          <w:tcPr>
            <w:tcW w:w="1546" w:type="dxa"/>
            <w:shd w:val="clear" w:color="auto" w:fill="B1ABD1"/>
          </w:tcPr>
          <w:p w14:paraId="5EA6372A" w14:textId="2311FF61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576" w:type="dxa"/>
            <w:shd w:val="clear" w:color="auto" w:fill="B1ABD1"/>
          </w:tcPr>
          <w:p w14:paraId="299F33F4" w14:textId="047EE902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608" w:type="dxa"/>
            <w:shd w:val="clear" w:color="auto" w:fill="B1ABD1"/>
          </w:tcPr>
          <w:p w14:paraId="5B98EE7B" w14:textId="13BDB11E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354" w:type="dxa"/>
            <w:shd w:val="clear" w:color="auto" w:fill="B1ABD1"/>
          </w:tcPr>
          <w:p w14:paraId="1501D288" w14:textId="6F4098FF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</w:tr>
      <w:tr w:rsidR="00C1327B" w:rsidRPr="00C1327B" w14:paraId="789F1DC9" w14:textId="77777777" w:rsidTr="00C1327B">
        <w:trPr>
          <w:trHeight w:val="57"/>
          <w:jc w:val="right"/>
        </w:trPr>
        <w:tc>
          <w:tcPr>
            <w:tcW w:w="1586" w:type="dxa"/>
            <w:vMerge/>
            <w:shd w:val="clear" w:color="auto" w:fill="B1ABD1"/>
          </w:tcPr>
          <w:p w14:paraId="387A43FC" w14:textId="77777777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B1ABD1"/>
          </w:tcPr>
          <w:p w14:paraId="458EDEA8" w14:textId="59266E80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b) Travaux avancés sur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scénarios et modèles de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biodiversité et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services écosystémiques</w:t>
            </w:r>
          </w:p>
        </w:tc>
        <w:tc>
          <w:tcPr>
            <w:tcW w:w="1546" w:type="dxa"/>
            <w:shd w:val="clear" w:color="auto" w:fill="B1ABD1"/>
          </w:tcPr>
          <w:p w14:paraId="1500B125" w14:textId="30D2E2E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576" w:type="dxa"/>
            <w:shd w:val="clear" w:color="auto" w:fill="B1ABD1"/>
          </w:tcPr>
          <w:p w14:paraId="56989150" w14:textId="25578D30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608" w:type="dxa"/>
            <w:shd w:val="clear" w:color="auto" w:fill="B1ABD1"/>
          </w:tcPr>
          <w:p w14:paraId="360B7EBB" w14:textId="2AD0390A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354" w:type="dxa"/>
            <w:shd w:val="clear" w:color="auto" w:fill="B1ABD1"/>
          </w:tcPr>
          <w:p w14:paraId="7209AF83" w14:textId="1128FCDE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</w:tr>
      <w:tr w:rsidR="00C1327B" w:rsidRPr="00C1327B" w14:paraId="7638F465" w14:textId="77777777" w:rsidTr="00C1327B">
        <w:trPr>
          <w:trHeight w:val="57"/>
          <w:jc w:val="right"/>
        </w:trPr>
        <w:tc>
          <w:tcPr>
            <w:tcW w:w="1586" w:type="dxa"/>
            <w:vMerge/>
            <w:shd w:val="clear" w:color="auto" w:fill="B1ABD1"/>
          </w:tcPr>
          <w:p w14:paraId="31268603" w14:textId="77777777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B1ABD1"/>
          </w:tcPr>
          <w:p w14:paraId="2DEFF3BD" w14:textId="3269FE91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c) Travaux avancés sur</w:t>
            </w:r>
            <w:r w:rsidR="007031E0">
              <w:rPr>
                <w:sz w:val="15"/>
                <w:szCs w:val="15"/>
              </w:rPr>
              <w:t xml:space="preserve"> les </w:t>
            </w:r>
            <w:r w:rsidRPr="00C1327B">
              <w:rPr>
                <w:sz w:val="15"/>
                <w:szCs w:val="15"/>
              </w:rPr>
              <w:t>valeurs multiples</w:t>
            </w:r>
          </w:p>
        </w:tc>
        <w:tc>
          <w:tcPr>
            <w:tcW w:w="1546" w:type="dxa"/>
            <w:shd w:val="clear" w:color="auto" w:fill="B1ABD1"/>
          </w:tcPr>
          <w:p w14:paraId="69665A8C" w14:textId="0A74C65B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576" w:type="dxa"/>
            <w:shd w:val="clear" w:color="auto" w:fill="B1ABD1"/>
          </w:tcPr>
          <w:p w14:paraId="16AC923D" w14:textId="3CEA4776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608" w:type="dxa"/>
            <w:shd w:val="clear" w:color="auto" w:fill="B1ABD1"/>
          </w:tcPr>
          <w:p w14:paraId="7572FEC8" w14:textId="02C43F65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  <w:tc>
          <w:tcPr>
            <w:tcW w:w="1354" w:type="dxa"/>
            <w:shd w:val="clear" w:color="auto" w:fill="B1ABD1"/>
          </w:tcPr>
          <w:p w14:paraId="57A52994" w14:textId="3DC0BF76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(*)</w:t>
            </w:r>
          </w:p>
        </w:tc>
      </w:tr>
      <w:tr w:rsidR="00C1327B" w:rsidRPr="00C1327B" w14:paraId="16F44AAC" w14:textId="77777777" w:rsidTr="00C1327B">
        <w:trPr>
          <w:trHeight w:val="57"/>
          <w:jc w:val="right"/>
        </w:trPr>
        <w:tc>
          <w:tcPr>
            <w:tcW w:w="1586" w:type="dxa"/>
            <w:vMerge w:val="restart"/>
            <w:shd w:val="clear" w:color="auto" w:fill="829DBF"/>
          </w:tcPr>
          <w:p w14:paraId="34E17151" w14:textId="77777777" w:rsidR="00C1327B" w:rsidRPr="00C1327B" w:rsidRDefault="00C1327B" w:rsidP="00444CD5">
            <w:pPr>
              <w:pStyle w:val="Normal-pool"/>
              <w:spacing w:before="40" w:after="40"/>
              <w:rPr>
                <w:b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>OBJECTIF 5</w:t>
            </w:r>
          </w:p>
          <w:p w14:paraId="502A9CC0" w14:textId="102232B1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w w:val="105"/>
                <w:sz w:val="15"/>
                <w:szCs w:val="15"/>
              </w:rPr>
              <w:t>Renforcer</w:t>
            </w:r>
            <w:r w:rsidR="007031E0">
              <w:rPr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w w:val="105"/>
                <w:sz w:val="15"/>
                <w:szCs w:val="15"/>
              </w:rPr>
              <w:t>communication et</w:t>
            </w:r>
            <w:r w:rsidR="007031E0">
              <w:rPr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w w:val="105"/>
                <w:sz w:val="15"/>
                <w:szCs w:val="15"/>
              </w:rPr>
              <w:t>participation</w:t>
            </w:r>
          </w:p>
        </w:tc>
        <w:tc>
          <w:tcPr>
            <w:tcW w:w="1811" w:type="dxa"/>
            <w:shd w:val="clear" w:color="auto" w:fill="829DBF"/>
          </w:tcPr>
          <w:p w14:paraId="0DCC56E8" w14:textId="6A9841DC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a) Communication renforcée</w:t>
            </w:r>
          </w:p>
        </w:tc>
        <w:tc>
          <w:tcPr>
            <w:tcW w:w="1546" w:type="dxa"/>
            <w:shd w:val="clear" w:color="auto" w:fill="829DBF"/>
          </w:tcPr>
          <w:p w14:paraId="732EBDFF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576" w:type="dxa"/>
            <w:shd w:val="clear" w:color="auto" w:fill="829DBF"/>
          </w:tcPr>
          <w:p w14:paraId="633BD6EC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608" w:type="dxa"/>
            <w:shd w:val="clear" w:color="auto" w:fill="829DBF"/>
          </w:tcPr>
          <w:p w14:paraId="09B0FC2C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4" w:type="dxa"/>
            <w:shd w:val="clear" w:color="auto" w:fill="829DBF"/>
          </w:tcPr>
          <w:p w14:paraId="65C6CEB1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C1327B" w:rsidRPr="00C1327B" w14:paraId="33285941" w14:textId="77777777" w:rsidTr="00C1327B">
        <w:trPr>
          <w:trHeight w:val="57"/>
          <w:jc w:val="right"/>
        </w:trPr>
        <w:tc>
          <w:tcPr>
            <w:tcW w:w="1586" w:type="dxa"/>
            <w:vMerge/>
            <w:shd w:val="clear" w:color="auto" w:fill="829DBF"/>
          </w:tcPr>
          <w:p w14:paraId="6C86EF48" w14:textId="77777777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829DBF"/>
          </w:tcPr>
          <w:p w14:paraId="0F969B7D" w14:textId="0B84C1AA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b) </w:t>
            </w:r>
            <w:r w:rsidRPr="00C1327B">
              <w:rPr>
                <w:w w:val="105"/>
                <w:sz w:val="15"/>
                <w:szCs w:val="15"/>
              </w:rPr>
              <w:t>Participation</w:t>
            </w:r>
            <w:r w:rsidRPr="00C1327B">
              <w:rPr>
                <w:sz w:val="15"/>
                <w:szCs w:val="15"/>
              </w:rPr>
              <w:t xml:space="preserve"> renforcée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gouvernements</w:t>
            </w:r>
          </w:p>
        </w:tc>
        <w:tc>
          <w:tcPr>
            <w:tcW w:w="1546" w:type="dxa"/>
            <w:shd w:val="clear" w:color="auto" w:fill="829DBF"/>
          </w:tcPr>
          <w:p w14:paraId="1FD7C77B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576" w:type="dxa"/>
            <w:shd w:val="clear" w:color="auto" w:fill="829DBF"/>
          </w:tcPr>
          <w:p w14:paraId="340C6E96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608" w:type="dxa"/>
            <w:shd w:val="clear" w:color="auto" w:fill="829DBF"/>
          </w:tcPr>
          <w:p w14:paraId="5BFB2D1C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4" w:type="dxa"/>
            <w:shd w:val="clear" w:color="auto" w:fill="829DBF"/>
          </w:tcPr>
          <w:p w14:paraId="4DFE62FD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C1327B" w:rsidRPr="00C1327B" w14:paraId="3B672968" w14:textId="77777777" w:rsidTr="00C1327B">
        <w:trPr>
          <w:trHeight w:val="57"/>
          <w:jc w:val="right"/>
        </w:trPr>
        <w:tc>
          <w:tcPr>
            <w:tcW w:w="1586" w:type="dxa"/>
            <w:vMerge/>
            <w:shd w:val="clear" w:color="auto" w:fill="829DBF"/>
          </w:tcPr>
          <w:p w14:paraId="4B81DE4E" w14:textId="77777777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829DBF"/>
          </w:tcPr>
          <w:p w14:paraId="503A2EE7" w14:textId="2F052686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c) </w:t>
            </w:r>
            <w:r w:rsidR="00B14ABD">
              <w:rPr>
                <w:w w:val="105"/>
                <w:sz w:val="15"/>
                <w:szCs w:val="15"/>
              </w:rPr>
              <w:t>P</w:t>
            </w:r>
            <w:r w:rsidRPr="00C1327B">
              <w:rPr>
                <w:w w:val="105"/>
                <w:sz w:val="15"/>
                <w:szCs w:val="15"/>
              </w:rPr>
              <w:t>articipation</w:t>
            </w:r>
            <w:r w:rsidRPr="00C1327B">
              <w:rPr>
                <w:sz w:val="15"/>
                <w:szCs w:val="15"/>
              </w:rPr>
              <w:t xml:space="preserve"> renforcée</w:t>
            </w:r>
            <w:r w:rsidR="007031E0">
              <w:rPr>
                <w:sz w:val="15"/>
                <w:szCs w:val="15"/>
              </w:rPr>
              <w:t xml:space="preserve"> des </w:t>
            </w:r>
            <w:r w:rsidRPr="00C1327B">
              <w:rPr>
                <w:sz w:val="15"/>
                <w:szCs w:val="15"/>
              </w:rPr>
              <w:t>parties prenantes</w:t>
            </w:r>
          </w:p>
        </w:tc>
        <w:tc>
          <w:tcPr>
            <w:tcW w:w="1546" w:type="dxa"/>
            <w:shd w:val="clear" w:color="auto" w:fill="829DBF"/>
          </w:tcPr>
          <w:p w14:paraId="63262237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576" w:type="dxa"/>
            <w:shd w:val="clear" w:color="auto" w:fill="829DBF"/>
          </w:tcPr>
          <w:p w14:paraId="48FB9110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608" w:type="dxa"/>
            <w:shd w:val="clear" w:color="auto" w:fill="829DBF"/>
          </w:tcPr>
          <w:p w14:paraId="75F90107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4" w:type="dxa"/>
            <w:shd w:val="clear" w:color="auto" w:fill="829DBF"/>
          </w:tcPr>
          <w:p w14:paraId="6CA97129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C1327B" w:rsidRPr="00C1327B" w14:paraId="5B24297B" w14:textId="77777777" w:rsidTr="00C1327B">
        <w:trPr>
          <w:trHeight w:val="57"/>
          <w:jc w:val="right"/>
        </w:trPr>
        <w:tc>
          <w:tcPr>
            <w:tcW w:w="1586" w:type="dxa"/>
            <w:vMerge w:val="restart"/>
            <w:shd w:val="clear" w:color="auto" w:fill="8FB9B9"/>
          </w:tcPr>
          <w:p w14:paraId="15582821" w14:textId="77777777" w:rsidR="00C1327B" w:rsidRPr="00C1327B" w:rsidRDefault="00C1327B" w:rsidP="00444CD5">
            <w:pPr>
              <w:pStyle w:val="Normal-pool"/>
              <w:spacing w:before="40" w:after="40"/>
              <w:rPr>
                <w:b/>
                <w:sz w:val="15"/>
                <w:szCs w:val="15"/>
              </w:rPr>
            </w:pPr>
            <w:r w:rsidRPr="00C1327B">
              <w:rPr>
                <w:b/>
                <w:sz w:val="15"/>
                <w:szCs w:val="15"/>
              </w:rPr>
              <w:t>OBJECTIF 6</w:t>
            </w:r>
          </w:p>
          <w:p w14:paraId="1FAB7056" w14:textId="5899DA4C" w:rsidR="00C1327B" w:rsidRPr="00C1327B" w:rsidRDefault="00C1327B" w:rsidP="00C1327B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w w:val="105"/>
                <w:sz w:val="15"/>
                <w:szCs w:val="15"/>
              </w:rPr>
              <w:t>Renforcer l</w:t>
            </w:r>
            <w:r w:rsidR="00FA5ADB">
              <w:rPr>
                <w:w w:val="105"/>
                <w:sz w:val="15"/>
                <w:szCs w:val="15"/>
              </w:rPr>
              <w:t>’</w:t>
            </w:r>
            <w:r w:rsidRPr="00C1327B">
              <w:rPr>
                <w:w w:val="105"/>
                <w:sz w:val="15"/>
                <w:szCs w:val="15"/>
              </w:rPr>
              <w:t>efficacité de</w:t>
            </w:r>
            <w:r w:rsidR="007031E0">
              <w:rPr>
                <w:w w:val="105"/>
                <w:sz w:val="15"/>
                <w:szCs w:val="15"/>
              </w:rPr>
              <w:t xml:space="preserve"> la </w:t>
            </w:r>
            <w:r w:rsidRPr="00C1327B">
              <w:rPr>
                <w:w w:val="105"/>
                <w:sz w:val="15"/>
                <w:szCs w:val="15"/>
              </w:rPr>
              <w:t xml:space="preserve">Plateforme </w:t>
            </w:r>
          </w:p>
        </w:tc>
        <w:tc>
          <w:tcPr>
            <w:tcW w:w="1811" w:type="dxa"/>
            <w:shd w:val="clear" w:color="auto" w:fill="8FB9B9"/>
          </w:tcPr>
          <w:p w14:paraId="0F0161D8" w14:textId="590E9C91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a) Évaluation périodique de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efficacité de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Plateforme</w:t>
            </w:r>
          </w:p>
        </w:tc>
        <w:tc>
          <w:tcPr>
            <w:tcW w:w="1546" w:type="dxa"/>
            <w:shd w:val="clear" w:color="auto" w:fill="8FB9B9"/>
          </w:tcPr>
          <w:p w14:paraId="431363B3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576" w:type="dxa"/>
            <w:shd w:val="clear" w:color="auto" w:fill="8FB9B9"/>
          </w:tcPr>
          <w:p w14:paraId="59E4A7C3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608" w:type="dxa"/>
            <w:shd w:val="clear" w:color="auto" w:fill="8FB9B9"/>
          </w:tcPr>
          <w:p w14:paraId="3404C699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4" w:type="dxa"/>
            <w:shd w:val="clear" w:color="auto" w:fill="8FB9B9"/>
          </w:tcPr>
          <w:p w14:paraId="36439E7E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C1327B" w:rsidRPr="00C1327B" w14:paraId="0E157246" w14:textId="77777777" w:rsidTr="00C1327B">
        <w:trPr>
          <w:trHeight w:val="57"/>
          <w:jc w:val="right"/>
        </w:trPr>
        <w:tc>
          <w:tcPr>
            <w:tcW w:w="1586" w:type="dxa"/>
            <w:vMerge/>
            <w:shd w:val="clear" w:color="auto" w:fill="8FB9B9"/>
          </w:tcPr>
          <w:p w14:paraId="49B95D08" w14:textId="77777777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8FB9B9"/>
          </w:tcPr>
          <w:p w14:paraId="6732CD47" w14:textId="05B2E678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b) Évaluation du cadre conceptuel de</w:t>
            </w:r>
            <w:r w:rsidR="007031E0">
              <w:rPr>
                <w:sz w:val="15"/>
                <w:szCs w:val="15"/>
              </w:rPr>
              <w:t xml:space="preserve"> la </w:t>
            </w:r>
            <w:r w:rsidRPr="00C1327B">
              <w:rPr>
                <w:sz w:val="15"/>
                <w:szCs w:val="15"/>
              </w:rPr>
              <w:t>Plateforme</w:t>
            </w:r>
          </w:p>
        </w:tc>
        <w:tc>
          <w:tcPr>
            <w:tcW w:w="1546" w:type="dxa"/>
            <w:shd w:val="clear" w:color="auto" w:fill="8FB9B9"/>
          </w:tcPr>
          <w:p w14:paraId="22FA00AD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576" w:type="dxa"/>
            <w:shd w:val="clear" w:color="auto" w:fill="8FB9B9"/>
          </w:tcPr>
          <w:p w14:paraId="6BF8A531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608" w:type="dxa"/>
            <w:shd w:val="clear" w:color="auto" w:fill="8FB9B9"/>
          </w:tcPr>
          <w:p w14:paraId="3CE6396B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4" w:type="dxa"/>
            <w:shd w:val="clear" w:color="auto" w:fill="8FB9B9"/>
          </w:tcPr>
          <w:p w14:paraId="67359802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C1327B" w:rsidRPr="00C1327B" w14:paraId="2DD6DD8E" w14:textId="77777777" w:rsidTr="00C1327B">
        <w:trPr>
          <w:trHeight w:val="57"/>
          <w:jc w:val="right"/>
        </w:trPr>
        <w:tc>
          <w:tcPr>
            <w:tcW w:w="1586" w:type="dxa"/>
            <w:vMerge/>
            <w:shd w:val="clear" w:color="auto" w:fill="8FB9B9"/>
          </w:tcPr>
          <w:p w14:paraId="4EB74AD9" w14:textId="77777777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</w:p>
        </w:tc>
        <w:tc>
          <w:tcPr>
            <w:tcW w:w="1811" w:type="dxa"/>
            <w:shd w:val="clear" w:color="auto" w:fill="8FB9B9"/>
          </w:tcPr>
          <w:p w14:paraId="68BF593F" w14:textId="1D396DAA" w:rsidR="00C1327B" w:rsidRPr="00C1327B" w:rsidRDefault="00C1327B" w:rsidP="00444CD5">
            <w:pPr>
              <w:pStyle w:val="Normal-pool"/>
              <w:spacing w:before="40" w:after="40"/>
              <w:rPr>
                <w:sz w:val="15"/>
                <w:szCs w:val="15"/>
              </w:rPr>
            </w:pPr>
            <w:r w:rsidRPr="00C1327B">
              <w:rPr>
                <w:sz w:val="15"/>
                <w:szCs w:val="15"/>
              </w:rPr>
              <w:t>c) Renforcement de l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efficacité du processus d</w:t>
            </w:r>
            <w:r w:rsidR="00FA5ADB">
              <w:rPr>
                <w:sz w:val="15"/>
                <w:szCs w:val="15"/>
              </w:rPr>
              <w:t>’</w:t>
            </w:r>
            <w:r w:rsidRPr="00C1327B">
              <w:rPr>
                <w:sz w:val="15"/>
                <w:szCs w:val="15"/>
              </w:rPr>
              <w:t>évaluation</w:t>
            </w:r>
          </w:p>
        </w:tc>
        <w:tc>
          <w:tcPr>
            <w:tcW w:w="1546" w:type="dxa"/>
            <w:shd w:val="clear" w:color="auto" w:fill="8FB9B9"/>
          </w:tcPr>
          <w:p w14:paraId="0FCFADBE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576" w:type="dxa"/>
            <w:shd w:val="clear" w:color="auto" w:fill="8FB9B9"/>
          </w:tcPr>
          <w:p w14:paraId="2D48FC0F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608" w:type="dxa"/>
            <w:shd w:val="clear" w:color="auto" w:fill="8FB9B9"/>
          </w:tcPr>
          <w:p w14:paraId="63FAA177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  <w:tc>
          <w:tcPr>
            <w:tcW w:w="1354" w:type="dxa"/>
            <w:shd w:val="clear" w:color="auto" w:fill="8FB9B9"/>
          </w:tcPr>
          <w:p w14:paraId="21114027" w14:textId="77777777" w:rsidR="00C1327B" w:rsidRPr="00C1327B" w:rsidRDefault="00C1327B" w:rsidP="00C1327B">
            <w:pPr>
              <w:pStyle w:val="Normal-pool"/>
              <w:spacing w:before="40" w:after="40"/>
              <w:jc w:val="center"/>
              <w:rPr>
                <w:sz w:val="15"/>
                <w:szCs w:val="15"/>
              </w:rPr>
            </w:pPr>
          </w:p>
        </w:tc>
      </w:tr>
      <w:tr w:rsidR="00C1327B" w:rsidRPr="00C1327B" w14:paraId="3FD2D916" w14:textId="77777777" w:rsidTr="00C1327B">
        <w:trPr>
          <w:trHeight w:val="57"/>
          <w:jc w:val="right"/>
        </w:trPr>
        <w:tc>
          <w:tcPr>
            <w:tcW w:w="9481" w:type="dxa"/>
            <w:gridSpan w:val="6"/>
            <w:shd w:val="clear" w:color="auto" w:fill="D9D9D9" w:themeFill="background1" w:themeFillShade="D9"/>
          </w:tcPr>
          <w:p w14:paraId="5C839AB4" w14:textId="30BBE8B2" w:rsidR="00C1327B" w:rsidRPr="00C1327B" w:rsidRDefault="00C1327B" w:rsidP="00C1327B">
            <w:pPr>
              <w:pStyle w:val="Normal-pool"/>
              <w:spacing w:before="80" w:after="160"/>
              <w:jc w:val="center"/>
              <w:rPr>
                <w:sz w:val="15"/>
                <w:szCs w:val="15"/>
                <w:lang w:val="fr-FR"/>
              </w:rPr>
            </w:pPr>
            <w:r>
              <w:rPr>
                <w:sz w:val="15"/>
                <w:szCs w:val="15"/>
              </w:rPr>
              <w:t xml:space="preserve">(*) Produits spécifiques </w:t>
            </w:r>
            <w:r>
              <w:rPr>
                <w:sz w:val="15"/>
                <w:szCs w:val="15"/>
                <w:lang w:val="fr-FR"/>
              </w:rPr>
              <w:t>incombant aux équipes spéciales</w:t>
            </w:r>
          </w:p>
        </w:tc>
      </w:tr>
    </w:tbl>
    <w:p w14:paraId="0B64849A" w14:textId="13DC8E38" w:rsidR="000D727B" w:rsidRPr="003F3120" w:rsidRDefault="000D727B" w:rsidP="00ED6939">
      <w:pPr>
        <w:pStyle w:val="Normalnumber"/>
        <w:numPr>
          <w:ilvl w:val="0"/>
          <w:numId w:val="6"/>
        </w:numPr>
        <w:spacing w:before="240"/>
        <w:rPr>
          <w:lang w:val="fr-FR"/>
        </w:rPr>
      </w:pPr>
      <w:r w:rsidRPr="003F3120">
        <w:rPr>
          <w:lang w:val="fr-FR"/>
        </w:rPr>
        <w:t xml:space="preserve">Le programme de travail </w:t>
      </w:r>
      <w:r w:rsidR="00253AAE">
        <w:rPr>
          <w:lang w:val="fr-FR"/>
        </w:rPr>
        <w:t xml:space="preserve">glissant </w:t>
      </w:r>
      <w:r w:rsidRPr="003F3120">
        <w:rPr>
          <w:lang w:val="fr-FR"/>
        </w:rPr>
        <w:t>sera mis en œuvre de façon que ses objectifs se soutiennent mutuellement. C</w:t>
      </w:r>
      <w:r w:rsidR="00FA5ADB">
        <w:rPr>
          <w:lang w:val="fr-FR"/>
        </w:rPr>
        <w:t>’</w:t>
      </w:r>
      <w:r w:rsidRPr="003F3120">
        <w:rPr>
          <w:lang w:val="fr-FR"/>
        </w:rPr>
        <w:t>est ainsi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activités de renforcement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capacités sous-tendront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processus d</w:t>
      </w:r>
      <w:r w:rsidR="00FA5ADB">
        <w:rPr>
          <w:lang w:val="fr-FR"/>
        </w:rPr>
        <w:t>’</w:t>
      </w:r>
      <w:r w:rsidRPr="003F3120">
        <w:rPr>
          <w:lang w:val="fr-FR"/>
        </w:rPr>
        <w:t>évaluation en améliorant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capacité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scientifiques et autres détenteurs de savoirs à produire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évaluations (notamment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du programme de bourses de recherche) et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capacité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gouvernements à revoir et utiliser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conclusions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évaluations. De même,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activités </w:t>
      </w:r>
      <w:r w:rsidR="00253AAE">
        <w:rPr>
          <w:lang w:val="fr-FR"/>
        </w:rPr>
        <w:t>relevant</w:t>
      </w:r>
      <w:r w:rsidR="007031E0">
        <w:rPr>
          <w:lang w:val="fr-FR"/>
        </w:rPr>
        <w:t xml:space="preserve"> des </w:t>
      </w:r>
      <w:r w:rsidR="00253AAE">
        <w:rPr>
          <w:lang w:val="fr-FR"/>
        </w:rPr>
        <w:t>objectifs 2 à </w:t>
      </w:r>
      <w:r w:rsidRPr="003F3120">
        <w:rPr>
          <w:lang w:val="fr-FR"/>
        </w:rPr>
        <w:t>5 relatifs au renforcement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capacités,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constitution d</w:t>
      </w:r>
      <w:r w:rsidR="00FA5ADB">
        <w:rPr>
          <w:lang w:val="fr-FR"/>
        </w:rPr>
        <w:t>’</w:t>
      </w:r>
      <w:r w:rsidRPr="003F3120">
        <w:rPr>
          <w:lang w:val="fr-FR"/>
        </w:rPr>
        <w:t>une base de connaissances, à l</w:t>
      </w:r>
      <w:r w:rsidR="00FA5ADB">
        <w:rPr>
          <w:lang w:val="fr-FR"/>
        </w:rPr>
        <w:t>’</w:t>
      </w:r>
      <w:r w:rsidRPr="003F3120">
        <w:rPr>
          <w:lang w:val="fr-FR"/>
        </w:rPr>
        <w:t>a</w:t>
      </w:r>
      <w:r w:rsidR="00253AAE">
        <w:rPr>
          <w:lang w:val="fr-FR"/>
        </w:rPr>
        <w:t>ide à l</w:t>
      </w:r>
      <w:r w:rsidR="00FA5ADB">
        <w:rPr>
          <w:lang w:val="fr-FR"/>
        </w:rPr>
        <w:t>’</w:t>
      </w:r>
      <w:r w:rsidR="00253AAE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</w:t>
      </w:r>
      <w:r w:rsidR="00253AAE">
        <w:rPr>
          <w:lang w:val="fr-FR"/>
        </w:rPr>
        <w:t>s</w:t>
      </w:r>
      <w:r w:rsidRPr="003F3120">
        <w:rPr>
          <w:lang w:val="fr-FR"/>
        </w:rPr>
        <w:t>, et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communication et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participation se</w:t>
      </w:r>
      <w:r w:rsidR="00AD1B7D">
        <w:rPr>
          <w:lang w:val="fr-FR"/>
        </w:rPr>
        <w:t> </w:t>
      </w:r>
      <w:r w:rsidRPr="003F3120">
        <w:rPr>
          <w:lang w:val="fr-FR"/>
        </w:rPr>
        <w:t xml:space="preserve">complèteront. </w:t>
      </w:r>
    </w:p>
    <w:p w14:paraId="7E5FB504" w14:textId="682BA70B" w:rsidR="001609F3" w:rsidRPr="003F3120" w:rsidRDefault="00E11AE0" w:rsidP="00ED6939">
      <w:pPr>
        <w:pStyle w:val="Normalnumber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t>Objectif </w:t>
      </w:r>
      <w:r w:rsidR="000D727B" w:rsidRPr="003F3120">
        <w:rPr>
          <w:b/>
          <w:lang w:val="fr-FR"/>
        </w:rPr>
        <w:t>1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AD1B7D">
        <w:rPr>
          <w:b/>
          <w:lang w:val="fr-FR"/>
        </w:rPr>
        <w:t>é</w:t>
      </w:r>
      <w:r w:rsidR="001609F3" w:rsidRPr="003F3120">
        <w:rPr>
          <w:b/>
          <w:lang w:val="fr-FR"/>
        </w:rPr>
        <w:t>valuer</w:t>
      </w:r>
      <w:r w:rsidR="007031E0">
        <w:rPr>
          <w:b/>
          <w:lang w:val="fr-FR"/>
        </w:rPr>
        <w:t xml:space="preserve"> les </w:t>
      </w:r>
      <w:r w:rsidR="000D727B" w:rsidRPr="003F3120">
        <w:rPr>
          <w:b/>
          <w:lang w:val="fr-FR"/>
        </w:rPr>
        <w:t>connaissances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1609F3" w:rsidRPr="003F3120">
        <w:rPr>
          <w:i/>
          <w:lang w:val="fr-FR"/>
        </w:rPr>
        <w:t>Évaluer l</w:t>
      </w:r>
      <w:r w:rsidR="00FA5ADB">
        <w:rPr>
          <w:i/>
          <w:lang w:val="fr-FR"/>
        </w:rPr>
        <w:t>’</w:t>
      </w:r>
      <w:r w:rsidR="001609F3" w:rsidRPr="003F3120">
        <w:rPr>
          <w:i/>
          <w:lang w:val="fr-FR"/>
        </w:rPr>
        <w:t>état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>connaissances sur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biodiversité et</w:t>
      </w:r>
      <w:r w:rsidR="007031E0">
        <w:rPr>
          <w:i/>
          <w:lang w:val="fr-FR"/>
        </w:rPr>
        <w:t xml:space="preserve"> les </w:t>
      </w:r>
      <w:r w:rsidR="001609F3" w:rsidRPr="003F3120">
        <w:rPr>
          <w:i/>
          <w:lang w:val="fr-FR"/>
        </w:rPr>
        <w:t>contributions de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nature aux populations à l</w:t>
      </w:r>
      <w:r w:rsidR="00FA5ADB">
        <w:rPr>
          <w:i/>
          <w:lang w:val="fr-FR"/>
        </w:rPr>
        <w:t>’</w:t>
      </w:r>
      <w:r w:rsidR="001609F3" w:rsidRPr="003F3120">
        <w:rPr>
          <w:i/>
          <w:lang w:val="fr-FR"/>
        </w:rPr>
        <w:t>appui du développement durable</w:t>
      </w:r>
      <w:r w:rsidR="001609F3" w:rsidRPr="003F3120">
        <w:rPr>
          <w:vertAlign w:val="superscript"/>
          <w:lang w:val="fr-FR"/>
        </w:rPr>
        <w:footnoteReference w:id="21"/>
      </w:r>
      <w:r w:rsidR="001609F3" w:rsidRPr="003F3120">
        <w:rPr>
          <w:i/>
          <w:lang w:val="fr-FR"/>
        </w:rPr>
        <w:t>.</w:t>
      </w:r>
      <w:r w:rsidR="001609F3" w:rsidRPr="003F3120">
        <w:rPr>
          <w:lang w:val="fr-FR"/>
        </w:rPr>
        <w:t xml:space="preserve"> Cet objectif sera atteint, dans un premier temps, par</w:t>
      </w:r>
      <w:r w:rsidR="007031E0">
        <w:rPr>
          <w:lang w:val="fr-FR"/>
        </w:rPr>
        <w:t xml:space="preserve"> le </w:t>
      </w:r>
      <w:r w:rsidR="001609F3" w:rsidRPr="003F3120">
        <w:rPr>
          <w:lang w:val="fr-FR"/>
        </w:rPr>
        <w:t>biais</w:t>
      </w:r>
      <w:r w:rsidR="007031E0">
        <w:rPr>
          <w:lang w:val="fr-FR"/>
        </w:rPr>
        <w:t xml:space="preserve"> des </w:t>
      </w:r>
      <w:r w:rsidR="001609F3" w:rsidRPr="003F3120">
        <w:rPr>
          <w:lang w:val="fr-FR"/>
        </w:rPr>
        <w:t>produits ci-après, correspondant aux trois sujets prioritaires présentés dans</w:t>
      </w:r>
      <w:r w:rsidR="007031E0">
        <w:rPr>
          <w:lang w:val="fr-FR"/>
        </w:rPr>
        <w:t xml:space="preserve"> la </w:t>
      </w:r>
      <w:r w:rsidR="000D727B" w:rsidRPr="003F3120">
        <w:rPr>
          <w:lang w:val="fr-FR"/>
        </w:rPr>
        <w:t>section </w:t>
      </w:r>
      <w:r w:rsidR="001609F3" w:rsidRPr="003F3120">
        <w:rPr>
          <w:lang w:val="fr-FR"/>
        </w:rPr>
        <w:t>II</w:t>
      </w:r>
      <w:r w:rsidR="00253AAE">
        <w:rPr>
          <w:lang w:val="fr-FR"/>
        </w:rPr>
        <w:t>.</w:t>
      </w:r>
      <w:r w:rsidR="001609F3" w:rsidRPr="003F3120">
        <w:rPr>
          <w:lang w:val="fr-FR"/>
        </w:rPr>
        <w:t>A</w:t>
      </w:r>
      <w:r w:rsidR="00FD5D6A">
        <w:rPr>
          <w:lang w:val="fr-FR"/>
        </w:rPr>
        <w:t> :</w:t>
      </w:r>
      <w:r w:rsidR="001609F3" w:rsidRPr="003F3120">
        <w:rPr>
          <w:lang w:val="fr-FR"/>
        </w:rPr>
        <w:t xml:space="preserve"> </w:t>
      </w:r>
    </w:p>
    <w:p w14:paraId="38B046CD" w14:textId="3F395F95" w:rsidR="001609F3" w:rsidRPr="003F3120" w:rsidRDefault="00E11AE0" w:rsidP="00ED6939">
      <w:pPr>
        <w:pStyle w:val="Normalnumber"/>
        <w:numPr>
          <w:ilvl w:val="1"/>
          <w:numId w:val="6"/>
        </w:numPr>
        <w:rPr>
          <w:rFonts w:eastAsia="SimSun"/>
          <w:lang w:val="fr-FR" w:eastAsia="zh-CN"/>
        </w:rPr>
      </w:pPr>
      <w:r>
        <w:rPr>
          <w:rFonts w:eastAsia="SimSun"/>
          <w:i/>
          <w:lang w:val="fr-FR" w:eastAsia="zh-CN"/>
        </w:rPr>
        <w:t>Produit 1 </w:t>
      </w:r>
      <w:r w:rsidR="000D727B" w:rsidRPr="003F3120">
        <w:rPr>
          <w:rFonts w:eastAsia="SimSun"/>
          <w:i/>
          <w:lang w:val="fr-FR" w:eastAsia="zh-CN"/>
        </w:rPr>
        <w:t>a)</w:t>
      </w:r>
      <w:r w:rsidR="00FD5D6A">
        <w:rPr>
          <w:rFonts w:eastAsia="SimSun"/>
          <w:i/>
          <w:lang w:val="fr-FR" w:eastAsia="zh-CN"/>
        </w:rPr>
        <w:t> :</w:t>
      </w:r>
      <w:r w:rsidR="001609F3" w:rsidRPr="003F3120">
        <w:rPr>
          <w:rFonts w:eastAsia="SimSun"/>
          <w:lang w:val="fr-FR" w:eastAsia="zh-CN"/>
        </w:rPr>
        <w:t xml:space="preserve"> </w:t>
      </w:r>
      <w:r w:rsidR="001609F3" w:rsidRPr="003F3120">
        <w:rPr>
          <w:rFonts w:eastAsia="SimSun"/>
          <w:i/>
          <w:lang w:val="fr-FR" w:eastAsia="zh-CN"/>
        </w:rPr>
        <w:t>Évaluation thématique</w:t>
      </w:r>
      <w:r w:rsidR="007031E0">
        <w:rPr>
          <w:rFonts w:eastAsia="SimSun"/>
          <w:i/>
          <w:lang w:val="fr-FR" w:eastAsia="zh-CN"/>
        </w:rPr>
        <w:t xml:space="preserve"> des </w:t>
      </w:r>
      <w:r w:rsidR="001609F3" w:rsidRPr="003F3120">
        <w:rPr>
          <w:rFonts w:eastAsia="SimSun"/>
          <w:i/>
          <w:lang w:val="fr-FR" w:eastAsia="zh-CN"/>
        </w:rPr>
        <w:t>liens d</w:t>
      </w:r>
      <w:r w:rsidR="00FA5ADB">
        <w:rPr>
          <w:rFonts w:eastAsia="SimSun"/>
          <w:i/>
          <w:lang w:val="fr-FR" w:eastAsia="zh-CN"/>
        </w:rPr>
        <w:t>’</w:t>
      </w:r>
      <w:r w:rsidR="001609F3" w:rsidRPr="003F3120">
        <w:rPr>
          <w:rFonts w:eastAsia="SimSun"/>
          <w:i/>
          <w:lang w:val="fr-FR" w:eastAsia="zh-CN"/>
        </w:rPr>
        <w:t>interdépendance entre</w:t>
      </w:r>
      <w:r w:rsidR="007031E0">
        <w:rPr>
          <w:rFonts w:eastAsia="SimSun"/>
          <w:i/>
          <w:lang w:val="fr-FR" w:eastAsia="zh-CN"/>
        </w:rPr>
        <w:t xml:space="preserve"> la </w:t>
      </w:r>
      <w:r w:rsidR="001609F3" w:rsidRPr="003F3120">
        <w:rPr>
          <w:rFonts w:eastAsia="SimSun"/>
          <w:i/>
          <w:lang w:val="fr-FR" w:eastAsia="zh-CN"/>
        </w:rPr>
        <w:t>biodiversité, l</w:t>
      </w:r>
      <w:r w:rsidR="00FA5ADB">
        <w:rPr>
          <w:rFonts w:eastAsia="SimSun"/>
          <w:i/>
          <w:lang w:val="fr-FR" w:eastAsia="zh-CN"/>
        </w:rPr>
        <w:t>’</w:t>
      </w:r>
      <w:r w:rsidR="001609F3" w:rsidRPr="003F3120">
        <w:rPr>
          <w:rFonts w:eastAsia="SimSun"/>
          <w:i/>
          <w:lang w:val="fr-FR" w:eastAsia="zh-CN"/>
        </w:rPr>
        <w:t>eau, l</w:t>
      </w:r>
      <w:r w:rsidR="00FA5ADB">
        <w:rPr>
          <w:rFonts w:eastAsia="SimSun"/>
          <w:i/>
          <w:lang w:val="fr-FR" w:eastAsia="zh-CN"/>
        </w:rPr>
        <w:t>’</w:t>
      </w:r>
      <w:r w:rsidR="001609F3" w:rsidRPr="003F3120">
        <w:rPr>
          <w:rFonts w:eastAsia="SimSun"/>
          <w:i/>
          <w:lang w:val="fr-FR" w:eastAsia="zh-CN"/>
        </w:rPr>
        <w:t>alimentation et</w:t>
      </w:r>
      <w:r w:rsidR="007031E0">
        <w:rPr>
          <w:rFonts w:eastAsia="SimSun"/>
          <w:i/>
          <w:lang w:val="fr-FR" w:eastAsia="zh-CN"/>
        </w:rPr>
        <w:t xml:space="preserve"> la </w:t>
      </w:r>
      <w:r w:rsidR="001609F3" w:rsidRPr="003F3120">
        <w:rPr>
          <w:rFonts w:eastAsia="SimSun"/>
          <w:i/>
          <w:lang w:val="fr-FR" w:eastAsia="zh-CN"/>
        </w:rPr>
        <w:t xml:space="preserve">santé. </w:t>
      </w:r>
      <w:r w:rsidR="001609F3" w:rsidRPr="003F3120">
        <w:rPr>
          <w:rFonts w:eastAsia="SimSun"/>
          <w:lang w:val="fr-FR" w:eastAsia="zh-CN"/>
        </w:rPr>
        <w:t>À l</w:t>
      </w:r>
      <w:r w:rsidR="00FA5ADB">
        <w:rPr>
          <w:rFonts w:eastAsia="SimSun"/>
          <w:lang w:val="fr-FR" w:eastAsia="zh-CN"/>
        </w:rPr>
        <w:t>’</w:t>
      </w:r>
      <w:r>
        <w:rPr>
          <w:rFonts w:eastAsia="SimSun"/>
          <w:lang w:val="fr-FR" w:eastAsia="zh-CN"/>
        </w:rPr>
        <w:t>appui du sujet </w:t>
      </w:r>
      <w:r w:rsidR="009207E4" w:rsidRPr="003F3120">
        <w:rPr>
          <w:rFonts w:eastAsia="SimSun"/>
          <w:lang w:val="fr-FR" w:eastAsia="zh-CN"/>
        </w:rPr>
        <w:t>1 (Comprendre l</w:t>
      </w:r>
      <w:r w:rsidR="00FA5ADB">
        <w:rPr>
          <w:rFonts w:eastAsia="SimSun"/>
          <w:lang w:val="fr-FR" w:eastAsia="zh-CN"/>
        </w:rPr>
        <w:t>’</w:t>
      </w:r>
      <w:r w:rsidR="009207E4" w:rsidRPr="003F3120">
        <w:rPr>
          <w:rFonts w:eastAsia="SimSun"/>
          <w:lang w:val="fr-FR" w:eastAsia="zh-CN"/>
        </w:rPr>
        <w:t>importance de</w:t>
      </w:r>
      <w:r w:rsidR="007031E0">
        <w:rPr>
          <w:rFonts w:eastAsia="SimSun"/>
          <w:lang w:val="fr-FR" w:eastAsia="zh-CN"/>
        </w:rPr>
        <w:t xml:space="preserve"> la </w:t>
      </w:r>
      <w:r w:rsidR="001609F3" w:rsidRPr="003F3120">
        <w:rPr>
          <w:rFonts w:eastAsia="SimSun"/>
          <w:lang w:val="fr-FR" w:eastAsia="zh-CN"/>
        </w:rPr>
        <w:t>biodiversité pour réaliser</w:t>
      </w:r>
      <w:r w:rsidR="007031E0">
        <w:rPr>
          <w:rFonts w:eastAsia="SimSun"/>
          <w:lang w:val="fr-FR" w:eastAsia="zh-CN"/>
        </w:rPr>
        <w:t xml:space="preserve"> le </w:t>
      </w:r>
      <w:r w:rsidR="001609F3" w:rsidRPr="003F3120">
        <w:rPr>
          <w:rFonts w:eastAsia="SimSun"/>
          <w:lang w:val="fr-FR" w:eastAsia="zh-CN"/>
        </w:rPr>
        <w:t>Programme de développement durable à l</w:t>
      </w:r>
      <w:r w:rsidR="00FA5ADB">
        <w:rPr>
          <w:rFonts w:eastAsia="SimSun"/>
          <w:lang w:val="fr-FR" w:eastAsia="zh-CN"/>
        </w:rPr>
        <w:t>’</w:t>
      </w:r>
      <w:r w:rsidR="001609F3" w:rsidRPr="003F3120">
        <w:rPr>
          <w:rFonts w:eastAsia="SimSun"/>
          <w:lang w:val="fr-FR" w:eastAsia="zh-CN"/>
        </w:rPr>
        <w:t>horizon 2030</w:t>
      </w:r>
      <w:r w:rsidR="009207E4" w:rsidRPr="003F3120">
        <w:rPr>
          <w:rFonts w:eastAsia="SimSun"/>
          <w:lang w:val="fr-FR" w:eastAsia="zh-CN"/>
        </w:rPr>
        <w:t>)</w:t>
      </w:r>
      <w:r w:rsidR="001609F3" w:rsidRPr="003F3120">
        <w:rPr>
          <w:rFonts w:eastAsia="SimSun"/>
          <w:lang w:val="fr-FR" w:eastAsia="zh-CN"/>
        </w:rPr>
        <w:t xml:space="preserve">, </w:t>
      </w:r>
      <w:bookmarkStart w:id="87" w:name="_Hlk1457829"/>
      <w:r w:rsidR="001609F3" w:rsidRPr="003F3120">
        <w:rPr>
          <w:rFonts w:eastAsia="SimSun"/>
          <w:lang w:val="fr-FR" w:eastAsia="zh-CN"/>
        </w:rPr>
        <w:t>cette évaluation utilisera une approche par lien pour étudier</w:t>
      </w:r>
      <w:r w:rsidR="007031E0">
        <w:rPr>
          <w:rFonts w:eastAsia="SimSun"/>
          <w:lang w:val="fr-FR" w:eastAsia="zh-CN"/>
        </w:rPr>
        <w:t xml:space="preserve"> les </w:t>
      </w:r>
      <w:r w:rsidR="001609F3" w:rsidRPr="003F3120">
        <w:rPr>
          <w:rFonts w:eastAsia="SimSun"/>
          <w:lang w:val="fr-FR" w:eastAsia="zh-CN"/>
        </w:rPr>
        <w:t>liens d</w:t>
      </w:r>
      <w:r w:rsidR="00FA5ADB">
        <w:rPr>
          <w:rFonts w:eastAsia="SimSun"/>
          <w:lang w:val="fr-FR" w:eastAsia="zh-CN"/>
        </w:rPr>
        <w:t>’</w:t>
      </w:r>
      <w:r w:rsidR="001609F3" w:rsidRPr="003F3120">
        <w:rPr>
          <w:rFonts w:eastAsia="SimSun"/>
          <w:lang w:val="fr-FR" w:eastAsia="zh-CN"/>
        </w:rPr>
        <w:t>interdépendance entre</w:t>
      </w:r>
      <w:r w:rsidR="007031E0">
        <w:rPr>
          <w:rFonts w:eastAsia="SimSun"/>
          <w:lang w:val="fr-FR" w:eastAsia="zh-CN"/>
        </w:rPr>
        <w:t xml:space="preserve"> la </w:t>
      </w:r>
      <w:r w:rsidR="001609F3" w:rsidRPr="003F3120">
        <w:rPr>
          <w:rFonts w:eastAsia="SimSun"/>
          <w:lang w:val="fr-FR" w:eastAsia="zh-CN"/>
        </w:rPr>
        <w:t>biodiversité et</w:t>
      </w:r>
      <w:r w:rsidR="007031E0">
        <w:rPr>
          <w:rFonts w:eastAsia="SimSun"/>
          <w:lang w:val="fr-FR" w:eastAsia="zh-CN"/>
        </w:rPr>
        <w:t xml:space="preserve"> des </w:t>
      </w:r>
      <w:r w:rsidR="001609F3" w:rsidRPr="003F3120">
        <w:rPr>
          <w:rFonts w:eastAsia="SimSun"/>
          <w:lang w:val="fr-FR" w:eastAsia="zh-CN"/>
        </w:rPr>
        <w:t>questions mentionnées ci-dessus telles que</w:t>
      </w:r>
      <w:r w:rsidR="007031E0">
        <w:rPr>
          <w:rFonts w:eastAsia="SimSun"/>
          <w:lang w:val="fr-FR" w:eastAsia="zh-CN"/>
        </w:rPr>
        <w:t xml:space="preserve"> la </w:t>
      </w:r>
      <w:r w:rsidR="001609F3" w:rsidRPr="003F3120">
        <w:rPr>
          <w:rFonts w:eastAsia="SimSun"/>
          <w:lang w:val="fr-FR" w:eastAsia="zh-CN"/>
        </w:rPr>
        <w:t>productivité agricole,</w:t>
      </w:r>
      <w:r w:rsidR="007031E0">
        <w:rPr>
          <w:rFonts w:eastAsia="SimSun"/>
          <w:lang w:val="fr-FR" w:eastAsia="zh-CN"/>
        </w:rPr>
        <w:t xml:space="preserve"> la </w:t>
      </w:r>
      <w:r w:rsidR="001609F3" w:rsidRPr="003F3120">
        <w:rPr>
          <w:rFonts w:eastAsia="SimSun"/>
          <w:lang w:val="fr-FR" w:eastAsia="zh-CN"/>
        </w:rPr>
        <w:t>nutrition,</w:t>
      </w:r>
      <w:r w:rsidR="007031E0">
        <w:rPr>
          <w:rFonts w:eastAsia="SimSun"/>
          <w:lang w:val="fr-FR" w:eastAsia="zh-CN"/>
        </w:rPr>
        <w:t xml:space="preserve"> la </w:t>
      </w:r>
      <w:r w:rsidR="001609F3" w:rsidRPr="003F3120">
        <w:rPr>
          <w:rFonts w:eastAsia="SimSun"/>
          <w:lang w:val="fr-FR" w:eastAsia="zh-CN"/>
        </w:rPr>
        <w:t>lutte contre</w:t>
      </w:r>
      <w:r w:rsidR="007031E0">
        <w:rPr>
          <w:rFonts w:eastAsia="SimSun"/>
          <w:lang w:val="fr-FR" w:eastAsia="zh-CN"/>
        </w:rPr>
        <w:t xml:space="preserve"> les </w:t>
      </w:r>
      <w:r w:rsidR="001609F3" w:rsidRPr="003F3120">
        <w:rPr>
          <w:rFonts w:eastAsia="SimSun"/>
          <w:lang w:val="fr-FR" w:eastAsia="zh-CN"/>
        </w:rPr>
        <w:t>ravageurs,</w:t>
      </w:r>
      <w:r w:rsidR="007031E0">
        <w:rPr>
          <w:rFonts w:eastAsia="SimSun"/>
          <w:lang w:val="fr-FR" w:eastAsia="zh-CN"/>
        </w:rPr>
        <w:t xml:space="preserve"> la </w:t>
      </w:r>
      <w:r w:rsidR="001609F3" w:rsidRPr="003F3120">
        <w:rPr>
          <w:rFonts w:eastAsia="SimSun"/>
          <w:lang w:val="fr-FR" w:eastAsia="zh-CN"/>
        </w:rPr>
        <w:t>qualité de l</w:t>
      </w:r>
      <w:r w:rsidR="00FA5ADB">
        <w:rPr>
          <w:rFonts w:eastAsia="SimSun"/>
          <w:lang w:val="fr-FR" w:eastAsia="zh-CN"/>
        </w:rPr>
        <w:t>’</w:t>
      </w:r>
      <w:r w:rsidR="001609F3" w:rsidRPr="003F3120">
        <w:rPr>
          <w:rFonts w:eastAsia="SimSun"/>
          <w:lang w:val="fr-FR" w:eastAsia="zh-CN"/>
        </w:rPr>
        <w:t>eau,</w:t>
      </w:r>
      <w:r w:rsidR="007031E0">
        <w:rPr>
          <w:rFonts w:eastAsia="SimSun"/>
          <w:lang w:val="fr-FR" w:eastAsia="zh-CN"/>
        </w:rPr>
        <w:t xml:space="preserve"> les </w:t>
      </w:r>
      <w:r w:rsidR="001609F3" w:rsidRPr="003F3120">
        <w:rPr>
          <w:rFonts w:eastAsia="SimSun"/>
          <w:lang w:val="fr-FR" w:eastAsia="zh-CN"/>
        </w:rPr>
        <w:t>maladies infectieuses,</w:t>
      </w:r>
      <w:r w:rsidR="007031E0">
        <w:rPr>
          <w:rFonts w:eastAsia="SimSun"/>
          <w:lang w:val="fr-FR" w:eastAsia="zh-CN"/>
        </w:rPr>
        <w:t xml:space="preserve"> la </w:t>
      </w:r>
      <w:r w:rsidR="001609F3" w:rsidRPr="003F3120">
        <w:rPr>
          <w:rFonts w:eastAsia="SimSun"/>
          <w:lang w:val="fr-FR" w:eastAsia="zh-CN"/>
        </w:rPr>
        <w:t>santé mentale et physique, l</w:t>
      </w:r>
      <w:r w:rsidR="00FA5ADB">
        <w:rPr>
          <w:rFonts w:eastAsia="SimSun"/>
          <w:lang w:val="fr-FR" w:eastAsia="zh-CN"/>
        </w:rPr>
        <w:t>’</w:t>
      </w:r>
      <w:r w:rsidR="001609F3" w:rsidRPr="003F3120">
        <w:rPr>
          <w:rFonts w:eastAsia="SimSun"/>
          <w:lang w:val="fr-FR" w:eastAsia="zh-CN"/>
        </w:rPr>
        <w:t>atténuation</w:t>
      </w:r>
      <w:r w:rsidR="007031E0">
        <w:rPr>
          <w:rFonts w:eastAsia="SimSun"/>
          <w:lang w:val="fr-FR" w:eastAsia="zh-CN"/>
        </w:rPr>
        <w:t xml:space="preserve"> des </w:t>
      </w:r>
      <w:r w:rsidR="001609F3" w:rsidRPr="003F3120">
        <w:rPr>
          <w:rFonts w:eastAsia="SimSun"/>
          <w:lang w:val="fr-FR" w:eastAsia="zh-CN"/>
        </w:rPr>
        <w:t>changements climatiques et l</w:t>
      </w:r>
      <w:r w:rsidR="00FA5ADB">
        <w:rPr>
          <w:rFonts w:eastAsia="SimSun"/>
          <w:lang w:val="fr-FR" w:eastAsia="zh-CN"/>
        </w:rPr>
        <w:t>’</w:t>
      </w:r>
      <w:r w:rsidR="001609F3" w:rsidRPr="003F3120">
        <w:rPr>
          <w:rFonts w:eastAsia="SimSun"/>
          <w:lang w:val="fr-FR" w:eastAsia="zh-CN"/>
        </w:rPr>
        <w:t>adaptation à ces changements, en vue de fournir</w:t>
      </w:r>
      <w:r w:rsidR="007031E0">
        <w:rPr>
          <w:rFonts w:eastAsia="SimSun"/>
          <w:lang w:val="fr-FR" w:eastAsia="zh-CN"/>
        </w:rPr>
        <w:t xml:space="preserve"> des </w:t>
      </w:r>
      <w:r w:rsidR="001609F3" w:rsidRPr="003F3120">
        <w:rPr>
          <w:rFonts w:eastAsia="SimSun"/>
          <w:lang w:val="fr-FR" w:eastAsia="zh-CN"/>
        </w:rPr>
        <w:t>informations utiles sur</w:t>
      </w:r>
      <w:r w:rsidR="007031E0">
        <w:rPr>
          <w:rFonts w:eastAsia="SimSun"/>
          <w:lang w:val="fr-FR" w:eastAsia="zh-CN"/>
        </w:rPr>
        <w:t xml:space="preserve"> les </w:t>
      </w:r>
      <w:r w:rsidR="001609F3" w:rsidRPr="003F3120">
        <w:rPr>
          <w:rFonts w:eastAsia="SimSun"/>
          <w:lang w:val="fr-FR" w:eastAsia="zh-CN"/>
        </w:rPr>
        <w:t>politiques aux utilisateurs et aux cadres concernant l</w:t>
      </w:r>
      <w:r w:rsidR="00FA5ADB">
        <w:rPr>
          <w:rFonts w:eastAsia="SimSun"/>
          <w:lang w:val="fr-FR" w:eastAsia="zh-CN"/>
        </w:rPr>
        <w:t>’</w:t>
      </w:r>
      <w:r w:rsidR="001609F3" w:rsidRPr="003F3120">
        <w:rPr>
          <w:rFonts w:eastAsia="SimSun"/>
          <w:lang w:val="fr-FR" w:eastAsia="zh-CN"/>
        </w:rPr>
        <w:t>élaboration</w:t>
      </w:r>
      <w:r w:rsidR="007031E0">
        <w:rPr>
          <w:rFonts w:eastAsia="SimSun"/>
          <w:lang w:val="fr-FR" w:eastAsia="zh-CN"/>
        </w:rPr>
        <w:t xml:space="preserve"> des </w:t>
      </w:r>
      <w:r w:rsidR="001609F3" w:rsidRPr="003F3120">
        <w:rPr>
          <w:rFonts w:eastAsia="SimSun"/>
          <w:lang w:val="fr-FR" w:eastAsia="zh-CN"/>
        </w:rPr>
        <w:t>politiques et</w:t>
      </w:r>
      <w:r w:rsidR="007031E0">
        <w:rPr>
          <w:rFonts w:eastAsia="SimSun"/>
          <w:lang w:val="fr-FR" w:eastAsia="zh-CN"/>
        </w:rPr>
        <w:t xml:space="preserve"> les </w:t>
      </w:r>
      <w:r w:rsidR="001609F3" w:rsidRPr="003F3120">
        <w:rPr>
          <w:rFonts w:eastAsia="SimSun"/>
          <w:lang w:val="fr-FR" w:eastAsia="zh-CN"/>
        </w:rPr>
        <w:t>mesures</w:t>
      </w:r>
      <w:bookmarkEnd w:id="87"/>
      <w:r w:rsidR="001609F3" w:rsidRPr="003F3120">
        <w:rPr>
          <w:rFonts w:eastAsia="SimSun"/>
          <w:lang w:val="fr-FR" w:eastAsia="zh-CN"/>
        </w:rPr>
        <w:t xml:space="preserve"> à prendre dans</w:t>
      </w:r>
      <w:r w:rsidR="007031E0">
        <w:rPr>
          <w:rFonts w:eastAsia="SimSun"/>
          <w:lang w:val="fr-FR" w:eastAsia="zh-CN"/>
        </w:rPr>
        <w:t xml:space="preserve"> les </w:t>
      </w:r>
      <w:r w:rsidR="001609F3" w:rsidRPr="003F3120">
        <w:rPr>
          <w:rFonts w:eastAsia="SimSun"/>
          <w:lang w:val="fr-FR" w:eastAsia="zh-CN"/>
        </w:rPr>
        <w:t xml:space="preserve">secteurs </w:t>
      </w:r>
      <w:r w:rsidR="00253AAE">
        <w:rPr>
          <w:rFonts w:eastAsia="SimSun"/>
          <w:lang w:val="fr-FR" w:eastAsia="zh-CN"/>
        </w:rPr>
        <w:t>concernés</w:t>
      </w:r>
      <w:r w:rsidR="00FD5D6A">
        <w:rPr>
          <w:rFonts w:eastAsia="SimSun"/>
          <w:lang w:val="fr-FR" w:eastAsia="zh-CN"/>
        </w:rPr>
        <w:t> ;</w:t>
      </w:r>
      <w:r w:rsidR="001609F3" w:rsidRPr="003F3120">
        <w:rPr>
          <w:rFonts w:eastAsia="SimSun"/>
          <w:lang w:val="fr-FR" w:eastAsia="zh-CN"/>
        </w:rPr>
        <w:t xml:space="preserve"> </w:t>
      </w:r>
    </w:p>
    <w:p w14:paraId="5D98F31F" w14:textId="5877A4EC" w:rsidR="001609F3" w:rsidRPr="003F3120" w:rsidRDefault="00E11AE0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>
        <w:rPr>
          <w:rFonts w:eastAsia="SimSun"/>
          <w:i/>
          <w:lang w:val="fr-FR" w:eastAsia="zh-CN"/>
        </w:rPr>
        <w:lastRenderedPageBreak/>
        <w:t>Produit 1 </w:t>
      </w:r>
      <w:r w:rsidR="000D727B" w:rsidRPr="003F3120">
        <w:rPr>
          <w:rFonts w:eastAsia="SimSun"/>
          <w:i/>
          <w:lang w:val="fr-FR" w:eastAsia="zh-CN"/>
        </w:rPr>
        <w:t>b)</w:t>
      </w:r>
      <w:r w:rsidR="00FD5D6A">
        <w:rPr>
          <w:rFonts w:eastAsia="SimSun"/>
          <w:i/>
          <w:lang w:val="fr-FR" w:eastAsia="zh-CN"/>
        </w:rPr>
        <w:t> :</w:t>
      </w:r>
      <w:r w:rsidR="001609F3" w:rsidRPr="003F3120">
        <w:rPr>
          <w:rFonts w:eastAsia="SimSun"/>
          <w:lang w:val="fr-FR" w:eastAsia="zh-CN"/>
        </w:rPr>
        <w:t xml:space="preserve"> </w:t>
      </w:r>
      <w:r w:rsidR="001609F3" w:rsidRPr="003F3120">
        <w:rPr>
          <w:rFonts w:eastAsia="SimSun"/>
          <w:i/>
          <w:lang w:val="fr-FR" w:eastAsia="zh-CN"/>
        </w:rPr>
        <w:t>Document technique sur</w:t>
      </w:r>
      <w:r w:rsidR="007031E0">
        <w:rPr>
          <w:rFonts w:eastAsia="SimSun"/>
          <w:i/>
          <w:lang w:val="fr-FR" w:eastAsia="zh-CN"/>
        </w:rPr>
        <w:t xml:space="preserve"> les </w:t>
      </w:r>
      <w:r w:rsidR="001609F3" w:rsidRPr="003F3120">
        <w:rPr>
          <w:rFonts w:eastAsia="SimSun"/>
          <w:i/>
          <w:lang w:val="fr-FR" w:eastAsia="zh-CN"/>
        </w:rPr>
        <w:t>liens d</w:t>
      </w:r>
      <w:r w:rsidR="00FA5ADB">
        <w:rPr>
          <w:rFonts w:eastAsia="SimSun"/>
          <w:i/>
          <w:lang w:val="fr-FR" w:eastAsia="zh-CN"/>
        </w:rPr>
        <w:t>’</w:t>
      </w:r>
      <w:r w:rsidR="001609F3" w:rsidRPr="003F3120">
        <w:rPr>
          <w:rFonts w:eastAsia="SimSun"/>
          <w:i/>
          <w:lang w:val="fr-FR" w:eastAsia="zh-CN"/>
        </w:rPr>
        <w:t>interdépendance entre</w:t>
      </w:r>
      <w:r w:rsidR="007031E0">
        <w:rPr>
          <w:rFonts w:eastAsia="SimSun"/>
          <w:i/>
          <w:lang w:val="fr-FR" w:eastAsia="zh-CN"/>
        </w:rPr>
        <w:t xml:space="preserve"> la </w:t>
      </w:r>
      <w:r w:rsidR="001609F3" w:rsidRPr="003F3120">
        <w:rPr>
          <w:rFonts w:eastAsia="SimSun"/>
          <w:i/>
          <w:lang w:val="fr-FR" w:eastAsia="zh-CN"/>
        </w:rPr>
        <w:t>biodiversité et</w:t>
      </w:r>
      <w:r w:rsidR="007031E0">
        <w:rPr>
          <w:rFonts w:eastAsia="SimSun"/>
          <w:i/>
          <w:lang w:val="fr-FR" w:eastAsia="zh-CN"/>
        </w:rPr>
        <w:t xml:space="preserve"> les </w:t>
      </w:r>
      <w:r w:rsidR="001609F3" w:rsidRPr="003F3120">
        <w:rPr>
          <w:rFonts w:eastAsia="SimSun"/>
          <w:i/>
          <w:lang w:val="fr-FR" w:eastAsia="zh-CN"/>
        </w:rPr>
        <w:t>changements climatiques.</w:t>
      </w:r>
      <w:r w:rsidR="001609F3" w:rsidRPr="003F3120">
        <w:rPr>
          <w:rFonts w:eastAsia="SimSun"/>
          <w:lang w:val="fr-FR" w:eastAsia="zh-CN"/>
        </w:rPr>
        <w:t xml:space="preserve"> </w:t>
      </w:r>
      <w:r w:rsidR="001609F3" w:rsidRPr="003F3120">
        <w:rPr>
          <w:lang w:val="fr-FR"/>
        </w:rPr>
        <w:t>Ce document technique portera sur</w:t>
      </w:r>
      <w:r w:rsidR="007031E0">
        <w:rPr>
          <w:lang w:val="fr-FR"/>
        </w:rPr>
        <w:t xml:space="preserve"> les </w:t>
      </w:r>
      <w:r w:rsidR="001609F3" w:rsidRPr="003F3120">
        <w:rPr>
          <w:lang w:val="fr-FR"/>
        </w:rPr>
        <w:t>synergies possibles, telles que</w:t>
      </w:r>
      <w:r w:rsidR="007031E0">
        <w:rPr>
          <w:lang w:val="fr-FR"/>
        </w:rPr>
        <w:t xml:space="preserve"> les </w:t>
      </w:r>
      <w:r w:rsidR="001609F3" w:rsidRPr="003F3120">
        <w:rPr>
          <w:lang w:val="fr-FR"/>
        </w:rPr>
        <w:t>solutions naturelles, et</w:t>
      </w:r>
      <w:r w:rsidR="007031E0">
        <w:rPr>
          <w:lang w:val="fr-FR"/>
        </w:rPr>
        <w:t xml:space="preserve"> les </w:t>
      </w:r>
      <w:r w:rsidR="001609F3" w:rsidRPr="003F3120">
        <w:rPr>
          <w:lang w:val="fr-FR"/>
        </w:rPr>
        <w:t>compromis entre</w:t>
      </w:r>
      <w:r w:rsidR="007031E0">
        <w:rPr>
          <w:lang w:val="fr-FR"/>
        </w:rPr>
        <w:t xml:space="preserve"> les </w:t>
      </w:r>
      <w:r w:rsidR="001609F3" w:rsidRPr="003F3120">
        <w:rPr>
          <w:lang w:val="fr-FR"/>
        </w:rPr>
        <w:t>efforts visant à conserver et restaurer</w:t>
      </w:r>
      <w:r w:rsidR="007031E0">
        <w:rPr>
          <w:lang w:val="fr-FR"/>
        </w:rPr>
        <w:t xml:space="preserve"> la </w:t>
      </w:r>
      <w:r w:rsidR="001609F3" w:rsidRPr="003F3120">
        <w:rPr>
          <w:lang w:val="fr-FR"/>
        </w:rPr>
        <w:t>biodiversité et à l</w:t>
      </w:r>
      <w:r w:rsidR="00FA5ADB">
        <w:rPr>
          <w:lang w:val="fr-FR"/>
        </w:rPr>
        <w:t>’</w:t>
      </w:r>
      <w:r w:rsidR="001609F3" w:rsidRPr="003F3120">
        <w:rPr>
          <w:lang w:val="fr-FR"/>
        </w:rPr>
        <w:t>utiliser de façon rationnelle et</w:t>
      </w:r>
      <w:r w:rsidR="007031E0">
        <w:rPr>
          <w:lang w:val="fr-FR"/>
        </w:rPr>
        <w:t xml:space="preserve"> les </w:t>
      </w:r>
      <w:r w:rsidR="001609F3" w:rsidRPr="003F3120">
        <w:rPr>
          <w:lang w:val="fr-FR"/>
        </w:rPr>
        <w:t>efforts visant à promouvoir l</w:t>
      </w:r>
      <w:r w:rsidR="00FA5ADB">
        <w:rPr>
          <w:lang w:val="fr-FR"/>
        </w:rPr>
        <w:t>’</w:t>
      </w:r>
      <w:r w:rsidR="001609F3" w:rsidRPr="003F3120">
        <w:rPr>
          <w:lang w:val="fr-FR"/>
        </w:rPr>
        <w:t>adaptation aux changements climatiques et l</w:t>
      </w:r>
      <w:r w:rsidR="00FA5ADB">
        <w:rPr>
          <w:lang w:val="fr-FR"/>
        </w:rPr>
        <w:t>’</w:t>
      </w:r>
      <w:r w:rsidR="001609F3" w:rsidRPr="003F3120">
        <w:rPr>
          <w:lang w:val="fr-FR"/>
        </w:rPr>
        <w:t>atténuation de ces derniers. Il tirera parti</w:t>
      </w:r>
      <w:r w:rsidR="007031E0">
        <w:rPr>
          <w:lang w:val="fr-FR"/>
        </w:rPr>
        <w:t xml:space="preserve"> des </w:t>
      </w:r>
      <w:r w:rsidR="001609F3" w:rsidRPr="003F3120">
        <w:rPr>
          <w:lang w:val="fr-FR"/>
        </w:rPr>
        <w:t>éléments contenus dans</w:t>
      </w:r>
      <w:r w:rsidR="007031E0">
        <w:rPr>
          <w:lang w:val="fr-FR"/>
        </w:rPr>
        <w:t xml:space="preserve"> les </w:t>
      </w:r>
      <w:r w:rsidR="001609F3" w:rsidRPr="003F3120">
        <w:rPr>
          <w:lang w:val="fr-FR"/>
        </w:rPr>
        <w:t>rapports d</w:t>
      </w:r>
      <w:r w:rsidR="00FA5ADB">
        <w:rPr>
          <w:lang w:val="fr-FR"/>
        </w:rPr>
        <w:t>’</w:t>
      </w:r>
      <w:r w:rsidR="001609F3" w:rsidRPr="003F3120">
        <w:rPr>
          <w:lang w:val="fr-FR"/>
        </w:rPr>
        <w:t>évaluation du Groupe d</w:t>
      </w:r>
      <w:r w:rsidR="00FA5ADB">
        <w:rPr>
          <w:lang w:val="fr-FR"/>
        </w:rPr>
        <w:t>’</w:t>
      </w:r>
      <w:r w:rsidR="001609F3" w:rsidRPr="003F3120">
        <w:rPr>
          <w:lang w:val="fr-FR"/>
        </w:rPr>
        <w:t>experts intergouvernemental sur l</w:t>
      </w:r>
      <w:r w:rsidR="00FA5ADB">
        <w:rPr>
          <w:lang w:val="fr-FR"/>
        </w:rPr>
        <w:t>’</w:t>
      </w:r>
      <w:r w:rsidR="001609F3" w:rsidRPr="003F3120">
        <w:rPr>
          <w:lang w:val="fr-FR"/>
        </w:rPr>
        <w:t>évolution du climat (GIEC) et de</w:t>
      </w:r>
      <w:r w:rsidR="007031E0">
        <w:rPr>
          <w:lang w:val="fr-FR"/>
        </w:rPr>
        <w:t xml:space="preserve"> la </w:t>
      </w:r>
      <w:r w:rsidR="001609F3" w:rsidRPr="003F3120">
        <w:rPr>
          <w:lang w:val="fr-FR"/>
        </w:rPr>
        <w:t>Plateforme</w:t>
      </w:r>
      <w:r w:rsidR="00FD5D6A">
        <w:rPr>
          <w:lang w:val="fr-FR"/>
        </w:rPr>
        <w:t> ;</w:t>
      </w:r>
    </w:p>
    <w:p w14:paraId="4FB3E57F" w14:textId="32B2C9D9" w:rsidR="001609F3" w:rsidRPr="003F3120" w:rsidRDefault="00E11AE0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>
        <w:rPr>
          <w:rFonts w:eastAsia="SimSun"/>
          <w:i/>
          <w:lang w:val="fr-FR" w:eastAsia="zh-CN"/>
        </w:rPr>
        <w:t>Produit </w:t>
      </w:r>
      <w:r w:rsidR="000D727B" w:rsidRPr="003F3120">
        <w:rPr>
          <w:rFonts w:eastAsia="SimSun"/>
          <w:i/>
          <w:lang w:val="fr-FR" w:eastAsia="zh-CN"/>
        </w:rPr>
        <w:t>1 c)</w:t>
      </w:r>
      <w:r w:rsidR="00FD5D6A">
        <w:rPr>
          <w:rFonts w:eastAsia="SimSun"/>
          <w:i/>
          <w:lang w:val="fr-FR" w:eastAsia="zh-CN"/>
        </w:rPr>
        <w:t> :</w:t>
      </w:r>
      <w:r w:rsidR="001609F3" w:rsidRPr="003F3120">
        <w:rPr>
          <w:rFonts w:eastAsia="SimSun"/>
          <w:i/>
          <w:lang w:val="fr-FR" w:eastAsia="zh-CN"/>
        </w:rPr>
        <w:t xml:space="preserve"> Évaluation thématique</w:t>
      </w:r>
      <w:r w:rsidR="007031E0">
        <w:rPr>
          <w:rFonts w:eastAsia="SimSun"/>
          <w:i/>
          <w:lang w:val="fr-FR" w:eastAsia="zh-CN"/>
        </w:rPr>
        <w:t xml:space="preserve"> des </w:t>
      </w:r>
      <w:r w:rsidR="001609F3" w:rsidRPr="003F3120">
        <w:rPr>
          <w:rFonts w:eastAsia="SimSun"/>
          <w:i/>
          <w:lang w:val="fr-FR" w:eastAsia="zh-CN"/>
        </w:rPr>
        <w:t>causes profondes de l</w:t>
      </w:r>
      <w:r w:rsidR="00FA5ADB">
        <w:rPr>
          <w:rFonts w:eastAsia="SimSun"/>
          <w:i/>
          <w:lang w:val="fr-FR" w:eastAsia="zh-CN"/>
        </w:rPr>
        <w:t>’</w:t>
      </w:r>
      <w:r w:rsidR="001609F3" w:rsidRPr="003F3120">
        <w:rPr>
          <w:rFonts w:eastAsia="SimSun"/>
          <w:i/>
          <w:lang w:val="fr-FR" w:eastAsia="zh-CN"/>
        </w:rPr>
        <w:t>érosion de</w:t>
      </w:r>
      <w:r w:rsidR="007031E0">
        <w:rPr>
          <w:rFonts w:eastAsia="SimSun"/>
          <w:i/>
          <w:lang w:val="fr-FR" w:eastAsia="zh-CN"/>
        </w:rPr>
        <w:t xml:space="preserve"> la </w:t>
      </w:r>
      <w:r w:rsidR="001609F3" w:rsidRPr="003F3120">
        <w:rPr>
          <w:rFonts w:eastAsia="SimSun"/>
          <w:i/>
          <w:lang w:val="fr-FR" w:eastAsia="zh-CN"/>
        </w:rPr>
        <w:t>biodiversité et</w:t>
      </w:r>
      <w:r w:rsidR="007031E0">
        <w:rPr>
          <w:rFonts w:eastAsia="SimSun"/>
          <w:i/>
          <w:lang w:val="fr-FR" w:eastAsia="zh-CN"/>
        </w:rPr>
        <w:t xml:space="preserve"> des </w:t>
      </w:r>
      <w:r w:rsidR="001609F3" w:rsidRPr="003F3120">
        <w:rPr>
          <w:rFonts w:eastAsia="SimSun"/>
          <w:i/>
          <w:lang w:val="fr-FR" w:eastAsia="zh-CN"/>
        </w:rPr>
        <w:t>déterminants</w:t>
      </w:r>
      <w:r w:rsidR="007031E0">
        <w:rPr>
          <w:rFonts w:eastAsia="SimSun"/>
          <w:i/>
          <w:lang w:val="fr-FR" w:eastAsia="zh-CN"/>
        </w:rPr>
        <w:t xml:space="preserve"> des </w:t>
      </w:r>
      <w:r w:rsidR="001609F3" w:rsidRPr="003F3120">
        <w:rPr>
          <w:rFonts w:eastAsia="SimSun"/>
          <w:i/>
          <w:lang w:val="fr-FR" w:eastAsia="zh-CN"/>
        </w:rPr>
        <w:t>changements transformateurs et</w:t>
      </w:r>
      <w:r w:rsidR="007031E0">
        <w:rPr>
          <w:rFonts w:eastAsia="SimSun"/>
          <w:i/>
          <w:lang w:val="fr-FR" w:eastAsia="zh-CN"/>
        </w:rPr>
        <w:t xml:space="preserve"> les </w:t>
      </w:r>
      <w:r w:rsidR="001609F3" w:rsidRPr="003F3120">
        <w:rPr>
          <w:rFonts w:eastAsia="SimSun"/>
          <w:i/>
          <w:lang w:val="fr-FR" w:eastAsia="zh-CN"/>
        </w:rPr>
        <w:t>solutions pour réalis</w:t>
      </w:r>
      <w:r w:rsidR="00253AAE">
        <w:rPr>
          <w:rFonts w:eastAsia="SimSun"/>
          <w:i/>
          <w:lang w:val="fr-FR" w:eastAsia="zh-CN"/>
        </w:rPr>
        <w:t>er</w:t>
      </w:r>
      <w:r w:rsidR="007031E0">
        <w:rPr>
          <w:rFonts w:eastAsia="SimSun"/>
          <w:i/>
          <w:lang w:val="fr-FR" w:eastAsia="zh-CN"/>
        </w:rPr>
        <w:t xml:space="preserve"> la </w:t>
      </w:r>
      <w:r w:rsidR="001609F3" w:rsidRPr="003F3120">
        <w:rPr>
          <w:rFonts w:eastAsia="SimSun"/>
          <w:i/>
          <w:lang w:val="fr-FR" w:eastAsia="zh-CN"/>
        </w:rPr>
        <w:t>Vision 2050 pour</w:t>
      </w:r>
      <w:r w:rsidR="007031E0">
        <w:rPr>
          <w:rFonts w:eastAsia="SimSun"/>
          <w:i/>
          <w:lang w:val="fr-FR" w:eastAsia="zh-CN"/>
        </w:rPr>
        <w:t xml:space="preserve"> la </w:t>
      </w:r>
      <w:r w:rsidR="001609F3" w:rsidRPr="003F3120">
        <w:rPr>
          <w:rFonts w:eastAsia="SimSun"/>
          <w:i/>
          <w:lang w:val="fr-FR" w:eastAsia="zh-CN"/>
        </w:rPr>
        <w:t>biodiversité</w:t>
      </w:r>
      <w:r w:rsidR="001609F3" w:rsidRPr="003F3120">
        <w:rPr>
          <w:rFonts w:eastAsia="SimSun"/>
          <w:lang w:val="fr-FR" w:eastAsia="zh-CN"/>
        </w:rPr>
        <w:t xml:space="preserve">. </w:t>
      </w:r>
      <w:r w:rsidR="001609F3" w:rsidRPr="003F3120">
        <w:rPr>
          <w:rFonts w:eastAsia="MS Mincho"/>
          <w:snapToGrid w:val="0"/>
          <w:lang w:val="fr-FR"/>
        </w:rPr>
        <w:t xml:space="preserve">Cette évaluation aura pour but </w:t>
      </w:r>
      <w:r w:rsidR="00253AAE">
        <w:rPr>
          <w:rFonts w:eastAsia="MS Mincho"/>
          <w:snapToGrid w:val="0"/>
          <w:lang w:val="fr-FR"/>
        </w:rPr>
        <w:t>de déterminer</w:t>
      </w:r>
      <w:r w:rsidR="001609F3" w:rsidRPr="003F3120">
        <w:rPr>
          <w:rFonts w:eastAsia="MS Mincho"/>
          <w:snapToGrid w:val="0"/>
          <w:lang w:val="fr-FR"/>
        </w:rPr>
        <w:t xml:space="preserve"> et </w:t>
      </w:r>
      <w:r w:rsidR="00253AAE">
        <w:rPr>
          <w:rFonts w:eastAsia="MS Mincho"/>
          <w:snapToGrid w:val="0"/>
          <w:lang w:val="fr-FR"/>
        </w:rPr>
        <w:t xml:space="preserve">de </w:t>
      </w:r>
      <w:r w:rsidR="001609F3" w:rsidRPr="003F3120">
        <w:rPr>
          <w:rFonts w:eastAsia="MS Mincho"/>
          <w:snapToGrid w:val="0"/>
          <w:lang w:val="fr-FR"/>
        </w:rPr>
        <w:t>comprendre</w:t>
      </w:r>
      <w:r w:rsidR="007031E0">
        <w:rPr>
          <w:rFonts w:eastAsia="MS Mincho"/>
          <w:snapToGrid w:val="0"/>
          <w:lang w:val="fr-FR"/>
        </w:rPr>
        <w:t xml:space="preserve"> les </w:t>
      </w:r>
      <w:r w:rsidR="001609F3" w:rsidRPr="003F3120">
        <w:rPr>
          <w:rFonts w:eastAsia="MS Mincho"/>
          <w:snapToGrid w:val="0"/>
          <w:lang w:val="fr-FR"/>
        </w:rPr>
        <w:t>facteurs qui, dans</w:t>
      </w:r>
      <w:r w:rsidR="007031E0">
        <w:rPr>
          <w:rFonts w:eastAsia="MS Mincho"/>
          <w:snapToGrid w:val="0"/>
          <w:lang w:val="fr-FR"/>
        </w:rPr>
        <w:t xml:space="preserve"> les </w:t>
      </w:r>
      <w:r w:rsidR="001609F3" w:rsidRPr="003F3120">
        <w:rPr>
          <w:rFonts w:eastAsia="MS Mincho"/>
          <w:snapToGrid w:val="0"/>
          <w:lang w:val="fr-FR"/>
        </w:rPr>
        <w:t>sociétés humaines, peuvent être mobilisés, chez l</w:t>
      </w:r>
      <w:r w:rsidR="00FA5ADB">
        <w:rPr>
          <w:rFonts w:eastAsia="MS Mincho"/>
          <w:snapToGrid w:val="0"/>
          <w:lang w:val="fr-FR"/>
        </w:rPr>
        <w:t>’</w:t>
      </w:r>
      <w:r w:rsidR="001609F3" w:rsidRPr="003F3120">
        <w:rPr>
          <w:rFonts w:eastAsia="MS Mincho"/>
          <w:snapToGrid w:val="0"/>
          <w:lang w:val="fr-FR"/>
        </w:rPr>
        <w:t>individu et dans</w:t>
      </w:r>
      <w:r w:rsidR="007031E0">
        <w:rPr>
          <w:rFonts w:eastAsia="MS Mincho"/>
          <w:snapToGrid w:val="0"/>
          <w:lang w:val="fr-FR"/>
        </w:rPr>
        <w:t xml:space="preserve"> la </w:t>
      </w:r>
      <w:r w:rsidR="001609F3" w:rsidRPr="003F3120">
        <w:rPr>
          <w:rFonts w:eastAsia="MS Mincho"/>
          <w:snapToGrid w:val="0"/>
          <w:lang w:val="fr-FR"/>
        </w:rPr>
        <w:t>collectivité, et dans toutes leurs dimensions – comportementale, sociale, culturelle, économique, institutionnelle, technique et technologique – pour apporter</w:t>
      </w:r>
      <w:r w:rsidR="007031E0">
        <w:rPr>
          <w:rFonts w:eastAsia="MS Mincho"/>
          <w:snapToGrid w:val="0"/>
          <w:lang w:val="fr-FR"/>
        </w:rPr>
        <w:t xml:space="preserve"> des </w:t>
      </w:r>
      <w:r w:rsidR="001609F3" w:rsidRPr="003F3120">
        <w:rPr>
          <w:rFonts w:eastAsia="MS Mincho"/>
          <w:snapToGrid w:val="0"/>
          <w:lang w:val="fr-FR"/>
        </w:rPr>
        <w:t xml:space="preserve">changements </w:t>
      </w:r>
      <w:r w:rsidR="001609F3" w:rsidRPr="003F3120">
        <w:rPr>
          <w:rFonts w:eastAsia="Calibri"/>
          <w:bCs/>
          <w:lang w:val="fr-FR"/>
        </w:rPr>
        <w:t>transformateurs visant</w:t>
      </w:r>
      <w:r w:rsidR="007031E0">
        <w:rPr>
          <w:rFonts w:eastAsia="Calibri"/>
          <w:bCs/>
          <w:lang w:val="fr-FR"/>
        </w:rPr>
        <w:t xml:space="preserve"> la </w:t>
      </w:r>
      <w:r w:rsidR="001609F3" w:rsidRPr="003F3120">
        <w:rPr>
          <w:rFonts w:eastAsia="Calibri"/>
          <w:bCs/>
          <w:lang w:val="fr-FR"/>
        </w:rPr>
        <w:t>conservation,</w:t>
      </w:r>
      <w:r w:rsidR="007031E0">
        <w:rPr>
          <w:rFonts w:eastAsia="Calibri"/>
          <w:bCs/>
          <w:lang w:val="fr-FR"/>
        </w:rPr>
        <w:t xml:space="preserve"> la </w:t>
      </w:r>
      <w:r w:rsidR="001609F3" w:rsidRPr="003F3120">
        <w:rPr>
          <w:rFonts w:eastAsia="Calibri"/>
          <w:bCs/>
          <w:lang w:val="fr-FR"/>
        </w:rPr>
        <w:t>restauration et l</w:t>
      </w:r>
      <w:r w:rsidR="00FA5ADB">
        <w:rPr>
          <w:rFonts w:eastAsia="Calibri"/>
          <w:bCs/>
          <w:lang w:val="fr-FR"/>
        </w:rPr>
        <w:t>’</w:t>
      </w:r>
      <w:r w:rsidR="001609F3" w:rsidRPr="003F3120">
        <w:rPr>
          <w:rFonts w:eastAsia="Calibri"/>
          <w:bCs/>
          <w:lang w:val="fr-FR"/>
        </w:rPr>
        <w:t>utilisation rationnelle de</w:t>
      </w:r>
      <w:r w:rsidR="007031E0">
        <w:rPr>
          <w:rFonts w:eastAsia="Calibri"/>
          <w:bCs/>
          <w:lang w:val="fr-FR"/>
        </w:rPr>
        <w:t xml:space="preserve"> la </w:t>
      </w:r>
      <w:r w:rsidR="001609F3" w:rsidRPr="003F3120">
        <w:rPr>
          <w:rFonts w:eastAsia="Calibri"/>
          <w:bCs/>
          <w:lang w:val="fr-FR"/>
        </w:rPr>
        <w:t>biodiversité, tout en tenant compte</w:t>
      </w:r>
      <w:r w:rsidR="007031E0">
        <w:rPr>
          <w:rFonts w:eastAsia="Calibri"/>
          <w:bCs/>
          <w:lang w:val="fr-FR"/>
        </w:rPr>
        <w:t xml:space="preserve"> des </w:t>
      </w:r>
      <w:r w:rsidR="001609F3" w:rsidRPr="003F3120">
        <w:rPr>
          <w:rFonts w:eastAsia="Calibri"/>
          <w:bCs/>
          <w:lang w:val="fr-FR"/>
        </w:rPr>
        <w:t>objectifs socioéconomiques plus vastes dans</w:t>
      </w:r>
      <w:r w:rsidR="007031E0">
        <w:rPr>
          <w:rFonts w:eastAsia="Calibri"/>
          <w:bCs/>
          <w:lang w:val="fr-FR"/>
        </w:rPr>
        <w:t xml:space="preserve"> le </w:t>
      </w:r>
      <w:r w:rsidR="001609F3" w:rsidRPr="003F3120">
        <w:rPr>
          <w:rFonts w:eastAsia="Calibri"/>
          <w:bCs/>
          <w:lang w:val="fr-FR"/>
        </w:rPr>
        <w:t xml:space="preserve">contexte du développement durable. Elle </w:t>
      </w:r>
      <w:r w:rsidR="001609F3" w:rsidRPr="003F3120">
        <w:rPr>
          <w:rFonts w:eastAsia="MS Mincho"/>
          <w:snapToGrid w:val="0"/>
          <w:lang w:val="fr-FR"/>
        </w:rPr>
        <w:t>explorera</w:t>
      </w:r>
      <w:r w:rsidR="007031E0">
        <w:rPr>
          <w:rFonts w:eastAsia="MS Mincho"/>
          <w:snapToGrid w:val="0"/>
          <w:lang w:val="fr-FR"/>
        </w:rPr>
        <w:t xml:space="preserve"> les </w:t>
      </w:r>
      <w:r w:rsidR="001609F3" w:rsidRPr="003F3120">
        <w:rPr>
          <w:rFonts w:eastAsia="MS Mincho"/>
          <w:snapToGrid w:val="0"/>
          <w:lang w:val="fr-FR"/>
        </w:rPr>
        <w:t>moteurs et motifs</w:t>
      </w:r>
      <w:r w:rsidR="007031E0">
        <w:rPr>
          <w:rFonts w:eastAsia="MS Mincho"/>
          <w:snapToGrid w:val="0"/>
          <w:lang w:val="fr-FR"/>
        </w:rPr>
        <w:t xml:space="preserve"> des </w:t>
      </w:r>
      <w:r w:rsidR="001609F3" w:rsidRPr="003F3120">
        <w:rPr>
          <w:rFonts w:eastAsia="MS Mincho"/>
          <w:snapToGrid w:val="0"/>
          <w:lang w:val="fr-FR"/>
        </w:rPr>
        <w:t xml:space="preserve">grandes évolutions et transitions sociétales en vue </w:t>
      </w:r>
      <w:r w:rsidR="00253AAE">
        <w:rPr>
          <w:rFonts w:eastAsia="MS Mincho"/>
          <w:snapToGrid w:val="0"/>
          <w:lang w:val="fr-FR"/>
        </w:rPr>
        <w:t>d</w:t>
      </w:r>
      <w:r w:rsidR="00FA5ADB">
        <w:rPr>
          <w:rFonts w:eastAsia="MS Mincho"/>
          <w:snapToGrid w:val="0"/>
          <w:lang w:val="fr-FR"/>
        </w:rPr>
        <w:t>’</w:t>
      </w:r>
      <w:r w:rsidR="00253AAE">
        <w:rPr>
          <w:rFonts w:eastAsia="MS Mincho"/>
          <w:snapToGrid w:val="0"/>
          <w:lang w:val="fr-FR"/>
        </w:rPr>
        <w:t>orienter</w:t>
      </w:r>
      <w:r w:rsidR="007031E0">
        <w:rPr>
          <w:rFonts w:eastAsia="MS Mincho"/>
          <w:snapToGrid w:val="0"/>
          <w:lang w:val="fr-FR"/>
        </w:rPr>
        <w:t xml:space="preserve"> la </w:t>
      </w:r>
      <w:r w:rsidR="001609F3" w:rsidRPr="003F3120">
        <w:rPr>
          <w:rFonts w:eastAsia="MS Mincho"/>
          <w:snapToGrid w:val="0"/>
          <w:lang w:val="fr-FR"/>
        </w:rPr>
        <w:t>conception</w:t>
      </w:r>
      <w:r w:rsidR="007031E0">
        <w:rPr>
          <w:rFonts w:eastAsia="MS Mincho"/>
          <w:snapToGrid w:val="0"/>
          <w:lang w:val="fr-FR"/>
        </w:rPr>
        <w:t xml:space="preserve"> des </w:t>
      </w:r>
      <w:r w:rsidR="001609F3" w:rsidRPr="003F3120">
        <w:rPr>
          <w:rFonts w:eastAsia="MS Mincho"/>
          <w:snapToGrid w:val="0"/>
          <w:lang w:val="fr-FR"/>
        </w:rPr>
        <w:t xml:space="preserve">campagnes et autres </w:t>
      </w:r>
      <w:r w:rsidR="00253AAE">
        <w:rPr>
          <w:rFonts w:eastAsia="MS Mincho"/>
          <w:snapToGrid w:val="0"/>
          <w:lang w:val="fr-FR"/>
        </w:rPr>
        <w:t>activités</w:t>
      </w:r>
      <w:r w:rsidR="001609F3" w:rsidRPr="003F3120">
        <w:rPr>
          <w:rFonts w:eastAsia="MS Mincho"/>
          <w:snapToGrid w:val="0"/>
          <w:lang w:val="fr-FR"/>
        </w:rPr>
        <w:t xml:space="preserve"> en matière de politiques, de communication et </w:t>
      </w:r>
      <w:r w:rsidR="00253AAE">
        <w:rPr>
          <w:rFonts w:eastAsia="MS Mincho"/>
          <w:snapToGrid w:val="0"/>
          <w:lang w:val="fr-FR"/>
        </w:rPr>
        <w:t xml:space="preserve">de </w:t>
      </w:r>
      <w:r w:rsidR="000C25F6">
        <w:rPr>
          <w:rFonts w:eastAsia="MS Mincho"/>
          <w:snapToGrid w:val="0"/>
          <w:lang w:val="fr-FR"/>
        </w:rPr>
        <w:t>participation</w:t>
      </w:r>
      <w:r w:rsidR="00FD5D6A">
        <w:rPr>
          <w:rFonts w:eastAsia="MS Mincho"/>
          <w:snapToGrid w:val="0"/>
          <w:lang w:val="fr-FR"/>
        </w:rPr>
        <w:t> ;</w:t>
      </w:r>
      <w:r w:rsidR="001609F3" w:rsidRPr="003F3120">
        <w:rPr>
          <w:rFonts w:eastAsia="MS Mincho"/>
          <w:snapToGrid w:val="0"/>
          <w:lang w:val="fr-FR"/>
        </w:rPr>
        <w:t xml:space="preserve"> </w:t>
      </w:r>
    </w:p>
    <w:p w14:paraId="43780EEE" w14:textId="4783E3C6" w:rsidR="001609F3" w:rsidRPr="003F3120" w:rsidRDefault="00E11AE0" w:rsidP="00ED6939">
      <w:pPr>
        <w:pStyle w:val="Normalnumber"/>
        <w:numPr>
          <w:ilvl w:val="1"/>
          <w:numId w:val="6"/>
        </w:numPr>
        <w:rPr>
          <w:rFonts w:eastAsia="Calibri"/>
          <w:bCs/>
          <w:color w:val="000000"/>
          <w:lang w:val="fr-FR"/>
        </w:rPr>
      </w:pPr>
      <w:r>
        <w:rPr>
          <w:rFonts w:eastAsia="SimSun"/>
          <w:i/>
          <w:lang w:val="fr-FR" w:eastAsia="zh-CN"/>
        </w:rPr>
        <w:t>Produit 1 </w:t>
      </w:r>
      <w:r w:rsidR="000D727B" w:rsidRPr="003F3120">
        <w:rPr>
          <w:rFonts w:eastAsia="SimSun"/>
          <w:i/>
          <w:lang w:val="fr-FR" w:eastAsia="zh-CN"/>
        </w:rPr>
        <w:t>d)</w:t>
      </w:r>
      <w:r w:rsidR="00FD5D6A">
        <w:rPr>
          <w:rFonts w:eastAsia="SimSun"/>
          <w:i/>
          <w:lang w:val="fr-FR" w:eastAsia="zh-CN"/>
        </w:rPr>
        <w:t> :</w:t>
      </w:r>
      <w:r w:rsidR="001609F3" w:rsidRPr="003F3120">
        <w:rPr>
          <w:rFonts w:eastAsia="SimSun"/>
          <w:i/>
          <w:lang w:val="fr-FR" w:eastAsia="zh-CN"/>
        </w:rPr>
        <w:t xml:space="preserve"> Évaluation méthodologique de l</w:t>
      </w:r>
      <w:r w:rsidR="00FA5ADB">
        <w:rPr>
          <w:rFonts w:eastAsia="SimSun"/>
          <w:i/>
          <w:lang w:val="fr-FR" w:eastAsia="zh-CN"/>
        </w:rPr>
        <w:t>’</w:t>
      </w:r>
      <w:r w:rsidR="001609F3" w:rsidRPr="003F3120">
        <w:rPr>
          <w:rFonts w:eastAsiaTheme="majorEastAsia"/>
          <w:i/>
          <w:lang w:val="fr-FR"/>
        </w:rPr>
        <w:t>impact et de</w:t>
      </w:r>
      <w:r w:rsidR="007031E0">
        <w:rPr>
          <w:rFonts w:eastAsiaTheme="majorEastAsia"/>
          <w:i/>
          <w:lang w:val="fr-FR"/>
        </w:rPr>
        <w:t xml:space="preserve"> la </w:t>
      </w:r>
      <w:r w:rsidR="001609F3" w:rsidRPr="003F3120">
        <w:rPr>
          <w:rFonts w:eastAsiaTheme="majorEastAsia"/>
          <w:i/>
          <w:lang w:val="fr-FR"/>
        </w:rPr>
        <w:t>dépendance</w:t>
      </w:r>
      <w:r w:rsidR="007031E0">
        <w:rPr>
          <w:rFonts w:eastAsiaTheme="majorEastAsia"/>
          <w:i/>
          <w:lang w:val="fr-FR"/>
        </w:rPr>
        <w:t xml:space="preserve"> des </w:t>
      </w:r>
      <w:r w:rsidR="001609F3" w:rsidRPr="003F3120">
        <w:rPr>
          <w:rFonts w:eastAsiaTheme="majorEastAsia"/>
          <w:i/>
          <w:lang w:val="fr-FR"/>
        </w:rPr>
        <w:t>entreprises à l</w:t>
      </w:r>
      <w:r w:rsidR="00FA5ADB">
        <w:rPr>
          <w:rFonts w:eastAsiaTheme="majorEastAsia"/>
          <w:i/>
          <w:lang w:val="fr-FR"/>
        </w:rPr>
        <w:t>’</w:t>
      </w:r>
      <w:r w:rsidR="001609F3" w:rsidRPr="003F3120">
        <w:rPr>
          <w:rFonts w:eastAsiaTheme="majorEastAsia"/>
          <w:i/>
          <w:lang w:val="fr-FR"/>
        </w:rPr>
        <w:t>égard de</w:t>
      </w:r>
      <w:r w:rsidR="007031E0">
        <w:rPr>
          <w:rFonts w:eastAsiaTheme="majorEastAsia"/>
          <w:i/>
          <w:lang w:val="fr-FR"/>
        </w:rPr>
        <w:t xml:space="preserve"> la </w:t>
      </w:r>
      <w:r w:rsidR="001609F3" w:rsidRPr="003F3120">
        <w:rPr>
          <w:rFonts w:eastAsiaTheme="majorEastAsia"/>
          <w:i/>
          <w:lang w:val="fr-FR"/>
        </w:rPr>
        <w:t>biodiversité et</w:t>
      </w:r>
      <w:r w:rsidR="007031E0">
        <w:rPr>
          <w:rFonts w:eastAsiaTheme="majorEastAsia"/>
          <w:i/>
          <w:lang w:val="fr-FR"/>
        </w:rPr>
        <w:t xml:space="preserve"> des </w:t>
      </w:r>
      <w:r w:rsidR="001609F3" w:rsidRPr="003F3120">
        <w:rPr>
          <w:rFonts w:eastAsiaTheme="majorEastAsia"/>
          <w:i/>
          <w:lang w:val="fr-FR"/>
        </w:rPr>
        <w:t>contributions de</w:t>
      </w:r>
      <w:r w:rsidR="007031E0">
        <w:rPr>
          <w:rFonts w:eastAsiaTheme="majorEastAsia"/>
          <w:i/>
          <w:lang w:val="fr-FR"/>
        </w:rPr>
        <w:t xml:space="preserve"> la </w:t>
      </w:r>
      <w:r w:rsidR="001609F3" w:rsidRPr="003F3120">
        <w:rPr>
          <w:rFonts w:eastAsiaTheme="majorEastAsia"/>
          <w:i/>
          <w:lang w:val="fr-FR"/>
        </w:rPr>
        <w:t>nature aux populations</w:t>
      </w:r>
      <w:r w:rsidR="001609F3" w:rsidRPr="003F3120">
        <w:rPr>
          <w:rFonts w:eastAsiaTheme="majorEastAsia"/>
          <w:lang w:val="fr-FR"/>
        </w:rPr>
        <w:t xml:space="preserve">. </w:t>
      </w:r>
      <w:r w:rsidR="00075E1F">
        <w:rPr>
          <w:rFonts w:eastAsia="Calibri"/>
          <w:bCs/>
          <w:color w:val="000000"/>
          <w:lang w:val="fr-FR"/>
        </w:rPr>
        <w:t>Cette </w:t>
      </w:r>
      <w:r w:rsidR="001609F3" w:rsidRPr="003F3120">
        <w:rPr>
          <w:rFonts w:eastAsia="Calibri"/>
          <w:bCs/>
          <w:color w:val="000000"/>
          <w:lang w:val="fr-FR"/>
        </w:rPr>
        <w:t>évaluation méthodologique aura pour buts d</w:t>
      </w:r>
      <w:r w:rsidR="00FA5ADB">
        <w:rPr>
          <w:rFonts w:eastAsia="Calibri"/>
          <w:bCs/>
          <w:color w:val="000000"/>
          <w:lang w:val="fr-FR"/>
        </w:rPr>
        <w:t>’</w:t>
      </w:r>
      <w:r w:rsidR="001609F3" w:rsidRPr="003F3120">
        <w:rPr>
          <w:rFonts w:eastAsia="Calibri"/>
          <w:bCs/>
          <w:color w:val="000000"/>
          <w:lang w:val="fr-FR"/>
        </w:rPr>
        <w:t>analyser l</w:t>
      </w:r>
      <w:r w:rsidR="00FA5ADB">
        <w:rPr>
          <w:rFonts w:eastAsia="Calibri"/>
          <w:bCs/>
          <w:color w:val="000000"/>
          <w:lang w:val="fr-FR"/>
        </w:rPr>
        <w:t>’</w:t>
      </w:r>
      <w:r w:rsidR="001609F3" w:rsidRPr="003F3120">
        <w:rPr>
          <w:rFonts w:eastAsia="Calibri"/>
          <w:bCs/>
          <w:color w:val="000000"/>
          <w:lang w:val="fr-FR"/>
        </w:rPr>
        <w:t>impact et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="001609F3" w:rsidRPr="003F3120">
        <w:rPr>
          <w:rFonts w:eastAsia="Calibri"/>
          <w:bCs/>
          <w:color w:val="000000"/>
          <w:lang w:val="fr-FR"/>
        </w:rPr>
        <w:t>dépendance</w:t>
      </w:r>
      <w:r w:rsidR="007031E0">
        <w:rPr>
          <w:rFonts w:eastAsia="Calibri"/>
          <w:bCs/>
          <w:color w:val="000000"/>
          <w:lang w:val="fr-FR"/>
        </w:rPr>
        <w:t xml:space="preserve"> des </w:t>
      </w:r>
      <w:r w:rsidR="001609F3" w:rsidRPr="003F3120">
        <w:rPr>
          <w:rFonts w:eastAsia="Calibri"/>
          <w:bCs/>
          <w:color w:val="000000"/>
          <w:lang w:val="fr-FR"/>
        </w:rPr>
        <w:t>entreprises à l</w:t>
      </w:r>
      <w:r w:rsidR="00FA5ADB">
        <w:rPr>
          <w:rFonts w:eastAsia="Calibri"/>
          <w:bCs/>
          <w:color w:val="000000"/>
          <w:lang w:val="fr-FR"/>
        </w:rPr>
        <w:t>’</w:t>
      </w:r>
      <w:r w:rsidR="001609F3" w:rsidRPr="003F3120">
        <w:rPr>
          <w:rFonts w:eastAsia="Calibri"/>
          <w:bCs/>
          <w:color w:val="000000"/>
          <w:lang w:val="fr-FR"/>
        </w:rPr>
        <w:t>égard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="001609F3" w:rsidRPr="003F3120">
        <w:rPr>
          <w:rFonts w:eastAsia="Calibri"/>
          <w:bCs/>
          <w:color w:val="000000"/>
          <w:lang w:val="fr-FR"/>
        </w:rPr>
        <w:t>biodiversité et</w:t>
      </w:r>
      <w:r w:rsidR="007031E0">
        <w:rPr>
          <w:rFonts w:eastAsia="Calibri"/>
          <w:bCs/>
          <w:color w:val="000000"/>
          <w:lang w:val="fr-FR"/>
        </w:rPr>
        <w:t xml:space="preserve"> des </w:t>
      </w:r>
      <w:r w:rsidR="001609F3" w:rsidRPr="003F3120">
        <w:rPr>
          <w:rFonts w:eastAsia="Calibri"/>
          <w:bCs/>
          <w:color w:val="000000"/>
          <w:lang w:val="fr-FR"/>
        </w:rPr>
        <w:t>contributions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="001609F3" w:rsidRPr="003F3120">
        <w:rPr>
          <w:rFonts w:eastAsia="Calibri"/>
          <w:bCs/>
          <w:color w:val="000000"/>
          <w:lang w:val="fr-FR"/>
        </w:rPr>
        <w:t>nature aux populations et d</w:t>
      </w:r>
      <w:r w:rsidR="00FA5ADB">
        <w:rPr>
          <w:rFonts w:eastAsia="Calibri"/>
          <w:bCs/>
          <w:color w:val="000000"/>
          <w:lang w:val="fr-FR"/>
        </w:rPr>
        <w:t>’</w:t>
      </w:r>
      <w:r w:rsidR="001609F3" w:rsidRPr="003F3120">
        <w:rPr>
          <w:rFonts w:eastAsia="Calibri"/>
          <w:bCs/>
          <w:color w:val="000000"/>
          <w:lang w:val="fr-FR"/>
        </w:rPr>
        <w:t>établir</w:t>
      </w:r>
      <w:r w:rsidR="007031E0">
        <w:rPr>
          <w:rFonts w:eastAsia="Calibri"/>
          <w:bCs/>
          <w:color w:val="000000"/>
          <w:lang w:val="fr-FR"/>
        </w:rPr>
        <w:t xml:space="preserve"> des </w:t>
      </w:r>
      <w:r w:rsidR="001609F3" w:rsidRPr="003F3120">
        <w:rPr>
          <w:rFonts w:eastAsia="Calibri"/>
          <w:bCs/>
          <w:color w:val="000000"/>
          <w:lang w:val="fr-FR"/>
        </w:rPr>
        <w:t>critères et indicateurs pour mesurer cette dépendance et cet impact, en prenant en considération</w:t>
      </w:r>
      <w:r w:rsidR="007031E0">
        <w:rPr>
          <w:rFonts w:eastAsia="Calibri"/>
          <w:bCs/>
          <w:color w:val="000000"/>
          <w:lang w:val="fr-FR"/>
        </w:rPr>
        <w:t xml:space="preserve"> les </w:t>
      </w:r>
      <w:r w:rsidR="001609F3" w:rsidRPr="003F3120">
        <w:rPr>
          <w:rFonts w:eastAsia="Calibri"/>
          <w:bCs/>
          <w:color w:val="000000"/>
          <w:lang w:val="fr-FR"/>
        </w:rPr>
        <w:t>moyens d</w:t>
      </w:r>
      <w:r w:rsidR="00FA5ADB">
        <w:rPr>
          <w:rFonts w:eastAsia="Calibri"/>
          <w:bCs/>
          <w:color w:val="000000"/>
          <w:lang w:val="fr-FR"/>
        </w:rPr>
        <w:t>’</w:t>
      </w:r>
      <w:r w:rsidR="001609F3" w:rsidRPr="003F3120">
        <w:rPr>
          <w:rFonts w:eastAsia="Calibri"/>
          <w:bCs/>
          <w:color w:val="000000"/>
          <w:lang w:val="fr-FR"/>
        </w:rPr>
        <w:t>intégrer ces mesures dans d</w:t>
      </w:r>
      <w:r w:rsidR="00FA5ADB">
        <w:rPr>
          <w:rFonts w:eastAsia="Calibri"/>
          <w:bCs/>
          <w:color w:val="000000"/>
          <w:lang w:val="fr-FR"/>
        </w:rPr>
        <w:t>’</w:t>
      </w:r>
      <w:r w:rsidR="001609F3" w:rsidRPr="003F3120">
        <w:rPr>
          <w:rFonts w:eastAsia="Calibri"/>
          <w:bCs/>
          <w:color w:val="000000"/>
          <w:lang w:val="fr-FR"/>
        </w:rPr>
        <w:t>autres aspects de</w:t>
      </w:r>
      <w:r w:rsidR="007031E0">
        <w:rPr>
          <w:rFonts w:eastAsia="Calibri"/>
          <w:bCs/>
          <w:color w:val="000000"/>
          <w:lang w:val="fr-FR"/>
        </w:rPr>
        <w:t xml:space="preserve"> la </w:t>
      </w:r>
      <w:r w:rsidR="001609F3" w:rsidRPr="003F3120">
        <w:rPr>
          <w:rFonts w:eastAsia="Calibri"/>
          <w:bCs/>
          <w:color w:val="000000"/>
          <w:lang w:val="fr-FR"/>
        </w:rPr>
        <w:t>durabilité.</w:t>
      </w:r>
    </w:p>
    <w:p w14:paraId="6FE19979" w14:textId="0A60151C" w:rsidR="001609F3" w:rsidRPr="003F3120" w:rsidRDefault="008D559F" w:rsidP="00ED6939">
      <w:pPr>
        <w:pStyle w:val="Normalnumber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t>Objectif </w:t>
      </w:r>
      <w:r w:rsidR="000D727B" w:rsidRPr="003F3120">
        <w:rPr>
          <w:b/>
          <w:lang w:val="fr-FR"/>
        </w:rPr>
        <w:t>2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AD1B7D">
        <w:rPr>
          <w:b/>
          <w:lang w:val="fr-FR"/>
        </w:rPr>
        <w:t>r</w:t>
      </w:r>
      <w:r w:rsidR="001609F3" w:rsidRPr="003F3120">
        <w:rPr>
          <w:b/>
          <w:lang w:val="fr-FR"/>
        </w:rPr>
        <w:t>enforcer</w:t>
      </w:r>
      <w:r w:rsidR="007031E0">
        <w:rPr>
          <w:b/>
          <w:lang w:val="fr-FR"/>
        </w:rPr>
        <w:t xml:space="preserve"> les </w:t>
      </w:r>
      <w:r w:rsidR="001609F3" w:rsidRPr="003F3120">
        <w:rPr>
          <w:b/>
          <w:lang w:val="fr-FR"/>
        </w:rPr>
        <w:t>capacités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253AAE">
        <w:rPr>
          <w:i/>
          <w:lang w:val="fr-FR"/>
        </w:rPr>
        <w:t>Renforcer</w:t>
      </w:r>
      <w:r w:rsidR="007031E0">
        <w:rPr>
          <w:i/>
          <w:lang w:val="fr-FR"/>
        </w:rPr>
        <w:t xml:space="preserve"> les </w:t>
      </w:r>
      <w:r w:rsidR="001609F3" w:rsidRPr="003F3120">
        <w:rPr>
          <w:i/>
          <w:lang w:val="fr-FR"/>
        </w:rPr>
        <w:t xml:space="preserve">capacités individuelles et institutionnelles en vue de </w:t>
      </w:r>
      <w:r w:rsidR="00253AAE">
        <w:rPr>
          <w:i/>
          <w:lang w:val="fr-FR"/>
        </w:rPr>
        <w:t>consolide</w:t>
      </w:r>
      <w:r w:rsidR="001609F3" w:rsidRPr="003F3120">
        <w:rPr>
          <w:i/>
          <w:lang w:val="fr-FR"/>
        </w:rPr>
        <w:t>r l</w:t>
      </w:r>
      <w:r w:rsidR="00FA5ADB">
        <w:rPr>
          <w:i/>
          <w:lang w:val="fr-FR"/>
        </w:rPr>
        <w:t>’</w:t>
      </w:r>
      <w:r w:rsidR="001609F3" w:rsidRPr="003F3120">
        <w:rPr>
          <w:i/>
          <w:lang w:val="fr-FR"/>
        </w:rPr>
        <w:t>interface science-politique</w:t>
      </w:r>
      <w:r w:rsidR="000C25F6">
        <w:rPr>
          <w:i/>
          <w:lang w:val="fr-FR"/>
        </w:rPr>
        <w:t>s</w:t>
      </w:r>
      <w:r w:rsidR="001609F3" w:rsidRPr="003F3120">
        <w:rPr>
          <w:i/>
          <w:lang w:val="fr-FR"/>
        </w:rPr>
        <w:t xml:space="preserve"> aux fins de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biodiversité et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>services écosystémiques</w:t>
      </w:r>
      <w:r w:rsidR="001609F3" w:rsidRPr="003F3120">
        <w:rPr>
          <w:lang w:val="fr-FR"/>
        </w:rPr>
        <w:t>.</w:t>
      </w:r>
      <w:r w:rsidR="007031E0">
        <w:rPr>
          <w:lang w:val="fr-FR"/>
        </w:rPr>
        <w:t xml:space="preserve"> La </w:t>
      </w:r>
      <w:r w:rsidR="001609F3" w:rsidRPr="003F3120">
        <w:rPr>
          <w:lang w:val="fr-FR"/>
        </w:rPr>
        <w:t>réalisation de cet objectif sera appuyée par</w:t>
      </w:r>
      <w:r w:rsidR="007031E0">
        <w:rPr>
          <w:lang w:val="fr-FR"/>
        </w:rPr>
        <w:t xml:space="preserve"> les </w:t>
      </w:r>
      <w:r w:rsidR="001609F3" w:rsidRPr="003F3120">
        <w:rPr>
          <w:lang w:val="fr-FR"/>
        </w:rPr>
        <w:t>trois composantes du plan glissant de renforcement</w:t>
      </w:r>
      <w:r w:rsidR="007031E0">
        <w:rPr>
          <w:lang w:val="fr-FR"/>
        </w:rPr>
        <w:t xml:space="preserve"> des </w:t>
      </w:r>
      <w:r w:rsidR="001609F3" w:rsidRPr="003F3120">
        <w:rPr>
          <w:lang w:val="fr-FR"/>
        </w:rPr>
        <w:t>capacités,</w:t>
      </w:r>
      <w:r w:rsidR="001609F3" w:rsidRPr="003F3120">
        <w:rPr>
          <w:rFonts w:eastAsia="SimSun"/>
          <w:lang w:val="fr-FR" w:eastAsia="zh-CN"/>
        </w:rPr>
        <w:t xml:space="preserve"> lequel s</w:t>
      </w:r>
      <w:r w:rsidR="00FA5ADB">
        <w:rPr>
          <w:rFonts w:eastAsia="SimSun"/>
          <w:lang w:val="fr-FR" w:eastAsia="zh-CN"/>
        </w:rPr>
        <w:t>’</w:t>
      </w:r>
      <w:r w:rsidR="001609F3" w:rsidRPr="003F3120">
        <w:rPr>
          <w:rFonts w:eastAsia="SimSun"/>
          <w:lang w:val="fr-FR" w:eastAsia="zh-CN"/>
        </w:rPr>
        <w:t>applique aux activités en cours et futures énoncées dans</w:t>
      </w:r>
      <w:r w:rsidR="007031E0">
        <w:rPr>
          <w:rFonts w:eastAsia="SimSun"/>
          <w:lang w:val="fr-FR" w:eastAsia="zh-CN"/>
        </w:rPr>
        <w:t xml:space="preserve"> le </w:t>
      </w:r>
      <w:r w:rsidR="001609F3" w:rsidRPr="003F3120">
        <w:rPr>
          <w:rFonts w:eastAsia="SimSun"/>
          <w:lang w:val="fr-FR" w:eastAsia="zh-CN"/>
        </w:rPr>
        <w:t>programme de travail</w:t>
      </w:r>
      <w:r w:rsidR="001609F3" w:rsidRPr="003F3120">
        <w:rPr>
          <w:rFonts w:eastAsia="SimSun"/>
          <w:vertAlign w:val="superscript"/>
          <w:lang w:val="fr-FR" w:eastAsia="zh-CN"/>
        </w:rPr>
        <w:footnoteReference w:id="22"/>
      </w:r>
      <w:r w:rsidR="00FD5D6A">
        <w:rPr>
          <w:rFonts w:eastAsia="SimSun"/>
          <w:lang w:val="fr-FR" w:eastAsia="zh-CN"/>
        </w:rPr>
        <w:t> :</w:t>
      </w:r>
    </w:p>
    <w:p w14:paraId="3CC9AF11" w14:textId="3DC2D322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bookmarkStart w:id="88" w:name="_Hlk284106"/>
      <w:r w:rsidRPr="003F3120">
        <w:rPr>
          <w:i/>
          <w:lang w:val="fr-FR" w:eastAsia="en-GB"/>
        </w:rPr>
        <w:t>Apprentissage et engagement améliorés</w:t>
      </w:r>
      <w:r w:rsidRPr="003F3120">
        <w:rPr>
          <w:lang w:val="fr-FR" w:eastAsia="en-GB"/>
        </w:rPr>
        <w:t>. Cet objectif comprend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 xml:space="preserve">poursuite du </w:t>
      </w:r>
      <w:r w:rsidRPr="003F3120">
        <w:rPr>
          <w:rFonts w:eastAsia="SimSun"/>
          <w:lang w:val="fr-FR" w:eastAsia="zh-CN"/>
        </w:rPr>
        <w:t>programme de bourses et du programme de formation et de familiarisation, notamment par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 xml:space="preserve">biais de </w:t>
      </w:r>
      <w:r w:rsidR="003F3120" w:rsidRPr="003F3120">
        <w:rPr>
          <w:rFonts w:eastAsia="SimSun"/>
          <w:lang w:val="fr-FR" w:eastAsia="zh-CN"/>
        </w:rPr>
        <w:t>webinaires</w:t>
      </w:r>
      <w:r w:rsidRPr="003F3120">
        <w:rPr>
          <w:rFonts w:eastAsia="SimSun"/>
          <w:lang w:val="fr-FR" w:eastAsia="zh-CN"/>
        </w:rPr>
        <w:t xml:space="preserve">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autres ressources en ligne, guides, modules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apprentissage, ateliers, formation et dialogues à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intention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acteurs à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interface science-politique</w:t>
      </w:r>
      <w:r w:rsidR="000C25F6">
        <w:rPr>
          <w:rFonts w:eastAsia="SimSun"/>
          <w:lang w:val="fr-FR" w:eastAsia="zh-CN"/>
        </w:rPr>
        <w:t>s</w:t>
      </w:r>
      <w:r w:rsidR="00075E1F">
        <w:rPr>
          <w:rFonts w:eastAsia="SimSun"/>
          <w:lang w:val="fr-FR" w:eastAsia="zh-CN"/>
        </w:rPr>
        <w:t xml:space="preserve"> animés par</w:t>
      </w:r>
      <w:r w:rsidR="007031E0">
        <w:rPr>
          <w:rFonts w:eastAsia="SimSun"/>
          <w:lang w:val="fr-FR" w:eastAsia="zh-CN"/>
        </w:rPr>
        <w:t xml:space="preserve"> la </w:t>
      </w:r>
      <w:r w:rsidR="00075E1F">
        <w:rPr>
          <w:rFonts w:eastAsia="SimSun"/>
          <w:lang w:val="fr-FR" w:eastAsia="zh-CN"/>
        </w:rPr>
        <w:t>Plateforme. Cet </w:t>
      </w:r>
      <w:r w:rsidRPr="003F3120">
        <w:rPr>
          <w:rFonts w:eastAsia="SimSun"/>
          <w:lang w:val="fr-FR" w:eastAsia="zh-CN"/>
        </w:rPr>
        <w:t>objectif sera réalisé par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Plateforme, en collaboration avec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autres acteurs, selon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besoins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</w:t>
      </w:r>
    </w:p>
    <w:p w14:paraId="204DFF9C" w14:textId="4DC21E75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 w:rsidRPr="003F3120">
        <w:rPr>
          <w:rFonts w:eastAsia="SimSun"/>
          <w:i/>
          <w:lang w:val="fr-FR" w:eastAsia="zh-CN"/>
        </w:rPr>
        <w:t>Accès facilité aux compétences d</w:t>
      </w:r>
      <w:r w:rsidR="00FA5ADB">
        <w:rPr>
          <w:rFonts w:eastAsia="SimSun"/>
          <w:i/>
          <w:lang w:val="fr-FR" w:eastAsia="zh-CN"/>
        </w:rPr>
        <w:t>’</w:t>
      </w:r>
      <w:r w:rsidRPr="003F3120">
        <w:rPr>
          <w:rFonts w:eastAsia="SimSun"/>
          <w:i/>
          <w:lang w:val="fr-FR" w:eastAsia="zh-CN"/>
        </w:rPr>
        <w:t>experts et à l</w:t>
      </w:r>
      <w:r w:rsidR="00FA5ADB">
        <w:rPr>
          <w:rFonts w:eastAsia="SimSun"/>
          <w:i/>
          <w:lang w:val="fr-FR" w:eastAsia="zh-CN"/>
        </w:rPr>
        <w:t>’</w:t>
      </w:r>
      <w:r w:rsidRPr="003F3120">
        <w:rPr>
          <w:rFonts w:eastAsia="SimSun"/>
          <w:i/>
          <w:lang w:val="fr-FR" w:eastAsia="zh-CN"/>
        </w:rPr>
        <w:t>information</w:t>
      </w:r>
      <w:r w:rsidRPr="003F3120">
        <w:rPr>
          <w:rFonts w:eastAsia="SimSun"/>
          <w:lang w:val="fr-FR" w:eastAsia="zh-CN"/>
        </w:rPr>
        <w:t xml:space="preserve">. </w:t>
      </w:r>
      <w:r w:rsidRPr="003F3120">
        <w:rPr>
          <w:lang w:val="fr-FR" w:eastAsia="en-GB"/>
        </w:rPr>
        <w:t xml:space="preserve">Cet objectif </w:t>
      </w:r>
      <w:r w:rsidRPr="003F3120">
        <w:rPr>
          <w:rFonts w:eastAsia="SimSun"/>
          <w:lang w:val="fr-FR" w:eastAsia="zh-CN"/>
        </w:rPr>
        <w:t>aura pour but de continuer de promouvoir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adoption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objectifs et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produits du programme de travail et de</w:t>
      </w:r>
      <w:r w:rsidR="00C1327B">
        <w:rPr>
          <w:rFonts w:eastAsia="SimSun"/>
          <w:lang w:val="fr-FR" w:eastAsia="zh-CN"/>
        </w:rPr>
        <w:t> </w:t>
      </w:r>
      <w:r w:rsidRPr="003F3120">
        <w:rPr>
          <w:rFonts w:eastAsia="SimSun"/>
          <w:lang w:val="fr-FR" w:eastAsia="zh-CN"/>
        </w:rPr>
        <w:t>développer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communautés de praticiens tout autour.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efforts porteront sur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évaluations,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objectifs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produits approuvés concernant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outils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 xml:space="preserve">méthodologies, </w:t>
      </w:r>
      <w:r w:rsidR="0011669B">
        <w:rPr>
          <w:rFonts w:eastAsia="SimSun"/>
          <w:lang w:val="fr-FR" w:eastAsia="zh-CN"/>
        </w:rPr>
        <w:t>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appui à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élaboration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politiques,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connaissances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données,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 xml:space="preserve">savoirs locaux et autochtones. </w:t>
      </w:r>
      <w:r w:rsidRPr="003F3120">
        <w:rPr>
          <w:lang w:val="fr-FR" w:eastAsia="en-GB"/>
        </w:rPr>
        <w:t>Cet</w:t>
      </w:r>
      <w:r w:rsidR="00C1327B">
        <w:rPr>
          <w:lang w:val="fr-FR" w:eastAsia="en-GB"/>
        </w:rPr>
        <w:t> </w:t>
      </w:r>
      <w:r w:rsidRPr="003F3120">
        <w:rPr>
          <w:lang w:val="fr-FR" w:eastAsia="en-GB"/>
        </w:rPr>
        <w:t xml:space="preserve">objectif </w:t>
      </w:r>
      <w:r w:rsidRPr="003F3120">
        <w:rPr>
          <w:rFonts w:eastAsia="SimSun"/>
          <w:lang w:val="fr-FR" w:eastAsia="zh-CN"/>
        </w:rPr>
        <w:t>sera largement réalisé par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partenaires stratégiques et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 xml:space="preserve">partenaires </w:t>
      </w:r>
      <w:r w:rsidR="0011669B">
        <w:rPr>
          <w:rFonts w:eastAsia="SimSun"/>
          <w:lang w:val="fr-FR" w:eastAsia="zh-CN"/>
        </w:rPr>
        <w:t>appuyant</w:t>
      </w:r>
      <w:r w:rsidRPr="003F3120">
        <w:rPr>
          <w:rFonts w:eastAsia="SimSun"/>
          <w:lang w:val="fr-FR" w:eastAsia="zh-CN"/>
        </w:rPr>
        <w:t xml:space="preserve">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initiative</w:t>
      </w:r>
      <w:r w:rsidR="00FD5D6A">
        <w:rPr>
          <w:rFonts w:eastAsia="SimSun"/>
          <w:lang w:val="fr-FR" w:eastAsia="zh-CN"/>
        </w:rPr>
        <w:t> ;</w:t>
      </w:r>
    </w:p>
    <w:p w14:paraId="6B53D4BE" w14:textId="235781A4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 w:rsidRPr="003F3120">
        <w:rPr>
          <w:i/>
          <w:lang w:val="fr-FR" w:eastAsia="en-GB"/>
        </w:rPr>
        <w:t>Capacités nationales et régionales renforcées</w:t>
      </w:r>
      <w:r w:rsidRPr="003F3120">
        <w:rPr>
          <w:rFonts w:eastAsia="SimSun"/>
          <w:i/>
          <w:lang w:val="fr-FR" w:eastAsia="zh-CN"/>
        </w:rPr>
        <w:t>.</w:t>
      </w:r>
      <w:r w:rsidRPr="003F3120">
        <w:rPr>
          <w:i/>
          <w:lang w:val="fr-FR"/>
        </w:rPr>
        <w:t xml:space="preserve"> </w:t>
      </w:r>
      <w:r w:rsidRPr="003F3120">
        <w:rPr>
          <w:lang w:val="fr-FR" w:eastAsia="en-GB"/>
        </w:rPr>
        <w:t xml:space="preserve">Cet objectif </w:t>
      </w:r>
      <w:r w:rsidRPr="003F3120">
        <w:rPr>
          <w:rFonts w:eastAsia="SimSun"/>
          <w:lang w:val="fr-FR" w:eastAsia="zh-CN"/>
        </w:rPr>
        <w:t>prévoit</w:t>
      </w:r>
      <w:r w:rsidR="007031E0">
        <w:rPr>
          <w:rFonts w:eastAsia="SimSun"/>
          <w:lang w:val="fr-FR" w:eastAsia="zh-CN"/>
        </w:rPr>
        <w:t xml:space="preserve"> des </w:t>
      </w:r>
      <w:r w:rsidR="0011669B">
        <w:rPr>
          <w:rFonts w:eastAsia="SimSun"/>
          <w:lang w:val="fr-FR" w:eastAsia="zh-CN"/>
        </w:rPr>
        <w:t>activités</w:t>
      </w:r>
      <w:r w:rsidRPr="003F3120">
        <w:rPr>
          <w:rFonts w:eastAsia="SimSun"/>
          <w:lang w:val="fr-FR" w:eastAsia="zh-CN"/>
        </w:rPr>
        <w:t xml:space="preserve"> </w:t>
      </w:r>
      <w:r w:rsidR="0011669B">
        <w:rPr>
          <w:rFonts w:eastAsia="SimSun"/>
          <w:lang w:val="fr-FR" w:eastAsia="zh-CN"/>
        </w:rPr>
        <w:t xml:space="preserve">tendant à </w:t>
      </w:r>
      <w:r w:rsidRPr="003F3120">
        <w:rPr>
          <w:rFonts w:eastAsia="SimSun"/>
          <w:lang w:val="fr-FR" w:eastAsia="zh-CN"/>
        </w:rPr>
        <w:t>encourager</w:t>
      </w:r>
      <w:r w:rsidR="007031E0">
        <w:rPr>
          <w:rFonts w:eastAsia="SimSun"/>
          <w:lang w:val="fr-FR" w:eastAsia="zh-CN"/>
        </w:rPr>
        <w:t xml:space="preserve"> la </w:t>
      </w:r>
      <w:r w:rsidR="0011669B">
        <w:rPr>
          <w:rFonts w:eastAsia="SimSun"/>
          <w:lang w:val="fr-FR" w:eastAsia="zh-CN"/>
        </w:rPr>
        <w:t>création</w:t>
      </w:r>
      <w:r w:rsidRPr="003F3120">
        <w:rPr>
          <w:rFonts w:eastAsia="SimSun"/>
          <w:lang w:val="fr-FR" w:eastAsia="zh-CN"/>
        </w:rPr>
        <w:t xml:space="preserve"> de plateformes, de réseaux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évaluations science-politique aux fins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biodiversité et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services écosystémiques aux niveaux national et régional et, s</w:t>
      </w:r>
      <w:r w:rsidR="00FA5ADB">
        <w:rPr>
          <w:rFonts w:eastAsia="SimSun"/>
          <w:lang w:val="fr-FR" w:eastAsia="zh-CN"/>
        </w:rPr>
        <w:t>’</w:t>
      </w:r>
      <w:r w:rsidR="00D30115" w:rsidRPr="003F3120">
        <w:rPr>
          <w:rFonts w:eastAsia="SimSun"/>
          <w:lang w:val="fr-FR" w:eastAsia="zh-CN"/>
        </w:rPr>
        <w:t>il</w:t>
      </w:r>
      <w:r w:rsidR="007031E0">
        <w:rPr>
          <w:rFonts w:eastAsia="SimSun"/>
          <w:lang w:val="fr-FR" w:eastAsia="zh-CN"/>
        </w:rPr>
        <w:t xml:space="preserve"> y </w:t>
      </w:r>
      <w:r w:rsidR="00D30115" w:rsidRPr="003F3120">
        <w:rPr>
          <w:rFonts w:eastAsia="SimSun"/>
          <w:lang w:val="fr-FR" w:eastAsia="zh-CN"/>
        </w:rPr>
        <w:t>lieu, sous</w:t>
      </w:r>
      <w:r w:rsidR="00D30115" w:rsidRPr="003F3120">
        <w:rPr>
          <w:rFonts w:eastAsia="SimSun"/>
          <w:lang w:val="fr-FR" w:eastAsia="zh-CN"/>
        </w:rPr>
        <w:noBreakHyphen/>
      </w:r>
      <w:r w:rsidRPr="003F3120">
        <w:rPr>
          <w:rFonts w:eastAsia="SimSun"/>
          <w:lang w:val="fr-FR" w:eastAsia="zh-CN"/>
        </w:rPr>
        <w:t>régional, notamment pour faciliter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élaboration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orientations en f</w:t>
      </w:r>
      <w:r w:rsidR="00047AAD">
        <w:rPr>
          <w:rFonts w:eastAsia="SimSun"/>
          <w:lang w:val="fr-FR" w:eastAsia="zh-CN"/>
        </w:rPr>
        <w:t>aveur de telles initiatives. Il </w:t>
      </w:r>
      <w:r w:rsidRPr="003F3120">
        <w:rPr>
          <w:rFonts w:eastAsia="SimSun"/>
          <w:lang w:val="fr-FR" w:eastAsia="zh-CN"/>
        </w:rPr>
        <w:t>est également essentiel de renforcer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rôle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correspondants nationaux pour renforcer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capacités nationales relatives à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interface science-politique</w:t>
      </w:r>
      <w:r w:rsidR="000C25F6">
        <w:rPr>
          <w:rFonts w:eastAsia="SimSun"/>
          <w:lang w:val="fr-FR" w:eastAsia="zh-CN"/>
        </w:rPr>
        <w:t>s</w:t>
      </w:r>
      <w:r w:rsidRPr="003F3120">
        <w:rPr>
          <w:rFonts w:eastAsia="SimSun"/>
          <w:lang w:val="fr-FR" w:eastAsia="zh-CN"/>
        </w:rPr>
        <w:t>. Pour réaliser c</w:t>
      </w:r>
      <w:r w:rsidRPr="003F3120">
        <w:rPr>
          <w:lang w:val="fr-FR" w:eastAsia="en-GB"/>
        </w:rPr>
        <w:t>et objectif</w:t>
      </w:r>
      <w:r w:rsidRPr="003F3120">
        <w:rPr>
          <w:rFonts w:eastAsia="SimSun"/>
          <w:lang w:val="fr-FR" w:eastAsia="zh-CN"/>
        </w:rPr>
        <w:t>,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 s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inspirera fortement de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expérience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partenaires stratégiques et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 xml:space="preserve">partenaires </w:t>
      </w:r>
      <w:r w:rsidR="008D559F">
        <w:rPr>
          <w:rFonts w:eastAsia="SimSun"/>
          <w:lang w:val="fr-FR" w:eastAsia="zh-CN"/>
        </w:rPr>
        <w:t>appuyant</w:t>
      </w:r>
      <w:r w:rsidRPr="003F3120">
        <w:rPr>
          <w:rFonts w:eastAsia="SimSun"/>
          <w:lang w:val="fr-FR" w:eastAsia="zh-CN"/>
        </w:rPr>
        <w:t xml:space="preserve">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initiative. Un appui technique et financier direct au renforcement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capacités nationales et régionales sera demandé aux partenaires stratégiques et intéressés autres que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 xml:space="preserve">Plateforme. </w:t>
      </w:r>
    </w:p>
    <w:bookmarkEnd w:id="88"/>
    <w:p w14:paraId="0A156B65" w14:textId="73FCFB89" w:rsidR="001609F3" w:rsidRPr="003F3120" w:rsidRDefault="008D559F" w:rsidP="00ED6939">
      <w:pPr>
        <w:pStyle w:val="Normalnumber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t>Objectif </w:t>
      </w:r>
      <w:r w:rsidR="000D727B" w:rsidRPr="003F3120">
        <w:rPr>
          <w:b/>
          <w:lang w:val="fr-FR"/>
        </w:rPr>
        <w:t>3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AD1B7D">
        <w:rPr>
          <w:b/>
          <w:lang w:val="fr-FR"/>
        </w:rPr>
        <w:t>r</w:t>
      </w:r>
      <w:r w:rsidR="001609F3" w:rsidRPr="003F3120">
        <w:rPr>
          <w:b/>
          <w:lang w:val="fr-FR"/>
        </w:rPr>
        <w:t>enforcer</w:t>
      </w:r>
      <w:r w:rsidR="007031E0">
        <w:rPr>
          <w:b/>
          <w:lang w:val="fr-FR"/>
        </w:rPr>
        <w:t xml:space="preserve"> la </w:t>
      </w:r>
      <w:r w:rsidR="001609F3" w:rsidRPr="003F3120">
        <w:rPr>
          <w:b/>
          <w:lang w:val="fr-FR"/>
        </w:rPr>
        <w:t>base</w:t>
      </w:r>
      <w:r w:rsidR="007031E0">
        <w:rPr>
          <w:b/>
          <w:lang w:val="fr-FR"/>
        </w:rPr>
        <w:t xml:space="preserve"> des </w:t>
      </w:r>
      <w:r w:rsidR="000D727B" w:rsidRPr="003F3120">
        <w:rPr>
          <w:b/>
          <w:lang w:val="fr-FR"/>
        </w:rPr>
        <w:t>connaissances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1609F3" w:rsidRPr="003F3120">
        <w:rPr>
          <w:i/>
          <w:lang w:val="fr-FR"/>
        </w:rPr>
        <w:t>Promouvoir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production de connaissances et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gestion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>données sur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biodiversité et</w:t>
      </w:r>
      <w:r w:rsidR="007031E0">
        <w:rPr>
          <w:i/>
          <w:lang w:val="fr-FR"/>
        </w:rPr>
        <w:t xml:space="preserve"> les </w:t>
      </w:r>
      <w:r w:rsidR="001609F3" w:rsidRPr="003F3120">
        <w:rPr>
          <w:i/>
          <w:lang w:val="fr-FR"/>
        </w:rPr>
        <w:t xml:space="preserve">services écosystémiques </w:t>
      </w:r>
      <w:r w:rsidR="00047AAD">
        <w:rPr>
          <w:i/>
          <w:lang w:val="fr-FR"/>
        </w:rPr>
        <w:t xml:space="preserve">pour </w:t>
      </w:r>
      <w:r w:rsidR="00047AAD">
        <w:rPr>
          <w:i/>
          <w:lang w:val="fr-FR"/>
        </w:rPr>
        <w:br/>
        <w:t>sous-tendre</w:t>
      </w:r>
      <w:r w:rsidR="007031E0">
        <w:rPr>
          <w:i/>
          <w:lang w:val="fr-FR"/>
        </w:rPr>
        <w:t xml:space="preserve"> les </w:t>
      </w:r>
      <w:r w:rsidR="001609F3" w:rsidRPr="003F3120">
        <w:rPr>
          <w:i/>
          <w:lang w:val="fr-FR"/>
        </w:rPr>
        <w:t>travaux de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Plateforme.</w:t>
      </w:r>
      <w:r w:rsidR="001609F3" w:rsidRPr="003F3120">
        <w:rPr>
          <w:lang w:val="fr-FR"/>
        </w:rPr>
        <w:t xml:space="preserve"> Cet objectif sera atteint au moyen de l</w:t>
      </w:r>
      <w:r w:rsidR="00FA5ADB">
        <w:rPr>
          <w:lang w:val="fr-FR"/>
        </w:rPr>
        <w:t>’</w:t>
      </w:r>
      <w:r w:rsidR="001609F3" w:rsidRPr="003F3120">
        <w:rPr>
          <w:lang w:val="fr-FR"/>
        </w:rPr>
        <w:t>ensemble</w:t>
      </w:r>
      <w:r w:rsidR="007031E0">
        <w:rPr>
          <w:lang w:val="fr-FR"/>
        </w:rPr>
        <w:t xml:space="preserve"> des </w:t>
      </w:r>
      <w:r w:rsidR="001609F3" w:rsidRPr="003F3120">
        <w:rPr>
          <w:lang w:val="fr-FR"/>
        </w:rPr>
        <w:t>activités en cours et futures énoncées dans</w:t>
      </w:r>
      <w:r w:rsidR="007031E0">
        <w:rPr>
          <w:lang w:val="fr-FR"/>
        </w:rPr>
        <w:t xml:space="preserve"> le </w:t>
      </w:r>
      <w:r w:rsidR="001609F3" w:rsidRPr="003F3120">
        <w:rPr>
          <w:lang w:val="fr-FR"/>
        </w:rPr>
        <w:t>programme de travail, comme suit</w:t>
      </w:r>
      <w:r w:rsidR="00FD5D6A">
        <w:rPr>
          <w:lang w:val="fr-FR"/>
        </w:rPr>
        <w:t> :</w:t>
      </w:r>
      <w:r w:rsidR="001609F3" w:rsidRPr="003F3120">
        <w:rPr>
          <w:lang w:val="fr-FR"/>
        </w:rPr>
        <w:t xml:space="preserve"> </w:t>
      </w:r>
    </w:p>
    <w:p w14:paraId="72C5CA98" w14:textId="2ADD905E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 w:rsidRPr="003F3120">
        <w:rPr>
          <w:i/>
          <w:lang w:val="fr-FR" w:eastAsia="en-GB"/>
        </w:rPr>
        <w:lastRenderedPageBreak/>
        <w:t>Travaux avancés sur</w:t>
      </w:r>
      <w:r w:rsidR="007031E0">
        <w:rPr>
          <w:i/>
          <w:lang w:val="fr-FR" w:eastAsia="en-GB"/>
        </w:rPr>
        <w:t xml:space="preserve"> les </w:t>
      </w:r>
      <w:r w:rsidRPr="003F3120">
        <w:rPr>
          <w:i/>
          <w:lang w:val="fr-FR" w:eastAsia="en-GB"/>
        </w:rPr>
        <w:t>connaissances et</w:t>
      </w:r>
      <w:r w:rsidR="007031E0">
        <w:rPr>
          <w:i/>
          <w:lang w:val="fr-FR" w:eastAsia="en-GB"/>
        </w:rPr>
        <w:t xml:space="preserve"> les </w:t>
      </w:r>
      <w:r w:rsidRPr="003F3120">
        <w:rPr>
          <w:i/>
          <w:lang w:val="fr-FR" w:eastAsia="en-GB"/>
        </w:rPr>
        <w:t>données.</w:t>
      </w:r>
      <w:r w:rsidRPr="003F3120">
        <w:rPr>
          <w:lang w:val="fr-FR" w:eastAsia="en-GB"/>
        </w:rPr>
        <w:t xml:space="preserve"> Cet objectif </w:t>
      </w:r>
      <w:r w:rsidR="000D727B" w:rsidRPr="003F3120">
        <w:rPr>
          <w:lang w:val="fr-FR" w:eastAsia="en-GB"/>
        </w:rPr>
        <w:t>vise à</w:t>
      </w:r>
      <w:r w:rsidR="00FD5D6A">
        <w:rPr>
          <w:lang w:val="fr-FR" w:eastAsia="en-GB"/>
        </w:rPr>
        <w:t> :</w:t>
      </w:r>
      <w:r w:rsidR="00047AAD">
        <w:rPr>
          <w:lang w:val="fr-FR" w:eastAsia="en-GB"/>
        </w:rPr>
        <w:t xml:space="preserve"> identifier, hiérarchiser et</w:t>
      </w:r>
      <w:r w:rsidRPr="003F3120">
        <w:rPr>
          <w:lang w:val="fr-FR" w:eastAsia="en-GB"/>
        </w:rPr>
        <w:t xml:space="preserve"> mobiliser</w:t>
      </w:r>
      <w:r w:rsidR="007031E0">
        <w:rPr>
          <w:lang w:val="fr-FR" w:eastAsia="en-GB"/>
        </w:rPr>
        <w:t xml:space="preserve"> les </w:t>
      </w:r>
      <w:r w:rsidRPr="003F3120">
        <w:rPr>
          <w:lang w:val="fr-FR" w:eastAsia="en-GB"/>
        </w:rPr>
        <w:t xml:space="preserve">connaissances, </w:t>
      </w:r>
      <w:r w:rsidRPr="003F3120">
        <w:rPr>
          <w:lang w:val="fr-FR"/>
        </w:rPr>
        <w:t>informations et données,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compris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indicateurs et mesures à utiliser dans</w:t>
      </w:r>
      <w:r w:rsidR="007031E0">
        <w:rPr>
          <w:lang w:val="fr-FR"/>
        </w:rPr>
        <w:t xml:space="preserve"> les </w:t>
      </w:r>
      <w:r w:rsidR="000D727B" w:rsidRPr="003F3120">
        <w:rPr>
          <w:lang w:val="fr-FR"/>
        </w:rPr>
        <w:t>évaluations</w:t>
      </w:r>
      <w:r w:rsidR="00047AAD">
        <w:rPr>
          <w:lang w:val="fr-FR"/>
        </w:rPr>
        <w:t xml:space="preserve"> et faciliter l</w:t>
      </w:r>
      <w:r w:rsidR="00FA5ADB">
        <w:rPr>
          <w:lang w:val="fr-FR"/>
        </w:rPr>
        <w:t>’</w:t>
      </w:r>
      <w:r w:rsidR="00047AAD">
        <w:rPr>
          <w:lang w:val="fr-FR"/>
        </w:rPr>
        <w:t>accès à ces informations et données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continuer </w:t>
      </w:r>
      <w:r w:rsidR="00AC3B80">
        <w:rPr>
          <w:lang w:val="fr-FR"/>
        </w:rPr>
        <w:t>d</w:t>
      </w:r>
      <w:r w:rsidR="00FA5ADB">
        <w:rPr>
          <w:lang w:val="fr-FR"/>
        </w:rPr>
        <w:t>’</w:t>
      </w:r>
      <w:r w:rsidR="00AC3B80">
        <w:rPr>
          <w:lang w:val="fr-FR"/>
        </w:rPr>
        <w:t>amplifier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infrastructure </w:t>
      </w:r>
      <w:r w:rsidR="00AC3B80">
        <w:rPr>
          <w:lang w:val="fr-FR"/>
        </w:rPr>
        <w:t>Web pour</w:t>
      </w:r>
      <w:r w:rsidRPr="003F3120">
        <w:rPr>
          <w:lang w:val="fr-FR"/>
        </w:rPr>
        <w:t xml:space="preserve"> faciliter l</w:t>
      </w:r>
      <w:r w:rsidR="00FA5ADB">
        <w:rPr>
          <w:lang w:val="fr-FR"/>
        </w:rPr>
        <w:t>’</w:t>
      </w:r>
      <w:r w:rsidRPr="003F3120">
        <w:rPr>
          <w:lang w:val="fr-FR"/>
        </w:rPr>
        <w:t>échange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données et</w:t>
      </w:r>
      <w:r w:rsidR="007031E0">
        <w:rPr>
          <w:lang w:val="fr-FR"/>
        </w:rPr>
        <w:t xml:space="preserve"> la </w:t>
      </w:r>
      <w:r w:rsidR="00AC3B80">
        <w:rPr>
          <w:lang w:val="fr-FR"/>
        </w:rPr>
        <w:t>gestion</w:t>
      </w:r>
      <w:r w:rsidR="007031E0">
        <w:rPr>
          <w:lang w:val="fr-FR"/>
        </w:rPr>
        <w:t xml:space="preserve"> des </w:t>
      </w:r>
      <w:r w:rsidR="000D727B" w:rsidRPr="003F3120">
        <w:rPr>
          <w:lang w:val="fr-FR"/>
        </w:rPr>
        <w:t>informations</w:t>
      </w:r>
      <w:r w:rsidR="00FD5D6A">
        <w:rPr>
          <w:lang w:val="fr-FR"/>
        </w:rPr>
        <w:t> ;</w:t>
      </w:r>
      <w:r w:rsidR="00AC3B80">
        <w:rPr>
          <w:lang w:val="fr-FR"/>
        </w:rPr>
        <w:t xml:space="preserve"> identifier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lacunes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données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connaissances mises en évidence par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produits réalisés dans</w:t>
      </w:r>
      <w:r w:rsidR="007031E0">
        <w:rPr>
          <w:lang w:val="fr-FR"/>
        </w:rPr>
        <w:t xml:space="preserve"> le </w:t>
      </w:r>
      <w:r w:rsidR="00AC3B80">
        <w:rPr>
          <w:lang w:val="fr-FR"/>
        </w:rPr>
        <w:t>cadre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programmes de travail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faire un</w:t>
      </w:r>
      <w:r w:rsidR="00AC3B80">
        <w:rPr>
          <w:lang w:val="fr-FR"/>
        </w:rPr>
        <w:t xml:space="preserve"> </w:t>
      </w:r>
      <w:r w:rsidRPr="003F3120">
        <w:rPr>
          <w:lang w:val="fr-FR"/>
        </w:rPr>
        <w:t>inventaire systématique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lacunes </w:t>
      </w:r>
      <w:r w:rsidR="00AC3B80">
        <w:rPr>
          <w:lang w:val="fr-FR"/>
        </w:rPr>
        <w:t>en matière</w:t>
      </w:r>
      <w:r w:rsidRPr="003F3120">
        <w:rPr>
          <w:lang w:val="fr-FR"/>
        </w:rPr>
        <w:t xml:space="preserve"> </w:t>
      </w:r>
      <w:r w:rsidR="00AC3B80">
        <w:rPr>
          <w:lang w:val="fr-FR"/>
        </w:rPr>
        <w:t>d</w:t>
      </w:r>
      <w:r w:rsidRPr="003F3120">
        <w:rPr>
          <w:lang w:val="fr-FR"/>
        </w:rPr>
        <w:t>e</w:t>
      </w:r>
      <w:r w:rsidR="00AC3B80">
        <w:rPr>
          <w:lang w:val="fr-FR"/>
        </w:rPr>
        <w:t xml:space="preserve"> connaissances et de </w:t>
      </w:r>
      <w:r w:rsidRPr="003F3120">
        <w:rPr>
          <w:lang w:val="fr-FR"/>
        </w:rPr>
        <w:t>données recensées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programme de travail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activer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production de nouvelles connaissances en pointant ces lacunes, notamment aux organismes qui financent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recherche, aux concepteurs de programmes de recherche et aux institutions chargées de définir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priorités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financements en matière de mobilisation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données, et en en tenant compte dans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hiérarchisation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produits définis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programme de travail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</w:t>
      </w:r>
    </w:p>
    <w:p w14:paraId="28FA1F4F" w14:textId="5F105A06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 w:rsidRPr="003F3120">
        <w:rPr>
          <w:i/>
          <w:lang w:val="fr-FR" w:eastAsia="en-GB"/>
        </w:rPr>
        <w:t>Reconnaissance et utilisation améliorées</w:t>
      </w:r>
      <w:r w:rsidR="007031E0">
        <w:rPr>
          <w:i/>
          <w:lang w:val="fr-FR" w:eastAsia="en-GB"/>
        </w:rPr>
        <w:t xml:space="preserve"> des </w:t>
      </w:r>
      <w:r w:rsidRPr="003F3120">
        <w:rPr>
          <w:i/>
          <w:lang w:val="fr-FR" w:eastAsia="en-GB"/>
        </w:rPr>
        <w:t xml:space="preserve">systèmes de savoirs autochtones et locaux. </w:t>
      </w:r>
      <w:r w:rsidRPr="003F3120">
        <w:rPr>
          <w:lang w:val="fr-FR" w:eastAsia="en-GB"/>
        </w:rPr>
        <w:t xml:space="preserve">Cet </w:t>
      </w:r>
      <w:r w:rsidRPr="003F3120">
        <w:rPr>
          <w:lang w:val="fr-FR"/>
        </w:rPr>
        <w:t>objectif</w:t>
      </w:r>
      <w:r w:rsidRPr="003F3120">
        <w:rPr>
          <w:lang w:val="fr-FR" w:eastAsia="en-GB"/>
        </w:rPr>
        <w:t xml:space="preserve"> </w:t>
      </w:r>
      <w:r w:rsidRPr="003F3120">
        <w:rPr>
          <w:rFonts w:eastAsia="SimSun"/>
          <w:lang w:val="fr-FR" w:eastAsia="zh-CN"/>
        </w:rPr>
        <w:t>vise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application de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</w:t>
      </w:r>
      <w:r w:rsidR="00682A64">
        <w:rPr>
          <w:szCs w:val="18"/>
          <w:lang w:val="fr-FR"/>
        </w:rPr>
        <w:t>pproche concernant</w:t>
      </w:r>
      <w:r w:rsidR="007031E0">
        <w:rPr>
          <w:szCs w:val="18"/>
          <w:lang w:val="fr-FR"/>
        </w:rPr>
        <w:t xml:space="preserve"> la </w:t>
      </w:r>
      <w:r w:rsidRPr="003F3120">
        <w:rPr>
          <w:szCs w:val="18"/>
          <w:lang w:val="fr-FR"/>
        </w:rPr>
        <w:t>reconnaissance et l</w:t>
      </w:r>
      <w:r w:rsidR="00FA5ADB">
        <w:rPr>
          <w:szCs w:val="18"/>
          <w:lang w:val="fr-FR"/>
        </w:rPr>
        <w:t>’</w:t>
      </w:r>
      <w:r w:rsidRPr="003F3120">
        <w:rPr>
          <w:szCs w:val="18"/>
          <w:lang w:val="fr-FR"/>
        </w:rPr>
        <w:t>utilisation</w:t>
      </w:r>
      <w:r w:rsidR="007031E0">
        <w:rPr>
          <w:szCs w:val="18"/>
          <w:lang w:val="fr-FR"/>
        </w:rPr>
        <w:t xml:space="preserve"> des </w:t>
      </w:r>
      <w:r w:rsidRPr="003F3120">
        <w:rPr>
          <w:szCs w:val="18"/>
          <w:lang w:val="fr-FR"/>
        </w:rPr>
        <w:t>savoirs autochtones et locaux dans</w:t>
      </w:r>
      <w:r w:rsidR="007031E0">
        <w:rPr>
          <w:szCs w:val="18"/>
          <w:lang w:val="fr-FR"/>
        </w:rPr>
        <w:t xml:space="preserve"> les </w:t>
      </w:r>
      <w:r w:rsidRPr="003F3120">
        <w:rPr>
          <w:szCs w:val="18"/>
          <w:lang w:val="fr-FR"/>
        </w:rPr>
        <w:t>travaux de</w:t>
      </w:r>
      <w:r w:rsidR="007031E0">
        <w:rPr>
          <w:szCs w:val="18"/>
          <w:lang w:val="fr-FR"/>
        </w:rPr>
        <w:t xml:space="preserve"> la </w:t>
      </w:r>
      <w:r w:rsidRPr="003F3120">
        <w:rPr>
          <w:szCs w:val="18"/>
          <w:lang w:val="fr-FR"/>
        </w:rPr>
        <w:t>Plateforme</w:t>
      </w:r>
      <w:r w:rsidRPr="003F3120">
        <w:rPr>
          <w:vertAlign w:val="superscript"/>
          <w:lang w:val="fr-FR"/>
        </w:rPr>
        <w:footnoteReference w:id="23"/>
      </w:r>
      <w:r w:rsidRPr="003F3120">
        <w:rPr>
          <w:szCs w:val="18"/>
          <w:lang w:val="fr-FR"/>
        </w:rPr>
        <w:t>,</w:t>
      </w:r>
      <w:r w:rsidRPr="003F3120">
        <w:rPr>
          <w:lang w:val="fr-FR"/>
        </w:rPr>
        <w:t xml:space="preserve"> compte </w:t>
      </w:r>
      <w:r w:rsidR="00682A64">
        <w:rPr>
          <w:lang w:val="fr-FR"/>
        </w:rPr>
        <w:t>tenu</w:t>
      </w:r>
      <w:r w:rsidR="007031E0">
        <w:rPr>
          <w:lang w:val="fr-FR"/>
        </w:rPr>
        <w:t xml:space="preserve"> des </w:t>
      </w:r>
      <w:r w:rsidR="00682A64">
        <w:rPr>
          <w:lang w:val="fr-FR"/>
        </w:rPr>
        <w:t>besoins propres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détenteurs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savoirs autochtones et locaux</w:t>
      </w:r>
      <w:r w:rsidR="00662D9F">
        <w:rPr>
          <w:lang w:val="fr-FR"/>
        </w:rPr>
        <w:t>,</w:t>
      </w:r>
      <w:r w:rsidRPr="003F3120">
        <w:rPr>
          <w:lang w:val="fr-FR"/>
        </w:rPr>
        <w:t xml:space="preserve"> en mettant en œuvre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 xml:space="preserve">mécanisme participatif </w:t>
      </w:r>
      <w:r w:rsidR="00662D9F">
        <w:rPr>
          <w:lang w:val="fr-FR"/>
        </w:rPr>
        <w:t xml:space="preserve">créé </w:t>
      </w:r>
      <w:r w:rsidRPr="003F3120">
        <w:rPr>
          <w:lang w:val="fr-FR"/>
        </w:rPr>
        <w:t>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de l</w:t>
      </w:r>
      <w:r w:rsidR="00FA5ADB">
        <w:rPr>
          <w:lang w:val="fr-FR"/>
        </w:rPr>
        <w:t>’</w:t>
      </w:r>
      <w:r w:rsidRPr="003F3120">
        <w:rPr>
          <w:lang w:val="fr-FR"/>
        </w:rPr>
        <w:t>approche, ainsi qu</w:t>
      </w:r>
      <w:r w:rsidR="00FA5ADB">
        <w:rPr>
          <w:lang w:val="fr-FR"/>
        </w:rPr>
        <w:t>’</w:t>
      </w:r>
      <w:r w:rsidRPr="003F3120">
        <w:rPr>
          <w:lang w:val="fr-FR"/>
        </w:rPr>
        <w:t>en tenant compte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recommandations et conclusions qui</w:t>
      </w:r>
      <w:r w:rsidR="00C1327B">
        <w:rPr>
          <w:lang w:val="fr-FR"/>
        </w:rPr>
        <w:t> </w:t>
      </w:r>
      <w:r w:rsidRPr="003F3120">
        <w:rPr>
          <w:lang w:val="fr-FR"/>
        </w:rPr>
        <w:t>figurent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document IPBES/7/INF/8 et de celles qui résulteront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futurs processus conduits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Plateforme. </w:t>
      </w:r>
    </w:p>
    <w:p w14:paraId="1E8FD75E" w14:textId="2CB90481" w:rsidR="001609F3" w:rsidRPr="003F3120" w:rsidRDefault="008D559F" w:rsidP="00ED6939">
      <w:pPr>
        <w:pStyle w:val="Normalnumber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t>Objectif </w:t>
      </w:r>
      <w:r w:rsidR="001609F3" w:rsidRPr="003F3120">
        <w:rPr>
          <w:b/>
          <w:lang w:val="fr-FR"/>
        </w:rPr>
        <w:t>4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AD1B7D">
        <w:rPr>
          <w:b/>
          <w:lang w:val="fr-FR"/>
        </w:rPr>
        <w:t>f</w:t>
      </w:r>
      <w:r w:rsidR="001609F3" w:rsidRPr="003F3120">
        <w:rPr>
          <w:b/>
          <w:lang w:val="fr-FR"/>
        </w:rPr>
        <w:t>ournir une aide à l</w:t>
      </w:r>
      <w:r w:rsidR="00FA5ADB">
        <w:rPr>
          <w:b/>
          <w:lang w:val="fr-FR"/>
        </w:rPr>
        <w:t>’</w:t>
      </w:r>
      <w:r w:rsidR="001609F3" w:rsidRPr="003F3120">
        <w:rPr>
          <w:b/>
          <w:lang w:val="fr-FR"/>
        </w:rPr>
        <w:t>élaboration</w:t>
      </w:r>
      <w:r w:rsidR="007031E0">
        <w:rPr>
          <w:b/>
          <w:lang w:val="fr-FR"/>
        </w:rPr>
        <w:t xml:space="preserve"> des </w:t>
      </w:r>
      <w:r w:rsidR="000D727B" w:rsidRPr="003F3120">
        <w:rPr>
          <w:b/>
          <w:lang w:val="fr-FR"/>
        </w:rPr>
        <w:t>politiques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1609F3" w:rsidRPr="003F3120">
        <w:rPr>
          <w:i/>
          <w:lang w:val="fr-FR"/>
        </w:rPr>
        <w:t>Identifier et promouvoir l</w:t>
      </w:r>
      <w:r w:rsidR="00FA5ADB">
        <w:rPr>
          <w:i/>
          <w:lang w:val="fr-FR"/>
        </w:rPr>
        <w:t>’</w:t>
      </w:r>
      <w:r w:rsidR="001609F3" w:rsidRPr="003F3120">
        <w:rPr>
          <w:i/>
          <w:lang w:val="fr-FR"/>
        </w:rPr>
        <w:t>élaboration et l</w:t>
      </w:r>
      <w:r w:rsidR="00FA5ADB">
        <w:rPr>
          <w:i/>
          <w:lang w:val="fr-FR"/>
        </w:rPr>
        <w:t>’</w:t>
      </w:r>
      <w:r w:rsidR="001609F3" w:rsidRPr="003F3120">
        <w:rPr>
          <w:i/>
          <w:lang w:val="fr-FR"/>
        </w:rPr>
        <w:t>utilisation</w:t>
      </w:r>
      <w:r w:rsidR="00662D9F">
        <w:rPr>
          <w:i/>
          <w:lang w:val="fr-FR"/>
        </w:rPr>
        <w:t xml:space="preserve"> de moyens d</w:t>
      </w:r>
      <w:r w:rsidR="00FA5ADB">
        <w:rPr>
          <w:i/>
          <w:lang w:val="fr-FR"/>
        </w:rPr>
        <w:t>’</w:t>
      </w:r>
      <w:r w:rsidR="00662D9F">
        <w:rPr>
          <w:i/>
          <w:lang w:val="fr-FR"/>
        </w:rPr>
        <w:t>action</w:t>
      </w:r>
      <w:r w:rsidR="001609F3" w:rsidRPr="003F3120">
        <w:rPr>
          <w:i/>
          <w:lang w:val="fr-FR"/>
        </w:rPr>
        <w:t>, d</w:t>
      </w:r>
      <w:r w:rsidR="00FA5ADB">
        <w:rPr>
          <w:i/>
          <w:lang w:val="fr-FR"/>
        </w:rPr>
        <w:t>’</w:t>
      </w:r>
      <w:r w:rsidR="001609F3" w:rsidRPr="003F3120">
        <w:rPr>
          <w:i/>
          <w:lang w:val="fr-FR"/>
        </w:rPr>
        <w:t>outils d</w:t>
      </w:r>
      <w:r w:rsidR="00FA5ADB">
        <w:rPr>
          <w:i/>
          <w:lang w:val="fr-FR"/>
        </w:rPr>
        <w:t>’</w:t>
      </w:r>
      <w:r w:rsidR="001609F3" w:rsidRPr="003F3120">
        <w:rPr>
          <w:i/>
          <w:lang w:val="fr-FR"/>
        </w:rPr>
        <w:t xml:space="preserve">appui </w:t>
      </w:r>
      <w:r w:rsidR="00662D9F">
        <w:rPr>
          <w:i/>
          <w:lang w:val="fr-FR"/>
        </w:rPr>
        <w:t>à l</w:t>
      </w:r>
      <w:r w:rsidR="00FA5ADB">
        <w:rPr>
          <w:i/>
          <w:lang w:val="fr-FR"/>
        </w:rPr>
        <w:t>’</w:t>
      </w:r>
      <w:r w:rsidR="00662D9F">
        <w:rPr>
          <w:i/>
          <w:lang w:val="fr-FR"/>
        </w:rPr>
        <w:t>élaboration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>politiques et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 xml:space="preserve">méthodes </w:t>
      </w:r>
      <w:r w:rsidR="00662D9F">
        <w:rPr>
          <w:i/>
          <w:lang w:val="fr-FR"/>
        </w:rPr>
        <w:t>dans</w:t>
      </w:r>
      <w:r w:rsidR="007031E0">
        <w:rPr>
          <w:i/>
          <w:lang w:val="fr-FR"/>
        </w:rPr>
        <w:t xml:space="preserve"> les </w:t>
      </w:r>
      <w:r w:rsidR="00662D9F">
        <w:rPr>
          <w:i/>
          <w:lang w:val="fr-FR"/>
        </w:rPr>
        <w:t>domaines</w:t>
      </w:r>
      <w:r w:rsidR="001609F3" w:rsidRPr="003F3120">
        <w:rPr>
          <w:i/>
          <w:lang w:val="fr-FR"/>
        </w:rPr>
        <w:t xml:space="preserve"> de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biodiversité et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>fonctions et services écosystémiques.</w:t>
      </w:r>
      <w:r w:rsidR="001609F3" w:rsidRPr="003F3120">
        <w:rPr>
          <w:lang w:val="fr-FR"/>
        </w:rPr>
        <w:t xml:space="preserve"> Cet</w:t>
      </w:r>
      <w:r w:rsidR="00C1327B">
        <w:rPr>
          <w:lang w:val="fr-FR"/>
        </w:rPr>
        <w:t> </w:t>
      </w:r>
      <w:r w:rsidR="001609F3" w:rsidRPr="003F3120">
        <w:rPr>
          <w:lang w:val="fr-FR"/>
        </w:rPr>
        <w:t>objectif sera atteint au moyen de l</w:t>
      </w:r>
      <w:r w:rsidR="00FA5ADB">
        <w:rPr>
          <w:lang w:val="fr-FR"/>
        </w:rPr>
        <w:t>’</w:t>
      </w:r>
      <w:r w:rsidR="001609F3" w:rsidRPr="003F3120">
        <w:rPr>
          <w:lang w:val="fr-FR"/>
        </w:rPr>
        <w:t>ensemble</w:t>
      </w:r>
      <w:r w:rsidR="007031E0">
        <w:rPr>
          <w:lang w:val="fr-FR"/>
        </w:rPr>
        <w:t xml:space="preserve"> des </w:t>
      </w:r>
      <w:r w:rsidR="001609F3" w:rsidRPr="003F3120">
        <w:rPr>
          <w:lang w:val="fr-FR"/>
        </w:rPr>
        <w:t>activités en cours et futures énoncées dans</w:t>
      </w:r>
      <w:r w:rsidR="007031E0">
        <w:rPr>
          <w:lang w:val="fr-FR"/>
        </w:rPr>
        <w:t xml:space="preserve"> le </w:t>
      </w:r>
      <w:r w:rsidR="001609F3" w:rsidRPr="003F3120">
        <w:rPr>
          <w:lang w:val="fr-FR"/>
        </w:rPr>
        <w:t>programme de travail, comme suit</w:t>
      </w:r>
      <w:r w:rsidR="00FD5D6A">
        <w:rPr>
          <w:lang w:val="fr-FR"/>
        </w:rPr>
        <w:t> :</w:t>
      </w:r>
      <w:r w:rsidR="001609F3" w:rsidRPr="003F3120">
        <w:rPr>
          <w:lang w:val="fr-FR"/>
        </w:rPr>
        <w:t xml:space="preserve"> </w:t>
      </w:r>
    </w:p>
    <w:p w14:paraId="0F45F76F" w14:textId="41080DDC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 w:rsidRPr="003F3120">
        <w:rPr>
          <w:i/>
          <w:lang w:val="fr-FR" w:eastAsia="en-GB"/>
        </w:rPr>
        <w:t>Travaux avancés sur</w:t>
      </w:r>
      <w:r w:rsidR="007031E0">
        <w:rPr>
          <w:i/>
          <w:lang w:val="fr-FR" w:eastAsia="en-GB"/>
        </w:rPr>
        <w:t xml:space="preserve"> les </w:t>
      </w:r>
      <w:r w:rsidRPr="003F3120">
        <w:rPr>
          <w:i/>
          <w:lang w:val="fr-FR" w:eastAsia="en-GB"/>
        </w:rPr>
        <w:t xml:space="preserve">outils </w:t>
      </w:r>
      <w:r w:rsidRPr="003F3120">
        <w:rPr>
          <w:i/>
          <w:lang w:val="fr-FR"/>
        </w:rPr>
        <w:t>d</w:t>
      </w:r>
      <w:r w:rsidR="00FA5ADB">
        <w:rPr>
          <w:i/>
          <w:lang w:val="fr-FR"/>
        </w:rPr>
        <w:t>’</w:t>
      </w:r>
      <w:r w:rsidRPr="003F3120">
        <w:rPr>
          <w:i/>
          <w:lang w:val="fr-FR"/>
        </w:rPr>
        <w:t xml:space="preserve">appui </w:t>
      </w:r>
      <w:r w:rsidR="007249A3">
        <w:rPr>
          <w:i/>
          <w:lang w:val="fr-FR"/>
        </w:rPr>
        <w:t>à l</w:t>
      </w:r>
      <w:r w:rsidR="00FA5ADB">
        <w:rPr>
          <w:i/>
          <w:lang w:val="fr-FR"/>
        </w:rPr>
        <w:t>’</w:t>
      </w:r>
      <w:r w:rsidR="007249A3">
        <w:rPr>
          <w:i/>
          <w:lang w:val="fr-FR"/>
        </w:rPr>
        <w:t>élaboration</w:t>
      </w:r>
      <w:r w:rsidR="007031E0">
        <w:rPr>
          <w:i/>
          <w:lang w:val="fr-FR"/>
        </w:rPr>
        <w:t xml:space="preserve"> des </w:t>
      </w:r>
      <w:r w:rsidRPr="003F3120">
        <w:rPr>
          <w:i/>
          <w:lang w:val="fr-FR"/>
        </w:rPr>
        <w:t>politiques</w:t>
      </w:r>
      <w:r w:rsidRPr="003F3120">
        <w:rPr>
          <w:i/>
          <w:lang w:val="fr-FR" w:eastAsia="en-GB"/>
        </w:rPr>
        <w:t xml:space="preserve"> et</w:t>
      </w:r>
      <w:r w:rsidR="007031E0">
        <w:rPr>
          <w:i/>
          <w:lang w:val="fr-FR" w:eastAsia="en-GB"/>
        </w:rPr>
        <w:t xml:space="preserve"> les </w:t>
      </w:r>
      <w:r w:rsidRPr="003F3120">
        <w:rPr>
          <w:i/>
          <w:lang w:val="fr-FR" w:eastAsia="en-GB"/>
        </w:rPr>
        <w:t>méthodes</w:t>
      </w:r>
      <w:r w:rsidRPr="003F3120">
        <w:rPr>
          <w:lang w:val="fr-FR" w:eastAsia="en-GB"/>
        </w:rPr>
        <w:t>. Cet objectif vise à promouvoir l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 xml:space="preserve">utilisation </w:t>
      </w:r>
      <w:r w:rsidR="007249A3">
        <w:rPr>
          <w:lang w:val="fr-FR" w:eastAsia="en-GB"/>
        </w:rPr>
        <w:t>de moyens d</w:t>
      </w:r>
      <w:r w:rsidR="00FA5ADB">
        <w:rPr>
          <w:lang w:val="fr-FR" w:eastAsia="en-GB"/>
        </w:rPr>
        <w:t>’</w:t>
      </w:r>
      <w:r w:rsidR="007249A3">
        <w:rPr>
          <w:lang w:val="fr-FR" w:eastAsia="en-GB"/>
        </w:rPr>
        <w:t>action</w:t>
      </w:r>
      <w:r w:rsidRPr="003F3120">
        <w:rPr>
          <w:lang w:val="fr-FR" w:eastAsia="en-GB"/>
        </w:rPr>
        <w:t>, d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>outils d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 xml:space="preserve">appui </w:t>
      </w:r>
      <w:r w:rsidR="007249A3">
        <w:rPr>
          <w:lang w:val="fr-FR" w:eastAsia="en-GB"/>
        </w:rPr>
        <w:t>à l</w:t>
      </w:r>
      <w:r w:rsidR="00FA5ADB">
        <w:rPr>
          <w:lang w:val="fr-FR" w:eastAsia="en-GB"/>
        </w:rPr>
        <w:t>’</w:t>
      </w:r>
      <w:r w:rsidR="007249A3">
        <w:rPr>
          <w:lang w:val="fr-FR" w:eastAsia="en-GB"/>
        </w:rPr>
        <w:t>élaboration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>politiques et de méthodes aux fins de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mise en œuvre du programme de travail pour</w:t>
      </w:r>
      <w:r w:rsidR="007031E0">
        <w:rPr>
          <w:lang w:val="fr-FR" w:eastAsia="en-GB"/>
        </w:rPr>
        <w:t xml:space="preserve"> les </w:t>
      </w:r>
      <w:r w:rsidRPr="003F3120">
        <w:rPr>
          <w:lang w:val="fr-FR" w:eastAsia="en-GB"/>
        </w:rPr>
        <w:t>questions de conservation, de restauration et d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>utilisation rationnelle de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biodiversité et de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fourniture de</w:t>
      </w:r>
      <w:r w:rsidR="00C1327B">
        <w:rPr>
          <w:lang w:val="fr-FR" w:eastAsia="en-GB"/>
        </w:rPr>
        <w:t> </w:t>
      </w:r>
      <w:r w:rsidRPr="003F3120">
        <w:rPr>
          <w:lang w:val="fr-FR" w:eastAsia="en-GB"/>
        </w:rPr>
        <w:t>fonctions et de services écosystémiques dans</w:t>
      </w:r>
      <w:r w:rsidR="007031E0">
        <w:rPr>
          <w:lang w:val="fr-FR" w:eastAsia="en-GB"/>
        </w:rPr>
        <w:t xml:space="preserve"> le </w:t>
      </w:r>
      <w:r w:rsidRPr="003F3120">
        <w:rPr>
          <w:lang w:val="fr-FR" w:eastAsia="en-GB"/>
        </w:rPr>
        <w:t>cadre de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réalisation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>évaluations, ainsi qu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>à</w:t>
      </w:r>
      <w:r w:rsidR="00C1327B">
        <w:rPr>
          <w:lang w:val="fr-FR" w:eastAsia="en-GB"/>
        </w:rPr>
        <w:t> </w:t>
      </w:r>
      <w:r w:rsidRPr="003F3120">
        <w:rPr>
          <w:lang w:val="fr-FR" w:eastAsia="en-GB"/>
        </w:rPr>
        <w:t>permettre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prise en compte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>résultats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>évaluations dans</w:t>
      </w:r>
      <w:r w:rsidR="007031E0">
        <w:rPr>
          <w:lang w:val="fr-FR" w:eastAsia="en-GB"/>
        </w:rPr>
        <w:t xml:space="preserve"> les </w:t>
      </w:r>
      <w:r w:rsidRPr="003F3120">
        <w:rPr>
          <w:lang w:val="fr-FR" w:eastAsia="en-GB"/>
        </w:rPr>
        <w:t>proce</w:t>
      </w:r>
      <w:r w:rsidR="008D559F">
        <w:rPr>
          <w:lang w:val="fr-FR" w:eastAsia="en-GB"/>
        </w:rPr>
        <w:t>ssus de prise de</w:t>
      </w:r>
      <w:r w:rsidR="00C1327B">
        <w:rPr>
          <w:lang w:val="fr-FR" w:eastAsia="en-GB"/>
        </w:rPr>
        <w:t> </w:t>
      </w:r>
      <w:r w:rsidR="008D559F">
        <w:rPr>
          <w:lang w:val="fr-FR" w:eastAsia="en-GB"/>
        </w:rPr>
        <w:t>décisions. Cet </w:t>
      </w:r>
      <w:r w:rsidRPr="003F3120">
        <w:rPr>
          <w:lang w:val="fr-FR" w:eastAsia="en-GB"/>
        </w:rPr>
        <w:t xml:space="preserve">objectif vise en outre à </w:t>
      </w:r>
      <w:r w:rsidRPr="003F3120">
        <w:rPr>
          <w:kern w:val="14"/>
          <w:lang w:val="fr-FR" w:eastAsia="ja-JP"/>
        </w:rPr>
        <w:t>développer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portail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 xml:space="preserve">Plateforme consacré à </w:t>
      </w:r>
      <w:r w:rsidR="007249A3">
        <w:rPr>
          <w:kern w:val="14"/>
          <w:lang w:val="fr-FR" w:eastAsia="ja-JP"/>
        </w:rPr>
        <w:t>l</w:t>
      </w:r>
      <w:r w:rsidR="00FA5ADB">
        <w:rPr>
          <w:kern w:val="14"/>
          <w:lang w:val="fr-FR" w:eastAsia="ja-JP"/>
        </w:rPr>
        <w:t>’</w:t>
      </w:r>
      <w:r w:rsidR="007249A3">
        <w:rPr>
          <w:kern w:val="14"/>
          <w:lang w:val="fr-FR" w:eastAsia="ja-JP"/>
        </w:rPr>
        <w:t>appui à</w:t>
      </w:r>
      <w:r w:rsidR="00C1327B">
        <w:rPr>
          <w:kern w:val="14"/>
          <w:lang w:val="fr-FR" w:eastAsia="ja-JP"/>
        </w:rPr>
        <w:t> </w:t>
      </w:r>
      <w:r w:rsidR="007249A3">
        <w:rPr>
          <w:kern w:val="14"/>
          <w:lang w:val="fr-FR" w:eastAsia="ja-JP"/>
        </w:rPr>
        <w:t>l</w:t>
      </w:r>
      <w:r w:rsidR="00FA5ADB">
        <w:rPr>
          <w:kern w:val="14"/>
          <w:lang w:val="fr-FR" w:eastAsia="ja-JP"/>
        </w:rPr>
        <w:t>’</w:t>
      </w:r>
      <w:r w:rsidR="007249A3">
        <w:rPr>
          <w:kern w:val="14"/>
          <w:lang w:val="fr-FR" w:eastAsia="ja-JP"/>
        </w:rPr>
        <w:t>élaboration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politiques et à promouvoir et accélérer</w:t>
      </w:r>
      <w:r w:rsidR="007031E0">
        <w:rPr>
          <w:kern w:val="14"/>
          <w:lang w:val="fr-FR" w:eastAsia="ja-JP"/>
        </w:rPr>
        <w:t xml:space="preserve"> la </w:t>
      </w:r>
      <w:r w:rsidR="00CA0E1D" w:rsidRPr="003F3120">
        <w:rPr>
          <w:kern w:val="14"/>
          <w:lang w:val="fr-FR" w:eastAsia="ja-JP"/>
        </w:rPr>
        <w:t>définition de moyens d</w:t>
      </w:r>
      <w:r w:rsidR="00FA5ADB">
        <w:rPr>
          <w:kern w:val="14"/>
          <w:lang w:val="fr-FR" w:eastAsia="ja-JP"/>
        </w:rPr>
        <w:t>’</w:t>
      </w:r>
      <w:r w:rsidR="00CA0E1D" w:rsidRPr="003F3120">
        <w:rPr>
          <w:kern w:val="14"/>
          <w:lang w:val="fr-FR" w:eastAsia="ja-JP"/>
        </w:rPr>
        <w:t xml:space="preserve">action et </w:t>
      </w:r>
      <w:r w:rsidRPr="003F3120">
        <w:rPr>
          <w:kern w:val="14"/>
          <w:lang w:val="fr-FR" w:eastAsia="ja-JP"/>
        </w:rPr>
        <w:t>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 xml:space="preserve">instruments </w:t>
      </w:r>
      <w:r w:rsidR="00CA0E1D" w:rsidRPr="003F3120">
        <w:rPr>
          <w:kern w:val="14"/>
          <w:lang w:val="fr-FR" w:eastAsia="ja-JP"/>
        </w:rPr>
        <w:t>d</w:t>
      </w:r>
      <w:r w:rsidR="00FA5ADB">
        <w:rPr>
          <w:kern w:val="14"/>
          <w:lang w:val="fr-FR" w:eastAsia="ja-JP"/>
        </w:rPr>
        <w:t>’</w:t>
      </w:r>
      <w:r w:rsidR="00CA0E1D" w:rsidRPr="003F3120">
        <w:rPr>
          <w:kern w:val="14"/>
          <w:lang w:val="fr-FR" w:eastAsia="ja-JP"/>
        </w:rPr>
        <w:t>aide à l</w:t>
      </w:r>
      <w:r w:rsidR="00FA5ADB">
        <w:rPr>
          <w:kern w:val="14"/>
          <w:lang w:val="fr-FR" w:eastAsia="ja-JP"/>
        </w:rPr>
        <w:t>’</w:t>
      </w:r>
      <w:r w:rsidR="00CA0E1D" w:rsidRPr="003F3120">
        <w:rPr>
          <w:kern w:val="14"/>
          <w:lang w:val="fr-FR" w:eastAsia="ja-JP"/>
        </w:rPr>
        <w:t>élaboration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politique</w:t>
      </w:r>
      <w:r w:rsidR="00CA0E1D" w:rsidRPr="003F3120">
        <w:rPr>
          <w:kern w:val="14"/>
          <w:lang w:val="fr-FR" w:eastAsia="ja-JP"/>
        </w:rPr>
        <w:t>s</w:t>
      </w:r>
      <w:r w:rsidRPr="003F3120">
        <w:rPr>
          <w:kern w:val="14"/>
          <w:lang w:val="fr-FR" w:eastAsia="ja-JP"/>
        </w:rPr>
        <w:t xml:space="preserve"> pour combler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lacunes mises au jour par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évaluations et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activités de renforcement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capacités connexes</w:t>
      </w:r>
      <w:r w:rsidR="00FD5D6A">
        <w:rPr>
          <w:kern w:val="14"/>
          <w:lang w:val="fr-FR" w:eastAsia="ja-JP"/>
        </w:rPr>
        <w:t> ;</w:t>
      </w:r>
      <w:r w:rsidRPr="003F3120">
        <w:rPr>
          <w:kern w:val="14"/>
          <w:lang w:val="fr-FR" w:eastAsia="ja-JP"/>
        </w:rPr>
        <w:t xml:space="preserve"> </w:t>
      </w:r>
    </w:p>
    <w:p w14:paraId="0A321F57" w14:textId="57751795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 w:rsidRPr="003F3120">
        <w:rPr>
          <w:i/>
          <w:lang w:val="fr-FR" w:eastAsia="en-GB"/>
        </w:rPr>
        <w:t>Travaux avancés sur</w:t>
      </w:r>
      <w:r w:rsidR="007031E0">
        <w:rPr>
          <w:i/>
          <w:lang w:val="fr-FR" w:eastAsia="en-GB"/>
        </w:rPr>
        <w:t xml:space="preserve"> les </w:t>
      </w:r>
      <w:r w:rsidRPr="003F3120">
        <w:rPr>
          <w:i/>
          <w:lang w:val="fr-FR" w:eastAsia="en-GB"/>
        </w:rPr>
        <w:t>scénarios et modèles de</w:t>
      </w:r>
      <w:r w:rsidR="007031E0">
        <w:rPr>
          <w:i/>
          <w:lang w:val="fr-FR" w:eastAsia="en-GB"/>
        </w:rPr>
        <w:t xml:space="preserve"> la </w:t>
      </w:r>
      <w:r w:rsidRPr="003F3120">
        <w:rPr>
          <w:i/>
          <w:lang w:val="fr-FR" w:eastAsia="en-GB"/>
        </w:rPr>
        <w:t>biodiversité et</w:t>
      </w:r>
      <w:r w:rsidR="007031E0">
        <w:rPr>
          <w:i/>
          <w:lang w:val="fr-FR" w:eastAsia="en-GB"/>
        </w:rPr>
        <w:t xml:space="preserve"> des </w:t>
      </w:r>
      <w:r w:rsidRPr="003F3120">
        <w:rPr>
          <w:i/>
          <w:lang w:val="fr-FR" w:eastAsia="en-GB"/>
        </w:rPr>
        <w:t>fonctions et services écosystémiques</w:t>
      </w:r>
      <w:r w:rsidRPr="003F3120">
        <w:rPr>
          <w:lang w:val="fr-FR" w:eastAsia="en-GB"/>
        </w:rPr>
        <w:t>. Cet objectif a pour but de donner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>conseils aux groupes d</w:t>
      </w:r>
      <w:r w:rsidR="00FA5ADB">
        <w:rPr>
          <w:lang w:val="fr-FR" w:eastAsia="en-GB"/>
        </w:rPr>
        <w:t>’</w:t>
      </w:r>
      <w:r w:rsidRPr="003F3120">
        <w:rPr>
          <w:lang w:val="fr-FR"/>
        </w:rPr>
        <w:t>experts chargés d</w:t>
      </w:r>
      <w:r w:rsidR="00FA5ADB">
        <w:rPr>
          <w:lang w:val="fr-FR"/>
        </w:rPr>
        <w:t>’</w:t>
      </w:r>
      <w:r w:rsidRPr="003F3120">
        <w:rPr>
          <w:lang w:val="fr-FR"/>
        </w:rPr>
        <w:t>évaluer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modèles et scénarios existants, et de promouvoir l</w:t>
      </w:r>
      <w:r w:rsidR="00FA5ADB">
        <w:rPr>
          <w:lang w:val="fr-FR"/>
        </w:rPr>
        <w:t>’</w:t>
      </w:r>
      <w:r w:rsidRPr="003F3120">
        <w:rPr>
          <w:lang w:val="fr-FR"/>
        </w:rPr>
        <w:t>élaboration de nouveaux scénarios et modèles pour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futurs travaux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 leur application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de l</w:t>
      </w:r>
      <w:r w:rsidR="00FA5ADB">
        <w:rPr>
          <w:lang w:val="fr-FR"/>
        </w:rPr>
        <w:t>’</w:t>
      </w:r>
      <w:r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politiques, tout en favorisant également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cohérence avec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travaux similaires menés par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GIEC et d</w:t>
      </w:r>
      <w:r w:rsidR="00FA5ADB">
        <w:rPr>
          <w:lang w:val="fr-FR"/>
        </w:rPr>
        <w:t>’</w:t>
      </w:r>
      <w:r w:rsidRPr="003F3120">
        <w:rPr>
          <w:lang w:val="fr-FR"/>
        </w:rPr>
        <w:t>autres organes, selon qu</w:t>
      </w:r>
      <w:r w:rsidR="00FA5ADB">
        <w:rPr>
          <w:lang w:val="fr-FR"/>
        </w:rPr>
        <w:t>’</w:t>
      </w:r>
      <w:r w:rsidRPr="003F3120">
        <w:rPr>
          <w:lang w:val="fr-FR"/>
        </w:rPr>
        <w:t>il convient</w:t>
      </w:r>
      <w:r w:rsidR="00FD5D6A">
        <w:rPr>
          <w:lang w:val="fr-FR"/>
        </w:rPr>
        <w:t> ;</w:t>
      </w:r>
    </w:p>
    <w:p w14:paraId="3FE9010E" w14:textId="4E40832A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 w:eastAsia="en-GB"/>
        </w:rPr>
      </w:pPr>
      <w:r w:rsidRPr="003F3120">
        <w:rPr>
          <w:i/>
          <w:lang w:val="fr-FR" w:eastAsia="en-GB"/>
        </w:rPr>
        <w:t>Travaux avancés sur</w:t>
      </w:r>
      <w:r w:rsidR="007031E0">
        <w:rPr>
          <w:i/>
          <w:lang w:val="fr-FR" w:eastAsia="en-GB"/>
        </w:rPr>
        <w:t xml:space="preserve"> les </w:t>
      </w:r>
      <w:r w:rsidRPr="003F3120">
        <w:rPr>
          <w:i/>
          <w:lang w:val="fr-FR" w:eastAsia="en-GB"/>
        </w:rPr>
        <w:t>valeurs multiples</w:t>
      </w:r>
      <w:r w:rsidRPr="003F3120">
        <w:rPr>
          <w:lang w:val="fr-FR" w:eastAsia="en-GB"/>
        </w:rPr>
        <w:t>. Cet objectif consiste à donner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 xml:space="preserve">conseils </w:t>
      </w:r>
      <w:r w:rsidRPr="003F3120">
        <w:rPr>
          <w:lang w:val="fr-FR"/>
        </w:rPr>
        <w:t>en vue d</w:t>
      </w:r>
      <w:r w:rsidR="00FA5ADB">
        <w:rPr>
          <w:lang w:val="fr-FR"/>
        </w:rPr>
        <w:t>’</w:t>
      </w:r>
      <w:r w:rsidRPr="003F3120">
        <w:rPr>
          <w:lang w:val="fr-FR"/>
        </w:rPr>
        <w:t>intégrer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multiples conceptualisations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valeurs dans d</w:t>
      </w:r>
      <w:r w:rsidR="00FA5ADB">
        <w:rPr>
          <w:lang w:val="fr-FR"/>
        </w:rPr>
        <w:t>’</w:t>
      </w:r>
      <w:r w:rsidRPr="003F3120">
        <w:rPr>
          <w:lang w:val="fr-FR"/>
        </w:rPr>
        <w:t>autres produits du programme de travail, en particulier ceux relevant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objectifs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évaluations et</w:t>
      </w:r>
      <w:r w:rsidR="007031E0">
        <w:rPr>
          <w:lang w:val="fr-FR"/>
        </w:rPr>
        <w:t xml:space="preserve"> les </w:t>
      </w:r>
      <w:r w:rsidR="00CA0E1D" w:rsidRPr="003F3120">
        <w:rPr>
          <w:lang w:val="fr-FR"/>
        </w:rPr>
        <w:t>moyens d</w:t>
      </w:r>
      <w:r w:rsidR="00FA5ADB">
        <w:rPr>
          <w:lang w:val="fr-FR"/>
        </w:rPr>
        <w:t>’</w:t>
      </w:r>
      <w:r w:rsidR="00CA0E1D" w:rsidRPr="003F3120">
        <w:rPr>
          <w:lang w:val="fr-FR"/>
        </w:rPr>
        <w:t>action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instruments </w:t>
      </w:r>
      <w:r w:rsidR="00CA0E1D" w:rsidRPr="003F3120">
        <w:rPr>
          <w:lang w:val="fr-FR"/>
        </w:rPr>
        <w:t xml:space="preserve">et méthodes </w:t>
      </w:r>
      <w:r w:rsidR="007249A3">
        <w:rPr>
          <w:lang w:val="fr-FR"/>
        </w:rPr>
        <w:t>d</w:t>
      </w:r>
      <w:r w:rsidR="00FA5ADB">
        <w:rPr>
          <w:lang w:val="fr-FR"/>
        </w:rPr>
        <w:t>’</w:t>
      </w:r>
      <w:r w:rsidR="007249A3">
        <w:rPr>
          <w:lang w:val="fr-FR"/>
        </w:rPr>
        <w:t>appui</w:t>
      </w:r>
      <w:r w:rsidR="00CA0E1D" w:rsidRPr="003F3120">
        <w:rPr>
          <w:lang w:val="fr-FR"/>
        </w:rPr>
        <w:t xml:space="preserve"> à l</w:t>
      </w:r>
      <w:r w:rsidR="00FA5ADB">
        <w:rPr>
          <w:lang w:val="fr-FR"/>
        </w:rPr>
        <w:t>’</w:t>
      </w:r>
      <w:r w:rsidR="00CA0E1D"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politiques, en poursuivant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travaux s</w:t>
      </w:r>
      <w:r w:rsidR="00FA5ADB">
        <w:rPr>
          <w:lang w:val="fr-FR"/>
        </w:rPr>
        <w:t>’</w:t>
      </w:r>
      <w:r w:rsidRPr="003F3120">
        <w:rPr>
          <w:lang w:val="fr-FR"/>
        </w:rPr>
        <w:t>appuyant sur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méthodologique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divers modes de conceptualisation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multiples valeurs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nature et de ses contributions, dont font partie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fonctions et services assurés par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écosystèmes. </w:t>
      </w:r>
    </w:p>
    <w:p w14:paraId="68DA559E" w14:textId="16CCBDA9" w:rsidR="001609F3" w:rsidRPr="003F3120" w:rsidRDefault="008D559F" w:rsidP="00ED6939">
      <w:pPr>
        <w:pStyle w:val="Normalnumber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t>Objectif </w:t>
      </w:r>
      <w:r w:rsidR="000D727B" w:rsidRPr="003F3120">
        <w:rPr>
          <w:b/>
          <w:lang w:val="fr-FR"/>
        </w:rPr>
        <w:t>5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ED6939">
        <w:rPr>
          <w:b/>
          <w:lang w:val="fr-FR"/>
        </w:rPr>
        <w:t>r</w:t>
      </w:r>
      <w:r w:rsidR="001609F3" w:rsidRPr="003F3120">
        <w:rPr>
          <w:b/>
          <w:lang w:val="fr-FR"/>
        </w:rPr>
        <w:t>enforcer</w:t>
      </w:r>
      <w:r w:rsidR="007031E0">
        <w:rPr>
          <w:b/>
          <w:lang w:val="fr-FR"/>
        </w:rPr>
        <w:t xml:space="preserve"> la </w:t>
      </w:r>
      <w:r w:rsidR="001609F3" w:rsidRPr="003F3120">
        <w:rPr>
          <w:b/>
          <w:lang w:val="fr-FR"/>
        </w:rPr>
        <w:t>communication et</w:t>
      </w:r>
      <w:r w:rsidR="007031E0">
        <w:rPr>
          <w:b/>
          <w:lang w:val="fr-FR"/>
        </w:rPr>
        <w:t xml:space="preserve"> la </w:t>
      </w:r>
      <w:r w:rsidR="000C25F6">
        <w:rPr>
          <w:b/>
          <w:lang w:val="fr-FR"/>
        </w:rPr>
        <w:t>participation</w:t>
      </w:r>
      <w:r w:rsidR="00FD5D6A">
        <w:rPr>
          <w:b/>
          <w:lang w:val="fr-FR"/>
        </w:rPr>
        <w:t> :</w:t>
      </w:r>
      <w:r w:rsidR="001609F3" w:rsidRPr="003F3120">
        <w:rPr>
          <w:i/>
          <w:lang w:val="fr-FR"/>
        </w:rPr>
        <w:t xml:space="preserve"> Renforcer</w:t>
      </w:r>
      <w:r w:rsidR="007031E0">
        <w:rPr>
          <w:i/>
          <w:lang w:val="fr-FR"/>
        </w:rPr>
        <w:t xml:space="preserve"> la </w:t>
      </w:r>
      <w:r w:rsidR="000C25F6">
        <w:rPr>
          <w:i/>
          <w:lang w:val="fr-FR"/>
        </w:rPr>
        <w:t>participation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>membres et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>parties prenantes et accroître</w:t>
      </w:r>
      <w:r w:rsidR="007031E0">
        <w:rPr>
          <w:i/>
          <w:lang w:val="fr-FR"/>
        </w:rPr>
        <w:t xml:space="preserve"> la </w:t>
      </w:r>
      <w:r w:rsidR="001609F3" w:rsidRPr="003F3120">
        <w:rPr>
          <w:i/>
          <w:lang w:val="fr-FR"/>
        </w:rPr>
        <w:t>visibilité et l</w:t>
      </w:r>
      <w:r w:rsidR="00FA5ADB">
        <w:rPr>
          <w:i/>
          <w:lang w:val="fr-FR"/>
        </w:rPr>
        <w:t>’</w:t>
      </w:r>
      <w:r w:rsidR="001609F3" w:rsidRPr="003F3120">
        <w:rPr>
          <w:i/>
          <w:lang w:val="fr-FR"/>
        </w:rPr>
        <w:t>utilisation</w:t>
      </w:r>
      <w:r w:rsidR="007031E0">
        <w:rPr>
          <w:i/>
          <w:lang w:val="fr-FR"/>
        </w:rPr>
        <w:t xml:space="preserve"> des </w:t>
      </w:r>
      <w:r w:rsidR="001609F3" w:rsidRPr="003F3120">
        <w:rPr>
          <w:i/>
          <w:lang w:val="fr-FR"/>
        </w:rPr>
        <w:t>produits</w:t>
      </w:r>
      <w:r w:rsidR="00B13B88">
        <w:rPr>
          <w:i/>
          <w:lang w:val="fr-FR"/>
        </w:rPr>
        <w:t xml:space="preserve"> de</w:t>
      </w:r>
      <w:r w:rsidR="007031E0">
        <w:rPr>
          <w:i/>
          <w:lang w:val="fr-FR"/>
        </w:rPr>
        <w:t xml:space="preserve"> la </w:t>
      </w:r>
      <w:r w:rsidR="00B13B88">
        <w:rPr>
          <w:i/>
          <w:lang w:val="fr-FR"/>
        </w:rPr>
        <w:t>Plateforme</w:t>
      </w:r>
      <w:r w:rsidR="001609F3" w:rsidRPr="003F3120">
        <w:rPr>
          <w:lang w:val="fr-FR"/>
        </w:rPr>
        <w:t>. Cet objectif sera réalisé au moyen</w:t>
      </w:r>
      <w:r w:rsidR="007031E0">
        <w:rPr>
          <w:lang w:val="fr-FR"/>
        </w:rPr>
        <w:t xml:space="preserve"> des </w:t>
      </w:r>
      <w:r w:rsidR="00B13B88">
        <w:rPr>
          <w:lang w:val="fr-FR"/>
        </w:rPr>
        <w:t>éléments</w:t>
      </w:r>
      <w:r w:rsidR="001609F3" w:rsidRPr="003F3120">
        <w:rPr>
          <w:lang w:val="fr-FR"/>
        </w:rPr>
        <w:t xml:space="preserve"> suivants</w:t>
      </w:r>
      <w:r w:rsidR="00FD5D6A">
        <w:rPr>
          <w:lang w:val="fr-FR"/>
        </w:rPr>
        <w:t> :</w:t>
      </w:r>
      <w:r w:rsidR="001609F3" w:rsidRPr="003F3120">
        <w:rPr>
          <w:lang w:val="fr-FR"/>
        </w:rPr>
        <w:t xml:space="preserve"> </w:t>
      </w:r>
    </w:p>
    <w:p w14:paraId="1B137EF1" w14:textId="2B2197FF" w:rsidR="001609F3" w:rsidRPr="003F3120" w:rsidRDefault="001609F3" w:rsidP="00ED6939">
      <w:pPr>
        <w:pStyle w:val="Normalnumber"/>
        <w:numPr>
          <w:ilvl w:val="1"/>
          <w:numId w:val="6"/>
        </w:numPr>
        <w:rPr>
          <w:lang w:val="fr-FR"/>
        </w:rPr>
      </w:pPr>
      <w:r w:rsidRPr="003F3120">
        <w:rPr>
          <w:i/>
          <w:lang w:val="fr-FR" w:eastAsia="en-GB"/>
        </w:rPr>
        <w:t xml:space="preserve">Communication renforcée. </w:t>
      </w:r>
      <w:r w:rsidRPr="003F3120">
        <w:rPr>
          <w:lang w:val="fr-FR" w:eastAsia="en-GB"/>
        </w:rPr>
        <w:t>Cet objectif s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>appuie sur</w:t>
      </w:r>
      <w:r w:rsidR="007031E0">
        <w:rPr>
          <w:lang w:val="fr-FR" w:eastAsia="en-GB"/>
        </w:rPr>
        <w:t xml:space="preserve"> les </w:t>
      </w:r>
      <w:r w:rsidRPr="003F3120">
        <w:rPr>
          <w:lang w:val="fr-FR" w:eastAsia="en-GB"/>
        </w:rPr>
        <w:t xml:space="preserve">travaux </w:t>
      </w:r>
      <w:r w:rsidR="00B13B88">
        <w:rPr>
          <w:lang w:val="fr-FR" w:eastAsia="en-GB"/>
        </w:rPr>
        <w:t>entamés et</w:t>
      </w:r>
      <w:r w:rsidR="007031E0">
        <w:rPr>
          <w:lang w:val="fr-FR" w:eastAsia="en-GB"/>
        </w:rPr>
        <w:t xml:space="preserve"> les </w:t>
      </w:r>
      <w:r w:rsidR="00B13B88">
        <w:rPr>
          <w:lang w:val="fr-FR" w:eastAsia="en-GB"/>
        </w:rPr>
        <w:t>enseignements</w:t>
      </w:r>
      <w:r w:rsidRPr="003F3120">
        <w:rPr>
          <w:lang w:val="fr-FR" w:eastAsia="en-GB"/>
        </w:rPr>
        <w:t xml:space="preserve"> </w:t>
      </w:r>
      <w:r w:rsidR="00B13B88">
        <w:rPr>
          <w:lang w:val="fr-FR" w:eastAsia="en-GB"/>
        </w:rPr>
        <w:t>tirés</w:t>
      </w:r>
      <w:r w:rsidRPr="003F3120">
        <w:rPr>
          <w:lang w:val="fr-FR" w:eastAsia="en-GB"/>
        </w:rPr>
        <w:t xml:space="preserve"> au cours du premier </w:t>
      </w:r>
      <w:r w:rsidRPr="003F3120">
        <w:rPr>
          <w:rFonts w:eastAsia="SimSun"/>
          <w:lang w:val="fr-FR" w:eastAsia="zh-CN"/>
        </w:rPr>
        <w:t>programme de travail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 et il inclut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poursuite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mise en œuvre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stratégie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 en matière de</w:t>
      </w:r>
      <w:r w:rsidRPr="003F3120">
        <w:rPr>
          <w:kern w:val="14"/>
          <w:lang w:val="fr-FR" w:eastAsia="ja-JP"/>
        </w:rPr>
        <w:t xml:space="preserve"> communication et de sensibilisation</w:t>
      </w:r>
      <w:r w:rsidRPr="003F3120">
        <w:rPr>
          <w:rStyle w:val="FootnoteReference"/>
          <w:kern w:val="14"/>
          <w:lang w:val="fr-FR" w:eastAsia="ja-JP"/>
        </w:rPr>
        <w:footnoteReference w:id="24"/>
      </w:r>
      <w:r w:rsidRPr="003F3120">
        <w:rPr>
          <w:kern w:val="14"/>
          <w:lang w:val="fr-FR" w:eastAsia="ja-JP"/>
        </w:rPr>
        <w:t xml:space="preserve"> dans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but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accroître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visibilité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 et de ses produits et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utilisation de ces derniers par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gouvernements et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parties prenantes</w:t>
      </w:r>
      <w:r w:rsidR="00FD5D6A">
        <w:rPr>
          <w:kern w:val="14"/>
          <w:lang w:val="fr-FR" w:eastAsia="ja-JP"/>
        </w:rPr>
        <w:t> ;</w:t>
      </w:r>
    </w:p>
    <w:p w14:paraId="55F9B6A5" w14:textId="1D6154BF" w:rsidR="001609F3" w:rsidRPr="003F3120" w:rsidRDefault="000C25F6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7B76B9">
        <w:rPr>
          <w:i/>
          <w:lang w:val="fr-FR"/>
        </w:rPr>
        <w:lastRenderedPageBreak/>
        <w:t>Participation</w:t>
      </w:r>
      <w:r w:rsidR="00CA0E1D" w:rsidRPr="007B76B9">
        <w:rPr>
          <w:i/>
          <w:lang w:val="fr-FR"/>
        </w:rPr>
        <w:t xml:space="preserve"> renforcée</w:t>
      </w:r>
      <w:r w:rsidR="007031E0">
        <w:rPr>
          <w:i/>
          <w:lang w:val="fr-FR"/>
        </w:rPr>
        <w:t xml:space="preserve"> des </w:t>
      </w:r>
      <w:r w:rsidR="001609F3" w:rsidRPr="007B76B9">
        <w:rPr>
          <w:i/>
          <w:lang w:val="fr-FR"/>
        </w:rPr>
        <w:t>gouvernements.</w:t>
      </w:r>
      <w:r w:rsidR="001609F3" w:rsidRPr="003F3120">
        <w:rPr>
          <w:i/>
          <w:lang w:val="fr-FR" w:eastAsia="en-GB"/>
        </w:rPr>
        <w:t xml:space="preserve"> </w:t>
      </w:r>
      <w:r w:rsidR="001609F3" w:rsidRPr="003F3120">
        <w:rPr>
          <w:lang w:val="fr-FR" w:eastAsia="en-GB"/>
        </w:rPr>
        <w:t>Cet objectif s</w:t>
      </w:r>
      <w:r w:rsidR="00FA5ADB">
        <w:rPr>
          <w:lang w:val="fr-FR" w:eastAsia="en-GB"/>
        </w:rPr>
        <w:t>’</w:t>
      </w:r>
      <w:r w:rsidR="001609F3" w:rsidRPr="003F3120">
        <w:rPr>
          <w:lang w:val="fr-FR" w:eastAsia="en-GB"/>
        </w:rPr>
        <w:t>appuie sur</w:t>
      </w:r>
      <w:r w:rsidR="007031E0">
        <w:rPr>
          <w:lang w:val="fr-FR" w:eastAsia="en-GB"/>
        </w:rPr>
        <w:t xml:space="preserve"> les </w:t>
      </w:r>
      <w:r w:rsidR="001609F3" w:rsidRPr="003F3120">
        <w:rPr>
          <w:lang w:val="fr-FR" w:eastAsia="en-GB"/>
        </w:rPr>
        <w:t xml:space="preserve">travaux </w:t>
      </w:r>
      <w:r w:rsidR="00B13B88">
        <w:rPr>
          <w:lang w:val="fr-FR" w:eastAsia="en-GB"/>
        </w:rPr>
        <w:t>entamés</w:t>
      </w:r>
      <w:r w:rsidR="001609F3" w:rsidRPr="003F3120">
        <w:rPr>
          <w:lang w:val="fr-FR" w:eastAsia="en-GB"/>
        </w:rPr>
        <w:t xml:space="preserve"> et</w:t>
      </w:r>
      <w:r w:rsidR="007031E0">
        <w:rPr>
          <w:lang w:val="fr-FR" w:eastAsia="en-GB"/>
        </w:rPr>
        <w:t xml:space="preserve"> les </w:t>
      </w:r>
      <w:r w:rsidR="001609F3" w:rsidRPr="003F3120">
        <w:rPr>
          <w:lang w:val="fr-FR" w:eastAsia="en-GB"/>
        </w:rPr>
        <w:t>enseignements tirés au cours du dernier programme de travail.</w:t>
      </w:r>
      <w:r w:rsidR="007031E0">
        <w:rPr>
          <w:lang w:val="fr-FR" w:eastAsia="en-GB"/>
        </w:rPr>
        <w:t xml:space="preserve"> La </w:t>
      </w:r>
      <w:r w:rsidR="001609F3" w:rsidRPr="003F3120">
        <w:rPr>
          <w:lang w:val="fr-FR" w:eastAsia="en-GB"/>
        </w:rPr>
        <w:t xml:space="preserve">Plateforme continuera </w:t>
      </w:r>
      <w:r w:rsidR="00CA0E1D" w:rsidRPr="003F3120">
        <w:rPr>
          <w:lang w:val="fr-FR" w:eastAsia="en-GB"/>
        </w:rPr>
        <w:t>d</w:t>
      </w:r>
      <w:r w:rsidR="00FA5ADB">
        <w:rPr>
          <w:lang w:val="fr-FR" w:eastAsia="en-GB"/>
        </w:rPr>
        <w:t>’</w:t>
      </w:r>
      <w:r w:rsidR="00CA0E1D" w:rsidRPr="003F3120">
        <w:rPr>
          <w:lang w:val="fr-FR" w:eastAsia="en-GB"/>
        </w:rPr>
        <w:t>associer</w:t>
      </w:r>
      <w:r w:rsidR="007031E0">
        <w:rPr>
          <w:lang w:val="fr-FR" w:eastAsia="en-GB"/>
        </w:rPr>
        <w:t xml:space="preserve"> les </w:t>
      </w:r>
      <w:r w:rsidR="001609F3" w:rsidRPr="003F3120">
        <w:rPr>
          <w:lang w:val="fr-FR" w:eastAsia="en-GB"/>
        </w:rPr>
        <w:t>gouvernements, notamment en aidant ses</w:t>
      </w:r>
      <w:r w:rsidR="00B13B88">
        <w:rPr>
          <w:lang w:val="fr-FR" w:eastAsia="en-GB"/>
        </w:rPr>
        <w:t xml:space="preserve"> </w:t>
      </w:r>
      <w:r w:rsidR="001609F3" w:rsidRPr="003F3120">
        <w:rPr>
          <w:lang w:val="fr-FR" w:eastAsia="en-GB"/>
        </w:rPr>
        <w:t>correspondants nationaux à adopter ses produits et à mettre en œuvre son programme de travail.</w:t>
      </w:r>
    </w:p>
    <w:p w14:paraId="67E0C2A3" w14:textId="7601BDA3" w:rsidR="001609F3" w:rsidRPr="003F3120" w:rsidRDefault="000C25F6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>
        <w:rPr>
          <w:i/>
          <w:lang w:val="fr-FR" w:eastAsia="en-GB"/>
        </w:rPr>
        <w:t>Participation</w:t>
      </w:r>
      <w:r w:rsidRPr="003F3120">
        <w:rPr>
          <w:i/>
          <w:lang w:val="fr-FR" w:eastAsia="en-GB"/>
        </w:rPr>
        <w:t xml:space="preserve"> </w:t>
      </w:r>
      <w:r w:rsidR="001609F3" w:rsidRPr="003F3120">
        <w:rPr>
          <w:i/>
          <w:lang w:val="fr-FR" w:eastAsia="en-GB"/>
        </w:rPr>
        <w:t>renforcé</w:t>
      </w:r>
      <w:r w:rsidR="00CA0E1D" w:rsidRPr="003F3120">
        <w:rPr>
          <w:i/>
          <w:lang w:val="fr-FR" w:eastAsia="en-GB"/>
        </w:rPr>
        <w:t>e</w:t>
      </w:r>
      <w:r w:rsidR="007031E0">
        <w:rPr>
          <w:i/>
          <w:lang w:val="fr-FR" w:eastAsia="en-GB"/>
        </w:rPr>
        <w:t xml:space="preserve"> des </w:t>
      </w:r>
      <w:r w:rsidR="001609F3" w:rsidRPr="003F3120">
        <w:rPr>
          <w:i/>
          <w:lang w:val="fr-FR" w:eastAsia="en-GB"/>
        </w:rPr>
        <w:t>parties prenantes.</w:t>
      </w:r>
      <w:r w:rsidR="001609F3" w:rsidRPr="003F3120">
        <w:rPr>
          <w:lang w:val="fr-FR" w:eastAsia="en-GB"/>
        </w:rPr>
        <w:t xml:space="preserve"> Cet objectif s</w:t>
      </w:r>
      <w:r w:rsidR="00FA5ADB">
        <w:rPr>
          <w:lang w:val="fr-FR" w:eastAsia="en-GB"/>
        </w:rPr>
        <w:t>’</w:t>
      </w:r>
      <w:r w:rsidR="001609F3" w:rsidRPr="003F3120">
        <w:rPr>
          <w:lang w:val="fr-FR" w:eastAsia="en-GB"/>
        </w:rPr>
        <w:t>appuie sur</w:t>
      </w:r>
      <w:r w:rsidR="007031E0">
        <w:rPr>
          <w:lang w:val="fr-FR" w:eastAsia="en-GB"/>
        </w:rPr>
        <w:t xml:space="preserve"> les </w:t>
      </w:r>
      <w:r w:rsidR="001609F3" w:rsidRPr="003F3120">
        <w:rPr>
          <w:lang w:val="fr-FR" w:eastAsia="en-GB"/>
        </w:rPr>
        <w:t xml:space="preserve">travaux </w:t>
      </w:r>
      <w:r w:rsidR="00B13B88">
        <w:rPr>
          <w:lang w:val="fr-FR" w:eastAsia="en-GB"/>
        </w:rPr>
        <w:t>entamés</w:t>
      </w:r>
      <w:r w:rsidR="001609F3" w:rsidRPr="003F3120">
        <w:rPr>
          <w:lang w:val="fr-FR" w:eastAsia="en-GB"/>
        </w:rPr>
        <w:t xml:space="preserve"> et</w:t>
      </w:r>
      <w:r w:rsidR="007031E0">
        <w:rPr>
          <w:lang w:val="fr-FR" w:eastAsia="en-GB"/>
        </w:rPr>
        <w:t xml:space="preserve"> les </w:t>
      </w:r>
      <w:r w:rsidR="001609F3" w:rsidRPr="003F3120">
        <w:rPr>
          <w:lang w:val="fr-FR" w:eastAsia="en-GB"/>
        </w:rPr>
        <w:t>enseignements tirés au cours du premier programme de travail de</w:t>
      </w:r>
      <w:r w:rsidR="007031E0">
        <w:rPr>
          <w:lang w:val="fr-FR" w:eastAsia="en-GB"/>
        </w:rPr>
        <w:t xml:space="preserve"> la </w:t>
      </w:r>
      <w:r w:rsidR="001609F3" w:rsidRPr="003F3120">
        <w:rPr>
          <w:lang w:val="fr-FR" w:eastAsia="en-GB"/>
        </w:rPr>
        <w:t>Plateforme et il</w:t>
      </w:r>
      <w:r w:rsidR="007B76B9">
        <w:rPr>
          <w:lang w:val="fr-FR" w:eastAsia="en-GB"/>
        </w:rPr>
        <w:t> </w:t>
      </w:r>
      <w:r w:rsidR="001609F3" w:rsidRPr="003F3120">
        <w:rPr>
          <w:lang w:val="fr-FR" w:eastAsia="en-GB"/>
        </w:rPr>
        <w:t>inclut</w:t>
      </w:r>
      <w:r w:rsidR="007031E0">
        <w:rPr>
          <w:lang w:val="fr-FR" w:eastAsia="en-GB"/>
        </w:rPr>
        <w:t xml:space="preserve"> le </w:t>
      </w:r>
      <w:r w:rsidR="001609F3" w:rsidRPr="003F3120">
        <w:rPr>
          <w:lang w:val="fr-FR" w:eastAsia="en-GB"/>
        </w:rPr>
        <w:t>développement et</w:t>
      </w:r>
      <w:r w:rsidR="007031E0">
        <w:rPr>
          <w:lang w:val="fr-FR" w:eastAsia="en-GB"/>
        </w:rPr>
        <w:t xml:space="preserve"> le </w:t>
      </w:r>
      <w:r w:rsidR="001609F3" w:rsidRPr="003F3120">
        <w:rPr>
          <w:lang w:val="fr-FR" w:eastAsia="en-GB"/>
        </w:rPr>
        <w:t>renforcement de</w:t>
      </w:r>
      <w:r w:rsidR="007031E0">
        <w:rPr>
          <w:lang w:val="fr-FR" w:eastAsia="en-GB"/>
        </w:rPr>
        <w:t xml:space="preserve"> la </w:t>
      </w:r>
      <w:r w:rsidR="001609F3" w:rsidRPr="003F3120">
        <w:rPr>
          <w:lang w:val="fr-FR" w:eastAsia="en-GB"/>
        </w:rPr>
        <w:t>mise en œuvre de</w:t>
      </w:r>
      <w:r w:rsidR="007031E0">
        <w:rPr>
          <w:lang w:val="fr-FR" w:eastAsia="en-GB"/>
        </w:rPr>
        <w:t xml:space="preserve"> la </w:t>
      </w:r>
      <w:r w:rsidR="001609F3" w:rsidRPr="003F3120">
        <w:rPr>
          <w:lang w:val="fr-FR" w:eastAsia="en-GB"/>
        </w:rPr>
        <w:t>stratégie de</w:t>
      </w:r>
      <w:r w:rsidR="007031E0">
        <w:rPr>
          <w:lang w:val="fr-FR" w:eastAsia="en-GB"/>
        </w:rPr>
        <w:t xml:space="preserve"> la </w:t>
      </w:r>
      <w:r w:rsidR="001609F3" w:rsidRPr="003F3120">
        <w:rPr>
          <w:lang w:val="fr-FR" w:eastAsia="en-GB"/>
        </w:rPr>
        <w:t>Plateforme concernant l</w:t>
      </w:r>
      <w:r w:rsidR="00FA5ADB">
        <w:rPr>
          <w:lang w:val="fr-FR" w:eastAsia="en-GB"/>
        </w:rPr>
        <w:t>’</w:t>
      </w:r>
      <w:r w:rsidR="001609F3" w:rsidRPr="003F3120">
        <w:rPr>
          <w:lang w:val="fr-FR" w:eastAsia="en-GB"/>
        </w:rPr>
        <w:t>association</w:t>
      </w:r>
      <w:r w:rsidR="007031E0">
        <w:rPr>
          <w:lang w:val="fr-FR" w:eastAsia="en-GB"/>
        </w:rPr>
        <w:t xml:space="preserve"> des </w:t>
      </w:r>
      <w:r w:rsidR="001609F3" w:rsidRPr="003F3120">
        <w:rPr>
          <w:lang w:val="fr-FR" w:eastAsia="en-GB"/>
        </w:rPr>
        <w:t>parties prenantes.</w:t>
      </w:r>
      <w:r w:rsidR="007031E0">
        <w:rPr>
          <w:lang w:val="fr-FR" w:eastAsia="en-GB"/>
        </w:rPr>
        <w:t xml:space="preserve"> La </w:t>
      </w:r>
      <w:r w:rsidR="001609F3" w:rsidRPr="003F3120">
        <w:rPr>
          <w:lang w:val="fr-FR" w:eastAsia="en-GB"/>
        </w:rPr>
        <w:t>Plateforme continuera de dialoguer avec</w:t>
      </w:r>
      <w:r w:rsidR="007031E0">
        <w:rPr>
          <w:lang w:val="fr-FR" w:eastAsia="en-GB"/>
        </w:rPr>
        <w:t xml:space="preserve"> les </w:t>
      </w:r>
      <w:r w:rsidR="001609F3" w:rsidRPr="003F3120">
        <w:rPr>
          <w:lang w:val="fr-FR" w:eastAsia="en-GB"/>
        </w:rPr>
        <w:t>partenaires stratégiques et</w:t>
      </w:r>
      <w:r w:rsidR="007031E0">
        <w:rPr>
          <w:lang w:val="fr-FR" w:eastAsia="en-GB"/>
        </w:rPr>
        <w:t xml:space="preserve"> les </w:t>
      </w:r>
      <w:r w:rsidR="001609F3" w:rsidRPr="003F3120">
        <w:rPr>
          <w:lang w:val="fr-FR" w:eastAsia="en-GB"/>
        </w:rPr>
        <w:t>autres parties prenantes, dont</w:t>
      </w:r>
      <w:r w:rsidR="00FD5D6A">
        <w:rPr>
          <w:lang w:val="fr-FR" w:eastAsia="en-GB"/>
        </w:rPr>
        <w:t> :</w:t>
      </w:r>
      <w:r w:rsidR="001609F3" w:rsidRPr="003F3120">
        <w:rPr>
          <w:lang w:val="fr-FR" w:eastAsia="en-GB"/>
        </w:rPr>
        <w:t xml:space="preserve"> </w:t>
      </w:r>
    </w:p>
    <w:p w14:paraId="3497DA3B" w14:textId="1A12C4D6" w:rsidR="001609F3" w:rsidRPr="003F3120" w:rsidRDefault="001609F3" w:rsidP="00ED6939">
      <w:pPr>
        <w:pStyle w:val="Normalnumber"/>
        <w:numPr>
          <w:ilvl w:val="2"/>
          <w:numId w:val="6"/>
        </w:numPr>
        <w:rPr>
          <w:lang w:val="fr-FR"/>
        </w:rPr>
      </w:pPr>
      <w:r w:rsidRPr="003F3120">
        <w:rPr>
          <w:lang w:val="fr-FR"/>
        </w:rPr>
        <w:t>Le Programme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 Unies pour l</w:t>
      </w:r>
      <w:r w:rsidR="00FA5ADB">
        <w:rPr>
          <w:lang w:val="fr-FR"/>
        </w:rPr>
        <w:t>’</w:t>
      </w:r>
      <w:r w:rsidRPr="003F3120">
        <w:rPr>
          <w:lang w:val="fr-FR"/>
        </w:rPr>
        <w:t>environnement,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Programme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 Unies pour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développement, l</w:t>
      </w:r>
      <w:r w:rsidR="00FA5ADB">
        <w:rPr>
          <w:lang w:val="fr-FR"/>
        </w:rPr>
        <w:t>’</w:t>
      </w:r>
      <w:r w:rsidRPr="003F3120">
        <w:rPr>
          <w:lang w:val="fr-FR"/>
        </w:rPr>
        <w:t>Organisation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 Unies pour l</w:t>
      </w:r>
      <w:r w:rsidR="00FA5ADB">
        <w:rPr>
          <w:lang w:val="fr-FR"/>
        </w:rPr>
        <w:t>’</w:t>
      </w:r>
      <w:r w:rsidRPr="003F3120">
        <w:rPr>
          <w:lang w:val="fr-FR"/>
        </w:rPr>
        <w:t>éducation,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science et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culture, et l</w:t>
      </w:r>
      <w:r w:rsidR="00FA5ADB">
        <w:rPr>
          <w:lang w:val="fr-FR"/>
        </w:rPr>
        <w:t>’</w:t>
      </w:r>
      <w:r w:rsidRPr="003F3120">
        <w:rPr>
          <w:lang w:val="fr-FR"/>
        </w:rPr>
        <w:t>Organisation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 Unies pour l</w:t>
      </w:r>
      <w:r w:rsidR="00FA5ADB">
        <w:rPr>
          <w:lang w:val="fr-FR"/>
        </w:rPr>
        <w:t>’</w:t>
      </w:r>
      <w:r w:rsidRPr="003F3120">
        <w:rPr>
          <w:lang w:val="fr-FR"/>
        </w:rPr>
        <w:t>alimentation et l</w:t>
      </w:r>
      <w:r w:rsidR="00FA5ADB">
        <w:rPr>
          <w:lang w:val="fr-FR"/>
        </w:rPr>
        <w:t>’</w:t>
      </w:r>
      <w:r w:rsidRPr="003F3120">
        <w:rPr>
          <w:lang w:val="fr-FR"/>
        </w:rPr>
        <w:t>agriculture,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contexte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accords de partenariat de collaboration entre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et ces entités</w:t>
      </w:r>
      <w:r w:rsidRPr="003F3120">
        <w:rPr>
          <w:vertAlign w:val="superscript"/>
          <w:lang w:val="fr-FR"/>
        </w:rPr>
        <w:footnoteReference w:id="25"/>
      </w:r>
      <w:r w:rsidR="00FD5D6A">
        <w:rPr>
          <w:lang w:val="fr-FR"/>
        </w:rPr>
        <w:t> ;</w:t>
      </w:r>
    </w:p>
    <w:p w14:paraId="409BDC4E" w14:textId="1F69B847" w:rsidR="001609F3" w:rsidRPr="003F3120" w:rsidRDefault="001609F3" w:rsidP="00ED6939">
      <w:pPr>
        <w:pStyle w:val="Normalnumber"/>
        <w:numPr>
          <w:ilvl w:val="2"/>
          <w:numId w:val="6"/>
        </w:numPr>
        <w:rPr>
          <w:lang w:val="fr-FR"/>
        </w:rPr>
      </w:pPr>
      <w:r w:rsidRPr="003F3120">
        <w:rPr>
          <w:lang w:val="fr-FR"/>
        </w:rPr>
        <w:t>La Convention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diversité biologique,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Convention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conservation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espèces migratrices appartenant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faune sauvage,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Convention relative aux zones humides d</w:t>
      </w:r>
      <w:r w:rsidR="00FA5ADB">
        <w:rPr>
          <w:lang w:val="fr-FR"/>
        </w:rPr>
        <w:t>’</w:t>
      </w:r>
      <w:r w:rsidRPr="003F3120">
        <w:rPr>
          <w:lang w:val="fr-FR"/>
        </w:rPr>
        <w:t>importance internationale, particulièrement comme habitats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oiseaux d</w:t>
      </w:r>
      <w:r w:rsidR="00FA5ADB">
        <w:rPr>
          <w:lang w:val="fr-FR"/>
        </w:rPr>
        <w:t>’</w:t>
      </w:r>
      <w:r w:rsidRPr="003F3120">
        <w:rPr>
          <w:lang w:val="fr-FR"/>
        </w:rPr>
        <w:t>eau,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Convention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commerce international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espèces de</w:t>
      </w:r>
      <w:r w:rsidR="007B76B9">
        <w:rPr>
          <w:lang w:val="fr-FR"/>
        </w:rPr>
        <w:t> </w:t>
      </w:r>
      <w:r w:rsidRPr="003F3120">
        <w:rPr>
          <w:lang w:val="fr-FR"/>
        </w:rPr>
        <w:t>faune et de flore sauvages menacées d</w:t>
      </w:r>
      <w:r w:rsidR="00FA5ADB">
        <w:rPr>
          <w:lang w:val="fr-FR"/>
        </w:rPr>
        <w:t>’</w:t>
      </w:r>
      <w:r w:rsidRPr="003F3120">
        <w:rPr>
          <w:lang w:val="fr-FR"/>
        </w:rPr>
        <w:t>extinction et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Convention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</w:t>
      </w:r>
      <w:r w:rsidR="007B76B9">
        <w:rPr>
          <w:lang w:val="fr-FR"/>
        </w:rPr>
        <w:t> </w:t>
      </w:r>
      <w:r w:rsidRPr="003F3120">
        <w:rPr>
          <w:lang w:val="fr-FR"/>
        </w:rPr>
        <w:t>Unies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lutte contre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désertification dans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pays gravement touchés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sécheresse et/ou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désertification</w:t>
      </w:r>
      <w:r w:rsidRPr="003F3120">
        <w:rPr>
          <w:bCs/>
          <w:lang w:val="fr-FR" w:bidi="en-US"/>
        </w:rPr>
        <w:t>, en particulier en Afrique, dans</w:t>
      </w:r>
      <w:r w:rsidR="007031E0">
        <w:rPr>
          <w:bCs/>
          <w:lang w:val="fr-FR" w:bidi="en-US"/>
        </w:rPr>
        <w:t xml:space="preserve"> le </w:t>
      </w:r>
      <w:r w:rsidRPr="003F3120">
        <w:rPr>
          <w:bCs/>
          <w:lang w:val="fr-FR" w:bidi="en-US"/>
        </w:rPr>
        <w:t>contexte</w:t>
      </w:r>
      <w:r w:rsidR="007031E0">
        <w:rPr>
          <w:bCs/>
          <w:lang w:val="fr-FR" w:bidi="en-US"/>
        </w:rPr>
        <w:t xml:space="preserve"> des </w:t>
      </w:r>
      <w:r w:rsidRPr="003F3120">
        <w:rPr>
          <w:bCs/>
          <w:lang w:val="fr-FR" w:bidi="en-US"/>
        </w:rPr>
        <w:t>mémorandums d</w:t>
      </w:r>
      <w:r w:rsidR="00FA5ADB">
        <w:rPr>
          <w:bCs/>
          <w:lang w:val="fr-FR" w:bidi="en-US"/>
        </w:rPr>
        <w:t>’</w:t>
      </w:r>
      <w:r w:rsidRPr="003F3120">
        <w:rPr>
          <w:bCs/>
          <w:lang w:val="fr-FR" w:bidi="en-US"/>
        </w:rPr>
        <w:t>accord entre</w:t>
      </w:r>
      <w:r w:rsidR="007031E0">
        <w:rPr>
          <w:bCs/>
          <w:lang w:val="fr-FR" w:bidi="en-US"/>
        </w:rPr>
        <w:t xml:space="preserve"> le </w:t>
      </w:r>
      <w:r w:rsidRPr="003F3120">
        <w:rPr>
          <w:bCs/>
          <w:lang w:val="fr-FR" w:bidi="en-US"/>
        </w:rPr>
        <w:t>secrétariat de</w:t>
      </w:r>
      <w:r w:rsidR="007031E0">
        <w:rPr>
          <w:bCs/>
          <w:lang w:val="fr-FR" w:bidi="en-US"/>
        </w:rPr>
        <w:t xml:space="preserve"> la </w:t>
      </w:r>
      <w:r w:rsidRPr="003F3120">
        <w:rPr>
          <w:bCs/>
          <w:lang w:val="fr-FR" w:bidi="en-US"/>
        </w:rPr>
        <w:t>Plateforme et</w:t>
      </w:r>
      <w:r w:rsidR="007031E0">
        <w:rPr>
          <w:bCs/>
          <w:lang w:val="fr-FR" w:bidi="en-US"/>
        </w:rPr>
        <w:t xml:space="preserve"> les </w:t>
      </w:r>
      <w:r w:rsidRPr="003F3120">
        <w:rPr>
          <w:bCs/>
          <w:lang w:val="fr-FR" w:bidi="en-US"/>
        </w:rPr>
        <w:t>secrétariats de ces accords, et</w:t>
      </w:r>
      <w:r w:rsidR="007031E0">
        <w:rPr>
          <w:bCs/>
          <w:lang w:val="fr-FR" w:bidi="en-US"/>
        </w:rPr>
        <w:t xml:space="preserve"> le </w:t>
      </w:r>
      <w:r w:rsidRPr="003F3120">
        <w:rPr>
          <w:bCs/>
          <w:lang w:val="fr-FR" w:bidi="en-US"/>
        </w:rPr>
        <w:t>GIEC</w:t>
      </w:r>
      <w:r w:rsidR="00FD5D6A">
        <w:rPr>
          <w:bCs/>
          <w:lang w:val="fr-FR" w:bidi="en-US"/>
        </w:rPr>
        <w:t> ;</w:t>
      </w:r>
    </w:p>
    <w:p w14:paraId="365F7221" w14:textId="2450A14E" w:rsidR="001609F3" w:rsidRPr="003F3120" w:rsidRDefault="001609F3" w:rsidP="00ED6939">
      <w:pPr>
        <w:pStyle w:val="Normalnumber"/>
        <w:numPr>
          <w:ilvl w:val="2"/>
          <w:numId w:val="6"/>
        </w:numPr>
        <w:rPr>
          <w:lang w:val="fr-FR"/>
        </w:rPr>
      </w:pPr>
      <w:r w:rsidRPr="003F3120">
        <w:rPr>
          <w:lang w:val="fr-FR"/>
        </w:rPr>
        <w:t>Les réseaux autonomes de parties prenantes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Pr="003F3120">
        <w:rPr>
          <w:rStyle w:val="FootnoteReference"/>
          <w:lang w:val="fr-FR"/>
        </w:rPr>
        <w:footnoteReference w:id="26"/>
      </w:r>
      <w:r w:rsidR="00FD5D6A">
        <w:rPr>
          <w:lang w:val="fr-FR"/>
        </w:rPr>
        <w:t> ;</w:t>
      </w:r>
    </w:p>
    <w:p w14:paraId="06AA3502" w14:textId="3084CB23" w:rsidR="001609F3" w:rsidRPr="003F3120" w:rsidRDefault="001609F3" w:rsidP="00ED6939">
      <w:pPr>
        <w:pStyle w:val="Normalnumber"/>
        <w:numPr>
          <w:ilvl w:val="2"/>
          <w:numId w:val="6"/>
        </w:numPr>
        <w:rPr>
          <w:lang w:val="fr-FR"/>
        </w:rPr>
      </w:pPr>
      <w:r w:rsidRPr="003F3120">
        <w:rPr>
          <w:lang w:val="fr-FR"/>
        </w:rPr>
        <w:t>Un petit nombre de partenaires stratégiques, conformément aux orientations concernant l</w:t>
      </w:r>
      <w:r w:rsidR="00FA5ADB">
        <w:rPr>
          <w:lang w:val="fr-FR"/>
        </w:rPr>
        <w:t>’</w:t>
      </w:r>
      <w:r w:rsidRPr="003F3120">
        <w:rPr>
          <w:lang w:val="fr-FR"/>
        </w:rPr>
        <w:t>établissement de partenariats stratégiques et autres accords de collaboration qui sont reproduites d</w:t>
      </w:r>
      <w:r w:rsidR="00C3764A" w:rsidRPr="003F3120">
        <w:rPr>
          <w:lang w:val="fr-FR"/>
        </w:rPr>
        <w:t>ans l</w:t>
      </w:r>
      <w:r w:rsidR="00FA5ADB">
        <w:rPr>
          <w:lang w:val="fr-FR"/>
        </w:rPr>
        <w:t>’</w:t>
      </w:r>
      <w:r w:rsidR="00C3764A" w:rsidRPr="003F3120">
        <w:rPr>
          <w:lang w:val="fr-FR"/>
        </w:rPr>
        <w:t>annexe III de</w:t>
      </w:r>
      <w:r w:rsidR="007031E0">
        <w:rPr>
          <w:lang w:val="fr-FR"/>
        </w:rPr>
        <w:t xml:space="preserve"> la </w:t>
      </w:r>
      <w:r w:rsidR="00C3764A" w:rsidRPr="003F3120">
        <w:rPr>
          <w:lang w:val="fr-FR"/>
        </w:rPr>
        <w:t>décision </w:t>
      </w:r>
      <w:r w:rsidRPr="003F3120">
        <w:rPr>
          <w:lang w:val="fr-FR"/>
        </w:rPr>
        <w:t>IPBES-3/4, reconnus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site Web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="00FD5D6A">
        <w:rPr>
          <w:lang w:val="fr-FR"/>
        </w:rPr>
        <w:t> ;</w:t>
      </w:r>
    </w:p>
    <w:p w14:paraId="4AC0391C" w14:textId="5713198E" w:rsidR="001609F3" w:rsidRPr="003F3120" w:rsidRDefault="001609F3" w:rsidP="00ED6939">
      <w:pPr>
        <w:pStyle w:val="Normalnumber"/>
        <w:numPr>
          <w:ilvl w:val="2"/>
          <w:numId w:val="6"/>
        </w:numPr>
        <w:rPr>
          <w:lang w:val="fr-FR"/>
        </w:rPr>
      </w:pPr>
      <w:r w:rsidRPr="003F3120">
        <w:rPr>
          <w:lang w:val="fr-FR"/>
        </w:rPr>
        <w:t>Un plus grand nombre de collaborateurs soutenant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initiatives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Plateforme, choisis par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 et reconnus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site Web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Plateforme en raison de leurs propres travaux, qui </w:t>
      </w:r>
      <w:r w:rsidR="00CA0E1D" w:rsidRPr="003F3120">
        <w:rPr>
          <w:lang w:val="fr-FR"/>
        </w:rPr>
        <w:t>concourent</w:t>
      </w:r>
      <w:r w:rsidRPr="003F3120">
        <w:rPr>
          <w:lang w:val="fr-FR"/>
        </w:rPr>
        <w:t xml:space="preserve"> à l</w:t>
      </w:r>
      <w:r w:rsidR="00FA5ADB">
        <w:rPr>
          <w:lang w:val="fr-FR"/>
        </w:rPr>
        <w:t>’</w:t>
      </w:r>
      <w:r w:rsidRPr="003F3120">
        <w:rPr>
          <w:lang w:val="fr-FR"/>
        </w:rPr>
        <w:t>objectif global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mise en œuvre du 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 xml:space="preserve">. </w:t>
      </w:r>
    </w:p>
    <w:p w14:paraId="4B5BC787" w14:textId="3F8E516D" w:rsidR="001609F3" w:rsidRPr="003F3120" w:rsidRDefault="00B04344" w:rsidP="00ED6939">
      <w:pPr>
        <w:pStyle w:val="Normalnumber"/>
        <w:numPr>
          <w:ilvl w:val="0"/>
          <w:numId w:val="6"/>
        </w:numPr>
        <w:rPr>
          <w:lang w:val="fr-FR"/>
        </w:rPr>
      </w:pPr>
      <w:r>
        <w:rPr>
          <w:b/>
          <w:lang w:val="fr-FR"/>
        </w:rPr>
        <w:t>Objectif </w:t>
      </w:r>
      <w:r w:rsidR="001609F3" w:rsidRPr="003F3120">
        <w:rPr>
          <w:b/>
          <w:lang w:val="fr-FR"/>
        </w:rPr>
        <w:t>6</w:t>
      </w:r>
      <w:r w:rsidR="00FD5D6A">
        <w:rPr>
          <w:b/>
          <w:lang w:val="fr-FR"/>
        </w:rPr>
        <w:t> :</w:t>
      </w:r>
      <w:r w:rsidR="001609F3" w:rsidRPr="003F3120">
        <w:rPr>
          <w:lang w:val="fr-FR"/>
        </w:rPr>
        <w:t xml:space="preserve"> </w:t>
      </w:r>
      <w:r w:rsidR="001609F3" w:rsidRPr="003F3120">
        <w:rPr>
          <w:b/>
          <w:lang w:val="fr-FR" w:eastAsia="en-GB"/>
        </w:rPr>
        <w:t>enforcer l</w:t>
      </w:r>
      <w:r w:rsidR="00FA5ADB">
        <w:rPr>
          <w:b/>
          <w:lang w:val="fr-FR" w:eastAsia="en-GB"/>
        </w:rPr>
        <w:t>’</w:t>
      </w:r>
      <w:r w:rsidR="001609F3" w:rsidRPr="003F3120">
        <w:rPr>
          <w:b/>
          <w:lang w:val="fr-FR" w:eastAsia="en-GB"/>
        </w:rPr>
        <w:t>efficacité de</w:t>
      </w:r>
      <w:r w:rsidR="007031E0">
        <w:rPr>
          <w:b/>
          <w:lang w:val="fr-FR" w:eastAsia="en-GB"/>
        </w:rPr>
        <w:t xml:space="preserve"> la </w:t>
      </w:r>
      <w:r w:rsidR="001609F3" w:rsidRPr="003F3120">
        <w:rPr>
          <w:b/>
          <w:lang w:val="fr-FR" w:eastAsia="en-GB"/>
        </w:rPr>
        <w:t>Plateforme</w:t>
      </w:r>
      <w:r w:rsidR="00FD5D6A">
        <w:rPr>
          <w:b/>
          <w:lang w:val="fr-FR" w:eastAsia="en-GB"/>
        </w:rPr>
        <w:t> :</w:t>
      </w:r>
      <w:r w:rsidR="001609F3" w:rsidRPr="003F3120">
        <w:rPr>
          <w:i/>
          <w:lang w:val="fr-FR" w:eastAsia="en-GB"/>
        </w:rPr>
        <w:t xml:space="preserve"> Assurer l</w:t>
      </w:r>
      <w:r w:rsidR="00FA5ADB">
        <w:rPr>
          <w:i/>
          <w:lang w:val="fr-FR" w:eastAsia="en-GB"/>
        </w:rPr>
        <w:t>’</w:t>
      </w:r>
      <w:r w:rsidR="001609F3" w:rsidRPr="003F3120">
        <w:rPr>
          <w:i/>
          <w:lang w:val="fr-FR" w:eastAsia="en-GB"/>
        </w:rPr>
        <w:t>évaluation périodique, interne et externe, de l</w:t>
      </w:r>
      <w:r w:rsidR="00FA5ADB">
        <w:rPr>
          <w:i/>
          <w:lang w:val="fr-FR" w:eastAsia="en-GB"/>
        </w:rPr>
        <w:t>’</w:t>
      </w:r>
      <w:r w:rsidR="001609F3" w:rsidRPr="003F3120">
        <w:rPr>
          <w:i/>
          <w:lang w:val="fr-FR" w:eastAsia="en-GB"/>
        </w:rPr>
        <w:t>efficacité de</w:t>
      </w:r>
      <w:r w:rsidR="007031E0">
        <w:rPr>
          <w:i/>
          <w:lang w:val="fr-FR" w:eastAsia="en-GB"/>
        </w:rPr>
        <w:t xml:space="preserve"> la </w:t>
      </w:r>
      <w:r w:rsidR="001609F3" w:rsidRPr="003F3120">
        <w:rPr>
          <w:i/>
          <w:lang w:val="fr-FR" w:eastAsia="en-GB"/>
        </w:rPr>
        <w:t>Plateforme.</w:t>
      </w:r>
      <w:r w:rsidR="001609F3" w:rsidRPr="003F3120">
        <w:rPr>
          <w:lang w:val="fr-FR" w:eastAsia="en-GB"/>
        </w:rPr>
        <w:t xml:space="preserve"> Cet objectif sera atteint de</w:t>
      </w:r>
      <w:r w:rsidR="007031E0">
        <w:rPr>
          <w:lang w:val="fr-FR" w:eastAsia="en-GB"/>
        </w:rPr>
        <w:t xml:space="preserve"> la </w:t>
      </w:r>
      <w:r w:rsidR="001609F3" w:rsidRPr="003F3120">
        <w:rPr>
          <w:lang w:val="fr-FR" w:eastAsia="en-GB"/>
        </w:rPr>
        <w:t>manière suivante</w:t>
      </w:r>
      <w:r w:rsidR="00FD5D6A">
        <w:rPr>
          <w:lang w:val="fr-FR" w:eastAsia="en-GB"/>
        </w:rPr>
        <w:t> :</w:t>
      </w:r>
    </w:p>
    <w:p w14:paraId="1B027683" w14:textId="4D33DE96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i/>
          <w:lang w:val="fr-FR"/>
        </w:rPr>
        <w:t>Évaluation périodique de</w:t>
      </w:r>
      <w:r w:rsidR="007031E0">
        <w:rPr>
          <w:i/>
          <w:lang w:val="fr-FR"/>
        </w:rPr>
        <w:t xml:space="preserve"> la </w:t>
      </w:r>
      <w:r w:rsidRPr="003F3120">
        <w:rPr>
          <w:i/>
          <w:lang w:val="fr-FR"/>
        </w:rPr>
        <w:t>Plateforme</w:t>
      </w:r>
      <w:r w:rsidRPr="003F3120">
        <w:rPr>
          <w:lang w:val="fr-FR"/>
        </w:rPr>
        <w:t>. Cet objectif a pour but de veiller à ce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résultats de l</w:t>
      </w:r>
      <w:r w:rsidR="00FA5ADB">
        <w:rPr>
          <w:lang w:val="fr-FR"/>
        </w:rPr>
        <w:t>’</w:t>
      </w:r>
      <w:r w:rsidRPr="003F3120">
        <w:rPr>
          <w:lang w:val="fr-FR"/>
        </w:rPr>
        <w:t>examen du premier programme de travail informe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mise en œuvre du 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 xml:space="preserve"> et à ce qu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une procédure soit mise en place pour </w:t>
      </w:r>
      <w:r w:rsidR="00B13B88">
        <w:rPr>
          <w:lang w:val="fr-FR"/>
        </w:rPr>
        <w:t>qu</w:t>
      </w:r>
      <w:r w:rsidR="00FA5ADB">
        <w:rPr>
          <w:lang w:val="fr-FR"/>
        </w:rPr>
        <w:t>’</w:t>
      </w:r>
      <w:r w:rsidR="00B13B88">
        <w:rPr>
          <w:lang w:val="fr-FR"/>
        </w:rPr>
        <w:t xml:space="preserve">il soit procédé à </w:t>
      </w:r>
      <w:r w:rsidRPr="003F3120">
        <w:rPr>
          <w:lang w:val="fr-FR"/>
        </w:rPr>
        <w:t>un</w:t>
      </w:r>
      <w:r w:rsidR="00B13B88">
        <w:rPr>
          <w:lang w:val="fr-FR"/>
        </w:rPr>
        <w:t xml:space="preserve"> </w:t>
      </w:r>
      <w:r w:rsidRPr="003F3120">
        <w:rPr>
          <w:lang w:val="fr-FR"/>
        </w:rPr>
        <w:t xml:space="preserve">examen à mi-parcours et </w:t>
      </w:r>
      <w:r w:rsidR="00B13B88">
        <w:rPr>
          <w:lang w:val="fr-FR"/>
        </w:rPr>
        <w:t xml:space="preserve">à </w:t>
      </w:r>
      <w:r w:rsidRPr="003F3120">
        <w:rPr>
          <w:lang w:val="fr-FR"/>
        </w:rPr>
        <w:t>un</w:t>
      </w:r>
      <w:r w:rsidR="00B13B88">
        <w:rPr>
          <w:lang w:val="fr-FR"/>
        </w:rPr>
        <w:t xml:space="preserve"> </w:t>
      </w:r>
      <w:r w:rsidRPr="003F3120">
        <w:rPr>
          <w:lang w:val="fr-FR"/>
        </w:rPr>
        <w:t xml:space="preserve">examen final du 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>.</w:t>
      </w:r>
    </w:p>
    <w:p w14:paraId="48894BB7" w14:textId="1FB81DA1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i/>
          <w:kern w:val="14"/>
          <w:lang w:val="fr-FR" w:eastAsia="ja-JP"/>
        </w:rPr>
        <w:t>Évaluation du cadre conceptuel de</w:t>
      </w:r>
      <w:r w:rsidR="007031E0">
        <w:rPr>
          <w:i/>
          <w:kern w:val="14"/>
          <w:lang w:val="fr-FR" w:eastAsia="ja-JP"/>
        </w:rPr>
        <w:t xml:space="preserve"> la </w:t>
      </w:r>
      <w:r w:rsidRPr="003F3120">
        <w:rPr>
          <w:i/>
          <w:kern w:val="14"/>
          <w:lang w:val="fr-FR" w:eastAsia="ja-JP"/>
        </w:rPr>
        <w:t>Plateforme</w:t>
      </w:r>
      <w:r w:rsidRPr="003F3120">
        <w:rPr>
          <w:kern w:val="14"/>
          <w:lang w:val="fr-FR" w:eastAsia="ja-JP"/>
        </w:rPr>
        <w:t>. Cet objectif a pour but de veiller à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évaluation de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utilisation et de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effet du cadre conceptuel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Plateforme, afin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informer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évolution du programme de travail glissant.</w:t>
      </w:r>
    </w:p>
    <w:p w14:paraId="562A9A4C" w14:textId="2FF0F6EF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i/>
          <w:kern w:val="14"/>
          <w:lang w:val="fr-FR" w:eastAsia="ja-JP"/>
        </w:rPr>
        <w:t>Amélioration de l</w:t>
      </w:r>
      <w:r w:rsidR="00FA5ADB">
        <w:rPr>
          <w:i/>
          <w:kern w:val="14"/>
          <w:lang w:val="fr-FR" w:eastAsia="ja-JP"/>
        </w:rPr>
        <w:t>’</w:t>
      </w:r>
      <w:r w:rsidRPr="003F3120">
        <w:rPr>
          <w:i/>
          <w:kern w:val="14"/>
          <w:lang w:val="fr-FR" w:eastAsia="ja-JP"/>
        </w:rPr>
        <w:t>efficacité du processus d</w:t>
      </w:r>
      <w:r w:rsidR="00FA5ADB">
        <w:rPr>
          <w:i/>
          <w:kern w:val="14"/>
          <w:lang w:val="fr-FR" w:eastAsia="ja-JP"/>
        </w:rPr>
        <w:t>’</w:t>
      </w:r>
      <w:r w:rsidRPr="003F3120">
        <w:rPr>
          <w:i/>
          <w:kern w:val="14"/>
          <w:lang w:val="fr-FR" w:eastAsia="ja-JP"/>
        </w:rPr>
        <w:t>évaluation</w:t>
      </w:r>
      <w:r w:rsidRPr="003F3120">
        <w:rPr>
          <w:kern w:val="14"/>
          <w:lang w:val="fr-FR" w:eastAsia="ja-JP"/>
        </w:rPr>
        <w:t>. Cet objectif a pour but de transmettre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enseignements tirés et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conseils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auteurs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évaluations achevées et de leurs</w:t>
      </w:r>
      <w:r w:rsidR="007B76B9">
        <w:rPr>
          <w:kern w:val="14"/>
          <w:lang w:val="fr-FR" w:eastAsia="ja-JP"/>
        </w:rPr>
        <w:t> </w:t>
      </w:r>
      <w:r w:rsidRPr="003F3120">
        <w:rPr>
          <w:kern w:val="14"/>
          <w:lang w:val="fr-FR" w:eastAsia="ja-JP"/>
        </w:rPr>
        <w:t>autres contributeurs aux personnes qui seront chargées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futures évaluations.</w:t>
      </w:r>
    </w:p>
    <w:p w14:paraId="3B6E4840" w14:textId="77777777" w:rsidR="001609F3" w:rsidRPr="003F3120" w:rsidRDefault="001609F3" w:rsidP="001609F3">
      <w:pPr>
        <w:pStyle w:val="CH2"/>
        <w:rPr>
          <w:lang w:val="fr-FR"/>
        </w:rPr>
      </w:pPr>
      <w:r w:rsidRPr="003F3120">
        <w:rPr>
          <w:lang w:val="fr-FR"/>
        </w:rPr>
        <w:tab/>
        <w:t>C.</w:t>
      </w:r>
      <w:r w:rsidRPr="003F3120">
        <w:rPr>
          <w:lang w:val="fr-FR"/>
        </w:rPr>
        <w:tab/>
        <w:t>Produits issus du premier programme de travail (2014–2018)</w:t>
      </w:r>
    </w:p>
    <w:p w14:paraId="10D695A5" w14:textId="1B592C77" w:rsidR="001609F3" w:rsidRPr="003F3120" w:rsidRDefault="001609F3" w:rsidP="00ED6939">
      <w:pPr>
        <w:pStyle w:val="Normalnumber"/>
        <w:numPr>
          <w:ilvl w:val="0"/>
          <w:numId w:val="6"/>
        </w:numPr>
        <w:rPr>
          <w:lang w:val="fr-FR"/>
        </w:rPr>
      </w:pPr>
      <w:r w:rsidRPr="003F3120">
        <w:rPr>
          <w:lang w:val="fr-FR"/>
        </w:rPr>
        <w:t>Des rapports sur l</w:t>
      </w:r>
      <w:r w:rsidR="00FA5ADB">
        <w:rPr>
          <w:lang w:val="fr-FR"/>
        </w:rPr>
        <w:t>’</w:t>
      </w:r>
      <w:r w:rsidRPr="003F3120">
        <w:rPr>
          <w:lang w:val="fr-FR"/>
        </w:rPr>
        <w:t>évaluation thématique de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 durable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espèces sauvages et de </w:t>
      </w:r>
      <w:r w:rsidRPr="003F3120">
        <w:rPr>
          <w:rFonts w:eastAsia="SimSun"/>
          <w:lang w:val="fr-FR" w:eastAsia="zh-CN"/>
        </w:rPr>
        <w:t>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évaluation</w:t>
      </w:r>
      <w:r w:rsidRPr="003F3120">
        <w:rPr>
          <w:lang w:val="fr-FR"/>
        </w:rPr>
        <w:t xml:space="preserve"> méthodologique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divers modes de conceptualisation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multiples valeurs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nature et de ses bienfaits,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compris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fonctions et services assurés par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écosystèmes, qui intègrent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activités relevant de l</w:t>
      </w:r>
      <w:r w:rsidR="00FA5ADB">
        <w:rPr>
          <w:lang w:val="fr-FR"/>
        </w:rPr>
        <w:t>’</w:t>
      </w:r>
      <w:r w:rsidRPr="003F3120">
        <w:rPr>
          <w:lang w:val="fr-FR"/>
        </w:rPr>
        <w:t>ensemble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fonctions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Plénière </w:t>
      </w:r>
      <w:r w:rsidRPr="003F3120">
        <w:rPr>
          <w:lang w:val="fr-FR"/>
        </w:rPr>
        <w:lastRenderedPageBreak/>
        <w:t>a</w:t>
      </w:r>
      <w:r w:rsidR="006E0890">
        <w:rPr>
          <w:lang w:val="fr-FR"/>
        </w:rPr>
        <w:t> </w:t>
      </w:r>
      <w:r w:rsidRPr="003F3120">
        <w:rPr>
          <w:lang w:val="fr-FR"/>
        </w:rPr>
        <w:t>lancés dans sa décision IPBES-6/1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 xml:space="preserve">cadre du premier programme de travail, </w:t>
      </w:r>
      <w:r w:rsidRPr="003F3120">
        <w:rPr>
          <w:rFonts w:eastAsia="SimSun"/>
          <w:lang w:val="fr-FR" w:eastAsia="zh-CN"/>
        </w:rPr>
        <w:t>seront</w:t>
      </w:r>
      <w:r w:rsidRPr="003F3120">
        <w:rPr>
          <w:lang w:val="fr-FR"/>
        </w:rPr>
        <w:t xml:space="preserve"> établis en</w:t>
      </w:r>
      <w:r w:rsidR="007B76B9">
        <w:rPr>
          <w:lang w:val="fr-FR"/>
        </w:rPr>
        <w:t> </w:t>
      </w:r>
      <w:r w:rsidRPr="003F3120">
        <w:rPr>
          <w:lang w:val="fr-FR"/>
        </w:rPr>
        <w:t>vue d</w:t>
      </w:r>
      <w:r w:rsidR="00FA5ADB">
        <w:rPr>
          <w:lang w:val="fr-FR"/>
        </w:rPr>
        <w:t>’</w:t>
      </w:r>
      <w:r w:rsidRPr="003F3120">
        <w:rPr>
          <w:lang w:val="fr-FR"/>
        </w:rPr>
        <w:t>être examinés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à sa neuvième session.</w:t>
      </w:r>
    </w:p>
    <w:p w14:paraId="13379EFB" w14:textId="0C05C7A2" w:rsidR="001609F3" w:rsidRPr="003F3120" w:rsidRDefault="001609F3" w:rsidP="00ED6939">
      <w:pPr>
        <w:pStyle w:val="Normalnumber"/>
        <w:numPr>
          <w:ilvl w:val="0"/>
          <w:numId w:val="6"/>
        </w:numPr>
        <w:rPr>
          <w:lang w:val="fr-FR"/>
        </w:rPr>
      </w:pPr>
      <w:r w:rsidRPr="003F3120">
        <w:rPr>
          <w:rFonts w:eastAsia="SimSun"/>
          <w:lang w:val="fr-FR" w:eastAsia="zh-CN"/>
        </w:rPr>
        <w:t>Le rapport sur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évaluation thématique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espèces exotiques envahissantes,</w:t>
      </w:r>
      <w:r w:rsidRPr="003F3120">
        <w:rPr>
          <w:lang w:val="fr-FR"/>
        </w:rPr>
        <w:t xml:space="preserve"> qui intègre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activités relevant de l</w:t>
      </w:r>
      <w:r w:rsidR="00FA5ADB">
        <w:rPr>
          <w:lang w:val="fr-FR"/>
        </w:rPr>
        <w:t>’</w:t>
      </w:r>
      <w:r w:rsidRPr="003F3120">
        <w:rPr>
          <w:lang w:val="fr-FR"/>
        </w:rPr>
        <w:t>ensemble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fonctions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</w:t>
      </w:r>
      <w:r w:rsidRPr="003F3120">
        <w:rPr>
          <w:rFonts w:eastAsia="SimSun"/>
          <w:lang w:val="fr-FR" w:eastAsia="zh-CN"/>
        </w:rPr>
        <w:t xml:space="preserve"> </w:t>
      </w:r>
      <w:r w:rsidRPr="003F3120">
        <w:rPr>
          <w:lang w:val="fr-FR"/>
        </w:rPr>
        <w:t>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a également lancé dans sa décision IPBES-6/1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du premier programme de travail, sera établi en vue d</w:t>
      </w:r>
      <w:r w:rsidR="00FA5ADB">
        <w:rPr>
          <w:lang w:val="fr-FR"/>
        </w:rPr>
        <w:t>’</w:t>
      </w:r>
      <w:r w:rsidRPr="003F3120">
        <w:rPr>
          <w:lang w:val="fr-FR"/>
        </w:rPr>
        <w:t>être examiné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à sa neuvième session.</w:t>
      </w:r>
    </w:p>
    <w:p w14:paraId="57DAB3F6" w14:textId="1535A88C" w:rsidR="001609F3" w:rsidRPr="003F3120" w:rsidRDefault="001609F3" w:rsidP="001609F3">
      <w:pPr>
        <w:pStyle w:val="CH2"/>
        <w:rPr>
          <w:b w:val="0"/>
          <w:lang w:val="fr-FR"/>
        </w:rPr>
      </w:pPr>
      <w:r w:rsidRPr="003F3120">
        <w:rPr>
          <w:lang w:val="fr-FR"/>
        </w:rPr>
        <w:tab/>
        <w:t>D.</w:t>
      </w:r>
      <w:r w:rsidRPr="003F3120">
        <w:rPr>
          <w:lang w:val="fr-FR"/>
        </w:rPr>
        <w:tab/>
        <w:t>Calendrier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produits et futurs appels à demandes, contributions et suggestions</w:t>
      </w:r>
    </w:p>
    <w:p w14:paraId="7C36C7B8" w14:textId="2C305000" w:rsidR="001609F3" w:rsidRPr="003F3120" w:rsidRDefault="001609F3" w:rsidP="00ED6939">
      <w:pPr>
        <w:pStyle w:val="Normalnumber"/>
        <w:numPr>
          <w:ilvl w:val="0"/>
          <w:numId w:val="6"/>
        </w:numPr>
        <w:rPr>
          <w:lang w:val="fr-FR"/>
        </w:rPr>
      </w:pPr>
      <w:r w:rsidRPr="003F3120">
        <w:rPr>
          <w:lang w:val="fr-FR" w:eastAsia="en-GB"/>
        </w:rPr>
        <w:t>De nouvelles évaluations seront menées au titre de l</w:t>
      </w:r>
      <w:r w:rsidR="00FA5ADB">
        <w:rPr>
          <w:lang w:val="fr-FR" w:eastAsia="en-GB"/>
        </w:rPr>
        <w:t>’</w:t>
      </w:r>
      <w:r w:rsidR="00121BDC">
        <w:rPr>
          <w:lang w:val="fr-FR" w:eastAsia="en-GB"/>
        </w:rPr>
        <w:t>objectif </w:t>
      </w:r>
      <w:r w:rsidRPr="003F3120">
        <w:rPr>
          <w:lang w:val="fr-FR" w:eastAsia="en-GB"/>
        </w:rPr>
        <w:t>1, conformément aux décisions de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 xml:space="preserve">Plénière et en tenant </w:t>
      </w:r>
      <w:r w:rsidRPr="003F3120">
        <w:rPr>
          <w:rFonts w:eastAsia="SimSun"/>
          <w:lang w:val="fr-FR" w:eastAsia="zh-CN"/>
        </w:rPr>
        <w:t>compte</w:t>
      </w:r>
      <w:r w:rsidRPr="003F3120">
        <w:rPr>
          <w:lang w:val="fr-FR" w:eastAsia="en-GB"/>
        </w:rPr>
        <w:t xml:space="preserve"> du calendrier in</w:t>
      </w:r>
      <w:r w:rsidR="00CA0E1D" w:rsidRPr="003F3120">
        <w:rPr>
          <w:lang w:val="fr-FR" w:eastAsia="en-GB"/>
        </w:rPr>
        <w:t>dicatif présenté dans</w:t>
      </w:r>
      <w:r w:rsidR="007031E0">
        <w:rPr>
          <w:lang w:val="fr-FR" w:eastAsia="en-GB"/>
        </w:rPr>
        <w:t xml:space="preserve"> la </w:t>
      </w:r>
      <w:r w:rsidR="00CA0E1D" w:rsidRPr="003F3120">
        <w:rPr>
          <w:lang w:val="fr-FR" w:eastAsia="en-GB"/>
        </w:rPr>
        <w:t>figure A.2</w:t>
      </w:r>
      <w:r w:rsidRPr="003F3120">
        <w:rPr>
          <w:lang w:val="fr-FR" w:eastAsia="en-GB"/>
        </w:rPr>
        <w:t>.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 xml:space="preserve">Plénière examinera </w:t>
      </w:r>
      <w:r w:rsidRPr="003F3120">
        <w:rPr>
          <w:lang w:val="fr-FR"/>
        </w:rPr>
        <w:t>périodiquement</w:t>
      </w:r>
      <w:r w:rsidR="007031E0">
        <w:rPr>
          <w:lang w:val="fr-FR" w:eastAsia="en-GB"/>
        </w:rPr>
        <w:t xml:space="preserve"> le </w:t>
      </w:r>
      <w:r w:rsidRPr="003F3120">
        <w:rPr>
          <w:lang w:val="fr-FR" w:eastAsia="en-GB"/>
        </w:rPr>
        <w:t>programme de travail et</w:t>
      </w:r>
      <w:r w:rsidR="007031E0">
        <w:rPr>
          <w:lang w:val="fr-FR" w:eastAsia="en-GB"/>
        </w:rPr>
        <w:t xml:space="preserve"> les </w:t>
      </w:r>
      <w:r w:rsidRPr="003F3120">
        <w:rPr>
          <w:lang w:val="fr-FR" w:eastAsia="en-GB"/>
        </w:rPr>
        <w:t xml:space="preserve">demandes, contributions et </w:t>
      </w:r>
      <w:r w:rsidR="00B04344">
        <w:rPr>
          <w:lang w:val="fr-FR" w:eastAsia="en-GB"/>
        </w:rPr>
        <w:t>suggestions, qui </w:t>
      </w:r>
      <w:r w:rsidRPr="003F3120">
        <w:rPr>
          <w:lang w:val="fr-FR" w:eastAsia="en-GB"/>
        </w:rPr>
        <w:t>sont hiérarchi</w:t>
      </w:r>
      <w:r w:rsidR="00C3764A" w:rsidRPr="003F3120">
        <w:rPr>
          <w:lang w:val="fr-FR" w:eastAsia="en-GB"/>
        </w:rPr>
        <w:t>sées conformément à</w:t>
      </w:r>
      <w:r w:rsidR="007031E0">
        <w:rPr>
          <w:lang w:val="fr-FR" w:eastAsia="en-GB"/>
        </w:rPr>
        <w:t xml:space="preserve"> la </w:t>
      </w:r>
      <w:r w:rsidR="00C3764A" w:rsidRPr="003F3120">
        <w:rPr>
          <w:lang w:val="fr-FR" w:eastAsia="en-GB"/>
        </w:rPr>
        <w:t>décision </w:t>
      </w:r>
      <w:r w:rsidRPr="003F3120">
        <w:rPr>
          <w:lang w:val="fr-FR" w:eastAsia="en-GB"/>
        </w:rPr>
        <w:t>IPBES-1/3</w:t>
      </w:r>
      <w:r w:rsidRPr="003F3120">
        <w:rPr>
          <w:lang w:val="fr-FR"/>
        </w:rPr>
        <w:t>.</w:t>
      </w:r>
    </w:p>
    <w:p w14:paraId="6373D4B6" w14:textId="3290D84F" w:rsidR="000B15DB" w:rsidRPr="003F3120" w:rsidRDefault="00777C93" w:rsidP="001609F3">
      <w:pPr>
        <w:pStyle w:val="Titlefigure"/>
        <w:rPr>
          <w:rFonts w:eastAsia="SimSun"/>
          <w:lang w:val="fr-FR" w:eastAsia="zh-CN"/>
        </w:rPr>
      </w:pPr>
      <w:r w:rsidRPr="007B76B9">
        <w:rPr>
          <w:b w:val="0"/>
          <w:lang w:val="fr-FR"/>
        </w:rPr>
        <w:t>Figure </w:t>
      </w:r>
      <w:r w:rsidR="000B15DB" w:rsidRPr="007B76B9">
        <w:rPr>
          <w:b w:val="0"/>
          <w:lang w:val="fr-FR"/>
        </w:rPr>
        <w:t>A.2</w:t>
      </w:r>
      <w:r w:rsidR="007B76B9" w:rsidRPr="007B76B9">
        <w:rPr>
          <w:b w:val="0"/>
          <w:lang w:val="fr-FR"/>
        </w:rPr>
        <w:br/>
      </w:r>
      <w:r w:rsidR="001609F3" w:rsidRPr="003F3120">
        <w:rPr>
          <w:rFonts w:eastAsia="SimSun"/>
          <w:lang w:val="fr-FR" w:eastAsia="zh-CN"/>
        </w:rPr>
        <w:t>Calendrier indicatif</w:t>
      </w:r>
      <w:r w:rsidR="007031E0">
        <w:rPr>
          <w:rFonts w:eastAsia="SimSun"/>
          <w:lang w:val="fr-FR" w:eastAsia="zh-CN"/>
        </w:rPr>
        <w:t xml:space="preserve"> des </w:t>
      </w:r>
      <w:r w:rsidR="001609F3" w:rsidRPr="003F3120">
        <w:rPr>
          <w:rFonts w:eastAsia="SimSun"/>
          <w:lang w:val="fr-FR" w:eastAsia="zh-CN"/>
        </w:rPr>
        <w:t>évaluations initiales jusqu</w:t>
      </w:r>
      <w:r w:rsidR="00FA5ADB">
        <w:rPr>
          <w:rFonts w:eastAsia="SimSun"/>
          <w:lang w:val="fr-FR" w:eastAsia="zh-CN"/>
        </w:rPr>
        <w:t>’</w:t>
      </w:r>
      <w:r w:rsidR="001609F3" w:rsidRPr="003F3120">
        <w:rPr>
          <w:rFonts w:eastAsia="SimSun"/>
          <w:lang w:val="fr-FR" w:eastAsia="zh-CN"/>
        </w:rPr>
        <w:t>en 2030</w:t>
      </w:r>
    </w:p>
    <w:p w14:paraId="6173582D" w14:textId="77777777" w:rsidR="007B76B9" w:rsidRDefault="007B76B9" w:rsidP="007B76B9">
      <w:pPr>
        <w:pStyle w:val="Titlefigure"/>
        <w:ind w:left="0"/>
        <w:rPr>
          <w:rFonts w:eastAsia="SimSun"/>
          <w:b w:val="0"/>
          <w:i/>
          <w:lang w:val="fr-FR" w:eastAsia="zh-CN"/>
        </w:rPr>
      </w:pPr>
      <w:r w:rsidRPr="003F3120">
        <w:rPr>
          <w:noProof/>
          <w:lang w:val="fr-FR" w:eastAsia="fr-FR"/>
        </w:rPr>
        <w:drawing>
          <wp:inline distT="0" distB="0" distL="0" distR="0" wp14:anchorId="4975FA50" wp14:editId="4E10A168">
            <wp:extent cx="6027725" cy="3229661"/>
            <wp:effectExtent l="0" t="0" r="0" b="889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Untitled-1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725" cy="322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8D880" w14:textId="63E1BC0D" w:rsidR="001609F3" w:rsidRPr="007B76B9" w:rsidRDefault="000B15DB" w:rsidP="007B76B9">
      <w:pPr>
        <w:pStyle w:val="Titlefigure"/>
        <w:keepNext w:val="0"/>
        <w:keepLines w:val="0"/>
        <w:rPr>
          <w:b w:val="0"/>
          <w:sz w:val="18"/>
          <w:szCs w:val="18"/>
          <w:lang w:val="fr-FR" w:eastAsia="en-GB"/>
        </w:rPr>
      </w:pPr>
      <w:r w:rsidRPr="007B76B9">
        <w:rPr>
          <w:rFonts w:eastAsia="SimSun"/>
          <w:b w:val="0"/>
          <w:i/>
          <w:sz w:val="18"/>
          <w:szCs w:val="18"/>
          <w:lang w:val="fr-FR" w:eastAsia="zh-CN"/>
        </w:rPr>
        <w:t>Note</w:t>
      </w:r>
      <w:r w:rsidR="00FD5D6A" w:rsidRPr="007B76B9">
        <w:rPr>
          <w:rFonts w:eastAsia="SimSun"/>
          <w:b w:val="0"/>
          <w:i/>
          <w:sz w:val="18"/>
          <w:szCs w:val="18"/>
          <w:lang w:val="fr-FR" w:eastAsia="zh-CN"/>
        </w:rPr>
        <w:t> :</w:t>
      </w:r>
      <w:r w:rsidR="007031E0" w:rsidRPr="006E0890">
        <w:rPr>
          <w:rFonts w:eastAsia="SimSun"/>
          <w:b w:val="0"/>
          <w:sz w:val="18"/>
          <w:szCs w:val="18"/>
          <w:lang w:val="fr-FR" w:eastAsia="zh-CN"/>
        </w:rPr>
        <w:t xml:space="preserve"> le</w:t>
      </w:r>
      <w:r w:rsidR="007031E0">
        <w:rPr>
          <w:rFonts w:eastAsia="SimSun"/>
          <w:sz w:val="18"/>
          <w:szCs w:val="18"/>
          <w:lang w:val="fr-FR" w:eastAsia="zh-CN"/>
        </w:rPr>
        <w:t> </w:t>
      </w:r>
      <w:r w:rsidR="001609F3" w:rsidRPr="007B76B9">
        <w:rPr>
          <w:rFonts w:eastAsia="SimSun"/>
          <w:b w:val="0"/>
          <w:sz w:val="18"/>
          <w:szCs w:val="18"/>
          <w:lang w:val="fr-FR" w:eastAsia="zh-CN"/>
        </w:rPr>
        <w:t>calendrier</w:t>
      </w:r>
      <w:r w:rsidR="007031E0">
        <w:rPr>
          <w:rFonts w:eastAsia="SimSun"/>
          <w:b w:val="0"/>
          <w:sz w:val="18"/>
          <w:szCs w:val="18"/>
          <w:lang w:val="fr-FR" w:eastAsia="zh-CN"/>
        </w:rPr>
        <w:t xml:space="preserve"> des </w:t>
      </w:r>
      <w:r w:rsidR="001609F3" w:rsidRPr="007B76B9">
        <w:rPr>
          <w:rFonts w:eastAsia="SimSun"/>
          <w:b w:val="0"/>
          <w:sz w:val="18"/>
          <w:szCs w:val="18"/>
          <w:lang w:val="fr-FR" w:eastAsia="zh-CN"/>
        </w:rPr>
        <w:t>trois évaluations lancées dans</w:t>
      </w:r>
      <w:r w:rsidR="007031E0">
        <w:rPr>
          <w:rFonts w:eastAsia="SimSun"/>
          <w:b w:val="0"/>
          <w:sz w:val="18"/>
          <w:szCs w:val="18"/>
          <w:lang w:val="fr-FR" w:eastAsia="zh-CN"/>
        </w:rPr>
        <w:t xml:space="preserve"> le </w:t>
      </w:r>
      <w:r w:rsidR="001609F3" w:rsidRPr="007B76B9">
        <w:rPr>
          <w:rFonts w:eastAsia="SimSun"/>
          <w:b w:val="0"/>
          <w:sz w:val="18"/>
          <w:szCs w:val="18"/>
          <w:lang w:val="fr-FR" w:eastAsia="zh-CN"/>
        </w:rPr>
        <w:t xml:space="preserve">cadre du premier </w:t>
      </w:r>
      <w:r w:rsidR="001609F3" w:rsidRPr="007B76B9">
        <w:rPr>
          <w:b w:val="0"/>
          <w:sz w:val="18"/>
          <w:szCs w:val="18"/>
          <w:lang w:val="fr-FR" w:eastAsia="en-GB"/>
        </w:rPr>
        <w:t>programme de travail apparaît en vert</w:t>
      </w:r>
      <w:r w:rsidR="00FD5D6A" w:rsidRPr="007B76B9">
        <w:rPr>
          <w:b w:val="0"/>
          <w:sz w:val="18"/>
          <w:szCs w:val="18"/>
          <w:lang w:val="fr-FR" w:eastAsia="en-GB"/>
        </w:rPr>
        <w:t> ;</w:t>
      </w:r>
      <w:r w:rsidR="007031E0">
        <w:rPr>
          <w:b w:val="0"/>
          <w:sz w:val="18"/>
          <w:szCs w:val="18"/>
          <w:lang w:val="fr-FR" w:eastAsia="en-GB"/>
        </w:rPr>
        <w:t xml:space="preserve"> le </w:t>
      </w:r>
      <w:r w:rsidR="001609F3" w:rsidRPr="007B76B9">
        <w:rPr>
          <w:b w:val="0"/>
          <w:sz w:val="18"/>
          <w:szCs w:val="18"/>
          <w:lang w:val="fr-FR" w:eastAsia="en-GB"/>
        </w:rPr>
        <w:t>calendrier indicatif</w:t>
      </w:r>
      <w:r w:rsidR="007031E0">
        <w:rPr>
          <w:b w:val="0"/>
          <w:sz w:val="18"/>
          <w:szCs w:val="18"/>
          <w:lang w:val="fr-FR" w:eastAsia="en-GB"/>
        </w:rPr>
        <w:t xml:space="preserve"> des </w:t>
      </w:r>
      <w:r w:rsidR="001609F3" w:rsidRPr="007B76B9">
        <w:rPr>
          <w:b w:val="0"/>
          <w:sz w:val="18"/>
          <w:szCs w:val="18"/>
          <w:lang w:val="fr-FR" w:eastAsia="en-GB"/>
        </w:rPr>
        <w:t xml:space="preserve">produits 1 a) à d) du </w:t>
      </w:r>
      <w:r w:rsidR="00F96E46" w:rsidRPr="007B76B9">
        <w:rPr>
          <w:b w:val="0"/>
          <w:sz w:val="18"/>
          <w:szCs w:val="18"/>
          <w:lang w:val="fr-FR" w:eastAsia="en-GB"/>
        </w:rPr>
        <w:t>programme de travail glissant pour</w:t>
      </w:r>
      <w:r w:rsidR="007031E0">
        <w:rPr>
          <w:b w:val="0"/>
          <w:sz w:val="18"/>
          <w:szCs w:val="18"/>
          <w:lang w:val="fr-FR" w:eastAsia="en-GB"/>
        </w:rPr>
        <w:t xml:space="preserve"> la </w:t>
      </w:r>
      <w:r w:rsidR="00F96E46" w:rsidRPr="007B76B9">
        <w:rPr>
          <w:b w:val="0"/>
          <w:sz w:val="18"/>
          <w:szCs w:val="18"/>
          <w:lang w:val="fr-FR" w:eastAsia="en-GB"/>
        </w:rPr>
        <w:t>période allant jusqu</w:t>
      </w:r>
      <w:r w:rsidR="00FA5ADB">
        <w:rPr>
          <w:b w:val="0"/>
          <w:sz w:val="18"/>
          <w:szCs w:val="18"/>
          <w:lang w:val="fr-FR" w:eastAsia="en-GB"/>
        </w:rPr>
        <w:t>’</w:t>
      </w:r>
      <w:r w:rsidR="00F96E46" w:rsidRPr="007B76B9">
        <w:rPr>
          <w:b w:val="0"/>
          <w:sz w:val="18"/>
          <w:szCs w:val="18"/>
          <w:lang w:val="fr-FR" w:eastAsia="en-GB"/>
        </w:rPr>
        <w:t>en 2030</w:t>
      </w:r>
      <w:r w:rsidR="001609F3" w:rsidRPr="007B76B9">
        <w:rPr>
          <w:b w:val="0"/>
          <w:sz w:val="18"/>
          <w:szCs w:val="18"/>
          <w:lang w:val="fr-FR" w:eastAsia="en-GB"/>
        </w:rPr>
        <w:t xml:space="preserve"> apparaît en orang</w:t>
      </w:r>
      <w:r w:rsidR="00CA0E1D" w:rsidRPr="007B76B9">
        <w:rPr>
          <w:b w:val="0"/>
          <w:sz w:val="18"/>
          <w:szCs w:val="18"/>
          <w:lang w:val="fr-FR" w:eastAsia="en-GB"/>
        </w:rPr>
        <w:t>é</w:t>
      </w:r>
      <w:r w:rsidR="001609F3" w:rsidRPr="007B76B9">
        <w:rPr>
          <w:b w:val="0"/>
          <w:sz w:val="18"/>
          <w:szCs w:val="18"/>
          <w:lang w:val="fr-FR" w:eastAsia="en-GB"/>
        </w:rPr>
        <w:t>.</w:t>
      </w:r>
    </w:p>
    <w:p w14:paraId="6C660441" w14:textId="4068901A" w:rsidR="001609F3" w:rsidRPr="003F3120" w:rsidRDefault="001609F3" w:rsidP="00E11AE0">
      <w:pPr>
        <w:pStyle w:val="CH1"/>
        <w:rPr>
          <w:lang w:val="fr-FR"/>
        </w:rPr>
      </w:pPr>
      <w:r w:rsidRPr="003F3120">
        <w:rPr>
          <w:rFonts w:eastAsia="SimSun"/>
          <w:lang w:val="fr-FR"/>
        </w:rPr>
        <w:tab/>
        <w:t>III.</w:t>
      </w:r>
      <w:r w:rsidRPr="003F3120">
        <w:rPr>
          <w:rFonts w:eastAsia="SimSun"/>
          <w:lang w:val="fr-FR"/>
        </w:rPr>
        <w:tab/>
        <w:t>Dispositions institutionnelles pour</w:t>
      </w:r>
      <w:r w:rsidR="007031E0">
        <w:rPr>
          <w:rFonts w:eastAsia="SimSun"/>
          <w:lang w:val="fr-FR"/>
        </w:rPr>
        <w:t xml:space="preserve"> la </w:t>
      </w:r>
      <w:r w:rsidRPr="003F3120">
        <w:rPr>
          <w:rFonts w:eastAsia="SimSun"/>
          <w:lang w:val="fr-FR"/>
        </w:rPr>
        <w:t>mise en œuvre du programme de travail de</w:t>
      </w:r>
      <w:r w:rsidR="007031E0">
        <w:rPr>
          <w:rFonts w:eastAsia="SimSun"/>
          <w:lang w:val="fr-FR"/>
        </w:rPr>
        <w:t xml:space="preserve"> la </w:t>
      </w:r>
      <w:r w:rsidRPr="003F3120">
        <w:rPr>
          <w:rFonts w:eastAsia="SimSun"/>
          <w:lang w:val="fr-FR"/>
        </w:rPr>
        <w:t>Plateforme</w:t>
      </w:r>
    </w:p>
    <w:p w14:paraId="20BE2CB9" w14:textId="51A4420A" w:rsidR="001609F3" w:rsidRPr="003F3120" w:rsidRDefault="001609F3" w:rsidP="00E11AE0">
      <w:pPr>
        <w:pStyle w:val="CH2"/>
        <w:rPr>
          <w:lang w:val="fr-FR"/>
        </w:rPr>
      </w:pPr>
      <w:r w:rsidRPr="003F3120">
        <w:rPr>
          <w:lang w:val="fr-FR"/>
        </w:rPr>
        <w:tab/>
        <w:t>A.</w:t>
      </w:r>
      <w:r w:rsidRPr="003F3120">
        <w:rPr>
          <w:lang w:val="fr-FR"/>
        </w:rPr>
        <w:tab/>
        <w:t xml:space="preserve">Organes </w:t>
      </w:r>
    </w:p>
    <w:p w14:paraId="3AC67978" w14:textId="4FD45239" w:rsidR="001609F3" w:rsidRPr="003F3120" w:rsidRDefault="001609F3" w:rsidP="00ED6939">
      <w:pPr>
        <w:pStyle w:val="Normalnumber"/>
        <w:numPr>
          <w:ilvl w:val="0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>La Plénière,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Bureau,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Groupe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 multidisciplinaire et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secrétariat joueront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rôles essentiels dans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rFonts w:eastAsia="SimSun"/>
          <w:lang w:val="fr-FR" w:eastAsia="zh-CN"/>
        </w:rPr>
        <w:t>mise</w:t>
      </w:r>
      <w:r w:rsidRPr="003F3120">
        <w:rPr>
          <w:kern w:val="14"/>
          <w:lang w:val="fr-FR" w:eastAsia="ja-JP"/>
        </w:rPr>
        <w:t xml:space="preserve"> en œuvre du </w:t>
      </w:r>
      <w:r w:rsidR="00F96E46" w:rsidRPr="003F3120">
        <w:rPr>
          <w:kern w:val="14"/>
          <w:lang w:val="fr-FR" w:eastAsia="ja-JP"/>
        </w:rPr>
        <w:t>programme de travail glissant pour</w:t>
      </w:r>
      <w:r w:rsidR="007031E0">
        <w:rPr>
          <w:kern w:val="14"/>
          <w:lang w:val="fr-FR" w:eastAsia="ja-JP"/>
        </w:rPr>
        <w:t xml:space="preserve"> la </w:t>
      </w:r>
      <w:r w:rsidR="00F96E46" w:rsidRPr="003F3120">
        <w:rPr>
          <w:kern w:val="14"/>
          <w:lang w:val="fr-FR" w:eastAsia="ja-JP"/>
        </w:rPr>
        <w:t>période allant jusqu</w:t>
      </w:r>
      <w:r w:rsidR="00FA5ADB">
        <w:rPr>
          <w:kern w:val="14"/>
          <w:lang w:val="fr-FR" w:eastAsia="ja-JP"/>
        </w:rPr>
        <w:t>’</w:t>
      </w:r>
      <w:r w:rsidR="00F96E46" w:rsidRPr="003F3120">
        <w:rPr>
          <w:kern w:val="14"/>
          <w:lang w:val="fr-FR" w:eastAsia="ja-JP"/>
        </w:rPr>
        <w:t>en</w:t>
      </w:r>
      <w:r w:rsidR="007B76B9">
        <w:rPr>
          <w:kern w:val="14"/>
          <w:lang w:val="fr-FR" w:eastAsia="ja-JP"/>
        </w:rPr>
        <w:t> </w:t>
      </w:r>
      <w:r w:rsidR="00F96E46" w:rsidRPr="003F3120">
        <w:rPr>
          <w:kern w:val="14"/>
          <w:lang w:val="fr-FR" w:eastAsia="ja-JP"/>
        </w:rPr>
        <w:t>2030</w:t>
      </w:r>
      <w:r w:rsidRPr="003F3120">
        <w:rPr>
          <w:kern w:val="14"/>
          <w:lang w:val="fr-FR" w:eastAsia="ja-JP"/>
        </w:rPr>
        <w:t>. Leurs rôles respectifs sont définis dans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 xml:space="preserve">résolution </w:t>
      </w:r>
      <w:r w:rsidR="00DA5AB7">
        <w:rPr>
          <w:kern w:val="14"/>
          <w:lang w:val="fr-FR" w:eastAsia="ja-JP"/>
        </w:rPr>
        <w:t>portant création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</w:t>
      </w:r>
      <w:r w:rsidRPr="003F3120">
        <w:rPr>
          <w:rStyle w:val="FootnoteReference"/>
          <w:kern w:val="14"/>
          <w:lang w:val="fr-FR" w:eastAsia="ja-JP"/>
        </w:rPr>
        <w:footnoteReference w:id="27"/>
      </w:r>
      <w:r w:rsidR="00B04344">
        <w:rPr>
          <w:kern w:val="14"/>
          <w:lang w:val="fr-FR" w:eastAsia="ja-JP"/>
        </w:rPr>
        <w:t>,</w:t>
      </w:r>
      <w:r w:rsidR="007031E0">
        <w:rPr>
          <w:kern w:val="14"/>
          <w:lang w:val="fr-FR" w:eastAsia="ja-JP"/>
        </w:rPr>
        <w:t xml:space="preserve"> le </w:t>
      </w:r>
      <w:r w:rsidR="00DA5AB7">
        <w:rPr>
          <w:kern w:val="14"/>
          <w:lang w:val="fr-FR" w:eastAsia="ja-JP"/>
        </w:rPr>
        <w:t>R</w:t>
      </w:r>
      <w:r w:rsidRPr="003F3120">
        <w:rPr>
          <w:kern w:val="14"/>
          <w:lang w:val="fr-FR" w:eastAsia="ja-JP"/>
        </w:rPr>
        <w:t>èglement intérieur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sessions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Plénière</w:t>
      </w:r>
      <w:r w:rsidRPr="003F3120">
        <w:rPr>
          <w:rStyle w:val="FootnoteReference"/>
          <w:kern w:val="14"/>
          <w:lang w:val="fr-FR" w:eastAsia="ja-JP"/>
        </w:rPr>
        <w:footnoteReference w:id="28"/>
      </w:r>
      <w:r w:rsidRPr="003F3120">
        <w:rPr>
          <w:kern w:val="14"/>
          <w:lang w:val="fr-FR" w:eastAsia="ja-JP"/>
        </w:rPr>
        <w:t xml:space="preserve"> et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procédures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établissement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produits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</w:t>
      </w:r>
      <w:r w:rsidRPr="003F3120">
        <w:rPr>
          <w:rStyle w:val="FootnoteReference"/>
          <w:kern w:val="14"/>
          <w:lang w:val="fr-FR" w:eastAsia="ja-JP"/>
        </w:rPr>
        <w:footnoteReference w:id="29"/>
      </w:r>
      <w:r w:rsidRPr="003F3120">
        <w:rPr>
          <w:kern w:val="14"/>
          <w:lang w:val="fr-FR" w:eastAsia="ja-JP"/>
        </w:rPr>
        <w:t>.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sessions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Plénière continueront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être organisées à</w:t>
      </w:r>
      <w:r w:rsidR="00E11AE0">
        <w:rPr>
          <w:kern w:val="14"/>
          <w:lang w:val="fr-FR" w:eastAsia="ja-JP"/>
        </w:rPr>
        <w:t xml:space="preserve"> une fréquence variant entre 12 </w:t>
      </w:r>
      <w:r w:rsidRPr="003F3120">
        <w:rPr>
          <w:kern w:val="14"/>
          <w:lang w:val="fr-FR" w:eastAsia="ja-JP"/>
        </w:rPr>
        <w:t>et 24 mois, en fonction de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ordre du jour de chaque session (</w:t>
      </w:r>
      <w:r w:rsidR="00DA5AB7">
        <w:rPr>
          <w:kern w:val="14"/>
          <w:lang w:val="fr-FR" w:eastAsia="ja-JP"/>
        </w:rPr>
        <w:t>compte tenu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besoins du programme de travail) et</w:t>
      </w:r>
      <w:r w:rsidR="007031E0">
        <w:rPr>
          <w:kern w:val="14"/>
          <w:lang w:val="fr-FR" w:eastAsia="ja-JP"/>
        </w:rPr>
        <w:t xml:space="preserve"> des </w:t>
      </w:r>
      <w:r w:rsidR="00DA5AB7">
        <w:rPr>
          <w:kern w:val="14"/>
          <w:lang w:val="fr-FR" w:eastAsia="ja-JP"/>
        </w:rPr>
        <w:t>fonds</w:t>
      </w:r>
      <w:r w:rsidRPr="003F3120">
        <w:rPr>
          <w:kern w:val="14"/>
          <w:lang w:val="fr-FR" w:eastAsia="ja-JP"/>
        </w:rPr>
        <w:t xml:space="preserve"> disponible</w:t>
      </w:r>
      <w:r w:rsidR="00DA5AB7">
        <w:rPr>
          <w:kern w:val="14"/>
          <w:lang w:val="fr-FR" w:eastAsia="ja-JP"/>
        </w:rPr>
        <w:t>s</w:t>
      </w:r>
      <w:r w:rsidRPr="003F3120">
        <w:rPr>
          <w:kern w:val="14"/>
          <w:lang w:val="fr-FR" w:eastAsia="ja-JP"/>
        </w:rPr>
        <w:t xml:space="preserve">. </w:t>
      </w:r>
    </w:p>
    <w:p w14:paraId="6B2EB646" w14:textId="0F6C6E88" w:rsidR="001609F3" w:rsidRPr="003F3120" w:rsidRDefault="001609F3" w:rsidP="001609F3">
      <w:pPr>
        <w:pStyle w:val="CH2"/>
        <w:rPr>
          <w:lang w:val="fr-FR"/>
        </w:rPr>
      </w:pPr>
      <w:r w:rsidRPr="003F3120">
        <w:rPr>
          <w:lang w:val="fr-FR"/>
        </w:rPr>
        <w:lastRenderedPageBreak/>
        <w:tab/>
        <w:t>B.</w:t>
      </w:r>
      <w:r w:rsidRPr="003F3120">
        <w:rPr>
          <w:lang w:val="fr-FR"/>
        </w:rPr>
        <w:tab/>
        <w:t>Forums, groupes d</w:t>
      </w:r>
      <w:r w:rsidR="00FA5ADB">
        <w:rPr>
          <w:lang w:val="fr-FR"/>
        </w:rPr>
        <w:t>’</w:t>
      </w:r>
      <w:r w:rsidRPr="003F3120">
        <w:rPr>
          <w:lang w:val="fr-FR"/>
        </w:rPr>
        <w:t>experts, équipes spéciales et groupes d</w:t>
      </w:r>
      <w:r w:rsidR="00FA5ADB">
        <w:rPr>
          <w:lang w:val="fr-FR"/>
        </w:rPr>
        <w:t>’</w:t>
      </w:r>
      <w:r w:rsidRPr="003F3120">
        <w:rPr>
          <w:lang w:val="fr-FR"/>
        </w:rPr>
        <w:t>appui technique</w:t>
      </w:r>
    </w:p>
    <w:p w14:paraId="7A1398C8" w14:textId="17E55170" w:rsidR="001609F3" w:rsidRPr="003F3120" w:rsidRDefault="001609F3" w:rsidP="00ED6939">
      <w:pPr>
        <w:pStyle w:val="Normalnumber"/>
        <w:numPr>
          <w:ilvl w:val="0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 xml:space="preserve">Tout </w:t>
      </w:r>
      <w:r w:rsidRPr="003F3120">
        <w:rPr>
          <w:rFonts w:eastAsia="SimSun"/>
          <w:lang w:val="fr-FR" w:eastAsia="zh-CN"/>
        </w:rPr>
        <w:t>comme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premier programme de travail,</w:t>
      </w:r>
      <w:r w:rsidR="007031E0">
        <w:rPr>
          <w:kern w:val="14"/>
          <w:lang w:val="fr-FR" w:eastAsia="ja-JP"/>
        </w:rPr>
        <w:t xml:space="preserve"> le </w:t>
      </w:r>
      <w:r w:rsidR="00F96E46" w:rsidRPr="003F3120">
        <w:rPr>
          <w:kern w:val="14"/>
          <w:lang w:val="fr-FR" w:eastAsia="ja-JP"/>
        </w:rPr>
        <w:t>programme de travail glissant pour</w:t>
      </w:r>
      <w:r w:rsidR="007031E0">
        <w:rPr>
          <w:kern w:val="14"/>
          <w:lang w:val="fr-FR" w:eastAsia="ja-JP"/>
        </w:rPr>
        <w:t xml:space="preserve"> la </w:t>
      </w:r>
      <w:r w:rsidR="00F96E46" w:rsidRPr="003F3120">
        <w:rPr>
          <w:kern w:val="14"/>
          <w:lang w:val="fr-FR" w:eastAsia="ja-JP"/>
        </w:rPr>
        <w:t>période allant jusqu</w:t>
      </w:r>
      <w:r w:rsidR="00FA5ADB">
        <w:rPr>
          <w:kern w:val="14"/>
          <w:lang w:val="fr-FR" w:eastAsia="ja-JP"/>
        </w:rPr>
        <w:t>’</w:t>
      </w:r>
      <w:r w:rsidR="00F96E46" w:rsidRPr="003F3120">
        <w:rPr>
          <w:kern w:val="14"/>
          <w:lang w:val="fr-FR" w:eastAsia="ja-JP"/>
        </w:rPr>
        <w:t>en 2030</w:t>
      </w:r>
      <w:r w:rsidRPr="003F3120">
        <w:rPr>
          <w:kern w:val="14"/>
          <w:lang w:val="fr-FR" w:eastAsia="ja-JP"/>
        </w:rPr>
        <w:t xml:space="preserve"> sera mis en œuvre avec </w:t>
      </w:r>
      <w:r w:rsidR="00DA5AB7">
        <w:rPr>
          <w:kern w:val="14"/>
          <w:lang w:val="fr-FR" w:eastAsia="ja-JP"/>
        </w:rPr>
        <w:t>l</w:t>
      </w:r>
      <w:r w:rsidR="00FA5ADB">
        <w:rPr>
          <w:kern w:val="14"/>
          <w:lang w:val="fr-FR" w:eastAsia="ja-JP"/>
        </w:rPr>
        <w:t>’</w:t>
      </w:r>
      <w:r w:rsidR="00DA5AB7">
        <w:rPr>
          <w:kern w:val="14"/>
          <w:lang w:val="fr-FR" w:eastAsia="ja-JP"/>
        </w:rPr>
        <w:t>appui</w:t>
      </w:r>
      <w:r w:rsidRPr="003F3120">
        <w:rPr>
          <w:kern w:val="14"/>
          <w:lang w:val="fr-FR" w:eastAsia="ja-JP"/>
        </w:rPr>
        <w:t xml:space="preserve"> du forum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 sur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renforcement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capacités, de groupes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 chargés de tâches spécifiques créés pour une durée déterminée,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 xml:space="preserve">équipes </w:t>
      </w:r>
      <w:r w:rsidRPr="007B76B9">
        <w:rPr>
          <w:lang w:val="fr-FR"/>
        </w:rPr>
        <w:t>spéciales</w:t>
      </w:r>
      <w:r w:rsidRPr="003F3120">
        <w:rPr>
          <w:kern w:val="14"/>
          <w:lang w:val="fr-FR" w:eastAsia="ja-JP"/>
        </w:rPr>
        <w:t>, et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un soutien technique du secrétariat et de groupes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 xml:space="preserve">appui technique. </w:t>
      </w:r>
    </w:p>
    <w:p w14:paraId="5CD92C83" w14:textId="2A3F81F5" w:rsidR="001609F3" w:rsidRPr="003F3120" w:rsidRDefault="001609F3" w:rsidP="00ED6939">
      <w:pPr>
        <w:pStyle w:val="Normalnumber"/>
        <w:numPr>
          <w:ilvl w:val="0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>Le forum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 sur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renforcement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capacités est un moyen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accroître</w:t>
      </w:r>
      <w:r w:rsidR="007031E0">
        <w:rPr>
          <w:kern w:val="14"/>
          <w:lang w:val="fr-FR" w:eastAsia="ja-JP"/>
        </w:rPr>
        <w:t xml:space="preserve"> la </w:t>
      </w:r>
      <w:r w:rsidR="000C25F6">
        <w:rPr>
          <w:kern w:val="14"/>
          <w:lang w:val="fr-FR" w:eastAsia="ja-JP"/>
        </w:rPr>
        <w:t>participation</w:t>
      </w:r>
      <w:r w:rsidRPr="003F3120">
        <w:rPr>
          <w:kern w:val="14"/>
          <w:lang w:val="fr-FR" w:eastAsia="ja-JP"/>
        </w:rPr>
        <w:t xml:space="preserve"> et de faciliter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coopération entre partenaires au service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 xml:space="preserve">mise en œuvre et du développement </w:t>
      </w:r>
      <w:r w:rsidRPr="007B76B9">
        <w:rPr>
          <w:lang w:val="fr-FR"/>
        </w:rPr>
        <w:t>futur</w:t>
      </w:r>
      <w:r w:rsidRPr="003F3120">
        <w:rPr>
          <w:kern w:val="14"/>
          <w:lang w:val="fr-FR" w:eastAsia="ja-JP"/>
        </w:rPr>
        <w:t xml:space="preserve"> du plan glissant en matière de renforcement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capacités.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 xml:space="preserve">travaux </w:t>
      </w:r>
      <w:r w:rsidR="00DA5AB7">
        <w:rPr>
          <w:lang w:val="fr-FR" w:eastAsia="en-GB"/>
        </w:rPr>
        <w:t>menés</w:t>
      </w:r>
      <w:r w:rsidR="00DA5AB7" w:rsidRPr="003F3120">
        <w:rPr>
          <w:kern w:val="14"/>
          <w:lang w:val="fr-FR" w:eastAsia="ja-JP"/>
        </w:rPr>
        <w:t xml:space="preserve"> </w:t>
      </w:r>
      <w:r w:rsidRPr="003F3120">
        <w:rPr>
          <w:kern w:val="14"/>
          <w:lang w:val="fr-FR" w:eastAsia="ja-JP"/>
        </w:rPr>
        <w:t>dans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cadre du forum ont pour but de faire avancer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programmes communs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partenaires et de faciliter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alignement stratégique à long terme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programmes et activités en cours parmi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partenaires.</w:t>
      </w:r>
    </w:p>
    <w:p w14:paraId="128D812C" w14:textId="405FC3B5" w:rsidR="001609F3" w:rsidRPr="003F3120" w:rsidRDefault="001609F3" w:rsidP="00ED6939">
      <w:pPr>
        <w:pStyle w:val="Normalnumber"/>
        <w:numPr>
          <w:ilvl w:val="0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>Des groupes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 xml:space="preserve">experts chargés de tâches spécifiques créés pour une durée déterminée seront établis </w:t>
      </w:r>
      <w:r w:rsidRPr="003F3120">
        <w:rPr>
          <w:rFonts w:eastAsia="SimSun"/>
          <w:lang w:val="fr-FR" w:eastAsia="zh-CN"/>
        </w:rPr>
        <w:t>pour</w:t>
      </w:r>
      <w:r w:rsidRPr="003F3120">
        <w:rPr>
          <w:kern w:val="14"/>
          <w:lang w:val="fr-FR" w:eastAsia="ja-JP"/>
        </w:rPr>
        <w:t xml:space="preserve"> préparer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 xml:space="preserve">évaluations ou documents techniques, conformément aux procédures </w:t>
      </w:r>
      <w:r w:rsidR="00DA5AB7" w:rsidRPr="007B76B9">
        <w:rPr>
          <w:lang w:val="fr-FR"/>
        </w:rPr>
        <w:t>d</w:t>
      </w:r>
      <w:r w:rsidR="00FA5ADB">
        <w:rPr>
          <w:lang w:val="fr-FR"/>
        </w:rPr>
        <w:t>’</w:t>
      </w:r>
      <w:r w:rsidRPr="007B76B9">
        <w:rPr>
          <w:lang w:val="fr-FR"/>
        </w:rPr>
        <w:t>établissement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produits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 énoncées dans l</w:t>
      </w:r>
      <w:r w:rsidR="00FA5ADB">
        <w:rPr>
          <w:kern w:val="14"/>
          <w:lang w:val="fr-FR" w:eastAsia="ja-JP"/>
        </w:rPr>
        <w:t>’</w:t>
      </w:r>
      <w:r w:rsidR="00DA5AB7">
        <w:rPr>
          <w:kern w:val="14"/>
          <w:lang w:val="fr-FR" w:eastAsia="ja-JP"/>
        </w:rPr>
        <w:t>annexe </w:t>
      </w:r>
      <w:r w:rsidRPr="003F3120">
        <w:rPr>
          <w:kern w:val="14"/>
          <w:lang w:val="fr-FR" w:eastAsia="ja-JP"/>
        </w:rPr>
        <w:t xml:space="preserve">I </w:t>
      </w:r>
      <w:r w:rsidR="00DA5AB7">
        <w:rPr>
          <w:kern w:val="14"/>
          <w:lang w:val="fr-FR" w:eastAsia="ja-JP"/>
        </w:rPr>
        <w:t>de</w:t>
      </w:r>
      <w:r w:rsidR="007031E0">
        <w:rPr>
          <w:kern w:val="14"/>
          <w:lang w:val="fr-FR" w:eastAsia="ja-JP"/>
        </w:rPr>
        <w:t xml:space="preserve"> la </w:t>
      </w:r>
      <w:r w:rsidR="00DA5AB7">
        <w:rPr>
          <w:kern w:val="14"/>
          <w:lang w:val="fr-FR" w:eastAsia="ja-JP"/>
        </w:rPr>
        <w:t>décision </w:t>
      </w:r>
      <w:r w:rsidR="00B04344">
        <w:rPr>
          <w:kern w:val="14"/>
          <w:lang w:val="fr-FR" w:eastAsia="ja-JP"/>
        </w:rPr>
        <w:t>IPBES-3/3, et </w:t>
      </w:r>
      <w:r w:rsidRPr="003F3120">
        <w:rPr>
          <w:kern w:val="14"/>
          <w:lang w:val="fr-FR" w:eastAsia="ja-JP"/>
        </w:rPr>
        <w:t>comprendront</w:t>
      </w:r>
      <w:r w:rsidR="00FD5D6A">
        <w:rPr>
          <w:kern w:val="14"/>
          <w:lang w:val="fr-FR" w:eastAsia="ja-JP"/>
        </w:rPr>
        <w:t> :</w:t>
      </w:r>
      <w:r w:rsidRPr="003F3120">
        <w:rPr>
          <w:kern w:val="14"/>
          <w:lang w:val="fr-FR" w:eastAsia="ja-JP"/>
        </w:rPr>
        <w:t xml:space="preserve"> </w:t>
      </w:r>
    </w:p>
    <w:p w14:paraId="59A137D2" w14:textId="17FD7422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>Des groupes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 chargés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établir un rapport de cadrage. Ces groupes seront composés de scientifiques de toutes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disciplines pertinentes,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savoirs autochtones et locaux et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 en savoirs autochtones et locaux</w:t>
      </w:r>
      <w:r w:rsidRPr="003F3120">
        <w:rPr>
          <w:rStyle w:val="FootnoteReference"/>
          <w:kern w:val="14"/>
          <w:lang w:val="fr-FR" w:eastAsia="ja-JP"/>
        </w:rPr>
        <w:footnoteReference w:id="30"/>
      </w:r>
      <w:r w:rsidRPr="003F3120">
        <w:rPr>
          <w:kern w:val="14"/>
          <w:lang w:val="fr-FR" w:eastAsia="ja-JP"/>
        </w:rPr>
        <w:t>, de praticiens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 xml:space="preserve">politiques </w:t>
      </w:r>
      <w:r w:rsidR="00C83C0F">
        <w:rPr>
          <w:kern w:val="14"/>
          <w:lang w:val="fr-FR" w:eastAsia="ja-JP"/>
        </w:rPr>
        <w:t>tendant à rehausser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pertinence et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crédibilité, et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 de tous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groupes de parties prenantes concernés (par</w:t>
      </w:r>
      <w:r w:rsidR="007B76B9">
        <w:rPr>
          <w:kern w:val="14"/>
          <w:lang w:val="fr-FR" w:eastAsia="ja-JP"/>
        </w:rPr>
        <w:t> </w:t>
      </w:r>
      <w:r w:rsidRPr="003F3120">
        <w:rPr>
          <w:kern w:val="14"/>
          <w:lang w:val="fr-FR" w:eastAsia="ja-JP"/>
        </w:rPr>
        <w:t>ex</w:t>
      </w:r>
      <w:r w:rsidR="00CA0E1D" w:rsidRPr="003F3120">
        <w:rPr>
          <w:kern w:val="14"/>
          <w:lang w:val="fr-FR" w:eastAsia="ja-JP"/>
        </w:rPr>
        <w:t>.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secteur privé et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société civile).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processus de cadrage pourra se faire en partie par</w:t>
      </w:r>
      <w:r w:rsidR="007B76B9">
        <w:rPr>
          <w:kern w:val="14"/>
          <w:lang w:val="fr-FR" w:eastAsia="ja-JP"/>
        </w:rPr>
        <w:t> </w:t>
      </w:r>
      <w:r w:rsidRPr="003F3120">
        <w:rPr>
          <w:kern w:val="14"/>
          <w:lang w:val="fr-FR" w:eastAsia="ja-JP"/>
        </w:rPr>
        <w:t>vidéoconférence de manière à optimiser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nombre et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types de contributions au processus.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gouvernements et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parties prenantes concernées seront de nouveau invités à nommer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experts possédant une expérience pratique de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élaboration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politiques,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programmation de</w:t>
      </w:r>
      <w:r w:rsidR="007B76B9">
        <w:rPr>
          <w:kern w:val="14"/>
          <w:lang w:val="fr-FR" w:eastAsia="ja-JP"/>
        </w:rPr>
        <w:t> </w:t>
      </w:r>
      <w:r w:rsidRPr="003F3120">
        <w:rPr>
          <w:kern w:val="14"/>
          <w:lang w:val="fr-FR" w:eastAsia="ja-JP"/>
        </w:rPr>
        <w:t>recherches et du renforcement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 xml:space="preserve">capacités de manière à </w:t>
      </w:r>
      <w:r w:rsidR="00044BE7">
        <w:rPr>
          <w:kern w:val="14"/>
          <w:lang w:val="fr-FR" w:eastAsia="ja-JP"/>
        </w:rPr>
        <w:t>ce que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 xml:space="preserve">rapport de cadrage </w:t>
      </w:r>
      <w:r w:rsidR="00044BE7">
        <w:rPr>
          <w:kern w:val="14"/>
          <w:lang w:val="fr-FR" w:eastAsia="ja-JP"/>
        </w:rPr>
        <w:t>soit plus utile à</w:t>
      </w:r>
      <w:r w:rsidRPr="003F3120">
        <w:rPr>
          <w:kern w:val="14"/>
          <w:lang w:val="fr-FR" w:eastAsia="ja-JP"/>
        </w:rPr>
        <w:t xml:space="preserve">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élaboration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politiques</w:t>
      </w:r>
      <w:r w:rsidR="00FD5D6A">
        <w:rPr>
          <w:kern w:val="14"/>
          <w:lang w:val="fr-FR" w:eastAsia="ja-JP"/>
        </w:rPr>
        <w:t> ;</w:t>
      </w:r>
      <w:r w:rsidRPr="003F3120">
        <w:rPr>
          <w:kern w:val="14"/>
          <w:lang w:val="fr-FR" w:eastAsia="ja-JP"/>
        </w:rPr>
        <w:t xml:space="preserve"> </w:t>
      </w:r>
    </w:p>
    <w:p w14:paraId="18E74E08" w14:textId="0522C32D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>Des groupes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 chargés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établir un rapport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évaluation.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gouvernements et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parties prenantes concernées seront de nouveau invités à nommer un nombre suffisant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 de toutes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régions,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deux sexes et de disciplines pertinentes, en particulier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sociologues et autres spécialistes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sciences humaines,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responsables politiques et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cadres sur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terrain, ainsi que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experts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savoirs autochtones et locaux et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experts en savoirs autochtones et locaux</w:t>
      </w:r>
      <w:r w:rsidR="00FD5D6A">
        <w:rPr>
          <w:kern w:val="14"/>
          <w:lang w:val="fr-FR" w:eastAsia="ja-JP"/>
        </w:rPr>
        <w:t> ;</w:t>
      </w:r>
    </w:p>
    <w:p w14:paraId="7CA93B1B" w14:textId="5411D0AE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>Des groupes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experts chargés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établir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documents techniques.</w:t>
      </w:r>
    </w:p>
    <w:p w14:paraId="034D6F7A" w14:textId="0CBDD9A1" w:rsidR="001609F3" w:rsidRPr="003F3120" w:rsidRDefault="001609F3" w:rsidP="00ED6939">
      <w:pPr>
        <w:pStyle w:val="Normalnumber"/>
        <w:numPr>
          <w:ilvl w:val="0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 xml:space="preserve">La Plénière </w:t>
      </w:r>
      <w:r w:rsidR="00A133A5">
        <w:rPr>
          <w:kern w:val="14"/>
          <w:lang w:val="fr-FR" w:eastAsia="ja-JP"/>
        </w:rPr>
        <w:t>constituera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 xml:space="preserve">équipes spéciales chargées de tâches spécifiques, créées pour une durée </w:t>
      </w:r>
      <w:r w:rsidRPr="007B76B9">
        <w:rPr>
          <w:lang w:val="fr-FR"/>
        </w:rPr>
        <w:t>déterminée</w:t>
      </w:r>
      <w:r w:rsidRPr="003F3120">
        <w:rPr>
          <w:kern w:val="14"/>
          <w:lang w:val="fr-FR" w:eastAsia="ja-JP"/>
        </w:rPr>
        <w:t>, à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appui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objectifs et produits autres que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évaluations, selon qu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il</w:t>
      </w:r>
      <w:r w:rsidR="007B76B9">
        <w:rPr>
          <w:kern w:val="14"/>
          <w:lang w:val="fr-FR" w:eastAsia="ja-JP"/>
        </w:rPr>
        <w:t> </w:t>
      </w:r>
      <w:r w:rsidRPr="003F3120">
        <w:rPr>
          <w:kern w:val="14"/>
          <w:lang w:val="fr-FR" w:eastAsia="ja-JP"/>
        </w:rPr>
        <w:t xml:space="preserve">convient, et arrêtera leur mandat. </w:t>
      </w:r>
    </w:p>
    <w:p w14:paraId="4CBA47C1" w14:textId="60A21428" w:rsidR="001609F3" w:rsidRPr="003F3120" w:rsidRDefault="001609F3" w:rsidP="00ED6939">
      <w:pPr>
        <w:pStyle w:val="Normalnumber"/>
        <w:numPr>
          <w:ilvl w:val="0"/>
          <w:numId w:val="6"/>
        </w:numPr>
        <w:rPr>
          <w:lang w:val="fr-FR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appui technique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 œuvre du programme de travail sera fourni par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secrétariat, qui, pour certains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objectifs, sera secondé par un groupe d</w:t>
      </w:r>
      <w:r w:rsidR="00FA5ADB">
        <w:rPr>
          <w:lang w:val="fr-FR"/>
        </w:rPr>
        <w:t>’</w:t>
      </w:r>
      <w:r w:rsidRPr="003F3120">
        <w:rPr>
          <w:lang w:val="fr-FR"/>
        </w:rPr>
        <w:t>a</w:t>
      </w:r>
      <w:r w:rsidR="00B04344">
        <w:rPr>
          <w:lang w:val="fr-FR"/>
        </w:rPr>
        <w:t>ppui technique, au besoin. Pour </w:t>
      </w:r>
      <w:r w:rsidRPr="003F3120">
        <w:rPr>
          <w:lang w:val="fr-FR"/>
        </w:rPr>
        <w:t>constituer ces groupes,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secrétariat lancera un appel à contributions sous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forme de volontaires ou d</w:t>
      </w:r>
      <w:r w:rsidR="00FA5ADB">
        <w:rPr>
          <w:lang w:val="fr-FR"/>
        </w:rPr>
        <w:t>’</w:t>
      </w:r>
      <w:r w:rsidRPr="003F3120">
        <w:rPr>
          <w:lang w:val="fr-FR"/>
        </w:rPr>
        <w:t>un appui en nature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gouvernements et autres parties prenantes.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 sélectionnera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institutions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plus compétentes, qui travailleront sous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autorité du Secrétaire exécutif. </w:t>
      </w:r>
    </w:p>
    <w:p w14:paraId="215F85F1" w14:textId="77777777" w:rsidR="001609F3" w:rsidRPr="003F3120" w:rsidRDefault="001609F3" w:rsidP="001609F3">
      <w:pPr>
        <w:pStyle w:val="CH1"/>
        <w:rPr>
          <w:rFonts w:eastAsia="SimSun"/>
          <w:lang w:val="fr-FR"/>
        </w:rPr>
      </w:pPr>
      <w:bookmarkStart w:id="89" w:name="_Hlk531688685"/>
      <w:r w:rsidRPr="003F3120">
        <w:rPr>
          <w:rFonts w:eastAsia="SimSun"/>
          <w:lang w:val="fr-FR"/>
        </w:rPr>
        <w:tab/>
        <w:t>IV.</w:t>
      </w:r>
      <w:r w:rsidRPr="003F3120">
        <w:rPr>
          <w:rFonts w:eastAsia="SimSun"/>
          <w:lang w:val="fr-FR"/>
        </w:rPr>
        <w:tab/>
        <w:t>Budget du programme de travail</w:t>
      </w:r>
      <w:bookmarkEnd w:id="89"/>
    </w:p>
    <w:p w14:paraId="68A23C53" w14:textId="136C6A08" w:rsidR="001609F3" w:rsidRPr="003F3120" w:rsidRDefault="001609F3" w:rsidP="00ED6939">
      <w:pPr>
        <w:pStyle w:val="Normalnumber"/>
        <w:numPr>
          <w:ilvl w:val="0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 xml:space="preserve">Le </w:t>
      </w:r>
      <w:r w:rsidR="00F96E46" w:rsidRPr="003F3120">
        <w:rPr>
          <w:kern w:val="14"/>
          <w:lang w:val="fr-FR" w:eastAsia="ja-JP"/>
        </w:rPr>
        <w:t>programme de travail glissant pour</w:t>
      </w:r>
      <w:r w:rsidR="007031E0">
        <w:rPr>
          <w:kern w:val="14"/>
          <w:lang w:val="fr-FR" w:eastAsia="ja-JP"/>
        </w:rPr>
        <w:t xml:space="preserve"> la </w:t>
      </w:r>
      <w:r w:rsidR="00F96E46" w:rsidRPr="003F3120">
        <w:rPr>
          <w:kern w:val="14"/>
          <w:lang w:val="fr-FR" w:eastAsia="ja-JP"/>
        </w:rPr>
        <w:t>période allant jusqu</w:t>
      </w:r>
      <w:r w:rsidR="00FA5ADB">
        <w:rPr>
          <w:kern w:val="14"/>
          <w:lang w:val="fr-FR" w:eastAsia="ja-JP"/>
        </w:rPr>
        <w:t>’</w:t>
      </w:r>
      <w:r w:rsidR="00F96E46" w:rsidRPr="003F3120">
        <w:rPr>
          <w:kern w:val="14"/>
          <w:lang w:val="fr-FR" w:eastAsia="ja-JP"/>
        </w:rPr>
        <w:t>en 2030</w:t>
      </w:r>
      <w:r w:rsidRPr="003F3120">
        <w:rPr>
          <w:kern w:val="14"/>
          <w:lang w:val="fr-FR" w:eastAsia="ja-JP"/>
        </w:rPr>
        <w:t xml:space="preserve"> s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appuiera sur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poursuite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stratégie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 en matière de mobilisation</w:t>
      </w:r>
      <w:r w:rsidR="0036675E">
        <w:rPr>
          <w:kern w:val="14"/>
          <w:lang w:val="fr-FR" w:eastAsia="ja-JP"/>
        </w:rPr>
        <w:t xml:space="preserve"> de fonds, qui compte sur</w:t>
      </w:r>
      <w:r w:rsidR="007B76B9">
        <w:rPr>
          <w:kern w:val="14"/>
          <w:lang w:val="fr-FR" w:eastAsia="ja-JP"/>
        </w:rPr>
        <w:t> </w:t>
      </w:r>
      <w:r w:rsidR="0036675E">
        <w:rPr>
          <w:kern w:val="14"/>
          <w:lang w:val="fr-FR" w:eastAsia="ja-JP"/>
        </w:rPr>
        <w:t>trois </w:t>
      </w:r>
      <w:r w:rsidRPr="003F3120">
        <w:rPr>
          <w:kern w:val="14"/>
          <w:lang w:val="fr-FR" w:eastAsia="ja-JP"/>
        </w:rPr>
        <w:t>types de ressources</w:t>
      </w:r>
      <w:r w:rsidR="00FD5D6A">
        <w:rPr>
          <w:kern w:val="14"/>
          <w:lang w:val="fr-FR" w:eastAsia="ja-JP"/>
        </w:rPr>
        <w:t> :</w:t>
      </w:r>
      <w:r w:rsidRPr="003F3120">
        <w:rPr>
          <w:kern w:val="14"/>
          <w:lang w:val="fr-FR" w:eastAsia="ja-JP"/>
        </w:rPr>
        <w:t xml:space="preserve"> </w:t>
      </w:r>
    </w:p>
    <w:p w14:paraId="32F12AD3" w14:textId="5FCFC7B8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>Les contributions en espèces au Fonds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affectation spéciale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</w:t>
      </w:r>
      <w:r w:rsidR="00FD5D6A">
        <w:rPr>
          <w:kern w:val="14"/>
          <w:lang w:val="fr-FR" w:eastAsia="ja-JP"/>
        </w:rPr>
        <w:t> ;</w:t>
      </w:r>
      <w:r w:rsidRPr="003F3120">
        <w:rPr>
          <w:kern w:val="14"/>
          <w:lang w:val="fr-FR" w:eastAsia="ja-JP"/>
        </w:rPr>
        <w:t xml:space="preserve"> </w:t>
      </w:r>
    </w:p>
    <w:p w14:paraId="69049EFE" w14:textId="4E8CD643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>Les contributions en nature portant sur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éléments qui seraient autrement imputés sur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Fonds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affectation spéciale, ainsi que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autres activités à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appui du programme de travail,</w:t>
      </w:r>
      <w:r w:rsidR="007031E0">
        <w:rPr>
          <w:kern w:val="14"/>
          <w:lang w:val="fr-FR" w:eastAsia="ja-JP"/>
        </w:rPr>
        <w:t xml:space="preserve"> y </w:t>
      </w:r>
      <w:r w:rsidRPr="003F3120">
        <w:rPr>
          <w:kern w:val="14"/>
          <w:lang w:val="fr-FR" w:eastAsia="ja-JP"/>
        </w:rPr>
        <w:t>compris</w:t>
      </w:r>
      <w:r w:rsidR="007031E0">
        <w:rPr>
          <w:kern w:val="14"/>
          <w:lang w:val="fr-FR" w:eastAsia="ja-JP"/>
        </w:rPr>
        <w:t xml:space="preserve"> le </w:t>
      </w:r>
      <w:r w:rsidRPr="003F3120">
        <w:rPr>
          <w:kern w:val="14"/>
          <w:lang w:val="fr-FR" w:eastAsia="ja-JP"/>
        </w:rPr>
        <w:t>temps et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compétences mis à disposition par</w:t>
      </w:r>
      <w:r w:rsidR="007031E0">
        <w:rPr>
          <w:kern w:val="14"/>
          <w:lang w:val="fr-FR" w:eastAsia="ja-JP"/>
        </w:rPr>
        <w:t xml:space="preserve"> des </w:t>
      </w:r>
      <w:r w:rsidRPr="003F3120">
        <w:rPr>
          <w:kern w:val="14"/>
          <w:lang w:val="fr-FR" w:eastAsia="ja-JP"/>
        </w:rPr>
        <w:t>experts à titre bénévole</w:t>
      </w:r>
      <w:r w:rsidR="00FD5D6A">
        <w:rPr>
          <w:kern w:val="14"/>
          <w:lang w:val="fr-FR" w:eastAsia="ja-JP"/>
        </w:rPr>
        <w:t> ;</w:t>
      </w:r>
    </w:p>
    <w:p w14:paraId="715454E8" w14:textId="2B63B2A4" w:rsidR="001609F3" w:rsidRPr="003F3120" w:rsidRDefault="001609F3" w:rsidP="00ED6939">
      <w:pPr>
        <w:pStyle w:val="Normalnumber"/>
        <w:numPr>
          <w:ilvl w:val="1"/>
          <w:numId w:val="6"/>
        </w:numPr>
        <w:rPr>
          <w:kern w:val="14"/>
          <w:lang w:val="fr-FR" w:eastAsia="ja-JP"/>
        </w:rPr>
      </w:pPr>
      <w:r w:rsidRPr="003F3120">
        <w:rPr>
          <w:kern w:val="14"/>
          <w:lang w:val="fr-FR" w:eastAsia="ja-JP"/>
        </w:rPr>
        <w:t xml:space="preserve">Les activités </w:t>
      </w:r>
      <w:r w:rsidR="00E67850">
        <w:rPr>
          <w:kern w:val="14"/>
          <w:lang w:val="fr-FR" w:eastAsia="ja-JP"/>
        </w:rPr>
        <w:t>en découlant</w:t>
      </w:r>
      <w:r w:rsidRPr="003F3120">
        <w:rPr>
          <w:kern w:val="14"/>
          <w:lang w:val="fr-FR" w:eastAsia="ja-JP"/>
        </w:rPr>
        <w:t xml:space="preserve"> qui contribuent à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réalisation de l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objectif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 xml:space="preserve">Plateforme. </w:t>
      </w:r>
    </w:p>
    <w:p w14:paraId="4B4A31EE" w14:textId="7B726522" w:rsidR="001609F3" w:rsidRPr="003F3120" w:rsidRDefault="001609F3" w:rsidP="006E0890">
      <w:pPr>
        <w:pStyle w:val="Normalnumber"/>
        <w:keepLines/>
        <w:numPr>
          <w:ilvl w:val="0"/>
          <w:numId w:val="6"/>
        </w:numPr>
        <w:rPr>
          <w:rFonts w:eastAsia="SimSun"/>
          <w:lang w:val="fr-FR" w:eastAsia="zh-CN"/>
        </w:rPr>
      </w:pPr>
      <w:r w:rsidRPr="003F3120">
        <w:rPr>
          <w:kern w:val="14"/>
          <w:lang w:val="fr-FR" w:eastAsia="ja-JP"/>
        </w:rPr>
        <w:lastRenderedPageBreak/>
        <w:t>Le budget continuera d</w:t>
      </w:r>
      <w:r w:rsidR="00FA5ADB">
        <w:rPr>
          <w:kern w:val="14"/>
          <w:lang w:val="fr-FR" w:eastAsia="ja-JP"/>
        </w:rPr>
        <w:t>’</w:t>
      </w:r>
      <w:r w:rsidRPr="003F3120">
        <w:rPr>
          <w:kern w:val="14"/>
          <w:lang w:val="fr-FR" w:eastAsia="ja-JP"/>
        </w:rPr>
        <w:t>être structuré en fonction de trois grandes rubriques</w:t>
      </w:r>
      <w:r w:rsidR="00FD5D6A">
        <w:rPr>
          <w:kern w:val="14"/>
          <w:lang w:val="fr-FR" w:eastAsia="ja-JP"/>
        </w:rPr>
        <w:t> :</w:t>
      </w:r>
      <w:r w:rsidRPr="003F3120">
        <w:rPr>
          <w:kern w:val="14"/>
          <w:lang w:val="fr-FR" w:eastAsia="ja-JP"/>
        </w:rPr>
        <w:t xml:space="preserve"> a)</w:t>
      </w:r>
      <w:r w:rsidR="007031E0">
        <w:rPr>
          <w:kern w:val="14"/>
          <w:lang w:val="fr-FR" w:eastAsia="ja-JP"/>
        </w:rPr>
        <w:t xml:space="preserve"> les </w:t>
      </w:r>
      <w:r w:rsidRPr="003F3120">
        <w:rPr>
          <w:kern w:val="14"/>
          <w:lang w:val="fr-FR" w:eastAsia="ja-JP"/>
        </w:rPr>
        <w:t>réunions</w:t>
      </w:r>
      <w:r w:rsidR="007031E0">
        <w:rPr>
          <w:kern w:val="14"/>
          <w:lang w:val="fr-FR" w:eastAsia="ja-JP"/>
        </w:rPr>
        <w:t xml:space="preserve"> des </w:t>
      </w:r>
      <w:r w:rsidRPr="007B76B9">
        <w:rPr>
          <w:lang w:val="fr-FR"/>
        </w:rPr>
        <w:t>organes</w:t>
      </w:r>
      <w:r w:rsidRPr="003F3120">
        <w:rPr>
          <w:kern w:val="14"/>
          <w:lang w:val="fr-FR" w:eastAsia="ja-JP"/>
        </w:rPr>
        <w:t xml:space="preserve"> de</w:t>
      </w:r>
      <w:r w:rsidR="007031E0">
        <w:rPr>
          <w:kern w:val="14"/>
          <w:lang w:val="fr-FR" w:eastAsia="ja-JP"/>
        </w:rPr>
        <w:t xml:space="preserve"> la </w:t>
      </w:r>
      <w:r w:rsidRPr="003F3120">
        <w:rPr>
          <w:kern w:val="14"/>
          <w:lang w:val="fr-FR" w:eastAsia="ja-JP"/>
        </w:rPr>
        <w:t>Plateforme</w:t>
      </w:r>
      <w:r w:rsidR="00FD5D6A">
        <w:rPr>
          <w:kern w:val="14"/>
          <w:lang w:val="fr-FR" w:eastAsia="ja-JP"/>
        </w:rPr>
        <w:t> ;</w:t>
      </w:r>
      <w:r w:rsidRPr="003F3120">
        <w:rPr>
          <w:rFonts w:eastAsia="SimSun"/>
          <w:lang w:val="fr-FR" w:eastAsia="zh-CN"/>
        </w:rPr>
        <w:t xml:space="preserve"> b)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programme de travail</w:t>
      </w:r>
      <w:r w:rsidR="00DB29C8" w:rsidRPr="003F3120">
        <w:rPr>
          <w:rFonts w:eastAsia="SimSun"/>
          <w:lang w:val="fr-FR" w:eastAsia="zh-CN"/>
        </w:rPr>
        <w:t>, conformément à</w:t>
      </w:r>
      <w:r w:rsidR="007031E0">
        <w:rPr>
          <w:rFonts w:eastAsia="SimSun"/>
          <w:lang w:val="fr-FR" w:eastAsia="zh-CN"/>
        </w:rPr>
        <w:t xml:space="preserve"> la </w:t>
      </w:r>
      <w:r w:rsidR="00DB29C8" w:rsidRPr="003F3120">
        <w:rPr>
          <w:rFonts w:eastAsia="SimSun"/>
          <w:lang w:val="fr-FR" w:eastAsia="zh-CN"/>
        </w:rPr>
        <w:t>figure A.1 ci</w:t>
      </w:r>
      <w:r w:rsidR="00DB29C8" w:rsidRPr="003F3120">
        <w:rPr>
          <w:rFonts w:eastAsia="SimSun"/>
          <w:lang w:val="fr-FR" w:eastAsia="zh-CN"/>
        </w:rPr>
        <w:noBreakHyphen/>
        <w:t>dessus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c)</w:t>
      </w:r>
      <w:r w:rsidR="006E0890">
        <w:rPr>
          <w:rFonts w:eastAsia="SimSun"/>
          <w:lang w:val="fr-FR" w:eastAsia="zh-CN"/>
        </w:rPr>
        <w:t> </w:t>
      </w:r>
      <w:r w:rsidR="007031E0">
        <w:rPr>
          <w:rFonts w:eastAsia="SimSun"/>
          <w:lang w:val="fr-FR" w:eastAsia="zh-CN"/>
        </w:rPr>
        <w:t>le </w:t>
      </w:r>
      <w:r w:rsidRPr="003F3120">
        <w:rPr>
          <w:rFonts w:eastAsia="SimSun"/>
          <w:lang w:val="fr-FR" w:eastAsia="zh-CN"/>
        </w:rPr>
        <w:t>secrétariat.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coût annuel moyen de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Plateforme au cours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 xml:space="preserve">cinq prochaines années du </w:t>
      </w:r>
      <w:r w:rsidRPr="003F3120">
        <w:rPr>
          <w:lang w:val="fr-FR"/>
        </w:rPr>
        <w:t>programme</w:t>
      </w:r>
      <w:r w:rsidRPr="003F3120">
        <w:rPr>
          <w:rFonts w:eastAsia="SimSun"/>
          <w:lang w:val="fr-FR" w:eastAsia="zh-CN"/>
        </w:rPr>
        <w:t xml:space="preserve"> de travail est estimé à 8,7 millions de dollars, correspondant approximativement à celui de</w:t>
      </w:r>
      <w:r w:rsidR="006E0890">
        <w:rPr>
          <w:rFonts w:eastAsia="SimSun"/>
          <w:lang w:val="fr-FR" w:eastAsia="zh-CN"/>
        </w:rPr>
        <w:t> </w:t>
      </w:r>
      <w:r w:rsidR="007031E0">
        <w:rPr>
          <w:rFonts w:eastAsia="SimSun"/>
          <w:lang w:val="fr-FR" w:eastAsia="zh-CN"/>
        </w:rPr>
        <w:t>la </w:t>
      </w:r>
      <w:r w:rsidRPr="003F3120">
        <w:rPr>
          <w:rFonts w:eastAsia="SimSun"/>
          <w:lang w:val="fr-FR" w:eastAsia="zh-CN"/>
        </w:rPr>
        <w:t>période 2014</w:t>
      </w:r>
      <w:r w:rsidRPr="003F3120">
        <w:rPr>
          <w:lang w:val="fr-FR"/>
        </w:rPr>
        <w:t>–</w:t>
      </w:r>
      <w:r w:rsidRPr="003F3120">
        <w:rPr>
          <w:rFonts w:eastAsia="SimSun"/>
          <w:lang w:val="fr-FR" w:eastAsia="zh-CN"/>
        </w:rPr>
        <w:t>2018.</w:t>
      </w:r>
    </w:p>
    <w:p w14:paraId="34196EDF" w14:textId="6E8B38FD" w:rsidR="000C5097" w:rsidRPr="003F3120" w:rsidRDefault="000C5097" w:rsidP="004843BC">
      <w:pPr>
        <w:tabs>
          <w:tab w:val="left" w:pos="4082"/>
        </w:tabs>
      </w:pPr>
    </w:p>
    <w:p w14:paraId="753061E9" w14:textId="77777777" w:rsidR="00EB66BF" w:rsidRPr="003F3120" w:rsidRDefault="00EB66BF" w:rsidP="004843BC">
      <w:pPr>
        <w:tabs>
          <w:tab w:val="left" w:pos="4082"/>
        </w:tabs>
        <w:sectPr w:rsidR="00EB66BF" w:rsidRPr="003F3120" w:rsidSect="000C5097">
          <w:headerReference w:type="even" r:id="rId26"/>
          <w:headerReference w:type="default" r:id="rId27"/>
          <w:headerReference w:type="first" r:id="rId28"/>
          <w:footerReference w:type="first" r:id="rId29"/>
          <w:footnotePr>
            <w:numRestart w:val="eachSect"/>
          </w:footnotePr>
          <w:pgSz w:w="11907" w:h="16840" w:code="9"/>
          <w:pgMar w:top="907" w:right="992" w:bottom="1418" w:left="1418" w:header="539" w:footer="975" w:gutter="0"/>
          <w:cols w:space="720"/>
          <w:titlePg/>
          <w:docGrid w:linePitch="360"/>
        </w:sectPr>
      </w:pPr>
    </w:p>
    <w:p w14:paraId="2D48254B" w14:textId="74FFDED1" w:rsidR="004843BC" w:rsidRPr="003F3120" w:rsidRDefault="005C2FB4" w:rsidP="005C2FB4">
      <w:pPr>
        <w:pStyle w:val="ZZAnxheader"/>
      </w:pPr>
      <w:r>
        <w:lastRenderedPageBreak/>
        <w:tab/>
      </w:r>
      <w:r w:rsidR="004843BC" w:rsidRPr="003F3120">
        <w:t>Annex</w:t>
      </w:r>
      <w:r w:rsidR="00BD00A6" w:rsidRPr="003F3120">
        <w:t>e</w:t>
      </w:r>
      <w:r w:rsidR="0036675E">
        <w:t> </w:t>
      </w:r>
      <w:r w:rsidR="004843BC" w:rsidRPr="003F3120">
        <w:t>II</w:t>
      </w:r>
      <w:r w:rsidR="0096430E" w:rsidRPr="003F3120">
        <w:t xml:space="preserve"> </w:t>
      </w:r>
      <w:r w:rsidR="00DB29C8" w:rsidRPr="003F3120">
        <w:t>de</w:t>
      </w:r>
      <w:r w:rsidR="007031E0">
        <w:t xml:space="preserve"> la </w:t>
      </w:r>
      <w:r w:rsidR="00C067BE" w:rsidRPr="003F3120">
        <w:t>d</w:t>
      </w:r>
      <w:r w:rsidR="00DB29C8" w:rsidRPr="003F3120">
        <w:t>é</w:t>
      </w:r>
      <w:r w:rsidR="00C067BE" w:rsidRPr="003F3120">
        <w:t>cision </w:t>
      </w:r>
      <w:r w:rsidR="0096430E" w:rsidRPr="003F3120">
        <w:t>IPBES-7/1</w:t>
      </w:r>
      <w:r w:rsidR="00B91B80" w:rsidRPr="003F3120">
        <w:t xml:space="preserve"> </w:t>
      </w:r>
    </w:p>
    <w:p w14:paraId="78802B87" w14:textId="59E3FE25" w:rsidR="00A53F09" w:rsidRPr="003F3120" w:rsidRDefault="005C2FB4" w:rsidP="005C2FB4">
      <w:pPr>
        <w:pStyle w:val="CH1"/>
      </w:pPr>
      <w:r>
        <w:tab/>
      </w:r>
      <w:r>
        <w:tab/>
      </w:r>
      <w:r w:rsidR="00A53F09" w:rsidRPr="003F3120">
        <w:t>Mandat</w:t>
      </w:r>
      <w:r w:rsidR="007031E0">
        <w:t xml:space="preserve"> des </w:t>
      </w:r>
      <w:r w:rsidR="00A53F09" w:rsidRPr="003F3120">
        <w:t xml:space="preserve">équipes spéciales </w:t>
      </w:r>
      <w:r w:rsidR="00DB29C8" w:rsidRPr="003F3120">
        <w:t>dans</w:t>
      </w:r>
      <w:r w:rsidR="007031E0">
        <w:t xml:space="preserve"> le </w:t>
      </w:r>
      <w:r w:rsidR="00DB29C8" w:rsidRPr="003F3120">
        <w:t>cadre du</w:t>
      </w:r>
      <w:r w:rsidR="00A53F09" w:rsidRPr="003F3120">
        <w:t> </w:t>
      </w:r>
      <w:r w:rsidR="00F96E46" w:rsidRPr="003F3120">
        <w:t>programme de</w:t>
      </w:r>
      <w:r>
        <w:t> </w:t>
      </w:r>
      <w:r w:rsidR="00F96E46" w:rsidRPr="003F3120">
        <w:t>travail glissant pour</w:t>
      </w:r>
      <w:r w:rsidR="007031E0">
        <w:t xml:space="preserve"> la </w:t>
      </w:r>
      <w:r w:rsidR="00F96E46" w:rsidRPr="003F3120">
        <w:t>période allant jusqu</w:t>
      </w:r>
      <w:r w:rsidR="00FA5ADB">
        <w:t>’</w:t>
      </w:r>
      <w:r w:rsidR="00F96E46" w:rsidRPr="003F3120">
        <w:t>en 2030</w:t>
      </w:r>
    </w:p>
    <w:p w14:paraId="6812C4AA" w14:textId="77777777" w:rsidR="00A53F09" w:rsidRPr="003F3120" w:rsidRDefault="00A53F09" w:rsidP="00A53F09">
      <w:pPr>
        <w:pStyle w:val="CH1"/>
        <w:rPr>
          <w:lang w:val="fr-FR"/>
        </w:rPr>
      </w:pPr>
      <w:r w:rsidRPr="003F3120">
        <w:rPr>
          <w:lang w:val="fr-FR"/>
        </w:rPr>
        <w:tab/>
        <w:t>I.</w:t>
      </w:r>
      <w:r w:rsidRPr="003F3120">
        <w:rPr>
          <w:lang w:val="fr-FR"/>
        </w:rPr>
        <w:tab/>
        <w:t>Mandat général</w:t>
      </w:r>
    </w:p>
    <w:p w14:paraId="330F99E1" w14:textId="17BC5342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/>
        </w:rPr>
        <w:t>Dans l</w:t>
      </w:r>
      <w:r w:rsidR="00FA5ADB">
        <w:rPr>
          <w:lang w:val="fr-FR"/>
        </w:rPr>
        <w:t>’</w:t>
      </w:r>
      <w:r w:rsidRPr="003F3120">
        <w:rPr>
          <w:lang w:val="fr-FR"/>
        </w:rPr>
        <w:t>exercice de ses travaux, chaque équipe doit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</w:t>
      </w:r>
    </w:p>
    <w:p w14:paraId="788F2AB2" w14:textId="14946009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/>
        </w:rPr>
      </w:pPr>
      <w:r w:rsidRPr="003F3120">
        <w:rPr>
          <w:lang w:val="fr-FR"/>
        </w:rPr>
        <w:t>Veiller à ce que toutes ses activités s</w:t>
      </w:r>
      <w:r w:rsidR="00FA5ADB">
        <w:rPr>
          <w:lang w:val="fr-FR"/>
        </w:rPr>
        <w:t>’</w:t>
      </w:r>
      <w:r w:rsidRPr="003F3120">
        <w:rPr>
          <w:lang w:val="fr-FR"/>
        </w:rPr>
        <w:t>inspirent de l</w:t>
      </w:r>
      <w:r w:rsidR="00FA5ADB">
        <w:rPr>
          <w:lang w:val="fr-FR"/>
        </w:rPr>
        <w:t>’</w:t>
      </w:r>
      <w:r w:rsidRPr="003F3120">
        <w:rPr>
          <w:lang w:val="fr-FR"/>
        </w:rPr>
        <w:t>expérience acquise,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développent et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complètent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</w:t>
      </w:r>
    </w:p>
    <w:p w14:paraId="2765E654" w14:textId="6D9A1FD7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/>
        </w:rPr>
      </w:pPr>
      <w:r w:rsidRPr="003F3120">
        <w:rPr>
          <w:lang w:val="fr-FR"/>
        </w:rPr>
        <w:t>Mener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activités qui traitent spécifiquement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sujets et objectifs énoncés dans</w:t>
      </w:r>
      <w:r w:rsidR="007031E0">
        <w:rPr>
          <w:lang w:val="fr-FR"/>
        </w:rPr>
        <w:t xml:space="preserve"> le 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>, à l</w:t>
      </w:r>
      <w:r w:rsidR="00FA5ADB">
        <w:rPr>
          <w:lang w:val="fr-FR"/>
        </w:rPr>
        <w:t>’</w:t>
      </w:r>
      <w:r w:rsidRPr="003F3120">
        <w:rPr>
          <w:lang w:val="fr-FR"/>
        </w:rPr>
        <w:t>appui de l</w:t>
      </w:r>
      <w:r w:rsidR="00FA5ADB">
        <w:rPr>
          <w:lang w:val="fr-FR"/>
        </w:rPr>
        <w:t>’</w:t>
      </w:r>
      <w:r w:rsidRPr="003F3120">
        <w:rPr>
          <w:lang w:val="fr-FR"/>
        </w:rPr>
        <w:t>objectif global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quatre fonctions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="00FD5D6A">
        <w:rPr>
          <w:lang w:val="fr-FR"/>
        </w:rPr>
        <w:t> ;</w:t>
      </w:r>
    </w:p>
    <w:p w14:paraId="0B41DB24" w14:textId="37C9100D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/>
        </w:rPr>
      </w:pPr>
      <w:r w:rsidRPr="003F3120">
        <w:rPr>
          <w:lang w:val="fr-FR"/>
        </w:rPr>
        <w:t>Faire régulièrement rapport sur l</w:t>
      </w:r>
      <w:r w:rsidR="00FA5ADB">
        <w:rPr>
          <w:lang w:val="fr-FR"/>
        </w:rPr>
        <w:t>’</w:t>
      </w:r>
      <w:r w:rsidRPr="003F3120">
        <w:rPr>
          <w:lang w:val="fr-FR"/>
        </w:rPr>
        <w:t>état d</w:t>
      </w:r>
      <w:r w:rsidR="00FA5ADB">
        <w:rPr>
          <w:lang w:val="fr-FR"/>
        </w:rPr>
        <w:t>’</w:t>
      </w:r>
      <w:r w:rsidRPr="003F3120">
        <w:rPr>
          <w:lang w:val="fr-FR"/>
        </w:rPr>
        <w:t>avancement de ses activités et, en consultation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Bureau, élaborer et mettre à jour un plan de travail qui définit clairement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échéances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produits au regard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sujets et objectifs pertinents énoncés dans</w:t>
      </w:r>
      <w:r w:rsidR="007031E0">
        <w:rPr>
          <w:lang w:val="fr-FR"/>
        </w:rPr>
        <w:t xml:space="preserve"> le 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>, de sorte que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puisse régulièrement l</w:t>
      </w:r>
      <w:r w:rsidR="00FA5ADB">
        <w:rPr>
          <w:lang w:val="fr-FR"/>
        </w:rPr>
        <w:t>’</w:t>
      </w:r>
      <w:r w:rsidRPr="003F3120">
        <w:rPr>
          <w:lang w:val="fr-FR"/>
        </w:rPr>
        <w:t>examiner</w:t>
      </w:r>
      <w:r w:rsidR="00FD5D6A">
        <w:rPr>
          <w:lang w:val="fr-FR"/>
        </w:rPr>
        <w:t> ;</w:t>
      </w:r>
    </w:p>
    <w:p w14:paraId="7880B783" w14:textId="0E79285A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/>
        </w:rPr>
      </w:pPr>
      <w:r w:rsidRPr="003F3120">
        <w:rPr>
          <w:lang w:val="fr-FR"/>
        </w:rPr>
        <w:t>Conseiller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questions relevant de son mandat, dans tout</w:t>
      </w:r>
      <w:r w:rsidR="007031E0">
        <w:rPr>
          <w:lang w:val="fr-FR"/>
        </w:rPr>
        <w:t xml:space="preserve"> le 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="00FD5D6A">
        <w:rPr>
          <w:lang w:val="fr-FR"/>
        </w:rPr>
        <w:t> ;</w:t>
      </w:r>
    </w:p>
    <w:p w14:paraId="7D0D08B5" w14:textId="03F0FA37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/>
        </w:rPr>
      </w:pPr>
      <w:r w:rsidRPr="003F3120">
        <w:rPr>
          <w:lang w:val="fr-FR"/>
        </w:rPr>
        <w:t>Conseiller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 sur l</w:t>
      </w:r>
      <w:r w:rsidR="00FA5ADB">
        <w:rPr>
          <w:lang w:val="fr-FR"/>
        </w:rPr>
        <w:t>’</w:t>
      </w:r>
      <w:r w:rsidRPr="003F3120">
        <w:rPr>
          <w:lang w:val="fr-FR"/>
        </w:rPr>
        <w:t>identification de nouveaux partenaires stratégiques et de</w:t>
      </w:r>
      <w:r w:rsidR="005C2FB4">
        <w:rPr>
          <w:lang w:val="fr-FR"/>
        </w:rPr>
        <w:t> </w:t>
      </w:r>
      <w:r w:rsidRPr="003F3120">
        <w:rPr>
          <w:lang w:val="fr-FR"/>
        </w:rPr>
        <w:t xml:space="preserve">collaborateurs </w:t>
      </w:r>
      <w:r w:rsidR="00B56E8C">
        <w:rPr>
          <w:lang w:val="fr-FR"/>
        </w:rPr>
        <w:t>appuyant</w:t>
      </w:r>
      <w:r w:rsidRPr="003F3120">
        <w:rPr>
          <w:lang w:val="fr-FR"/>
        </w:rPr>
        <w:t xml:space="preserve"> l</w:t>
      </w:r>
      <w:r w:rsidR="00FA5ADB">
        <w:rPr>
          <w:lang w:val="fr-FR"/>
        </w:rPr>
        <w:t>’</w:t>
      </w:r>
      <w:r w:rsidRPr="003F3120">
        <w:rPr>
          <w:lang w:val="fr-FR"/>
        </w:rPr>
        <w:t>initiative</w:t>
      </w:r>
      <w:r w:rsidRPr="003F3120">
        <w:rPr>
          <w:vertAlign w:val="superscript"/>
          <w:lang w:val="fr-FR"/>
        </w:rPr>
        <w:footnoteReference w:id="31"/>
      </w:r>
      <w:r w:rsidR="00FD5D6A">
        <w:rPr>
          <w:lang w:val="fr-FR"/>
        </w:rPr>
        <w:t> ;</w:t>
      </w:r>
    </w:p>
    <w:p w14:paraId="78140C26" w14:textId="5ECFC064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/>
        </w:rPr>
      </w:pPr>
      <w:r w:rsidRPr="003F3120">
        <w:rPr>
          <w:lang w:val="fr-FR"/>
        </w:rPr>
        <w:t>Encourager ses membres à participer directement aux activités d</w:t>
      </w:r>
      <w:r w:rsidR="00FA5ADB">
        <w:rPr>
          <w:lang w:val="fr-FR"/>
        </w:rPr>
        <w:t>’</w:t>
      </w:r>
      <w:r w:rsidRPr="003F3120">
        <w:rPr>
          <w:lang w:val="fr-FR"/>
        </w:rPr>
        <w:t>autres équipes spéciales et groupes d</w:t>
      </w:r>
      <w:r w:rsidR="00FA5ADB">
        <w:rPr>
          <w:lang w:val="fr-FR"/>
        </w:rPr>
        <w:t>’</w:t>
      </w:r>
      <w:r w:rsidRPr="003F3120">
        <w:rPr>
          <w:lang w:val="fr-FR"/>
        </w:rPr>
        <w:t>experts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Plateforme, selon qu</w:t>
      </w:r>
      <w:r w:rsidR="00FA5ADB">
        <w:rPr>
          <w:lang w:val="fr-FR"/>
        </w:rPr>
        <w:t>’</w:t>
      </w:r>
      <w:r w:rsidRPr="003F3120">
        <w:rPr>
          <w:lang w:val="fr-FR"/>
        </w:rPr>
        <w:t>il convient, afin de favoriser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mise en œuvre cohérente du 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 xml:space="preserve"> dans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quatre fonctions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Plateforme. </w:t>
      </w:r>
    </w:p>
    <w:p w14:paraId="34230C82" w14:textId="28F4143C" w:rsidR="00A53F09" w:rsidRPr="003F3120" w:rsidRDefault="00A53F09" w:rsidP="00A53F09">
      <w:pPr>
        <w:pStyle w:val="CH1"/>
        <w:rPr>
          <w:lang w:val="fr-FR"/>
        </w:rPr>
      </w:pPr>
      <w:r w:rsidRPr="003F3120">
        <w:rPr>
          <w:lang w:val="fr-FR"/>
        </w:rPr>
        <w:tab/>
        <w:t>II.</w:t>
      </w:r>
      <w:r w:rsidRPr="003F3120">
        <w:rPr>
          <w:lang w:val="fr-FR"/>
        </w:rPr>
        <w:tab/>
        <w:t>Mandat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renforcement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capacités</w:t>
      </w:r>
    </w:p>
    <w:p w14:paraId="3FA3B70F" w14:textId="77777777" w:rsidR="00A53F09" w:rsidRPr="003F3120" w:rsidRDefault="00A53F09" w:rsidP="00A53F09">
      <w:pPr>
        <w:pStyle w:val="CH2"/>
        <w:rPr>
          <w:lang w:val="fr-FR"/>
        </w:rPr>
      </w:pPr>
      <w:r w:rsidRPr="003F3120">
        <w:rPr>
          <w:lang w:val="fr-FR" w:eastAsia="en-GB"/>
        </w:rPr>
        <w:tab/>
        <w:t>A.</w:t>
      </w:r>
      <w:r w:rsidRPr="003F3120">
        <w:rPr>
          <w:lang w:val="fr-FR" w:eastAsia="en-GB"/>
        </w:rPr>
        <w:tab/>
        <w:t>Responsabilités</w:t>
      </w:r>
    </w:p>
    <w:p w14:paraId="06B2A081" w14:textId="433565FE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sur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renforcement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capacités sup</w:t>
      </w:r>
      <w:r w:rsidR="00A00F81">
        <w:rPr>
          <w:lang w:val="fr-FR" w:eastAsia="nb-NO"/>
        </w:rPr>
        <w:t>ervise</w:t>
      </w:r>
      <w:r w:rsidR="007031E0">
        <w:rPr>
          <w:lang w:val="fr-FR" w:eastAsia="nb-NO"/>
        </w:rPr>
        <w:t xml:space="preserve"> la </w:t>
      </w:r>
      <w:r w:rsidR="00A00F81">
        <w:rPr>
          <w:lang w:val="fr-FR" w:eastAsia="nb-NO"/>
        </w:rPr>
        <w:t>réalisation</w:t>
      </w:r>
      <w:r w:rsidR="007031E0">
        <w:rPr>
          <w:lang w:val="fr-FR" w:eastAsia="nb-NO"/>
        </w:rPr>
        <w:t xml:space="preserve"> des </w:t>
      </w:r>
      <w:r w:rsidR="00A00F81">
        <w:rPr>
          <w:lang w:val="fr-FR" w:eastAsia="nb-NO"/>
        </w:rPr>
        <w:t>trois </w:t>
      </w:r>
      <w:r w:rsidRPr="003F3120">
        <w:rPr>
          <w:lang w:val="fr-FR" w:eastAsia="nb-NO"/>
        </w:rPr>
        <w:t>produits de</w:t>
      </w:r>
      <w:r w:rsidR="005C2FB4">
        <w:rPr>
          <w:lang w:val="fr-FR" w:eastAsia="nb-NO"/>
        </w:rPr>
        <w:t> </w:t>
      </w: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="00A00F81">
        <w:rPr>
          <w:lang w:val="fr-FR" w:eastAsia="nb-NO"/>
        </w:rPr>
        <w:t>objectif </w:t>
      </w:r>
      <w:r w:rsidRPr="003F3120">
        <w:rPr>
          <w:rFonts w:eastAsia="MS Mincho"/>
          <w:lang w:val="fr-FR" w:eastAsia="nb-NO"/>
        </w:rPr>
        <w:t xml:space="preserve">2 du </w:t>
      </w:r>
      <w:r w:rsidR="00F96E46" w:rsidRPr="003F3120">
        <w:rPr>
          <w:rFonts w:eastAsia="MS Mincho"/>
          <w:lang w:val="fr-FR" w:eastAsia="nb-NO"/>
        </w:rPr>
        <w:t>programme de travail glissant pour</w:t>
      </w:r>
      <w:r w:rsidR="007031E0">
        <w:rPr>
          <w:rFonts w:eastAsia="MS Mincho"/>
          <w:lang w:val="fr-FR" w:eastAsia="nb-NO"/>
        </w:rPr>
        <w:t xml:space="preserve"> la </w:t>
      </w:r>
      <w:r w:rsidR="00F96E46" w:rsidRPr="003F3120">
        <w:rPr>
          <w:rFonts w:eastAsia="MS Mincho"/>
          <w:lang w:val="fr-FR" w:eastAsia="nb-NO"/>
        </w:rPr>
        <w:t>période allant jusqu</w:t>
      </w:r>
      <w:r w:rsidR="00FA5ADB">
        <w:rPr>
          <w:rFonts w:eastAsia="MS Mincho"/>
          <w:lang w:val="fr-FR" w:eastAsia="nb-NO"/>
        </w:rPr>
        <w:t>’</w:t>
      </w:r>
      <w:r w:rsidR="00F96E46" w:rsidRPr="003F3120">
        <w:rPr>
          <w:rFonts w:eastAsia="MS Mincho"/>
          <w:lang w:val="fr-FR" w:eastAsia="nb-NO"/>
        </w:rPr>
        <w:t>en 2030</w:t>
      </w:r>
      <w:r w:rsidRPr="003F3120">
        <w:rPr>
          <w:rFonts w:eastAsia="MS Mincho"/>
          <w:lang w:val="fr-FR" w:eastAsia="nb-NO"/>
        </w:rPr>
        <w:t xml:space="preserve"> et</w:t>
      </w:r>
      <w:r w:rsidR="007031E0">
        <w:rPr>
          <w:rFonts w:eastAsia="MS Mincho"/>
          <w:lang w:val="fr-FR" w:eastAsia="nb-NO"/>
        </w:rPr>
        <w:t xml:space="preserve"> y </w:t>
      </w:r>
      <w:r w:rsidRPr="003F3120">
        <w:rPr>
          <w:rFonts w:eastAsia="MS Mincho"/>
          <w:lang w:val="fr-FR" w:eastAsia="nb-NO"/>
        </w:rPr>
        <w:t xml:space="preserve">prend part, conformément aux décisions </w:t>
      </w:r>
      <w:r w:rsidR="00B56E8C">
        <w:rPr>
          <w:rFonts w:eastAsia="MS Mincho"/>
          <w:lang w:val="fr-FR" w:eastAsia="nb-NO"/>
        </w:rPr>
        <w:t>de</w:t>
      </w:r>
      <w:r w:rsidR="007031E0">
        <w:rPr>
          <w:rFonts w:eastAsia="MS Mincho"/>
          <w:lang w:val="fr-FR" w:eastAsia="nb-NO"/>
        </w:rPr>
        <w:t xml:space="preserve"> la </w:t>
      </w:r>
      <w:r w:rsidRPr="003F3120">
        <w:rPr>
          <w:rFonts w:eastAsia="MS Mincho"/>
          <w:lang w:val="fr-FR" w:eastAsia="nb-NO"/>
        </w:rPr>
        <w:t>Plénière et de ses organes subsidiaires</w:t>
      </w:r>
      <w:r w:rsidR="00B56E8C">
        <w:rPr>
          <w:rFonts w:eastAsia="MS Mincho"/>
          <w:lang w:val="fr-FR" w:eastAsia="nb-NO"/>
        </w:rPr>
        <w:t xml:space="preserve"> sur</w:t>
      </w:r>
      <w:r w:rsidR="007031E0">
        <w:rPr>
          <w:rFonts w:eastAsia="MS Mincho"/>
          <w:lang w:val="fr-FR" w:eastAsia="nb-NO"/>
        </w:rPr>
        <w:t xml:space="preserve"> la </w:t>
      </w:r>
      <w:r w:rsidR="00B56E8C">
        <w:rPr>
          <w:rFonts w:eastAsia="MS Mincho"/>
          <w:lang w:val="fr-FR" w:eastAsia="nb-NO"/>
        </w:rPr>
        <w:t>question</w:t>
      </w:r>
      <w:r w:rsidRPr="003F3120">
        <w:rPr>
          <w:rFonts w:eastAsia="SimSun"/>
          <w:lang w:val="fr-FR" w:eastAsia="zh-CN"/>
        </w:rPr>
        <w:t>,</w:t>
      </w:r>
      <w:r w:rsidRPr="003F3120">
        <w:rPr>
          <w:lang w:val="fr-FR" w:eastAsia="nb-NO"/>
        </w:rPr>
        <w:t xml:space="preserve"> notamment</w:t>
      </w:r>
      <w:r w:rsidR="00FD5D6A">
        <w:rPr>
          <w:lang w:val="fr-FR" w:eastAsia="nb-NO"/>
        </w:rPr>
        <w:t> :</w:t>
      </w:r>
      <w:r w:rsidRPr="003F3120">
        <w:rPr>
          <w:lang w:val="fr-FR" w:eastAsia="nb-NO"/>
        </w:rPr>
        <w:t xml:space="preserve"> en s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appuyant sur</w:t>
      </w:r>
      <w:r w:rsidR="007031E0">
        <w:rPr>
          <w:lang w:val="fr-FR" w:eastAsia="nb-NO"/>
        </w:rPr>
        <w:t xml:space="preserve"> les </w:t>
      </w:r>
      <w:r w:rsidR="00B56E8C">
        <w:rPr>
          <w:lang w:val="fr-FR" w:eastAsia="nb-NO"/>
        </w:rPr>
        <w:t>enseignements</w:t>
      </w:r>
      <w:r w:rsidRPr="003F3120">
        <w:rPr>
          <w:lang w:val="fr-FR" w:eastAsia="nb-NO"/>
        </w:rPr>
        <w:t xml:space="preserve"> tirés </w:t>
      </w:r>
      <w:r w:rsidRPr="003F3120">
        <w:rPr>
          <w:lang w:val="fr-FR"/>
        </w:rPr>
        <w:t>de</w:t>
      </w:r>
      <w:r w:rsidR="007031E0">
        <w:rPr>
          <w:lang w:val="fr-FR" w:eastAsia="nb-NO"/>
        </w:rPr>
        <w:t xml:space="preserve"> la </w:t>
      </w:r>
      <w:r w:rsidR="00A00F81">
        <w:rPr>
          <w:lang w:val="fr-FR" w:eastAsia="nb-NO"/>
        </w:rPr>
        <w:t>réalisation</w:t>
      </w:r>
      <w:r w:rsidR="007031E0">
        <w:rPr>
          <w:lang w:val="fr-FR" w:eastAsia="nb-NO"/>
        </w:rPr>
        <w:t xml:space="preserve"> des </w:t>
      </w:r>
      <w:r w:rsidR="00A00F81">
        <w:rPr>
          <w:lang w:val="fr-FR" w:eastAsia="nb-NO"/>
        </w:rPr>
        <w:t>produits </w:t>
      </w:r>
      <w:r w:rsidR="00A00F81">
        <w:rPr>
          <w:rFonts w:eastAsia="SimSun"/>
          <w:lang w:val="fr-FR" w:eastAsia="zh-CN"/>
        </w:rPr>
        <w:t>1 a) et 1 </w:t>
      </w:r>
      <w:r w:rsidRPr="003F3120">
        <w:rPr>
          <w:rFonts w:eastAsia="SimSun"/>
          <w:lang w:val="fr-FR" w:eastAsia="zh-CN"/>
        </w:rPr>
        <w:t>b) du premier programme de travail</w:t>
      </w:r>
      <w:r w:rsidR="00FD5D6A">
        <w:rPr>
          <w:rFonts w:eastAsia="SimSun"/>
          <w:lang w:val="fr-FR" w:eastAsia="zh-CN"/>
        </w:rPr>
        <w:t> ;</w:t>
      </w:r>
      <w:r w:rsidRPr="003F3120">
        <w:rPr>
          <w:rFonts w:eastAsia="SimSun"/>
          <w:lang w:val="fr-FR" w:eastAsia="zh-CN"/>
        </w:rPr>
        <w:t xml:space="preserve"> en donnant au </w:t>
      </w:r>
      <w:r w:rsidRPr="003F3120">
        <w:rPr>
          <w:lang w:val="fr-FR" w:eastAsia="nb-NO"/>
        </w:rPr>
        <w:t>secrétariat,</w:t>
      </w:r>
      <w:r w:rsidR="007031E0">
        <w:rPr>
          <w:lang w:val="fr-FR" w:eastAsia="nb-NO"/>
        </w:rPr>
        <w:t xml:space="preserve"> y </w:t>
      </w:r>
      <w:r w:rsidRPr="003F3120">
        <w:rPr>
          <w:lang w:val="fr-FR" w:eastAsia="nb-NO"/>
        </w:rPr>
        <w:t>compris à son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appui technique dédié,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orientations pour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mise en œuvre du plan glissant en matière de renforcement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capacités</w:t>
      </w:r>
      <w:r w:rsidRPr="003F3120">
        <w:rPr>
          <w:rFonts w:eastAsia="SimSun"/>
          <w:vertAlign w:val="superscript"/>
          <w:lang w:val="fr-FR" w:eastAsia="zh-CN"/>
        </w:rPr>
        <w:footnoteReference w:id="32"/>
      </w:r>
      <w:r w:rsidRPr="003F3120">
        <w:rPr>
          <w:lang w:val="fr-FR" w:eastAsia="nb-NO"/>
        </w:rPr>
        <w:t xml:space="preserve"> qui encadre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travaux au titre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objectif 2</w:t>
      </w:r>
      <w:r w:rsidR="00FD5D6A">
        <w:rPr>
          <w:lang w:val="fr-FR" w:eastAsia="nb-NO"/>
        </w:rPr>
        <w:t> ;</w:t>
      </w:r>
      <w:r w:rsidRPr="003F3120">
        <w:rPr>
          <w:lang w:val="fr-FR" w:eastAsia="nb-NO"/>
        </w:rPr>
        <w:t xml:space="preserve"> en faisant rapport à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Plénière sur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 xml:space="preserve">progrès accomplis. </w:t>
      </w:r>
    </w:p>
    <w:p w14:paraId="0DC4377A" w14:textId="77777777" w:rsidR="00A53F09" w:rsidRPr="003F3120" w:rsidRDefault="00A53F09" w:rsidP="00A53F09">
      <w:pPr>
        <w:pStyle w:val="CH2"/>
        <w:tabs>
          <w:tab w:val="clear" w:pos="851"/>
        </w:tabs>
        <w:ind w:hanging="631"/>
        <w:rPr>
          <w:b w:val="0"/>
          <w:lang w:val="fr-FR"/>
        </w:rPr>
      </w:pPr>
      <w:r w:rsidRPr="003F3120">
        <w:rPr>
          <w:lang w:val="fr-FR" w:eastAsia="en-GB"/>
        </w:rPr>
        <w:t>B.</w:t>
      </w:r>
      <w:r w:rsidRPr="003F3120">
        <w:rPr>
          <w:lang w:val="fr-FR" w:eastAsia="en-GB"/>
        </w:rPr>
        <w:tab/>
        <w:t>Composition</w:t>
      </w:r>
    </w:p>
    <w:p w14:paraId="3B910927" w14:textId="0BE3DEB1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comprend jusqu</w:t>
      </w:r>
      <w:r w:rsidR="00FA5ADB">
        <w:rPr>
          <w:lang w:val="fr-FR" w:eastAsia="nb-NO"/>
        </w:rPr>
        <w:t>’</w:t>
      </w:r>
      <w:r w:rsidR="00C067BE" w:rsidRPr="003F3120">
        <w:rPr>
          <w:lang w:val="fr-FR" w:eastAsia="nb-NO"/>
        </w:rPr>
        <w:t>à 14 </w:t>
      </w:r>
      <w:r w:rsidRPr="003F3120">
        <w:rPr>
          <w:lang w:val="fr-FR" w:eastAsia="nb-NO"/>
        </w:rPr>
        <w:t>membres issus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cinq régions</w:t>
      </w:r>
      <w:r w:rsidR="007031E0">
        <w:rPr>
          <w:lang w:val="fr-FR" w:eastAsia="nb-NO"/>
        </w:rPr>
        <w:t xml:space="preserve"> des </w:t>
      </w:r>
      <w:r w:rsidR="00C067BE" w:rsidRPr="003F3120">
        <w:rPr>
          <w:lang w:val="fr-FR" w:eastAsia="nb-NO"/>
        </w:rPr>
        <w:t>Nations Unies, dont</w:t>
      </w:r>
      <w:r w:rsidR="00FD5D6A">
        <w:rPr>
          <w:lang w:val="fr-FR" w:eastAsia="nb-NO"/>
        </w:rPr>
        <w:t> :</w:t>
      </w:r>
      <w:r w:rsidRPr="003F3120">
        <w:rPr>
          <w:lang w:val="fr-FR" w:eastAsia="nb-NO"/>
        </w:rPr>
        <w:t xml:space="preserve"> a) jusqu</w:t>
      </w:r>
      <w:r w:rsidR="00FA5ADB">
        <w:rPr>
          <w:lang w:val="fr-FR" w:eastAsia="nb-NO"/>
        </w:rPr>
        <w:t>’</w:t>
      </w:r>
      <w:r w:rsidR="00C067BE" w:rsidRPr="003F3120">
        <w:rPr>
          <w:lang w:val="fr-FR" w:eastAsia="nb-NO"/>
        </w:rPr>
        <w:t>à 4 </w:t>
      </w:r>
      <w:r w:rsidRPr="003F3120">
        <w:rPr>
          <w:lang w:val="fr-FR" w:eastAsia="nb-NO"/>
        </w:rPr>
        <w:t>membres du Bureau et du Groupe d</w:t>
      </w:r>
      <w:r w:rsidR="00FA5ADB">
        <w:rPr>
          <w:lang w:val="fr-FR" w:eastAsia="nb-NO"/>
        </w:rPr>
        <w:t>’</w:t>
      </w:r>
      <w:r w:rsidR="00C067BE" w:rsidRPr="003F3120">
        <w:rPr>
          <w:lang w:val="fr-FR" w:eastAsia="nb-NO"/>
        </w:rPr>
        <w:t>experts multidisciplinaire</w:t>
      </w:r>
      <w:r w:rsidR="00FD5D6A">
        <w:rPr>
          <w:lang w:val="fr-FR" w:eastAsia="nb-NO"/>
        </w:rPr>
        <w:t> ;</w:t>
      </w:r>
      <w:r w:rsidRPr="003F3120">
        <w:rPr>
          <w:lang w:val="fr-FR" w:eastAsia="nb-NO"/>
        </w:rPr>
        <w:t xml:space="preserve"> b)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représentants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organisations scientifiques nationales, régionales et internationales qualifiées, de centres d</w:t>
      </w:r>
      <w:r w:rsidR="00FA5ADB">
        <w:rPr>
          <w:lang w:val="fr-FR" w:eastAsia="nb-NO"/>
        </w:rPr>
        <w:t>’</w:t>
      </w:r>
      <w:r w:rsidR="00B56E8C">
        <w:rPr>
          <w:lang w:val="fr-FR" w:eastAsia="nb-NO"/>
        </w:rPr>
        <w:t>excellence</w:t>
      </w:r>
      <w:r w:rsidRPr="003F3120">
        <w:rPr>
          <w:lang w:val="fr-FR" w:eastAsia="nb-NO"/>
        </w:rPr>
        <w:t xml:space="preserve"> et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institutions comprenant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experts en savoirs autochtones et locaux qui sont connues pour leurs travaux et leurs compétences concernant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questions liées au mandat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et qui sont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partenaires existants ou possibles, ou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collaborateurs </w:t>
      </w:r>
      <w:r w:rsidR="00B56E8C">
        <w:rPr>
          <w:rFonts w:eastAsia="SimSun"/>
          <w:lang w:val="fr-FR" w:eastAsia="zh-CN"/>
        </w:rPr>
        <w:t>appuyant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lang w:val="fr-FR" w:eastAsia="nb-NO"/>
        </w:rPr>
        <w:t>activités de renforcement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capacités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</w:t>
      </w:r>
      <w:r w:rsidR="00FD5D6A">
        <w:rPr>
          <w:lang w:val="fr-FR" w:eastAsia="nb-NO"/>
        </w:rPr>
        <w:t> ;</w:t>
      </w:r>
      <w:r w:rsidRPr="003F3120">
        <w:rPr>
          <w:lang w:val="fr-FR" w:eastAsia="nb-NO"/>
        </w:rPr>
        <w:t xml:space="preserve"> c)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experts de renom,</w:t>
      </w:r>
      <w:r w:rsidR="007031E0">
        <w:rPr>
          <w:lang w:val="fr-FR" w:eastAsia="nb-NO"/>
        </w:rPr>
        <w:t xml:space="preserve"> y </w:t>
      </w:r>
      <w:r w:rsidRPr="003F3120">
        <w:rPr>
          <w:lang w:val="fr-FR" w:eastAsia="nb-NO"/>
        </w:rPr>
        <w:t>compris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experts</w:t>
      </w:r>
      <w:r w:rsidR="007031E0">
        <w:rPr>
          <w:lang w:val="fr-FR" w:eastAsia="nb-NO"/>
        </w:rPr>
        <w:t xml:space="preserve"> </w:t>
      </w:r>
      <w:r w:rsidR="007031E0">
        <w:rPr>
          <w:lang w:val="fr-FR" w:eastAsia="nb-NO"/>
        </w:rPr>
        <w:lastRenderedPageBreak/>
        <w:t>des </w:t>
      </w:r>
      <w:r w:rsidRPr="003F3120">
        <w:rPr>
          <w:lang w:val="fr-FR" w:eastAsia="nb-NO"/>
        </w:rPr>
        <w:t xml:space="preserve">savoirs autochtones et locaux, </w:t>
      </w:r>
      <w:r w:rsidR="00D36189">
        <w:rPr>
          <w:lang w:val="fr-FR" w:eastAsia="nb-NO"/>
        </w:rPr>
        <w:t>spécialisés</w:t>
      </w:r>
      <w:r w:rsidRPr="003F3120">
        <w:rPr>
          <w:lang w:val="fr-FR" w:eastAsia="nb-NO"/>
        </w:rPr>
        <w:t xml:space="preserve"> </w:t>
      </w:r>
      <w:r w:rsidR="00D36189">
        <w:rPr>
          <w:lang w:val="fr-FR" w:eastAsia="nb-NO"/>
        </w:rPr>
        <w:t>dans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questions relevant du mandat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spéciale.</w:t>
      </w:r>
    </w:p>
    <w:p w14:paraId="46190219" w14:textId="34E6FF98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Les membres autres que ceux du Bureau et du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 xml:space="preserve">experts multidisciplinaire sont choisis conformément aux procédures </w:t>
      </w:r>
      <w:r w:rsidR="00D36189">
        <w:rPr>
          <w:lang w:val="fr-FR" w:eastAsia="nb-NO"/>
        </w:rPr>
        <w:t>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établissement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produits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</w:t>
      </w:r>
      <w:bookmarkStart w:id="90" w:name="_Ref1910799"/>
      <w:r w:rsidRPr="003F3120">
        <w:rPr>
          <w:rStyle w:val="FootnoteReference"/>
          <w:rFonts w:eastAsia="MS Mincho"/>
          <w:lang w:val="fr-FR" w:eastAsia="nb-NO"/>
        </w:rPr>
        <w:footnoteReference w:id="33"/>
      </w:r>
      <w:bookmarkEnd w:id="90"/>
      <w:r w:rsidRPr="003F3120">
        <w:rPr>
          <w:lang w:val="fr-FR" w:eastAsia="nb-NO"/>
        </w:rPr>
        <w:t>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mandat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membres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expire à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issue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 xml:space="preserve">troisième session suivant leur nomination, </w:t>
      </w:r>
      <w:r w:rsidR="00D36189">
        <w:rPr>
          <w:lang w:val="fr-FR" w:eastAsia="nb-NO"/>
        </w:rPr>
        <w:t>et peut-être prorogé.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choix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membres devrait </w:t>
      </w:r>
      <w:r w:rsidR="00D36189">
        <w:rPr>
          <w:lang w:val="fr-FR" w:eastAsia="nb-NO"/>
        </w:rPr>
        <w:t>tenir compte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nécessité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assurer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continuité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travaux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 xml:space="preserve">équipe spéciale. </w:t>
      </w:r>
    </w:p>
    <w:p w14:paraId="48724642" w14:textId="7098105D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À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discrétion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coprésidents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et à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issue de consultations avec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Bureau, un petit nombre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experts supplémentaires spécialistes du renforcement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capacités pourraient aussi être invités à participer aux travaux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</w:t>
      </w:r>
      <w:r w:rsidR="007C4E48">
        <w:rPr>
          <w:lang w:val="fr-FR" w:eastAsia="nb-NO"/>
        </w:rPr>
        <w:t>péciale en qualité de personnes </w:t>
      </w:r>
      <w:r w:rsidRPr="003F3120">
        <w:rPr>
          <w:lang w:val="fr-FR" w:eastAsia="nb-NO"/>
        </w:rPr>
        <w:t>ressources.</w:t>
      </w:r>
    </w:p>
    <w:p w14:paraId="62FE2F43" w14:textId="77777777" w:rsidR="00A53F09" w:rsidRPr="003F3120" w:rsidRDefault="00A53F09" w:rsidP="00A53F09">
      <w:pPr>
        <w:pStyle w:val="CH2"/>
        <w:rPr>
          <w:lang w:val="fr-FR" w:eastAsia="en-GB"/>
        </w:rPr>
      </w:pPr>
      <w:r w:rsidRPr="003F3120">
        <w:rPr>
          <w:lang w:val="fr-FR" w:eastAsia="en-GB"/>
        </w:rPr>
        <w:tab/>
        <w:t>C.</w:t>
      </w:r>
      <w:r w:rsidRPr="003F3120">
        <w:rPr>
          <w:lang w:val="fr-FR" w:eastAsia="en-GB"/>
        </w:rPr>
        <w:tab/>
        <w:t>Mode de fonctionnement</w:t>
      </w:r>
    </w:p>
    <w:p w14:paraId="4C67FCA6" w14:textId="5FCC2D4B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est coprésidée par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membres du Bureau ou du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experts multidisciplinaire, ou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deux. Elle travaille dans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 xml:space="preserve">cadre de réunions </w:t>
      </w:r>
      <w:r w:rsidR="007C4E48">
        <w:rPr>
          <w:lang w:val="fr-FR" w:eastAsia="nb-NO"/>
        </w:rPr>
        <w:t>en présentiel</w:t>
      </w:r>
      <w:r w:rsidRPr="003F3120">
        <w:rPr>
          <w:lang w:val="fr-FR" w:eastAsia="nb-NO"/>
        </w:rPr>
        <w:t xml:space="preserve">, de réunions </w:t>
      </w:r>
      <w:r w:rsidR="007C4E48">
        <w:rPr>
          <w:lang w:val="fr-FR" w:eastAsia="nb-NO"/>
        </w:rPr>
        <w:t>en ligne</w:t>
      </w:r>
      <w:r w:rsidRPr="003F3120">
        <w:rPr>
          <w:lang w:val="fr-FR" w:eastAsia="nb-NO"/>
        </w:rPr>
        <w:t xml:space="preserve"> et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autres interactions par voie électronique.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produits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sont revus par</w:t>
      </w:r>
      <w:r w:rsidR="007031E0">
        <w:rPr>
          <w:lang w:val="fr-FR" w:eastAsia="nb-NO"/>
        </w:rPr>
        <w:t xml:space="preserve"> le </w:t>
      </w:r>
      <w:r w:rsidRPr="003F3120">
        <w:rPr>
          <w:lang w:val="fr-FR"/>
        </w:rPr>
        <w:t>Bureau</w:t>
      </w:r>
      <w:r w:rsidRPr="003F3120">
        <w:rPr>
          <w:lang w:val="fr-FR" w:eastAsia="nb-NO"/>
        </w:rPr>
        <w:t xml:space="preserve"> et par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Groupe et transmis à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Plénière pour information et examen, selon qu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il convient.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favorise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collaboration avec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partenaires stratégiques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partenaires </w:t>
      </w:r>
      <w:r w:rsidR="007C4E48">
        <w:rPr>
          <w:lang w:val="fr-FR" w:eastAsia="nb-NO"/>
        </w:rPr>
        <w:t>appuyant</w:t>
      </w:r>
      <w:r w:rsidRPr="003F3120">
        <w:rPr>
          <w:lang w:val="fr-FR" w:eastAsia="nb-NO"/>
        </w:rPr>
        <w:t xml:space="preserve">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initiative sous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direction du Bureau.</w:t>
      </w:r>
    </w:p>
    <w:p w14:paraId="4C5447F1" w14:textId="773AAF7E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équipe</w:t>
      </w:r>
      <w:r w:rsidRPr="003F3120">
        <w:rPr>
          <w:lang w:val="fr-FR" w:eastAsia="nb-NO"/>
        </w:rPr>
        <w:t xml:space="preserve"> spéciale est secondée par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secrétariat, qui comprend un 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appui technique</w:t>
      </w:r>
      <w:r w:rsidR="006E0890">
        <w:rPr>
          <w:lang w:val="fr-FR" w:eastAsia="nb-NO"/>
        </w:rPr>
        <w:t> </w:t>
      </w:r>
      <w:r w:rsidRPr="003F3120">
        <w:rPr>
          <w:lang w:val="fr-FR" w:eastAsia="nb-NO"/>
        </w:rPr>
        <w:t xml:space="preserve">dédié. </w:t>
      </w:r>
    </w:p>
    <w:p w14:paraId="5858C802" w14:textId="316AF877" w:rsidR="00A53F09" w:rsidRPr="003F3120" w:rsidRDefault="00A53F09" w:rsidP="00A53F09">
      <w:pPr>
        <w:pStyle w:val="CH1"/>
        <w:rPr>
          <w:lang w:val="fr-FR"/>
        </w:rPr>
      </w:pPr>
      <w:r w:rsidRPr="003F3120">
        <w:rPr>
          <w:lang w:val="fr-FR"/>
        </w:rPr>
        <w:tab/>
        <w:t>III.</w:t>
      </w:r>
      <w:r w:rsidRPr="003F3120">
        <w:rPr>
          <w:lang w:val="fr-FR"/>
        </w:rPr>
        <w:tab/>
        <w:t>Mandat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connaissances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données</w:t>
      </w:r>
    </w:p>
    <w:p w14:paraId="60FDDE4D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A.</w:t>
      </w:r>
      <w:r w:rsidRPr="003F3120">
        <w:rPr>
          <w:lang w:val="fr-FR" w:eastAsia="en-GB"/>
        </w:rPr>
        <w:tab/>
        <w:t xml:space="preserve">Responsabilités </w:t>
      </w:r>
    </w:p>
    <w:p w14:paraId="06460731" w14:textId="370E8FB7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sur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connaissances et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données supervise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réalisation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objectif</w:t>
      </w:r>
      <w:r w:rsidR="005C2FB4">
        <w:rPr>
          <w:lang w:val="fr-FR" w:eastAsia="nb-NO"/>
        </w:rPr>
        <w:t> </w:t>
      </w:r>
      <w:r w:rsidRPr="003F3120">
        <w:rPr>
          <w:rFonts w:eastAsia="MS Mincho"/>
          <w:lang w:val="fr-FR" w:eastAsia="nb-NO"/>
        </w:rPr>
        <w:t>3</w:t>
      </w:r>
      <w:r w:rsidR="005C2FB4">
        <w:rPr>
          <w:rFonts w:eastAsia="MS Mincho"/>
          <w:lang w:val="fr-FR" w:eastAsia="nb-NO"/>
        </w:rPr>
        <w:t> </w:t>
      </w:r>
      <w:r w:rsidRPr="003F3120">
        <w:rPr>
          <w:rFonts w:eastAsia="MS Mincho"/>
          <w:lang w:val="fr-FR" w:eastAsia="nb-NO"/>
        </w:rPr>
        <w:t xml:space="preserve">a) du </w:t>
      </w:r>
      <w:r w:rsidR="00F96E46" w:rsidRPr="003F3120">
        <w:rPr>
          <w:rFonts w:eastAsia="MS Mincho"/>
          <w:lang w:val="fr-FR" w:eastAsia="nb-NO"/>
        </w:rPr>
        <w:t>programme de travail glissant pour</w:t>
      </w:r>
      <w:r w:rsidR="007031E0">
        <w:rPr>
          <w:rFonts w:eastAsia="MS Mincho"/>
          <w:lang w:val="fr-FR" w:eastAsia="nb-NO"/>
        </w:rPr>
        <w:t xml:space="preserve"> la </w:t>
      </w:r>
      <w:r w:rsidR="00F96E46" w:rsidRPr="003F3120">
        <w:rPr>
          <w:rFonts w:eastAsia="MS Mincho"/>
          <w:lang w:val="fr-FR" w:eastAsia="nb-NO"/>
        </w:rPr>
        <w:t>période allant jusqu</w:t>
      </w:r>
      <w:r w:rsidR="00FA5ADB">
        <w:rPr>
          <w:rFonts w:eastAsia="MS Mincho"/>
          <w:lang w:val="fr-FR" w:eastAsia="nb-NO"/>
        </w:rPr>
        <w:t>’</w:t>
      </w:r>
      <w:r w:rsidR="00F96E46" w:rsidRPr="003F3120">
        <w:rPr>
          <w:rFonts w:eastAsia="MS Mincho"/>
          <w:lang w:val="fr-FR" w:eastAsia="nb-NO"/>
        </w:rPr>
        <w:t>en 2030</w:t>
      </w:r>
      <w:r w:rsidRPr="003F3120">
        <w:rPr>
          <w:lang w:val="fr-FR" w:eastAsia="nb-NO"/>
        </w:rPr>
        <w:t xml:space="preserve"> (Travaux avancés sur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connaissances et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données) et</w:t>
      </w:r>
      <w:r w:rsidR="007031E0">
        <w:rPr>
          <w:lang w:val="fr-FR" w:eastAsia="nb-NO"/>
        </w:rPr>
        <w:t xml:space="preserve"> y </w:t>
      </w:r>
      <w:r w:rsidRPr="003F3120">
        <w:rPr>
          <w:lang w:val="fr-FR" w:eastAsia="nb-NO"/>
        </w:rPr>
        <w:t>participe, conformément aux décisions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Plénière et de ses organes subsidiaires</w:t>
      </w:r>
      <w:r w:rsidR="00BD22C6">
        <w:rPr>
          <w:lang w:val="fr-FR" w:eastAsia="nb-NO"/>
        </w:rPr>
        <w:t xml:space="preserve"> sur</w:t>
      </w:r>
      <w:r w:rsidR="007031E0">
        <w:rPr>
          <w:lang w:val="fr-FR" w:eastAsia="nb-NO"/>
        </w:rPr>
        <w:t xml:space="preserve"> la </w:t>
      </w:r>
      <w:r w:rsidR="00BD22C6">
        <w:rPr>
          <w:lang w:val="fr-FR" w:eastAsia="nb-NO"/>
        </w:rPr>
        <w:t>question</w:t>
      </w:r>
      <w:r w:rsidRPr="003F3120">
        <w:rPr>
          <w:lang w:val="fr-FR" w:eastAsia="nb-NO"/>
        </w:rPr>
        <w:t>, notamment en s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appuyant sur</w:t>
      </w:r>
      <w:r w:rsidR="007031E0">
        <w:rPr>
          <w:lang w:val="fr-FR" w:eastAsia="nb-NO"/>
        </w:rPr>
        <w:t xml:space="preserve"> les </w:t>
      </w:r>
      <w:r w:rsidR="00BD22C6">
        <w:rPr>
          <w:lang w:val="fr-FR" w:eastAsia="nb-NO"/>
        </w:rPr>
        <w:t xml:space="preserve">enseignements </w:t>
      </w:r>
      <w:r w:rsidRPr="003F3120">
        <w:rPr>
          <w:lang w:val="fr-FR" w:eastAsia="nb-NO"/>
        </w:rPr>
        <w:t>tirés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 xml:space="preserve">réalisation du produit </w:t>
      </w:r>
      <w:r w:rsidRPr="003F3120">
        <w:rPr>
          <w:rFonts w:eastAsia="SimSun"/>
          <w:lang w:val="fr-FR" w:eastAsia="zh-CN"/>
        </w:rPr>
        <w:t>1 d) du premier programme de travail et</w:t>
      </w:r>
      <w:r w:rsidR="00FD5D6A">
        <w:rPr>
          <w:rFonts w:eastAsia="SimSun"/>
          <w:lang w:val="fr-FR" w:eastAsia="zh-CN"/>
        </w:rPr>
        <w:t> :</w:t>
      </w:r>
      <w:r w:rsidRPr="003F3120">
        <w:rPr>
          <w:rFonts w:eastAsia="SimSun"/>
          <w:lang w:val="fr-FR" w:eastAsia="zh-CN"/>
        </w:rPr>
        <w:t xml:space="preserve"> </w:t>
      </w:r>
    </w:p>
    <w:p w14:paraId="478EA6C3" w14:textId="0BF56077" w:rsidR="00A53F09" w:rsidRPr="003F3120" w:rsidRDefault="00A53F09" w:rsidP="00ED6939">
      <w:pPr>
        <w:pStyle w:val="Normalnumber"/>
        <w:numPr>
          <w:ilvl w:val="1"/>
          <w:numId w:val="5"/>
        </w:numPr>
        <w:tabs>
          <w:tab w:val="clear" w:pos="1134"/>
        </w:tabs>
        <w:rPr>
          <w:lang w:val="fr-FR" w:eastAsia="nb-NO"/>
        </w:rPr>
      </w:pPr>
      <w:r w:rsidRPr="003F3120">
        <w:rPr>
          <w:lang w:val="fr-FR" w:eastAsia="nb-NO"/>
        </w:rPr>
        <w:t>En aidant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experts chargés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évaluations à recenser, hiérarchiser et mobiliser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connaissances et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données nécessaires aux évaluations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</w:t>
      </w:r>
      <w:r w:rsidR="00FD5D6A">
        <w:rPr>
          <w:lang w:val="fr-FR" w:eastAsia="nb-NO"/>
        </w:rPr>
        <w:t> ;</w:t>
      </w:r>
    </w:p>
    <w:p w14:paraId="46A05703" w14:textId="1DFCED3E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En donnant au secrétariat,</w:t>
      </w:r>
      <w:r w:rsidR="007031E0">
        <w:rPr>
          <w:lang w:val="fr-FR" w:eastAsia="nb-NO"/>
        </w:rPr>
        <w:t xml:space="preserve"> y </w:t>
      </w:r>
      <w:r w:rsidRPr="003F3120">
        <w:rPr>
          <w:lang w:val="fr-FR" w:eastAsia="nb-NO"/>
        </w:rPr>
        <w:t>compris à son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appui technique dédié,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orientations pour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gestion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données,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informations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connaissances utilisées pour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réalisation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produits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 xml:space="preserve">Plateforme, notamment en mettant en place une infrastructure </w:t>
      </w:r>
      <w:r w:rsidR="00BD22C6">
        <w:rPr>
          <w:lang w:val="fr-FR" w:eastAsia="nb-NO"/>
        </w:rPr>
        <w:t>Web</w:t>
      </w:r>
      <w:r w:rsidRPr="003F3120">
        <w:rPr>
          <w:lang w:val="fr-FR" w:eastAsia="nb-NO"/>
        </w:rPr>
        <w:t>, afin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en assurer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disponibilité à long terme et de veiller à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interopérabilité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données</w:t>
      </w:r>
      <w:r w:rsidR="00FD5D6A">
        <w:rPr>
          <w:lang w:val="fr-FR" w:eastAsia="nb-NO"/>
        </w:rPr>
        <w:t> ;</w:t>
      </w:r>
    </w:p>
    <w:p w14:paraId="1036F592" w14:textId="4E28674D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En aidant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Bureau et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experts multidisciplinaire à revoir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besoins et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 xml:space="preserve">lacunes en matière de connaissances </w:t>
      </w:r>
      <w:r w:rsidR="0095529C">
        <w:rPr>
          <w:lang w:val="fr-FR" w:eastAsia="nb-NO"/>
        </w:rPr>
        <w:t>recensés</w:t>
      </w:r>
      <w:r w:rsidRPr="003F3120">
        <w:rPr>
          <w:lang w:val="fr-FR" w:eastAsia="nb-NO"/>
        </w:rPr>
        <w:t xml:space="preserve"> dans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cadre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évaluations et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autres produits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 et à activer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 xml:space="preserve">production de nouvelles connaissances et données. </w:t>
      </w:r>
    </w:p>
    <w:p w14:paraId="27778F99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B.</w:t>
      </w:r>
      <w:r w:rsidRPr="003F3120">
        <w:rPr>
          <w:lang w:val="fr-FR" w:eastAsia="en-GB"/>
        </w:rPr>
        <w:tab/>
        <w:t xml:space="preserve">Composition </w:t>
      </w:r>
    </w:p>
    <w:p w14:paraId="30CCA4D8" w14:textId="5BB53B9D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comprend jusqu</w:t>
      </w:r>
      <w:r w:rsidR="00FA5ADB">
        <w:rPr>
          <w:lang w:val="fr-FR"/>
        </w:rPr>
        <w:t>’</w:t>
      </w:r>
      <w:r w:rsidR="00C067BE" w:rsidRPr="003F3120">
        <w:rPr>
          <w:lang w:val="fr-FR"/>
        </w:rPr>
        <w:t>à 14 </w:t>
      </w:r>
      <w:r w:rsidRPr="003F3120">
        <w:rPr>
          <w:lang w:val="fr-FR"/>
        </w:rPr>
        <w:t>membres issus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cinq régions</w:t>
      </w:r>
      <w:r w:rsidR="007031E0">
        <w:rPr>
          <w:lang w:val="fr-FR"/>
        </w:rPr>
        <w:t xml:space="preserve"> des </w:t>
      </w:r>
      <w:r w:rsidR="00C067BE" w:rsidRPr="003F3120">
        <w:rPr>
          <w:lang w:val="fr-FR"/>
        </w:rPr>
        <w:t>Nations Unies, dont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a) jusqu</w:t>
      </w:r>
      <w:r w:rsidR="00FA5ADB">
        <w:rPr>
          <w:lang w:val="fr-FR"/>
        </w:rPr>
        <w:t>’</w:t>
      </w:r>
      <w:r w:rsidRPr="003F3120">
        <w:rPr>
          <w:lang w:val="fr-FR"/>
        </w:rPr>
        <w:t>à 4 membres du Bureau et du Groupe d</w:t>
      </w:r>
      <w:r w:rsidR="00FA5ADB">
        <w:rPr>
          <w:lang w:val="fr-FR"/>
        </w:rPr>
        <w:t>’</w:t>
      </w:r>
      <w:r w:rsidR="00C067BE" w:rsidRPr="003F3120">
        <w:rPr>
          <w:lang w:val="fr-FR"/>
        </w:rPr>
        <w:t>experts multidisciplinaire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b)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membres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groupes d</w:t>
      </w:r>
      <w:r w:rsidR="00FA5ADB">
        <w:rPr>
          <w:lang w:val="fr-FR"/>
        </w:rPr>
        <w:t>’</w:t>
      </w:r>
      <w:r w:rsidRPr="003F3120">
        <w:rPr>
          <w:lang w:val="fr-FR"/>
        </w:rPr>
        <w:t>experts affectés aux évaluations en cours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 d</w:t>
      </w:r>
      <w:r w:rsidR="00FA5ADB">
        <w:rPr>
          <w:lang w:val="fr-FR"/>
        </w:rPr>
        <w:t>’</w:t>
      </w:r>
      <w:r w:rsidRPr="003F3120">
        <w:rPr>
          <w:lang w:val="fr-FR"/>
        </w:rPr>
        <w:t>autres équipes spéciales concernées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c)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représentants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organisations scientifiques nationales, régionales et internationales qualifiées, de centres d</w:t>
      </w:r>
      <w:r w:rsidR="00FA5ADB">
        <w:rPr>
          <w:lang w:val="fr-FR"/>
        </w:rPr>
        <w:t>’</w:t>
      </w:r>
      <w:r w:rsidR="0095529C">
        <w:rPr>
          <w:lang w:val="fr-FR"/>
        </w:rPr>
        <w:t>excellence</w:t>
      </w:r>
      <w:r w:rsidRPr="003F3120">
        <w:rPr>
          <w:lang w:val="fr-FR"/>
        </w:rPr>
        <w:t xml:space="preserve"> et d</w:t>
      </w:r>
      <w:r w:rsidR="00FA5ADB">
        <w:rPr>
          <w:lang w:val="fr-FR"/>
        </w:rPr>
        <w:t>’</w:t>
      </w:r>
      <w:r w:rsidRPr="003F3120">
        <w:rPr>
          <w:lang w:val="fr-FR"/>
        </w:rPr>
        <w:t>institutions comprenant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experts en savoirs autochtones et locaux qui sont connues pour leurs travaux et leurs compétences concernant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questions liées au mandat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et qui sont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partenaires existants ou possibles, ou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partenaires </w:t>
      </w:r>
      <w:r w:rsidR="0095529C">
        <w:rPr>
          <w:lang w:val="fr-FR"/>
        </w:rPr>
        <w:t>appuyant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activités de renforcement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capacités de</w:t>
      </w:r>
      <w:r w:rsidR="007031E0">
        <w:rPr>
          <w:lang w:val="fr-FR"/>
        </w:rPr>
        <w:t xml:space="preserve"> la </w:t>
      </w:r>
      <w:r w:rsidR="00C067BE" w:rsidRPr="003F3120">
        <w:rPr>
          <w:lang w:val="fr-FR"/>
        </w:rPr>
        <w:t>Plateforme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d)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experts de renom </w:t>
      </w:r>
      <w:r w:rsidR="0095529C">
        <w:rPr>
          <w:lang w:val="fr-FR"/>
        </w:rPr>
        <w:t>spécialisés dans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questions relevant du mandat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spéciale,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compris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experts dans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domaines</w:t>
      </w:r>
      <w:r w:rsidR="007031E0">
        <w:rPr>
          <w:lang w:val="fr-FR"/>
        </w:rPr>
        <w:t xml:space="preserve"> des </w:t>
      </w:r>
      <w:r w:rsidRPr="003F3120">
        <w:rPr>
          <w:lang w:val="fr-FR" w:eastAsia="nb-NO"/>
        </w:rPr>
        <w:t>sciences naturelles,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sciences sociales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sciences humaines, ainsi que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experts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savoirs autochtones et locaux. </w:t>
      </w:r>
    </w:p>
    <w:p w14:paraId="35DCB827" w14:textId="128CF690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Les membres autres que ceux du Bureau et du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 xml:space="preserve">experts multidisciplinaire sont choisis conformément aux procédures </w:t>
      </w:r>
      <w:r w:rsidR="00AA04C9">
        <w:rPr>
          <w:lang w:val="fr-FR" w:eastAsia="nb-NO"/>
        </w:rPr>
        <w:t>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établissement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produits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</w:t>
      </w:r>
      <w:r w:rsidRPr="003F3120">
        <w:rPr>
          <w:vertAlign w:val="superscript"/>
          <w:lang w:val="fr-FR" w:eastAsia="nb-NO"/>
        </w:rPr>
        <w:t>23</w:t>
      </w:r>
      <w:r w:rsidRPr="003F3120">
        <w:rPr>
          <w:lang w:val="fr-FR" w:eastAsia="nb-NO"/>
        </w:rPr>
        <w:t>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mandat de ces membres expire à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issue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troisième session suivant leur nomination</w:t>
      </w:r>
      <w:r w:rsidR="00AA04C9">
        <w:rPr>
          <w:lang w:val="fr-FR" w:eastAsia="nb-NO"/>
        </w:rPr>
        <w:t xml:space="preserve"> et peut être prorogé.</w:t>
      </w:r>
      <w:r w:rsidR="007031E0">
        <w:rPr>
          <w:lang w:val="fr-FR" w:eastAsia="nb-NO"/>
        </w:rPr>
        <w:t xml:space="preserve"> </w:t>
      </w:r>
      <w:r w:rsidR="007031E0">
        <w:rPr>
          <w:lang w:val="fr-FR" w:eastAsia="nb-NO"/>
        </w:rPr>
        <w:lastRenderedPageBreak/>
        <w:t>Le </w:t>
      </w:r>
      <w:r w:rsidRPr="003F3120">
        <w:rPr>
          <w:lang w:val="fr-FR" w:eastAsia="nb-NO"/>
        </w:rPr>
        <w:t>choix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membres devrait </w:t>
      </w:r>
      <w:r w:rsidR="00AA04C9">
        <w:rPr>
          <w:lang w:val="fr-FR" w:eastAsia="nb-NO"/>
        </w:rPr>
        <w:t>tenir compte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nécessité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assurer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continuité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travaux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 xml:space="preserve">équipe spéciale. </w:t>
      </w:r>
    </w:p>
    <w:p w14:paraId="6F918728" w14:textId="5733DF5C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/>
        </w:rPr>
        <w:t>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discrétion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coprésidents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et à l</w:t>
      </w:r>
      <w:r w:rsidR="00FA5ADB">
        <w:rPr>
          <w:lang w:val="fr-FR"/>
        </w:rPr>
        <w:t>’</w:t>
      </w:r>
      <w:r w:rsidRPr="003F3120">
        <w:rPr>
          <w:lang w:val="fr-FR"/>
        </w:rPr>
        <w:t>issue de consultations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Bureau, un petit nombre d</w:t>
      </w:r>
      <w:r w:rsidR="00FA5ADB">
        <w:rPr>
          <w:lang w:val="fr-FR"/>
        </w:rPr>
        <w:t>’</w:t>
      </w:r>
      <w:r w:rsidRPr="003F3120">
        <w:rPr>
          <w:lang w:val="fr-FR"/>
        </w:rPr>
        <w:t>experts spécialistes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gestion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connaissances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données pourraient être invités à participer aux travaux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en qualité de personnes-ressources.</w:t>
      </w:r>
    </w:p>
    <w:p w14:paraId="3CFB0550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C.</w:t>
      </w:r>
      <w:r w:rsidRPr="003F3120">
        <w:rPr>
          <w:lang w:val="fr-FR" w:eastAsia="en-GB"/>
        </w:rPr>
        <w:tab/>
        <w:t>Mode de fonctionnement</w:t>
      </w:r>
    </w:p>
    <w:p w14:paraId="0507AA9A" w14:textId="062F0A2C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est coprésidée par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membres du Bureau ou du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experts multidisciplinaire, ou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deux. Elle travaille dans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 xml:space="preserve">cadre de réunions </w:t>
      </w:r>
      <w:r w:rsidR="00AA04C9">
        <w:rPr>
          <w:lang w:val="fr-FR" w:eastAsia="nb-NO"/>
        </w:rPr>
        <w:t>en présentiel</w:t>
      </w:r>
      <w:r w:rsidRPr="003F3120">
        <w:rPr>
          <w:lang w:val="fr-FR" w:eastAsia="nb-NO"/>
        </w:rPr>
        <w:t xml:space="preserve">, de réunions </w:t>
      </w:r>
      <w:r w:rsidR="00AA04C9">
        <w:rPr>
          <w:lang w:val="fr-FR" w:eastAsia="nb-NO"/>
        </w:rPr>
        <w:t>en ligne</w:t>
      </w:r>
      <w:r w:rsidRPr="003F3120">
        <w:rPr>
          <w:lang w:val="fr-FR" w:eastAsia="nb-NO"/>
        </w:rPr>
        <w:t xml:space="preserve"> et </w:t>
      </w:r>
      <w:r w:rsidRPr="003F3120">
        <w:rPr>
          <w:lang w:val="fr-FR"/>
        </w:rPr>
        <w:t>d</w:t>
      </w:r>
      <w:r w:rsidR="00FA5ADB">
        <w:rPr>
          <w:lang w:val="fr-FR"/>
        </w:rPr>
        <w:t>’</w:t>
      </w:r>
      <w:r w:rsidRPr="003F3120">
        <w:rPr>
          <w:lang w:val="fr-FR"/>
        </w:rPr>
        <w:t>autres</w:t>
      </w:r>
      <w:r w:rsidRPr="003F3120">
        <w:rPr>
          <w:lang w:val="fr-FR" w:eastAsia="nb-NO"/>
        </w:rPr>
        <w:t xml:space="preserve"> interactions par voie électronique.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produits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sont revus par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Bureau et par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Groupe et transmis à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Plénière pour information et examen, selon qu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il convient.</w:t>
      </w:r>
      <w:r w:rsidRPr="003F3120">
        <w:rPr>
          <w:lang w:val="fr-FR"/>
        </w:rPr>
        <w:t xml:space="preserve"> </w:t>
      </w: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favorise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collaboration avec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partenaires stratégiques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partenaires </w:t>
      </w:r>
      <w:r w:rsidR="00AA04C9">
        <w:rPr>
          <w:lang w:val="fr-FR" w:eastAsia="nb-NO"/>
        </w:rPr>
        <w:t>appuyant</w:t>
      </w:r>
      <w:r w:rsidRPr="003F3120">
        <w:rPr>
          <w:lang w:val="fr-FR" w:eastAsia="nb-NO"/>
        </w:rPr>
        <w:t xml:space="preserve">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initiative sous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direction du Bureau.</w:t>
      </w:r>
    </w:p>
    <w:p w14:paraId="122895F0" w14:textId="15A9C1F3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est secondée par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secrétariat, qui comprend un 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appui technique</w:t>
      </w:r>
      <w:r w:rsidR="006E0890">
        <w:rPr>
          <w:lang w:val="fr-FR" w:eastAsia="nb-NO"/>
        </w:rPr>
        <w:t> </w:t>
      </w:r>
      <w:r w:rsidRPr="003F3120">
        <w:rPr>
          <w:lang w:val="fr-FR" w:eastAsia="nb-NO"/>
        </w:rPr>
        <w:t xml:space="preserve">dédié. </w:t>
      </w:r>
    </w:p>
    <w:p w14:paraId="3A0CD04F" w14:textId="1C8D5ED9" w:rsidR="00A53F09" w:rsidRPr="003F3120" w:rsidRDefault="00A53F09" w:rsidP="00A53F09">
      <w:pPr>
        <w:pStyle w:val="CH1"/>
        <w:rPr>
          <w:lang w:val="fr-FR"/>
        </w:rPr>
      </w:pPr>
      <w:r w:rsidRPr="003F3120">
        <w:rPr>
          <w:lang w:val="fr-FR"/>
        </w:rPr>
        <w:tab/>
        <w:t>IV.</w:t>
      </w:r>
      <w:r w:rsidRPr="003F3120">
        <w:rPr>
          <w:lang w:val="fr-FR"/>
        </w:rPr>
        <w:tab/>
        <w:t>Mandat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savoirs autochtones et locaux</w:t>
      </w:r>
    </w:p>
    <w:p w14:paraId="18A0426A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A.</w:t>
      </w:r>
      <w:r w:rsidRPr="003F3120">
        <w:rPr>
          <w:lang w:val="fr-FR" w:eastAsia="en-GB"/>
        </w:rPr>
        <w:tab/>
        <w:t xml:space="preserve">Responsabilités </w:t>
      </w:r>
    </w:p>
    <w:p w14:paraId="57209C92" w14:textId="4E96885A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en-GB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savoirs autochtones et locaux supervise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réalisation de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objectif 3 b) du 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 xml:space="preserve"> (Reconnaissance et utilisation améliorées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systèmes de savoirs autochtones et locaux</w:t>
      </w:r>
      <w:r w:rsidRPr="003F3120">
        <w:rPr>
          <w:rFonts w:eastAsia="MS Mincho"/>
          <w:lang w:val="fr-FR" w:eastAsia="nb-NO"/>
        </w:rPr>
        <w:t xml:space="preserve">) </w:t>
      </w:r>
      <w:r w:rsidRPr="003F3120">
        <w:rPr>
          <w:lang w:val="fr-FR"/>
        </w:rPr>
        <w:t>et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prend part, conformément aux décisions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et de ses organes subsidiaires</w:t>
      </w:r>
      <w:r w:rsidR="00AA04C9">
        <w:rPr>
          <w:lang w:val="fr-FR"/>
        </w:rPr>
        <w:t xml:space="preserve"> sur</w:t>
      </w:r>
      <w:r w:rsidR="007031E0">
        <w:rPr>
          <w:lang w:val="fr-FR"/>
        </w:rPr>
        <w:t xml:space="preserve"> la </w:t>
      </w:r>
      <w:r w:rsidR="00AA04C9">
        <w:rPr>
          <w:lang w:val="fr-FR"/>
        </w:rPr>
        <w:t>question</w:t>
      </w:r>
      <w:r w:rsidRPr="003F3120">
        <w:rPr>
          <w:lang w:val="fr-FR"/>
        </w:rPr>
        <w:t>, notamment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en s</w:t>
      </w:r>
      <w:r w:rsidR="00FA5ADB">
        <w:rPr>
          <w:lang w:val="fr-FR"/>
        </w:rPr>
        <w:t>’</w:t>
      </w:r>
      <w:r w:rsidRPr="003F3120">
        <w:rPr>
          <w:lang w:val="fr-FR"/>
        </w:rPr>
        <w:t>appuyant sur</w:t>
      </w:r>
      <w:r w:rsidR="007031E0">
        <w:rPr>
          <w:lang w:val="fr-FR"/>
        </w:rPr>
        <w:t xml:space="preserve"> les </w:t>
      </w:r>
      <w:r w:rsidR="00AA04C9">
        <w:rPr>
          <w:lang w:val="fr-FR"/>
        </w:rPr>
        <w:t>enseignements</w:t>
      </w:r>
      <w:r w:rsidRPr="003F3120">
        <w:rPr>
          <w:lang w:val="fr-FR"/>
        </w:rPr>
        <w:t xml:space="preserve"> tirés de</w:t>
      </w:r>
      <w:r w:rsidR="007031E0">
        <w:rPr>
          <w:lang w:val="fr-FR"/>
        </w:rPr>
        <w:t xml:space="preserve"> la </w:t>
      </w:r>
      <w:r w:rsidR="00C067BE" w:rsidRPr="003F3120">
        <w:rPr>
          <w:lang w:val="fr-FR"/>
        </w:rPr>
        <w:t>réalisation du produit </w:t>
      </w:r>
      <w:r w:rsidR="00A00F81">
        <w:rPr>
          <w:lang w:val="fr-FR"/>
        </w:rPr>
        <w:t>1 </w:t>
      </w:r>
      <w:r w:rsidRPr="003F3120">
        <w:rPr>
          <w:lang w:val="fr-FR"/>
        </w:rPr>
        <w:t>c) du premier programme de travail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en aidant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 à mettre en œuvre l</w:t>
      </w:r>
      <w:r w:rsidR="00FA5ADB">
        <w:rPr>
          <w:lang w:val="fr-FR"/>
        </w:rPr>
        <w:t>’</w:t>
      </w:r>
      <w:r w:rsidRPr="003F3120">
        <w:rPr>
          <w:lang w:val="fr-FR"/>
        </w:rPr>
        <w:t>Approche concernant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reconnaissance et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savoirs autochtones et locaux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Pr="003F3120">
        <w:rPr>
          <w:rStyle w:val="FootnoteReference"/>
          <w:rFonts w:eastAsia="MS Mincho"/>
          <w:lang w:val="fr-FR"/>
        </w:rPr>
        <w:footnoteReference w:id="34"/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en donnant au secrétariat,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compris à son groupe d</w:t>
      </w:r>
      <w:r w:rsidR="00FA5ADB">
        <w:rPr>
          <w:lang w:val="fr-FR"/>
        </w:rPr>
        <w:t>’</w:t>
      </w:r>
      <w:r w:rsidRPr="003F3120">
        <w:rPr>
          <w:lang w:val="fr-FR"/>
        </w:rPr>
        <w:t>appui technique dédié,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orientations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 œuvre de l</w:t>
      </w:r>
      <w:r w:rsidR="00FA5ADB">
        <w:rPr>
          <w:lang w:val="fr-FR"/>
        </w:rPr>
        <w:t>’</w:t>
      </w:r>
      <w:r w:rsidRPr="003F3120">
        <w:rPr>
          <w:lang w:val="fr-FR"/>
        </w:rPr>
        <w:t>Approche.</w:t>
      </w:r>
    </w:p>
    <w:p w14:paraId="1923727F" w14:textId="77777777" w:rsidR="00A53F09" w:rsidRPr="003F3120" w:rsidRDefault="00A53F09" w:rsidP="00A53F09">
      <w:pPr>
        <w:pStyle w:val="CH2"/>
        <w:rPr>
          <w:lang w:val="fr-FR" w:eastAsia="en-GB"/>
        </w:rPr>
      </w:pPr>
      <w:r w:rsidRPr="003F3120">
        <w:rPr>
          <w:lang w:val="fr-FR" w:eastAsia="en-GB"/>
        </w:rPr>
        <w:tab/>
        <w:t>B.</w:t>
      </w:r>
      <w:r w:rsidRPr="003F3120">
        <w:rPr>
          <w:lang w:val="fr-FR" w:eastAsia="en-GB"/>
        </w:rPr>
        <w:tab/>
        <w:t xml:space="preserve">Composition </w:t>
      </w:r>
    </w:p>
    <w:p w14:paraId="7FEC235C" w14:textId="37AE9B22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comprend jusqu</w:t>
      </w:r>
      <w:r w:rsidR="00FA5ADB">
        <w:rPr>
          <w:lang w:val="fr-FR"/>
        </w:rPr>
        <w:t>’</w:t>
      </w:r>
      <w:r w:rsidR="00C067BE" w:rsidRPr="003F3120">
        <w:rPr>
          <w:lang w:val="fr-FR"/>
        </w:rPr>
        <w:t>à 14 </w:t>
      </w:r>
      <w:r w:rsidRPr="003F3120">
        <w:rPr>
          <w:lang w:val="fr-FR"/>
        </w:rPr>
        <w:t>membres issus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cinq régions</w:t>
      </w:r>
      <w:r w:rsidR="007031E0">
        <w:rPr>
          <w:lang w:val="fr-FR"/>
        </w:rPr>
        <w:t xml:space="preserve"> des </w:t>
      </w:r>
      <w:r w:rsidR="00C067BE" w:rsidRPr="003F3120">
        <w:rPr>
          <w:lang w:val="fr-FR"/>
        </w:rPr>
        <w:t>Nations Unies, dont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a) jusqu</w:t>
      </w:r>
      <w:r w:rsidR="00FA5ADB">
        <w:rPr>
          <w:lang w:val="fr-FR"/>
        </w:rPr>
        <w:t>’</w:t>
      </w:r>
      <w:r w:rsidRPr="003F3120">
        <w:rPr>
          <w:lang w:val="fr-FR"/>
        </w:rPr>
        <w:t>à 4 membres du Bureau et du Groupe d</w:t>
      </w:r>
      <w:r w:rsidR="00FA5ADB">
        <w:rPr>
          <w:lang w:val="fr-FR"/>
        </w:rPr>
        <w:t>’</w:t>
      </w:r>
      <w:r w:rsidR="00C067BE" w:rsidRPr="003F3120">
        <w:rPr>
          <w:lang w:val="fr-FR"/>
        </w:rPr>
        <w:t>experts multidisciplinaire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b)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membres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groupes d</w:t>
      </w:r>
      <w:r w:rsidR="00FA5ADB">
        <w:rPr>
          <w:lang w:val="fr-FR"/>
        </w:rPr>
        <w:t>’</w:t>
      </w:r>
      <w:r w:rsidRPr="003F3120">
        <w:rPr>
          <w:lang w:val="fr-FR"/>
        </w:rPr>
        <w:t>experts affectés aux évaluations en cours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 d</w:t>
      </w:r>
      <w:r w:rsidR="00FA5ADB">
        <w:rPr>
          <w:lang w:val="fr-FR"/>
        </w:rPr>
        <w:t>’</w:t>
      </w:r>
      <w:r w:rsidRPr="003F3120">
        <w:rPr>
          <w:lang w:val="fr-FR"/>
        </w:rPr>
        <w:t>autres équipes spéciales concernées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c)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représentants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peuples autochtones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communautés locales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d)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représentants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organisations scientifiques nationales, régionales et internationales qualifiées, de centres d</w:t>
      </w:r>
      <w:r w:rsidR="00FA5ADB">
        <w:rPr>
          <w:lang w:val="fr-FR"/>
        </w:rPr>
        <w:t>’</w:t>
      </w:r>
      <w:r w:rsidRPr="003F3120">
        <w:rPr>
          <w:lang w:val="fr-FR"/>
        </w:rPr>
        <w:t>excellence et d</w:t>
      </w:r>
      <w:r w:rsidR="00FA5ADB">
        <w:rPr>
          <w:lang w:val="fr-FR"/>
        </w:rPr>
        <w:t>’</w:t>
      </w:r>
      <w:r w:rsidRPr="003F3120">
        <w:rPr>
          <w:lang w:val="fr-FR"/>
        </w:rPr>
        <w:t>institutions comprenant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experts en savoirs autochtones et locaux qui sont connues pour leurs travaux et leurs compétences concernant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questions liées au mandat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e)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 xml:space="preserve">experts de renom </w:t>
      </w:r>
      <w:r w:rsidR="00AA04C9">
        <w:rPr>
          <w:lang w:val="fr-FR"/>
        </w:rPr>
        <w:t>spécialisés dans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questions relevant du mandat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</w:t>
      </w:r>
      <w:r w:rsidRPr="003F3120">
        <w:rPr>
          <w:lang w:val="fr-FR" w:eastAsia="nb-NO"/>
        </w:rPr>
        <w:t>.</w:t>
      </w:r>
    </w:p>
    <w:p w14:paraId="21158D97" w14:textId="71FFADAD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 xml:space="preserve">Les </w:t>
      </w:r>
      <w:r w:rsidRPr="003F3120">
        <w:rPr>
          <w:lang w:val="fr-FR"/>
        </w:rPr>
        <w:t>membres</w:t>
      </w:r>
      <w:r w:rsidRPr="003F3120">
        <w:rPr>
          <w:lang w:val="fr-FR" w:eastAsia="nb-NO"/>
        </w:rPr>
        <w:t xml:space="preserve"> autres que ceux du Bureau et du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 xml:space="preserve">experts multidisciplinaire sont choisis conformément aux procédures </w:t>
      </w:r>
      <w:r w:rsidR="00AA04C9">
        <w:rPr>
          <w:lang w:val="fr-FR" w:eastAsia="nb-NO"/>
        </w:rPr>
        <w:t>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établissement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produits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</w:t>
      </w:r>
      <w:r w:rsidRPr="003F3120">
        <w:rPr>
          <w:vertAlign w:val="superscript"/>
          <w:lang w:val="fr-FR" w:eastAsia="nb-NO"/>
        </w:rPr>
        <w:t>23</w:t>
      </w:r>
      <w:r w:rsidRPr="003F3120">
        <w:rPr>
          <w:lang w:val="fr-FR" w:eastAsia="nb-NO"/>
        </w:rPr>
        <w:t>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mandat de ces membres expire à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issue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troisième session suivant leur nomination</w:t>
      </w:r>
      <w:r w:rsidR="00AA04C9">
        <w:rPr>
          <w:lang w:val="fr-FR" w:eastAsia="nb-NO"/>
        </w:rPr>
        <w:t xml:space="preserve"> et peut être prorogé.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choix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membres devrait </w:t>
      </w:r>
      <w:r w:rsidR="0025125E">
        <w:rPr>
          <w:lang w:val="fr-FR" w:eastAsia="nb-NO"/>
        </w:rPr>
        <w:t>tenir compte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nécessité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assurer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continuité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travaux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spéciale.</w:t>
      </w:r>
    </w:p>
    <w:p w14:paraId="52E5956C" w14:textId="35913BD0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/>
        </w:rPr>
        <w:t>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discrétion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coprésidents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et à l</w:t>
      </w:r>
      <w:r w:rsidR="00FA5ADB">
        <w:rPr>
          <w:lang w:val="fr-FR"/>
        </w:rPr>
        <w:t>’</w:t>
      </w:r>
      <w:r w:rsidRPr="003F3120">
        <w:rPr>
          <w:lang w:val="fr-FR"/>
        </w:rPr>
        <w:t>issue de consultations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Bureau, un petit nombre d</w:t>
      </w:r>
      <w:r w:rsidR="00FA5ADB">
        <w:rPr>
          <w:lang w:val="fr-FR"/>
        </w:rPr>
        <w:t>’</w:t>
      </w:r>
      <w:r w:rsidRPr="003F3120">
        <w:rPr>
          <w:lang w:val="fr-FR"/>
        </w:rPr>
        <w:t>experts supplémentaires en savoirs autochtones et locaux ainsi 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représentants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organisations locales et autochtones pourraient être invités à participer aux travaux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en qualité de personnes-ressources.</w:t>
      </w:r>
    </w:p>
    <w:p w14:paraId="4CA23995" w14:textId="77777777" w:rsidR="00A53F09" w:rsidRPr="003F3120" w:rsidRDefault="00A53F09" w:rsidP="0036675E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C.</w:t>
      </w:r>
      <w:r w:rsidRPr="003F3120">
        <w:rPr>
          <w:lang w:val="fr-FR" w:eastAsia="en-GB"/>
        </w:rPr>
        <w:tab/>
        <w:t>Mode de fonctionnement</w:t>
      </w:r>
    </w:p>
    <w:p w14:paraId="0687F1CF" w14:textId="3942932C" w:rsidR="00A53F09" w:rsidRPr="003F3120" w:rsidRDefault="00A53F09" w:rsidP="00ED6939">
      <w:pPr>
        <w:pStyle w:val="Normalnumber"/>
        <w:keepNext/>
        <w:numPr>
          <w:ilvl w:val="0"/>
          <w:numId w:val="5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>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équipe spéciale est coprésidée par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membres du Bureau ou du Groupe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experts multidisciplinaire, ou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deux. Elle travaille dans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 xml:space="preserve">cadre de réunions </w:t>
      </w:r>
      <w:r w:rsidR="0025125E">
        <w:rPr>
          <w:rFonts w:eastAsia="SimSun"/>
          <w:lang w:val="fr-FR" w:eastAsia="zh-CN"/>
        </w:rPr>
        <w:t>en présentiel</w:t>
      </w:r>
      <w:r w:rsidRPr="003F3120">
        <w:rPr>
          <w:rFonts w:eastAsia="SimSun"/>
          <w:lang w:val="fr-FR" w:eastAsia="zh-CN"/>
        </w:rPr>
        <w:t xml:space="preserve">, de réunions </w:t>
      </w:r>
      <w:r w:rsidR="0025125E">
        <w:rPr>
          <w:rFonts w:eastAsia="SimSun"/>
          <w:lang w:val="fr-FR" w:eastAsia="zh-CN"/>
        </w:rPr>
        <w:t>en ligne</w:t>
      </w:r>
      <w:r w:rsidRPr="003F3120">
        <w:rPr>
          <w:rFonts w:eastAsia="SimSun"/>
          <w:lang w:val="fr-FR" w:eastAsia="zh-CN"/>
        </w:rPr>
        <w:t xml:space="preserve">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autres interactions par voie électronique.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produits de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équipe spéciale sont revus par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Bureau et par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Groupe et transmis à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Plénière pour information et examen, selon qu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 xml:space="preserve">il convient. </w:t>
      </w:r>
      <w:r w:rsidRPr="003F3120">
        <w:rPr>
          <w:lang w:val="fr-FR" w:eastAsia="nb-NO"/>
        </w:rPr>
        <w:lastRenderedPageBreak/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favorise</w:t>
      </w:r>
      <w:r w:rsidR="007031E0">
        <w:rPr>
          <w:lang w:val="fr-FR" w:eastAsia="nb-NO"/>
        </w:rPr>
        <w:t xml:space="preserve"> la </w:t>
      </w:r>
      <w:r w:rsidRPr="003F3120">
        <w:rPr>
          <w:lang w:val="fr-FR"/>
        </w:rPr>
        <w:t>collaboration</w:t>
      </w:r>
      <w:r w:rsidRPr="003F3120">
        <w:rPr>
          <w:lang w:val="fr-FR" w:eastAsia="nb-NO"/>
        </w:rPr>
        <w:t xml:space="preserve"> avec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partenaires stratégiques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partenaires </w:t>
      </w:r>
      <w:r w:rsidR="0025125E">
        <w:rPr>
          <w:lang w:val="fr-FR" w:eastAsia="nb-NO"/>
        </w:rPr>
        <w:t>appuyant</w:t>
      </w:r>
      <w:r w:rsidRPr="003F3120">
        <w:rPr>
          <w:lang w:val="fr-FR" w:eastAsia="nb-NO"/>
        </w:rPr>
        <w:t xml:space="preserve">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initiative sous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direction du Bureau.</w:t>
      </w:r>
    </w:p>
    <w:p w14:paraId="28543C29" w14:textId="047AC5F5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est secondée par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secrétariat, qui comprend un 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 xml:space="preserve">appui technique </w:t>
      </w:r>
      <w:r w:rsidRPr="003F3120">
        <w:rPr>
          <w:lang w:val="fr-FR"/>
        </w:rPr>
        <w:t>dédié</w:t>
      </w:r>
      <w:r w:rsidRPr="003F3120">
        <w:rPr>
          <w:lang w:val="fr-FR" w:eastAsia="nb-NO"/>
        </w:rPr>
        <w:t>.</w:t>
      </w:r>
    </w:p>
    <w:p w14:paraId="4294BFF2" w14:textId="7203CD9D" w:rsidR="00A53F09" w:rsidRPr="003F3120" w:rsidRDefault="00A53F09" w:rsidP="00A53F09">
      <w:pPr>
        <w:pStyle w:val="CH1"/>
        <w:rPr>
          <w:lang w:val="fr-FR"/>
        </w:rPr>
      </w:pPr>
      <w:r w:rsidRPr="003F3120">
        <w:rPr>
          <w:lang w:val="fr-FR"/>
        </w:rPr>
        <w:tab/>
        <w:t>V.</w:t>
      </w:r>
      <w:r w:rsidRPr="003F3120">
        <w:rPr>
          <w:lang w:val="fr-FR"/>
        </w:rPr>
        <w:tab/>
        <w:t>Mandat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scénarios et modèles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services écosystémiques</w:t>
      </w:r>
    </w:p>
    <w:p w14:paraId="5F947297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A.</w:t>
      </w:r>
      <w:r w:rsidRPr="003F3120">
        <w:rPr>
          <w:lang w:val="fr-FR" w:eastAsia="en-GB"/>
        </w:rPr>
        <w:tab/>
        <w:t xml:space="preserve">Responsabilités </w:t>
      </w:r>
    </w:p>
    <w:p w14:paraId="5CFCF63A" w14:textId="627ECE89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scénarios et modèles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services écosystémiques supervise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réalisation de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objectif 4 b) du 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 xml:space="preserve"> (Travaux avancés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scénarios et modèles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="00DB29C8" w:rsidRPr="003F3120">
        <w:rPr>
          <w:lang w:val="fr-FR"/>
        </w:rPr>
        <w:t>fonctions et</w:t>
      </w:r>
      <w:r w:rsidRPr="003F3120">
        <w:rPr>
          <w:lang w:val="fr-FR"/>
        </w:rPr>
        <w:t> services écosystémiques</w:t>
      </w:r>
      <w:r w:rsidRPr="003F3120">
        <w:rPr>
          <w:rFonts w:eastAsia="MS Mincho"/>
          <w:lang w:val="fr-FR" w:eastAsia="nb-NO"/>
        </w:rPr>
        <w:t xml:space="preserve">) </w:t>
      </w:r>
      <w:r w:rsidRPr="003F3120">
        <w:rPr>
          <w:lang w:val="fr-FR"/>
        </w:rPr>
        <w:t>et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prend part, conformément aux décisions pertinentes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et de ses organes subsidiaires</w:t>
      </w:r>
      <w:r w:rsidR="0025125E">
        <w:rPr>
          <w:lang w:val="fr-FR"/>
        </w:rPr>
        <w:t xml:space="preserve"> sur</w:t>
      </w:r>
      <w:r w:rsidR="007031E0">
        <w:rPr>
          <w:lang w:val="fr-FR"/>
        </w:rPr>
        <w:t xml:space="preserve"> la </w:t>
      </w:r>
      <w:r w:rsidR="0025125E">
        <w:rPr>
          <w:lang w:val="fr-FR"/>
        </w:rPr>
        <w:t>question</w:t>
      </w:r>
      <w:r w:rsidRPr="003F3120">
        <w:rPr>
          <w:lang w:val="fr-FR"/>
        </w:rPr>
        <w:t>, notamment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en s</w:t>
      </w:r>
      <w:r w:rsidR="00FA5ADB">
        <w:rPr>
          <w:lang w:val="fr-FR"/>
        </w:rPr>
        <w:t>’</w:t>
      </w:r>
      <w:r w:rsidRPr="003F3120">
        <w:rPr>
          <w:lang w:val="fr-FR"/>
        </w:rPr>
        <w:t>appuyant sur</w:t>
      </w:r>
      <w:r w:rsidR="007031E0">
        <w:rPr>
          <w:lang w:val="fr-FR"/>
        </w:rPr>
        <w:t xml:space="preserve"> les </w:t>
      </w:r>
      <w:r w:rsidR="0025125E">
        <w:rPr>
          <w:lang w:val="fr-FR"/>
        </w:rPr>
        <w:t>enseignements</w:t>
      </w:r>
      <w:r w:rsidRPr="003F3120">
        <w:rPr>
          <w:lang w:val="fr-FR"/>
        </w:rPr>
        <w:t xml:space="preserve"> tirés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réalisation du produit 3 c) du premier programme de travail. Pour mener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travaux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scénarios et modèles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services écosystémiques,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</w:t>
      </w:r>
      <w:r w:rsidR="00FA5ADB">
        <w:rPr>
          <w:lang w:val="fr-FR"/>
        </w:rPr>
        <w:t>’</w:t>
      </w:r>
      <w:r w:rsidRPr="003F3120">
        <w:rPr>
          <w:lang w:val="fr-FR"/>
        </w:rPr>
        <w:t>appuiera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Cadre de référence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poursuite de l</w:t>
      </w:r>
      <w:r w:rsidR="00FA5ADB">
        <w:rPr>
          <w:lang w:val="fr-FR"/>
        </w:rPr>
        <w:t>’</w:t>
      </w:r>
      <w:r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outils et méthodes relatifs aux scénarios et aux modèles</w:t>
      </w:r>
      <w:r w:rsidRPr="003F3120">
        <w:rPr>
          <w:rStyle w:val="FootnoteReference"/>
          <w:lang w:val="fr-FR"/>
        </w:rPr>
        <w:footnoteReference w:id="35"/>
      </w:r>
      <w:r w:rsidRPr="003F3120">
        <w:rPr>
          <w:lang w:val="fr-FR"/>
        </w:rPr>
        <w:t xml:space="preserve"> en vue de faciliter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fourniture de conseils à toutes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équipes d</w:t>
      </w:r>
      <w:r w:rsidR="00FA5ADB">
        <w:rPr>
          <w:lang w:val="fr-FR"/>
        </w:rPr>
        <w:t>’</w:t>
      </w:r>
      <w:r w:rsidR="0036675E">
        <w:rPr>
          <w:lang w:val="fr-FR"/>
        </w:rPr>
        <w:t>experts, en </w:t>
      </w:r>
      <w:r w:rsidRPr="003F3120">
        <w:rPr>
          <w:lang w:val="fr-FR"/>
        </w:rPr>
        <w:t>particulier celles qui travaillent sur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évaluations de l</w:t>
      </w:r>
      <w:r w:rsidR="00FA5ADB">
        <w:rPr>
          <w:lang w:val="fr-FR"/>
        </w:rPr>
        <w:t>’</w:t>
      </w:r>
      <w:r w:rsidRPr="003F3120">
        <w:rPr>
          <w:lang w:val="fr-FR"/>
        </w:rPr>
        <w:t>utilisation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scénarios, et d</w:t>
      </w:r>
      <w:r w:rsidR="00FA5ADB">
        <w:rPr>
          <w:lang w:val="fr-FR"/>
        </w:rPr>
        <w:t>’</w:t>
      </w:r>
      <w:r w:rsidRPr="003F3120">
        <w:rPr>
          <w:lang w:val="fr-FR"/>
        </w:rPr>
        <w:t>accélérer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poursuite de l</w:t>
      </w:r>
      <w:r w:rsidR="00FA5ADB">
        <w:rPr>
          <w:lang w:val="fr-FR"/>
        </w:rPr>
        <w:t>’</w:t>
      </w:r>
      <w:r w:rsidRPr="003F3120">
        <w:rPr>
          <w:lang w:val="fr-FR"/>
        </w:rPr>
        <w:t>élaboration de scénarios et de modèles pour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futures évaluations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en donnant au secrétariat,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compris à son groupe d</w:t>
      </w:r>
      <w:r w:rsidR="00FA5ADB">
        <w:rPr>
          <w:lang w:val="fr-FR"/>
        </w:rPr>
        <w:t>’</w:t>
      </w:r>
      <w:r w:rsidRPr="003F3120">
        <w:rPr>
          <w:lang w:val="fr-FR"/>
        </w:rPr>
        <w:t>appui technique dédié,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orientations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fourniture d</w:t>
      </w:r>
      <w:r w:rsidR="00FA5ADB">
        <w:rPr>
          <w:lang w:val="fr-FR"/>
        </w:rPr>
        <w:t>’</w:t>
      </w:r>
      <w:r w:rsidRPr="003F3120">
        <w:rPr>
          <w:lang w:val="fr-FR"/>
        </w:rPr>
        <w:t>un appui.</w:t>
      </w:r>
      <w:r w:rsidRPr="003F3120">
        <w:rPr>
          <w:lang w:val="fr-FR" w:eastAsia="nb-NO"/>
        </w:rPr>
        <w:t xml:space="preserve">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échange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informations et collabore avec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autres organes chargés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élaborer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scénarios et modèles connexes sous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direction du Bureau.</w:t>
      </w:r>
    </w:p>
    <w:p w14:paraId="6F7EF412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B.</w:t>
      </w:r>
      <w:r w:rsidRPr="003F3120">
        <w:rPr>
          <w:lang w:val="fr-FR" w:eastAsia="en-GB"/>
        </w:rPr>
        <w:tab/>
        <w:t xml:space="preserve">Composition </w:t>
      </w:r>
    </w:p>
    <w:p w14:paraId="7466510B" w14:textId="5FA0C272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comprend jusqu</w:t>
      </w:r>
      <w:r w:rsidR="00FA5ADB">
        <w:rPr>
          <w:lang w:val="fr-FR"/>
        </w:rPr>
        <w:t>’</w:t>
      </w:r>
      <w:r w:rsidR="00C067BE" w:rsidRPr="003F3120">
        <w:rPr>
          <w:lang w:val="fr-FR"/>
        </w:rPr>
        <w:t>à 24 </w:t>
      </w:r>
      <w:r w:rsidRPr="003F3120">
        <w:rPr>
          <w:lang w:val="fr-FR"/>
        </w:rPr>
        <w:t>membres issus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cinq régions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</w:t>
      </w:r>
      <w:r w:rsidR="006E0890">
        <w:rPr>
          <w:lang w:val="fr-FR"/>
        </w:rPr>
        <w:t> </w:t>
      </w:r>
      <w:r w:rsidRPr="003F3120">
        <w:rPr>
          <w:lang w:val="fr-FR"/>
        </w:rPr>
        <w:t>Unies, dont jusqu</w:t>
      </w:r>
      <w:r w:rsidR="00FA5ADB">
        <w:rPr>
          <w:lang w:val="fr-FR"/>
        </w:rPr>
        <w:t>’</w:t>
      </w:r>
      <w:r w:rsidRPr="003F3120">
        <w:rPr>
          <w:lang w:val="fr-FR"/>
        </w:rPr>
        <w:t>à 4 membres du Bureau et du Groupe d</w:t>
      </w:r>
      <w:r w:rsidR="00FA5ADB">
        <w:rPr>
          <w:lang w:val="fr-FR"/>
        </w:rPr>
        <w:t>’</w:t>
      </w:r>
      <w:r w:rsidRPr="003F3120">
        <w:rPr>
          <w:lang w:val="fr-FR"/>
        </w:rPr>
        <w:t>experts multidisciplinaire, ainsi 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spécialistes</w:t>
      </w:r>
      <w:r w:rsidR="007031E0">
        <w:rPr>
          <w:lang w:val="fr-FR"/>
        </w:rPr>
        <w:t xml:space="preserve"> des </w:t>
      </w:r>
      <w:r w:rsidRPr="003F3120">
        <w:rPr>
          <w:lang w:val="fr-FR" w:eastAsia="nb-NO"/>
        </w:rPr>
        <w:t>scénarios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modèles issus du domaine</w:t>
      </w:r>
      <w:r w:rsidR="007031E0">
        <w:rPr>
          <w:lang w:val="fr-FR" w:eastAsia="nb-NO"/>
        </w:rPr>
        <w:t xml:space="preserve"> des </w:t>
      </w:r>
      <w:r w:rsidRPr="003F3120">
        <w:rPr>
          <w:color w:val="000000"/>
          <w:lang w:val="fr-FR"/>
        </w:rPr>
        <w:t>sciences naturelles,</w:t>
      </w:r>
      <w:r w:rsidR="007031E0">
        <w:rPr>
          <w:color w:val="000000"/>
          <w:lang w:val="fr-FR"/>
        </w:rPr>
        <w:t xml:space="preserve"> des </w:t>
      </w:r>
      <w:r w:rsidRPr="003F3120">
        <w:rPr>
          <w:color w:val="000000"/>
          <w:lang w:val="fr-FR"/>
        </w:rPr>
        <w:t>sciences sociales ou</w:t>
      </w:r>
      <w:r w:rsidR="007031E0">
        <w:rPr>
          <w:color w:val="000000"/>
          <w:lang w:val="fr-FR"/>
        </w:rPr>
        <w:t xml:space="preserve"> des </w:t>
      </w:r>
      <w:r w:rsidRPr="003F3120">
        <w:rPr>
          <w:color w:val="000000"/>
          <w:lang w:val="fr-FR"/>
        </w:rPr>
        <w:t>sciences humaines et</w:t>
      </w:r>
      <w:r w:rsidR="007031E0">
        <w:rPr>
          <w:color w:val="000000"/>
          <w:lang w:val="fr-FR"/>
        </w:rPr>
        <w:t xml:space="preserve"> des </w:t>
      </w:r>
      <w:r w:rsidRPr="003F3120">
        <w:rPr>
          <w:color w:val="000000"/>
          <w:lang w:val="fr-FR"/>
        </w:rPr>
        <w:t xml:space="preserve">experts </w:t>
      </w:r>
      <w:r w:rsidR="0025125E">
        <w:rPr>
          <w:color w:val="000000"/>
          <w:lang w:val="fr-FR"/>
        </w:rPr>
        <w:t xml:space="preserve">en </w:t>
      </w:r>
      <w:r w:rsidRPr="003F3120">
        <w:rPr>
          <w:color w:val="000000"/>
          <w:lang w:val="fr-FR"/>
        </w:rPr>
        <w:t xml:space="preserve">systèmes de savoirs autochtones et locaux. </w:t>
      </w:r>
    </w:p>
    <w:p w14:paraId="1440129A" w14:textId="75B662DB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Les membres autres que ceux du Bureau et du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 xml:space="preserve">experts multidisciplinaire sont choisis conformément aux procédures </w:t>
      </w:r>
      <w:r w:rsidR="0025125E">
        <w:rPr>
          <w:lang w:val="fr-FR" w:eastAsia="nb-NO"/>
        </w:rPr>
        <w:t>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établissement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produits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</w:t>
      </w:r>
      <w:r w:rsidRPr="003F3120">
        <w:rPr>
          <w:vertAlign w:val="superscript"/>
          <w:lang w:val="fr-FR" w:eastAsia="nb-NO"/>
        </w:rPr>
        <w:t>23</w:t>
      </w:r>
      <w:r w:rsidRPr="003F3120">
        <w:rPr>
          <w:lang w:val="fr-FR" w:eastAsia="nb-NO"/>
        </w:rPr>
        <w:t>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mandat de ces membres expire à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issue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 xml:space="preserve">troisième session suivant leur nomination, </w:t>
      </w:r>
      <w:r w:rsidR="0025125E">
        <w:rPr>
          <w:lang w:val="fr-FR" w:eastAsia="nb-NO"/>
        </w:rPr>
        <w:t>et peut être prorogé.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choix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membres devrait </w:t>
      </w:r>
      <w:r w:rsidR="0025125E">
        <w:rPr>
          <w:lang w:val="fr-FR" w:eastAsia="nb-NO"/>
        </w:rPr>
        <w:t>tenir compte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nécessité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assurer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continuité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travaux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spéciale.</w:t>
      </w:r>
    </w:p>
    <w:p w14:paraId="79165E4E" w14:textId="765CE32C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/>
        </w:rPr>
        <w:t>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discrétion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coprésidents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et à l</w:t>
      </w:r>
      <w:r w:rsidR="00FA5ADB">
        <w:rPr>
          <w:lang w:val="fr-FR"/>
        </w:rPr>
        <w:t>’</w:t>
      </w:r>
      <w:r w:rsidRPr="003F3120">
        <w:rPr>
          <w:lang w:val="fr-FR"/>
        </w:rPr>
        <w:t>issue de consultations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Bureau, un petit nombre d</w:t>
      </w:r>
      <w:r w:rsidR="00FA5ADB">
        <w:rPr>
          <w:lang w:val="fr-FR"/>
        </w:rPr>
        <w:t>’</w:t>
      </w:r>
      <w:r w:rsidRPr="003F3120">
        <w:rPr>
          <w:lang w:val="fr-FR"/>
        </w:rPr>
        <w:t>experts supplémentaires spécialistes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scénarios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modèles ainsi 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représentants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organisations locales et autochtones pourraient être invités à participer aux</w:t>
      </w:r>
      <w:r w:rsidR="006E0890">
        <w:rPr>
          <w:lang w:val="fr-FR"/>
        </w:rPr>
        <w:t> </w:t>
      </w:r>
      <w:r w:rsidRPr="003F3120">
        <w:rPr>
          <w:lang w:val="fr-FR"/>
        </w:rPr>
        <w:t>travaux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en qualité de personnes-ressources.</w:t>
      </w:r>
    </w:p>
    <w:p w14:paraId="6A2CD7A9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C.</w:t>
      </w:r>
      <w:r w:rsidRPr="003F3120">
        <w:rPr>
          <w:lang w:val="fr-FR" w:eastAsia="en-GB"/>
        </w:rPr>
        <w:tab/>
        <w:t>Mode de fonctionnement</w:t>
      </w:r>
    </w:p>
    <w:p w14:paraId="555A5C03" w14:textId="6924B1CF" w:rsidR="00A53F09" w:rsidRPr="003F3120" w:rsidRDefault="00A53F09" w:rsidP="00ED6939">
      <w:pPr>
        <w:pStyle w:val="Normalnumber"/>
        <w:numPr>
          <w:ilvl w:val="0"/>
          <w:numId w:val="5"/>
        </w:numPr>
        <w:rPr>
          <w:rFonts w:eastAsia="SimSun"/>
          <w:lang w:val="fr-FR" w:eastAsia="zh-CN"/>
        </w:rPr>
      </w:pPr>
      <w:r w:rsidRPr="003F3120">
        <w:rPr>
          <w:rFonts w:eastAsia="SimSun"/>
          <w:lang w:val="fr-FR" w:eastAsia="zh-CN"/>
        </w:rPr>
        <w:t>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équipe spéciale est coprésidée par un membre du Bureau ou du Groupe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 xml:space="preserve">experts </w:t>
      </w:r>
      <w:r w:rsidRPr="003F3120">
        <w:rPr>
          <w:lang w:val="fr-FR"/>
        </w:rPr>
        <w:t>multidisciplinaire</w:t>
      </w:r>
      <w:r w:rsidRPr="003F3120">
        <w:rPr>
          <w:rFonts w:eastAsia="SimSun"/>
          <w:lang w:val="fr-FR" w:eastAsia="zh-CN"/>
        </w:rPr>
        <w:t xml:space="preserve"> et un membre expert. Elle travaille dans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 xml:space="preserve">cadre de réunions </w:t>
      </w:r>
      <w:r w:rsidR="0025125E">
        <w:rPr>
          <w:rFonts w:eastAsia="SimSun"/>
          <w:lang w:val="fr-FR" w:eastAsia="zh-CN"/>
        </w:rPr>
        <w:t>en présentiel</w:t>
      </w:r>
      <w:r w:rsidR="0036675E">
        <w:rPr>
          <w:rFonts w:eastAsia="SimSun"/>
          <w:lang w:val="fr-FR" w:eastAsia="zh-CN"/>
        </w:rPr>
        <w:t>, de </w:t>
      </w:r>
      <w:r w:rsidRPr="003F3120">
        <w:rPr>
          <w:rFonts w:eastAsia="SimSun"/>
          <w:lang w:val="fr-FR" w:eastAsia="zh-CN"/>
        </w:rPr>
        <w:t xml:space="preserve">réunions </w:t>
      </w:r>
      <w:r w:rsidR="0025125E">
        <w:rPr>
          <w:rFonts w:eastAsia="SimSun"/>
          <w:lang w:val="fr-FR" w:eastAsia="zh-CN"/>
        </w:rPr>
        <w:t>en ligne</w:t>
      </w:r>
      <w:r w:rsidRPr="003F3120">
        <w:rPr>
          <w:rFonts w:eastAsia="SimSun"/>
          <w:lang w:val="fr-FR" w:eastAsia="zh-CN"/>
        </w:rPr>
        <w:t xml:space="preserve">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autres interactions par voie électronique.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produits de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équipe spéciale seront revus par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Bureau et par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Groupe et transmis à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Plénière pour information et examen, selon qu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 xml:space="preserve">il convient. </w:t>
      </w: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favorise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collaboration avec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partenaires stratégiques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/>
        </w:rPr>
        <w:t>partenaires</w:t>
      </w:r>
      <w:r w:rsidRPr="003F3120">
        <w:rPr>
          <w:lang w:val="fr-FR" w:eastAsia="nb-NO"/>
        </w:rPr>
        <w:t xml:space="preserve"> </w:t>
      </w:r>
      <w:r w:rsidR="0025125E">
        <w:rPr>
          <w:lang w:val="fr-FR" w:eastAsia="nb-NO"/>
        </w:rPr>
        <w:t>appuyant</w:t>
      </w:r>
      <w:r w:rsidRPr="003F3120">
        <w:rPr>
          <w:lang w:val="fr-FR" w:eastAsia="nb-NO"/>
        </w:rPr>
        <w:t xml:space="preserve">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initiative sous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direction du Bureau.</w:t>
      </w:r>
    </w:p>
    <w:p w14:paraId="0688D555" w14:textId="1E2A35A9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est secondée par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secrétariat, qui comprend un 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appui technique</w:t>
      </w:r>
      <w:r w:rsidR="006E0890">
        <w:rPr>
          <w:lang w:val="fr-FR" w:eastAsia="nb-NO"/>
        </w:rPr>
        <w:t> </w:t>
      </w:r>
      <w:r w:rsidRPr="003F3120">
        <w:rPr>
          <w:lang w:val="fr-FR" w:eastAsia="nb-NO"/>
        </w:rPr>
        <w:t>dédié.</w:t>
      </w:r>
    </w:p>
    <w:p w14:paraId="4A6CC31E" w14:textId="734C42B3" w:rsidR="00A53F09" w:rsidRPr="003F3120" w:rsidRDefault="00A53F09" w:rsidP="00A53F09">
      <w:pPr>
        <w:pStyle w:val="CH1"/>
        <w:rPr>
          <w:lang w:val="fr-FR"/>
        </w:rPr>
      </w:pPr>
      <w:r w:rsidRPr="003F3120">
        <w:rPr>
          <w:lang w:val="fr-FR"/>
        </w:rPr>
        <w:lastRenderedPageBreak/>
        <w:tab/>
        <w:t>VI.</w:t>
      </w:r>
      <w:r w:rsidRPr="003F3120">
        <w:rPr>
          <w:lang w:val="fr-FR"/>
        </w:rPr>
        <w:tab/>
        <w:t>Mandat de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équipe spéciale </w:t>
      </w:r>
      <w:r w:rsidR="0036675E">
        <w:rPr>
          <w:lang w:val="fr-FR"/>
        </w:rPr>
        <w:t>sur</w:t>
      </w:r>
      <w:r w:rsidR="007031E0">
        <w:rPr>
          <w:lang w:val="fr-FR"/>
        </w:rPr>
        <w:t xml:space="preserve"> les </w:t>
      </w:r>
      <w:r w:rsidR="0036675E">
        <w:rPr>
          <w:lang w:val="fr-FR"/>
        </w:rPr>
        <w:t>outils et méthodes pour </w:t>
      </w: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</w:t>
      </w:r>
    </w:p>
    <w:p w14:paraId="49863A4D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A.</w:t>
      </w:r>
      <w:r w:rsidRPr="003F3120">
        <w:rPr>
          <w:lang w:val="fr-FR" w:eastAsia="en-GB"/>
        </w:rPr>
        <w:tab/>
        <w:t xml:space="preserve">Responsabilités </w:t>
      </w:r>
    </w:p>
    <w:p w14:paraId="3D778519" w14:textId="25C457DE" w:rsidR="00A53F09" w:rsidRPr="003F3120" w:rsidRDefault="00A53F09" w:rsidP="006E0890">
      <w:pPr>
        <w:pStyle w:val="Normalnumber"/>
        <w:keepLines/>
        <w:numPr>
          <w:ilvl w:val="0"/>
          <w:numId w:val="5"/>
        </w:numPr>
        <w:rPr>
          <w:lang w:val="fr-FR"/>
        </w:rPr>
      </w:pP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sur</w:t>
      </w:r>
      <w:r w:rsidR="007031E0">
        <w:rPr>
          <w:lang w:val="fr-FR"/>
        </w:rPr>
        <w:t xml:space="preserve"> les </w:t>
      </w:r>
      <w:r w:rsidR="000727AE">
        <w:rPr>
          <w:lang w:val="fr-FR"/>
        </w:rPr>
        <w:t>moyens d</w:t>
      </w:r>
      <w:r w:rsidR="00FA5ADB">
        <w:rPr>
          <w:lang w:val="fr-FR"/>
        </w:rPr>
        <w:t>’</w:t>
      </w:r>
      <w:r w:rsidR="000727AE">
        <w:rPr>
          <w:lang w:val="fr-FR"/>
        </w:rPr>
        <w:t>action</w:t>
      </w:r>
      <w:r w:rsidRPr="003F3120">
        <w:rPr>
          <w:lang w:val="fr-FR"/>
        </w:rPr>
        <w:t>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outils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appui </w:t>
      </w:r>
      <w:r w:rsidR="000727AE">
        <w:rPr>
          <w:lang w:val="fr-FR"/>
        </w:rPr>
        <w:t>à l</w:t>
      </w:r>
      <w:r w:rsidR="00FA5ADB">
        <w:rPr>
          <w:lang w:val="fr-FR"/>
        </w:rPr>
        <w:t>’</w:t>
      </w:r>
      <w:r w:rsidR="000727AE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méthodes supervise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réalisation de l</w:t>
      </w:r>
      <w:r w:rsidR="00FA5ADB">
        <w:rPr>
          <w:lang w:val="fr-FR"/>
        </w:rPr>
        <w:t>’</w:t>
      </w:r>
      <w:r w:rsidR="00C067BE" w:rsidRPr="003F3120">
        <w:rPr>
          <w:lang w:val="fr-FR"/>
        </w:rPr>
        <w:t>objectif 4 </w:t>
      </w:r>
      <w:r w:rsidRPr="003F3120">
        <w:rPr>
          <w:lang w:val="fr-FR"/>
        </w:rPr>
        <w:t xml:space="preserve">a) du </w:t>
      </w:r>
      <w:r w:rsidR="00F96E46" w:rsidRPr="003F3120">
        <w:rPr>
          <w:lang w:val="fr-FR"/>
        </w:rPr>
        <w:t>programme de travail glissant pour</w:t>
      </w:r>
      <w:r w:rsidR="007031E0">
        <w:rPr>
          <w:lang w:val="fr-FR"/>
        </w:rPr>
        <w:t xml:space="preserve"> la </w:t>
      </w:r>
      <w:r w:rsidR="00F96E46" w:rsidRPr="003F3120">
        <w:rPr>
          <w:lang w:val="fr-FR"/>
        </w:rPr>
        <w:t>période allant jusqu</w:t>
      </w:r>
      <w:r w:rsidR="00FA5ADB">
        <w:rPr>
          <w:lang w:val="fr-FR"/>
        </w:rPr>
        <w:t>’</w:t>
      </w:r>
      <w:r w:rsidR="00F96E46" w:rsidRPr="003F3120">
        <w:rPr>
          <w:lang w:val="fr-FR"/>
        </w:rPr>
        <w:t>en 2030</w:t>
      </w:r>
      <w:r w:rsidRPr="003F3120">
        <w:rPr>
          <w:lang w:val="fr-FR"/>
        </w:rPr>
        <w:t xml:space="preserve"> (Travaux </w:t>
      </w:r>
      <w:r w:rsidRPr="003F3120">
        <w:rPr>
          <w:rFonts w:eastAsia="SimSun"/>
          <w:lang w:val="fr-FR" w:eastAsia="zh-CN"/>
        </w:rPr>
        <w:t>avancés</w:t>
      </w:r>
      <w:r w:rsidRPr="003F3120">
        <w:rPr>
          <w:lang w:val="fr-FR"/>
        </w:rPr>
        <w:t xml:space="preserve"> sur</w:t>
      </w:r>
      <w:r w:rsidR="007031E0">
        <w:rPr>
          <w:lang w:val="fr-FR"/>
        </w:rPr>
        <w:t xml:space="preserve"> les </w:t>
      </w:r>
      <w:r w:rsidR="000727AE">
        <w:rPr>
          <w:lang w:val="fr-FR"/>
        </w:rPr>
        <w:t>moyens d</w:t>
      </w:r>
      <w:r w:rsidR="00FA5ADB">
        <w:rPr>
          <w:lang w:val="fr-FR"/>
        </w:rPr>
        <w:t>’</w:t>
      </w:r>
      <w:r w:rsidR="000727AE">
        <w:rPr>
          <w:lang w:val="fr-FR"/>
        </w:rPr>
        <w:t>action</w:t>
      </w:r>
      <w:r w:rsidRPr="003F3120">
        <w:rPr>
          <w:lang w:val="fr-FR"/>
        </w:rPr>
        <w:t>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outils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appui </w:t>
      </w:r>
      <w:r w:rsidR="000727AE">
        <w:rPr>
          <w:lang w:val="fr-FR"/>
        </w:rPr>
        <w:t>à l</w:t>
      </w:r>
      <w:r w:rsidR="00FA5ADB">
        <w:rPr>
          <w:lang w:val="fr-FR"/>
        </w:rPr>
        <w:t>’</w:t>
      </w:r>
      <w:r w:rsidR="000727AE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méthodes</w:t>
      </w:r>
      <w:r w:rsidRPr="003F3120">
        <w:rPr>
          <w:rFonts w:eastAsia="MS Mincho"/>
          <w:lang w:val="fr-FR" w:eastAsia="nb-NO"/>
        </w:rPr>
        <w:t xml:space="preserve">) </w:t>
      </w:r>
      <w:r w:rsidRPr="003F3120">
        <w:rPr>
          <w:lang w:val="fr-FR"/>
        </w:rPr>
        <w:t>et</w:t>
      </w:r>
      <w:r w:rsidR="007031E0">
        <w:rPr>
          <w:lang w:val="fr-FR"/>
        </w:rPr>
        <w:t xml:space="preserve"> y </w:t>
      </w:r>
      <w:r w:rsidRPr="003F3120">
        <w:rPr>
          <w:lang w:val="fr-FR"/>
        </w:rPr>
        <w:t>prend part, conformément aux décisions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et de ses organes subsidiaires</w:t>
      </w:r>
      <w:r w:rsidR="000727AE">
        <w:rPr>
          <w:lang w:val="fr-FR"/>
        </w:rPr>
        <w:t xml:space="preserve"> sur</w:t>
      </w:r>
      <w:r w:rsidR="007031E0">
        <w:rPr>
          <w:lang w:val="fr-FR"/>
        </w:rPr>
        <w:t xml:space="preserve"> la </w:t>
      </w:r>
      <w:r w:rsidR="000727AE">
        <w:rPr>
          <w:lang w:val="fr-FR"/>
        </w:rPr>
        <w:t>question</w:t>
      </w:r>
      <w:r w:rsidRPr="003F3120">
        <w:rPr>
          <w:lang w:val="fr-FR"/>
        </w:rPr>
        <w:t>, notamment en s</w:t>
      </w:r>
      <w:r w:rsidR="00FA5ADB">
        <w:rPr>
          <w:lang w:val="fr-FR"/>
        </w:rPr>
        <w:t>’</w:t>
      </w:r>
      <w:r w:rsidRPr="003F3120">
        <w:rPr>
          <w:lang w:val="fr-FR"/>
        </w:rPr>
        <w:t>appuyant sur</w:t>
      </w:r>
      <w:r w:rsidR="007031E0">
        <w:rPr>
          <w:lang w:val="fr-FR"/>
        </w:rPr>
        <w:t xml:space="preserve"> les </w:t>
      </w:r>
      <w:r w:rsidR="000727AE">
        <w:rPr>
          <w:lang w:val="fr-FR"/>
        </w:rPr>
        <w:t>enseignements</w:t>
      </w:r>
      <w:r w:rsidRPr="003F3120">
        <w:rPr>
          <w:lang w:val="fr-FR"/>
        </w:rPr>
        <w:t xml:space="preserve"> tirés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réalisation du prod</w:t>
      </w:r>
      <w:r w:rsidR="00C067BE" w:rsidRPr="003F3120">
        <w:rPr>
          <w:lang w:val="fr-FR"/>
        </w:rPr>
        <w:t>uit 4 </w:t>
      </w:r>
      <w:r w:rsidRPr="003F3120">
        <w:rPr>
          <w:lang w:val="fr-FR"/>
        </w:rPr>
        <w:t>c) du premier programme de travail et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</w:t>
      </w:r>
    </w:p>
    <w:p w14:paraId="2D39E3DA" w14:textId="5F213E52" w:rsidR="00A53F09" w:rsidRPr="003F3120" w:rsidRDefault="00A53F09" w:rsidP="00ED6939">
      <w:pPr>
        <w:pStyle w:val="Normalnumber"/>
        <w:numPr>
          <w:ilvl w:val="1"/>
          <w:numId w:val="5"/>
        </w:numPr>
        <w:tabs>
          <w:tab w:val="clear" w:pos="1134"/>
        </w:tabs>
        <w:rPr>
          <w:lang w:val="fr-FR"/>
        </w:rPr>
      </w:pPr>
      <w:r w:rsidRPr="003F3120">
        <w:rPr>
          <w:lang w:val="fr-FR"/>
        </w:rPr>
        <w:t>En supervisant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élaboration du contenu du portail </w:t>
      </w:r>
      <w:r w:rsidR="008E5719" w:rsidRPr="003F3120">
        <w:rPr>
          <w:lang w:val="fr-FR"/>
        </w:rPr>
        <w:t>d</w:t>
      </w:r>
      <w:r w:rsidR="00FA5ADB">
        <w:rPr>
          <w:lang w:val="fr-FR"/>
        </w:rPr>
        <w:t>’</w:t>
      </w:r>
      <w:r w:rsidR="008E5719" w:rsidRPr="003F3120">
        <w:rPr>
          <w:lang w:val="fr-FR"/>
        </w:rPr>
        <w:t>aide à l</w:t>
      </w:r>
      <w:r w:rsidR="00FA5ADB">
        <w:rPr>
          <w:lang w:val="fr-FR"/>
        </w:rPr>
        <w:t>’</w:t>
      </w:r>
      <w:r w:rsidR="008E5719" w:rsidRPr="003F3120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="008E5719" w:rsidRPr="003F3120">
        <w:rPr>
          <w:lang w:val="fr-FR"/>
        </w:rPr>
        <w:t xml:space="preserve">politiques </w:t>
      </w:r>
      <w:r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Plateforme, en aidant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gouvernements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parties prenantes à se servir du portail et en veillant à ce que</w:t>
      </w:r>
      <w:r w:rsidR="007031E0">
        <w:rPr>
          <w:lang w:val="fr-FR"/>
        </w:rPr>
        <w:t xml:space="preserve"> les </w:t>
      </w:r>
      <w:r w:rsidR="000727AE">
        <w:rPr>
          <w:lang w:val="fr-FR"/>
        </w:rPr>
        <w:t>moyens d</w:t>
      </w:r>
      <w:r w:rsidR="00FA5ADB">
        <w:rPr>
          <w:lang w:val="fr-FR"/>
        </w:rPr>
        <w:t>’</w:t>
      </w:r>
      <w:r w:rsidR="000727AE">
        <w:rPr>
          <w:lang w:val="fr-FR"/>
        </w:rPr>
        <w:t>action</w:t>
      </w:r>
      <w:r w:rsidRPr="003F3120">
        <w:rPr>
          <w:lang w:val="fr-FR"/>
        </w:rPr>
        <w:t>,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outils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appui </w:t>
      </w:r>
      <w:r w:rsidR="000727AE">
        <w:rPr>
          <w:lang w:val="fr-FR"/>
        </w:rPr>
        <w:t>à l</w:t>
      </w:r>
      <w:r w:rsidR="00FA5ADB">
        <w:rPr>
          <w:lang w:val="fr-FR"/>
        </w:rPr>
        <w:t>’</w:t>
      </w:r>
      <w:r w:rsidR="000727AE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méthodes identifiés par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évaluations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soient affichés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portail et accessibles aux décideurs</w:t>
      </w:r>
      <w:r w:rsidR="00FD5D6A">
        <w:rPr>
          <w:lang w:val="fr-FR"/>
        </w:rPr>
        <w:t> ;</w:t>
      </w:r>
      <w:r w:rsidRPr="003F3120">
        <w:rPr>
          <w:lang w:val="fr-FR"/>
        </w:rPr>
        <w:t xml:space="preserve"> </w:t>
      </w:r>
    </w:p>
    <w:p w14:paraId="20E6FEE2" w14:textId="4AF29398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/>
        </w:rPr>
      </w:pPr>
      <w:r w:rsidRPr="003F3120">
        <w:rPr>
          <w:lang w:val="fr-FR"/>
        </w:rPr>
        <w:t>En activant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élaboration </w:t>
      </w:r>
      <w:r w:rsidR="0036139D">
        <w:rPr>
          <w:lang w:val="fr-FR"/>
        </w:rPr>
        <w:t>de moyens d</w:t>
      </w:r>
      <w:r w:rsidR="00FA5ADB">
        <w:rPr>
          <w:lang w:val="fr-FR"/>
        </w:rPr>
        <w:t>’</w:t>
      </w:r>
      <w:r w:rsidR="0036139D">
        <w:rPr>
          <w:lang w:val="fr-FR"/>
        </w:rPr>
        <w:t>action</w:t>
      </w:r>
      <w:r w:rsidRPr="003F3120">
        <w:rPr>
          <w:lang w:val="fr-FR"/>
        </w:rPr>
        <w:t>, d</w:t>
      </w:r>
      <w:r w:rsidR="00FA5ADB">
        <w:rPr>
          <w:lang w:val="fr-FR"/>
        </w:rPr>
        <w:t>’</w:t>
      </w:r>
      <w:r w:rsidRPr="003F3120">
        <w:rPr>
          <w:lang w:val="fr-FR"/>
        </w:rPr>
        <w:t>outils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appui </w:t>
      </w:r>
      <w:r w:rsidR="0036139D">
        <w:rPr>
          <w:lang w:val="fr-FR"/>
        </w:rPr>
        <w:t>à l</w:t>
      </w:r>
      <w:r w:rsidR="00FA5ADB">
        <w:rPr>
          <w:lang w:val="fr-FR"/>
        </w:rPr>
        <w:t>’</w:t>
      </w:r>
      <w:r w:rsidR="0036139D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 et de bonnes pratiques pour combler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lacunes mises au jour par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évaluations réalisées par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Plateforme.</w:t>
      </w:r>
    </w:p>
    <w:p w14:paraId="58CCF207" w14:textId="66B7146B" w:rsidR="00A53F09" w:rsidRPr="003F3120" w:rsidRDefault="00A53F09" w:rsidP="00ED6939">
      <w:pPr>
        <w:pStyle w:val="Normalnumber"/>
        <w:numPr>
          <w:ilvl w:val="1"/>
          <w:numId w:val="5"/>
        </w:numPr>
        <w:rPr>
          <w:lang w:val="fr-FR"/>
        </w:rPr>
      </w:pPr>
      <w:r w:rsidRPr="003F3120">
        <w:rPr>
          <w:lang w:val="fr-FR"/>
        </w:rPr>
        <w:t>En promouvant</w:t>
      </w:r>
      <w:r w:rsidRPr="003F3120">
        <w:rPr>
          <w:lang w:val="fr-FR" w:eastAsia="en-GB"/>
        </w:rPr>
        <w:t xml:space="preserve"> l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 xml:space="preserve">utilisation </w:t>
      </w:r>
      <w:r w:rsidR="0036139D">
        <w:rPr>
          <w:lang w:val="fr-FR" w:eastAsia="en-GB"/>
        </w:rPr>
        <w:t>de moyens d</w:t>
      </w:r>
      <w:r w:rsidR="00FA5ADB">
        <w:rPr>
          <w:lang w:val="fr-FR" w:eastAsia="en-GB"/>
        </w:rPr>
        <w:t>’</w:t>
      </w:r>
      <w:r w:rsidR="0036139D">
        <w:rPr>
          <w:lang w:val="fr-FR" w:eastAsia="en-GB"/>
        </w:rPr>
        <w:t>action</w:t>
      </w:r>
      <w:r w:rsidRPr="003F3120">
        <w:rPr>
          <w:lang w:val="fr-FR" w:eastAsia="en-GB"/>
        </w:rPr>
        <w:t>, d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>outils d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 xml:space="preserve">appui </w:t>
      </w:r>
      <w:r w:rsidR="0036139D">
        <w:rPr>
          <w:lang w:val="fr-FR"/>
        </w:rPr>
        <w:t>à l</w:t>
      </w:r>
      <w:r w:rsidR="00FA5ADB">
        <w:rPr>
          <w:lang w:val="fr-FR"/>
        </w:rPr>
        <w:t>’</w:t>
      </w:r>
      <w:r w:rsidR="0036139D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 w:eastAsia="en-GB"/>
        </w:rPr>
        <w:t>politiques et de méthodes aux fins de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mise en œuvre du programme de travail pour</w:t>
      </w:r>
      <w:r w:rsidR="007031E0">
        <w:rPr>
          <w:lang w:val="fr-FR" w:eastAsia="en-GB"/>
        </w:rPr>
        <w:t xml:space="preserve"> les </w:t>
      </w:r>
      <w:r w:rsidRPr="003F3120">
        <w:rPr>
          <w:lang w:val="fr-FR" w:eastAsia="en-GB"/>
        </w:rPr>
        <w:t>questions de conservation, de restauration et d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>utilisation rationnelle de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biodiversité et de fourniture de fonctions et de services écosystémiques dans</w:t>
      </w:r>
      <w:r w:rsidR="007031E0">
        <w:rPr>
          <w:lang w:val="fr-FR" w:eastAsia="en-GB"/>
        </w:rPr>
        <w:t xml:space="preserve"> le </w:t>
      </w:r>
      <w:r w:rsidRPr="003F3120">
        <w:rPr>
          <w:lang w:val="fr-FR" w:eastAsia="en-GB"/>
        </w:rPr>
        <w:t>cadre de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réalisation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>évaluations, ainsi qu</w:t>
      </w:r>
      <w:r w:rsidR="00FA5ADB">
        <w:rPr>
          <w:lang w:val="fr-FR" w:eastAsia="en-GB"/>
        </w:rPr>
        <w:t>’</w:t>
      </w:r>
      <w:r w:rsidRPr="003F3120">
        <w:rPr>
          <w:lang w:val="fr-FR" w:eastAsia="en-GB"/>
        </w:rPr>
        <w:t>en permettant</w:t>
      </w:r>
      <w:r w:rsidR="007031E0">
        <w:rPr>
          <w:lang w:val="fr-FR" w:eastAsia="en-GB"/>
        </w:rPr>
        <w:t xml:space="preserve"> la </w:t>
      </w:r>
      <w:r w:rsidRPr="003F3120">
        <w:rPr>
          <w:lang w:val="fr-FR" w:eastAsia="en-GB"/>
        </w:rPr>
        <w:t>prise en compte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>résultats</w:t>
      </w:r>
      <w:r w:rsidR="007031E0">
        <w:rPr>
          <w:lang w:val="fr-FR" w:eastAsia="en-GB"/>
        </w:rPr>
        <w:t xml:space="preserve"> des </w:t>
      </w:r>
      <w:r w:rsidRPr="003F3120">
        <w:rPr>
          <w:lang w:val="fr-FR" w:eastAsia="en-GB"/>
        </w:rPr>
        <w:t>évaluations dans</w:t>
      </w:r>
      <w:r w:rsidR="007031E0">
        <w:rPr>
          <w:lang w:val="fr-FR" w:eastAsia="en-GB"/>
        </w:rPr>
        <w:t xml:space="preserve"> les </w:t>
      </w:r>
      <w:r w:rsidRPr="003F3120">
        <w:rPr>
          <w:lang w:val="fr-FR" w:eastAsia="en-GB"/>
        </w:rPr>
        <w:t>processus de prise de décisions.</w:t>
      </w:r>
    </w:p>
    <w:p w14:paraId="496DCCC9" w14:textId="77777777" w:rsidR="00A53F09" w:rsidRPr="003F3120" w:rsidRDefault="00A53F09" w:rsidP="00A53F09">
      <w:pPr>
        <w:pStyle w:val="CH2"/>
        <w:rPr>
          <w:lang w:val="fr-FR"/>
        </w:rPr>
      </w:pPr>
      <w:r w:rsidRPr="003F3120">
        <w:rPr>
          <w:lang w:val="fr-FR" w:eastAsia="en-GB"/>
        </w:rPr>
        <w:tab/>
        <w:t>B.</w:t>
      </w:r>
      <w:r w:rsidRPr="003F3120">
        <w:rPr>
          <w:lang w:val="fr-FR" w:eastAsia="en-GB"/>
        </w:rPr>
        <w:tab/>
        <w:t>Composition</w:t>
      </w:r>
    </w:p>
    <w:p w14:paraId="1456177C" w14:textId="57D3C708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comprend jusqu</w:t>
      </w:r>
      <w:r w:rsidR="00FA5ADB">
        <w:rPr>
          <w:lang w:val="fr-FR" w:eastAsia="nb-NO"/>
        </w:rPr>
        <w:t>’</w:t>
      </w:r>
      <w:r w:rsidR="00C067BE" w:rsidRPr="003F3120">
        <w:rPr>
          <w:lang w:val="fr-FR" w:eastAsia="nb-NO"/>
        </w:rPr>
        <w:t>à 14 </w:t>
      </w:r>
      <w:r w:rsidRPr="003F3120">
        <w:rPr>
          <w:lang w:val="fr-FR" w:eastAsia="nb-NO"/>
        </w:rPr>
        <w:t>membres issus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cinq régions</w:t>
      </w:r>
      <w:r w:rsidR="007031E0">
        <w:rPr>
          <w:lang w:val="fr-FR" w:eastAsia="nb-NO"/>
        </w:rPr>
        <w:t xml:space="preserve"> des </w:t>
      </w:r>
      <w:r w:rsidR="00C067BE" w:rsidRPr="003F3120">
        <w:rPr>
          <w:lang w:val="fr-FR" w:eastAsia="nb-NO"/>
        </w:rPr>
        <w:t>Nations Unies, dont</w:t>
      </w:r>
      <w:r w:rsidR="00FD5D6A">
        <w:rPr>
          <w:lang w:val="fr-FR" w:eastAsia="nb-NO"/>
        </w:rPr>
        <w:t> :</w:t>
      </w:r>
      <w:r w:rsidR="00C067BE" w:rsidRPr="003F3120">
        <w:rPr>
          <w:lang w:val="fr-FR" w:eastAsia="nb-NO"/>
        </w:rPr>
        <w:t xml:space="preserve"> a) </w:t>
      </w:r>
      <w:r w:rsidRPr="003F3120">
        <w:rPr>
          <w:lang w:val="fr-FR" w:eastAsia="nb-NO"/>
        </w:rPr>
        <w:t>jusqu</w:t>
      </w:r>
      <w:r w:rsidR="00FA5ADB">
        <w:rPr>
          <w:lang w:val="fr-FR" w:eastAsia="nb-NO"/>
        </w:rPr>
        <w:t>’</w:t>
      </w:r>
      <w:r w:rsidR="00C067BE" w:rsidRPr="003F3120">
        <w:rPr>
          <w:lang w:val="fr-FR" w:eastAsia="nb-NO"/>
        </w:rPr>
        <w:t>à 4 </w:t>
      </w:r>
      <w:r w:rsidRPr="003F3120">
        <w:rPr>
          <w:lang w:val="fr-FR" w:eastAsia="nb-NO"/>
        </w:rPr>
        <w:t>membres du Bureau et du Groupe d</w:t>
      </w:r>
      <w:r w:rsidR="00FA5ADB">
        <w:rPr>
          <w:lang w:val="fr-FR" w:eastAsia="nb-NO"/>
        </w:rPr>
        <w:t>’</w:t>
      </w:r>
      <w:r w:rsidR="00C067BE" w:rsidRPr="003F3120">
        <w:rPr>
          <w:lang w:val="fr-FR" w:eastAsia="nb-NO"/>
        </w:rPr>
        <w:t>experts multidisciplinaire</w:t>
      </w:r>
      <w:r w:rsidR="00FD5D6A">
        <w:rPr>
          <w:lang w:val="fr-FR" w:eastAsia="nb-NO"/>
        </w:rPr>
        <w:t> ;</w:t>
      </w:r>
      <w:r w:rsidRPr="003F3120">
        <w:rPr>
          <w:lang w:val="fr-FR" w:eastAsia="nb-NO"/>
        </w:rPr>
        <w:t xml:space="preserve"> b)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membres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groupes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experts affectés aux évaluations en cours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 et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autr</w:t>
      </w:r>
      <w:r w:rsidR="00C067BE" w:rsidRPr="003F3120">
        <w:rPr>
          <w:lang w:val="fr-FR" w:eastAsia="nb-NO"/>
        </w:rPr>
        <w:t>es équipes spéciales concernées</w:t>
      </w:r>
      <w:r w:rsidR="00FD5D6A">
        <w:rPr>
          <w:lang w:val="fr-FR" w:eastAsia="nb-NO"/>
        </w:rPr>
        <w:t> ;</w:t>
      </w:r>
      <w:r w:rsidRPr="003F3120">
        <w:rPr>
          <w:lang w:val="fr-FR" w:eastAsia="nb-NO"/>
        </w:rPr>
        <w:t xml:space="preserve"> c)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représentants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organisations scientifiques nationales, régionales et internationales qualifiées, de centres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excellence et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institutions scientifiques et politiques comprenant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experts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savoirs autochtones et locaux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experts en savoirs autochtones et locaux connues pour leurs travaux et leurs compétences concernant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questions liées au mandat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</w:t>
      </w:r>
      <w:r w:rsidR="00FD5D6A">
        <w:rPr>
          <w:lang w:val="fr-FR" w:eastAsia="nb-NO"/>
        </w:rPr>
        <w:t> ;</w:t>
      </w:r>
      <w:r w:rsidRPr="003F3120">
        <w:rPr>
          <w:lang w:val="fr-FR" w:eastAsia="nb-NO"/>
        </w:rPr>
        <w:t xml:space="preserve"> d)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experts possédant une expérience pratique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/>
        </w:rPr>
        <w:t>formulation et de l</w:t>
      </w:r>
      <w:r w:rsidR="00FA5ADB">
        <w:rPr>
          <w:lang w:val="fr-FR"/>
        </w:rPr>
        <w:t>’</w:t>
      </w:r>
      <w:r w:rsidRPr="003F3120">
        <w:rPr>
          <w:lang w:val="fr-FR"/>
        </w:rPr>
        <w:t>application</w:t>
      </w:r>
      <w:r w:rsidR="007031E0">
        <w:rPr>
          <w:lang w:val="fr-FR"/>
        </w:rPr>
        <w:t xml:space="preserve"> des </w:t>
      </w:r>
      <w:r w:rsidR="00C067BE" w:rsidRPr="003F3120">
        <w:rPr>
          <w:lang w:val="fr-FR"/>
        </w:rPr>
        <w:t>politiques</w:t>
      </w:r>
      <w:r w:rsidR="00FD5D6A">
        <w:rPr>
          <w:lang w:val="fr-FR"/>
        </w:rPr>
        <w:t> ;</w:t>
      </w:r>
      <w:r w:rsidRPr="003F3120">
        <w:rPr>
          <w:lang w:val="fr-FR" w:eastAsia="nb-NO"/>
        </w:rPr>
        <w:t xml:space="preserve"> e)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experts de renom </w:t>
      </w:r>
      <w:r w:rsidR="0036139D">
        <w:rPr>
          <w:lang w:val="fr-FR" w:eastAsia="nb-NO"/>
        </w:rPr>
        <w:t>spécialisés dans</w:t>
      </w:r>
      <w:r w:rsidR="007031E0">
        <w:rPr>
          <w:lang w:val="fr-FR" w:eastAsia="nb-NO"/>
        </w:rPr>
        <w:t xml:space="preserve"> les </w:t>
      </w:r>
      <w:r w:rsidRPr="003F3120">
        <w:rPr>
          <w:lang w:val="fr-FR" w:eastAsia="nb-NO"/>
        </w:rPr>
        <w:t>questions relevant du mandat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spéciale.</w:t>
      </w:r>
    </w:p>
    <w:p w14:paraId="45CFA911" w14:textId="3B08DFC5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 w:eastAsia="nb-NO"/>
        </w:rPr>
      </w:pPr>
      <w:r w:rsidRPr="003F3120">
        <w:rPr>
          <w:lang w:val="fr-FR" w:eastAsia="nb-NO"/>
        </w:rPr>
        <w:t>Les membres autres que ceux du Bureau et du Groupe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 xml:space="preserve">experts multidisciplinaire sont choisis conformément aux procédures </w:t>
      </w:r>
      <w:r w:rsidR="0036139D">
        <w:rPr>
          <w:lang w:val="fr-FR" w:eastAsia="nb-NO"/>
        </w:rPr>
        <w:t>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établissement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produits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Plateforme</w:t>
      </w:r>
      <w:r w:rsidRPr="003F3120">
        <w:rPr>
          <w:vertAlign w:val="superscript"/>
          <w:lang w:val="fr-FR" w:eastAsia="nb-NO"/>
        </w:rPr>
        <w:t>23</w:t>
      </w:r>
      <w:r w:rsidRPr="003F3120">
        <w:rPr>
          <w:lang w:val="fr-FR" w:eastAsia="nb-NO"/>
        </w:rPr>
        <w:t>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mandat de ces membres expire à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issue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troisième session suivant leur nomination</w:t>
      </w:r>
      <w:r w:rsidR="0036139D">
        <w:rPr>
          <w:lang w:val="fr-FR" w:eastAsia="nb-NO"/>
        </w:rPr>
        <w:t xml:space="preserve"> et peut être prorogé</w:t>
      </w:r>
      <w:r w:rsidRPr="003F3120">
        <w:rPr>
          <w:lang w:val="fr-FR" w:eastAsia="nb-NO"/>
        </w:rPr>
        <w:t>.</w:t>
      </w:r>
      <w:r w:rsidR="007031E0">
        <w:rPr>
          <w:lang w:val="fr-FR" w:eastAsia="nb-NO"/>
        </w:rPr>
        <w:t xml:space="preserve"> Le </w:t>
      </w:r>
      <w:r w:rsidRPr="003F3120">
        <w:rPr>
          <w:lang w:val="fr-FR" w:eastAsia="nb-NO"/>
        </w:rPr>
        <w:t>choix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membres devrait </w:t>
      </w:r>
      <w:r w:rsidR="0036139D">
        <w:rPr>
          <w:lang w:val="fr-FR" w:eastAsia="nb-NO"/>
        </w:rPr>
        <w:t>tenir compte de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nécessité d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assurer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continuité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travaux de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spéciale.</w:t>
      </w:r>
    </w:p>
    <w:p w14:paraId="4A95D3C8" w14:textId="2FF1BC2B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lang w:val="fr-FR"/>
        </w:rPr>
        <w:t>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discrétion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coprésidents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et à l</w:t>
      </w:r>
      <w:r w:rsidR="00FA5ADB">
        <w:rPr>
          <w:lang w:val="fr-FR"/>
        </w:rPr>
        <w:t>’</w:t>
      </w:r>
      <w:r w:rsidRPr="003F3120">
        <w:rPr>
          <w:lang w:val="fr-FR"/>
        </w:rPr>
        <w:t>issue de consultations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Bureau, un petit nombre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experts supplémentaires spécialistes </w:t>
      </w:r>
      <w:r w:rsidR="00945229">
        <w:rPr>
          <w:lang w:val="fr-FR"/>
        </w:rPr>
        <w:t>de moyens d</w:t>
      </w:r>
      <w:r w:rsidR="00FA5ADB">
        <w:rPr>
          <w:lang w:val="fr-FR"/>
        </w:rPr>
        <w:t>’</w:t>
      </w:r>
      <w:r w:rsidR="00945229">
        <w:rPr>
          <w:lang w:val="fr-FR"/>
        </w:rPr>
        <w:t>action</w:t>
      </w:r>
      <w:r w:rsidRPr="003F3120">
        <w:rPr>
          <w:lang w:val="fr-FR"/>
        </w:rPr>
        <w:t>,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outils 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appui </w:t>
      </w:r>
      <w:r w:rsidR="00945229">
        <w:rPr>
          <w:lang w:val="fr-FR"/>
        </w:rPr>
        <w:t>à l</w:t>
      </w:r>
      <w:r w:rsidR="00FA5ADB">
        <w:rPr>
          <w:lang w:val="fr-FR"/>
        </w:rPr>
        <w:t>’</w:t>
      </w:r>
      <w:r w:rsidR="00945229">
        <w:rPr>
          <w:lang w:val="fr-FR"/>
        </w:rPr>
        <w:t>élaboration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politiques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méthodes, ainsi que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représentants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organisations locales et autochtones pourraient être invités à participer aux travaux de l</w:t>
      </w:r>
      <w:r w:rsidR="00FA5ADB">
        <w:rPr>
          <w:lang w:val="fr-FR"/>
        </w:rPr>
        <w:t>’</w:t>
      </w:r>
      <w:r w:rsidRPr="003F3120">
        <w:rPr>
          <w:lang w:val="fr-FR"/>
        </w:rPr>
        <w:t>équipe spéciale en qualité de personnes-ressources.</w:t>
      </w:r>
    </w:p>
    <w:p w14:paraId="70EA7AFE" w14:textId="77777777" w:rsidR="00A53F09" w:rsidRPr="003F3120" w:rsidRDefault="00A53F09" w:rsidP="00A53F09">
      <w:pPr>
        <w:pStyle w:val="CH2"/>
        <w:rPr>
          <w:b w:val="0"/>
          <w:lang w:val="fr-FR"/>
        </w:rPr>
      </w:pPr>
      <w:r w:rsidRPr="003F3120">
        <w:rPr>
          <w:lang w:val="fr-FR" w:eastAsia="en-GB"/>
        </w:rPr>
        <w:tab/>
        <w:t>C.</w:t>
      </w:r>
      <w:r w:rsidRPr="003F3120">
        <w:rPr>
          <w:lang w:val="fr-FR" w:eastAsia="en-GB"/>
        </w:rPr>
        <w:tab/>
        <w:t>Mode de fonctionnement</w:t>
      </w:r>
    </w:p>
    <w:p w14:paraId="6E7D4C38" w14:textId="7CC13C20" w:rsidR="00A53F09" w:rsidRPr="003F3120" w:rsidRDefault="00A53F09" w:rsidP="00ED6939">
      <w:pPr>
        <w:pStyle w:val="Normalnumber"/>
        <w:numPr>
          <w:ilvl w:val="0"/>
          <w:numId w:val="5"/>
        </w:numPr>
        <w:rPr>
          <w:lang w:val="fr-FR"/>
        </w:rPr>
      </w:pPr>
      <w:r w:rsidRPr="003F3120">
        <w:rPr>
          <w:rFonts w:eastAsia="SimSun"/>
          <w:lang w:val="fr-FR" w:eastAsia="zh-CN"/>
        </w:rPr>
        <w:t>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équipe spéciale est coprésidée par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membres du Bureau ou du Groupe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experts multidisciplinaire, ou</w:t>
      </w:r>
      <w:r w:rsidR="007031E0">
        <w:rPr>
          <w:rFonts w:eastAsia="SimSun"/>
          <w:lang w:val="fr-FR" w:eastAsia="zh-CN"/>
        </w:rPr>
        <w:t xml:space="preserve"> des </w:t>
      </w:r>
      <w:r w:rsidRPr="003F3120">
        <w:rPr>
          <w:rFonts w:eastAsia="SimSun"/>
          <w:lang w:val="fr-FR" w:eastAsia="zh-CN"/>
        </w:rPr>
        <w:t>deux. Elle travaille dans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 xml:space="preserve">cadre de réunions </w:t>
      </w:r>
      <w:r w:rsidR="00945229">
        <w:rPr>
          <w:rFonts w:eastAsia="SimSun"/>
          <w:lang w:val="fr-FR" w:eastAsia="zh-CN"/>
        </w:rPr>
        <w:t>en présentiel</w:t>
      </w:r>
      <w:r w:rsidRPr="003F3120">
        <w:rPr>
          <w:rFonts w:eastAsia="SimSun"/>
          <w:lang w:val="fr-FR" w:eastAsia="zh-CN"/>
        </w:rPr>
        <w:t xml:space="preserve">, de réunions </w:t>
      </w:r>
      <w:r w:rsidR="00945229">
        <w:rPr>
          <w:rFonts w:eastAsia="SimSun"/>
          <w:lang w:val="fr-FR" w:eastAsia="zh-CN"/>
        </w:rPr>
        <w:t>en ligne</w:t>
      </w:r>
      <w:r w:rsidRPr="003F3120">
        <w:rPr>
          <w:rFonts w:eastAsia="SimSun"/>
          <w:lang w:val="fr-FR" w:eastAsia="zh-CN"/>
        </w:rPr>
        <w:t xml:space="preserve"> et d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autres interactions par voie électronique.</w:t>
      </w:r>
      <w:r w:rsidR="007031E0">
        <w:rPr>
          <w:rFonts w:eastAsia="SimSun"/>
          <w:lang w:val="fr-FR" w:eastAsia="zh-CN"/>
        </w:rPr>
        <w:t xml:space="preserve"> Les </w:t>
      </w:r>
      <w:r w:rsidRPr="003F3120">
        <w:rPr>
          <w:rFonts w:eastAsia="SimSun"/>
          <w:lang w:val="fr-FR" w:eastAsia="zh-CN"/>
        </w:rPr>
        <w:t>produits de l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équipe spéciale sont revus par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Bureau et par</w:t>
      </w:r>
      <w:r w:rsidR="007031E0">
        <w:rPr>
          <w:rFonts w:eastAsia="SimSun"/>
          <w:lang w:val="fr-FR" w:eastAsia="zh-CN"/>
        </w:rPr>
        <w:t xml:space="preserve"> le </w:t>
      </w:r>
      <w:r w:rsidRPr="003F3120">
        <w:rPr>
          <w:rFonts w:eastAsia="SimSun"/>
          <w:lang w:val="fr-FR" w:eastAsia="zh-CN"/>
        </w:rPr>
        <w:t>Groupe et transmis à</w:t>
      </w:r>
      <w:r w:rsidR="007031E0">
        <w:rPr>
          <w:rFonts w:eastAsia="SimSun"/>
          <w:lang w:val="fr-FR" w:eastAsia="zh-CN"/>
        </w:rPr>
        <w:t xml:space="preserve"> la </w:t>
      </w:r>
      <w:r w:rsidRPr="003F3120">
        <w:rPr>
          <w:rFonts w:eastAsia="SimSun"/>
          <w:lang w:val="fr-FR" w:eastAsia="zh-CN"/>
        </w:rPr>
        <w:t>Plénière pour information et examen, selon qu</w:t>
      </w:r>
      <w:r w:rsidR="00FA5ADB">
        <w:rPr>
          <w:rFonts w:eastAsia="SimSun"/>
          <w:lang w:val="fr-FR" w:eastAsia="zh-CN"/>
        </w:rPr>
        <w:t>’</w:t>
      </w:r>
      <w:r w:rsidRPr="003F3120">
        <w:rPr>
          <w:rFonts w:eastAsia="SimSun"/>
          <w:lang w:val="fr-FR" w:eastAsia="zh-CN"/>
        </w:rPr>
        <w:t>il convient.</w:t>
      </w:r>
      <w:r w:rsidRPr="003F3120">
        <w:rPr>
          <w:lang w:val="fr-FR"/>
        </w:rPr>
        <w:t xml:space="preserve"> </w:t>
      </w:r>
      <w:r w:rsidRPr="003F3120">
        <w:rPr>
          <w:lang w:val="fr-FR" w:eastAsia="nb-NO"/>
        </w:rPr>
        <w:t>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équipe spéciale favorise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collaboration avec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>partenaires stratégiques et</w:t>
      </w:r>
      <w:r w:rsidR="007031E0">
        <w:rPr>
          <w:lang w:val="fr-FR" w:eastAsia="nb-NO"/>
        </w:rPr>
        <w:t xml:space="preserve"> des </w:t>
      </w:r>
      <w:r w:rsidRPr="003F3120">
        <w:rPr>
          <w:lang w:val="fr-FR" w:eastAsia="nb-NO"/>
        </w:rPr>
        <w:t xml:space="preserve">partenaires </w:t>
      </w:r>
      <w:r w:rsidR="00945229">
        <w:rPr>
          <w:lang w:val="fr-FR" w:eastAsia="nb-NO"/>
        </w:rPr>
        <w:t>appuyant</w:t>
      </w:r>
      <w:r w:rsidRPr="003F3120">
        <w:rPr>
          <w:lang w:val="fr-FR" w:eastAsia="nb-NO"/>
        </w:rPr>
        <w:t xml:space="preserve"> l</w:t>
      </w:r>
      <w:r w:rsidR="00FA5ADB">
        <w:rPr>
          <w:lang w:val="fr-FR" w:eastAsia="nb-NO"/>
        </w:rPr>
        <w:t>’</w:t>
      </w:r>
      <w:r w:rsidRPr="003F3120">
        <w:rPr>
          <w:lang w:val="fr-FR" w:eastAsia="nb-NO"/>
        </w:rPr>
        <w:t>initiative sous</w:t>
      </w:r>
      <w:r w:rsidR="007031E0">
        <w:rPr>
          <w:lang w:val="fr-FR" w:eastAsia="nb-NO"/>
        </w:rPr>
        <w:t xml:space="preserve"> la </w:t>
      </w:r>
      <w:r w:rsidRPr="003F3120">
        <w:rPr>
          <w:lang w:val="fr-FR" w:eastAsia="nb-NO"/>
        </w:rPr>
        <w:t>direction du Bureau.</w:t>
      </w:r>
    </w:p>
    <w:p w14:paraId="28E4CE83" w14:textId="50B68DD0" w:rsidR="004843BC" w:rsidRPr="003F3120" w:rsidRDefault="00A53F09" w:rsidP="00ED6939">
      <w:pPr>
        <w:widowControl w:val="0"/>
        <w:numPr>
          <w:ilvl w:val="0"/>
          <w:numId w:val="5"/>
        </w:numPr>
        <w:autoSpaceDE w:val="0"/>
        <w:autoSpaceDN w:val="0"/>
        <w:spacing w:after="120"/>
      </w:pPr>
      <w:r w:rsidRPr="003F3120">
        <w:rPr>
          <w:rFonts w:eastAsia="SimSun"/>
          <w:lang w:eastAsia="zh-CN"/>
        </w:rPr>
        <w:t>L</w:t>
      </w:r>
      <w:r w:rsidR="00FA5ADB">
        <w:rPr>
          <w:rFonts w:eastAsia="SimSun"/>
          <w:lang w:eastAsia="zh-CN"/>
        </w:rPr>
        <w:t>’</w:t>
      </w:r>
      <w:r w:rsidRPr="003F3120">
        <w:rPr>
          <w:rFonts w:eastAsia="SimSun"/>
          <w:lang w:eastAsia="zh-CN"/>
        </w:rPr>
        <w:t>équipe</w:t>
      </w:r>
      <w:r w:rsidRPr="003F3120">
        <w:rPr>
          <w:lang w:eastAsia="nb-NO"/>
        </w:rPr>
        <w:t xml:space="preserve"> spéciale est secondée par</w:t>
      </w:r>
      <w:r w:rsidR="007031E0">
        <w:rPr>
          <w:lang w:eastAsia="nb-NO"/>
        </w:rPr>
        <w:t xml:space="preserve"> le </w:t>
      </w:r>
      <w:r w:rsidRPr="003F3120">
        <w:rPr>
          <w:lang w:eastAsia="nb-NO"/>
        </w:rPr>
        <w:t>secrétariat, qui comprend un groupe d</w:t>
      </w:r>
      <w:r w:rsidR="00FA5ADB">
        <w:rPr>
          <w:lang w:eastAsia="nb-NO"/>
        </w:rPr>
        <w:t>’</w:t>
      </w:r>
      <w:r w:rsidRPr="003F3120">
        <w:rPr>
          <w:lang w:eastAsia="nb-NO"/>
        </w:rPr>
        <w:t>appui technique</w:t>
      </w:r>
      <w:r w:rsidR="006E0890">
        <w:rPr>
          <w:lang w:eastAsia="nb-NO"/>
        </w:rPr>
        <w:t> </w:t>
      </w:r>
      <w:r w:rsidRPr="003F3120">
        <w:rPr>
          <w:lang w:eastAsia="nb-NO"/>
        </w:rPr>
        <w:t>dédié.</w:t>
      </w:r>
    </w:p>
    <w:p w14:paraId="23F2DEAA" w14:textId="77777777" w:rsidR="00691D8F" w:rsidRPr="003F3120" w:rsidRDefault="00691D8F">
      <w:pPr>
        <w:rPr>
          <w:b/>
          <w:sz w:val="28"/>
          <w:szCs w:val="28"/>
        </w:rPr>
        <w:sectPr w:rsidR="00691D8F" w:rsidRPr="003F3120" w:rsidSect="005C2FB4">
          <w:headerReference w:type="even" r:id="rId30"/>
          <w:headerReference w:type="default" r:id="rId31"/>
          <w:headerReference w:type="first" r:id="rId32"/>
          <w:footerReference w:type="first" r:id="rId33"/>
          <w:footnotePr>
            <w:numRestart w:val="eachSect"/>
          </w:footnotePr>
          <w:pgSz w:w="11907" w:h="16840" w:code="9"/>
          <w:pgMar w:top="907" w:right="992" w:bottom="1418" w:left="1418" w:header="539" w:footer="975" w:gutter="0"/>
          <w:cols w:space="539"/>
          <w:docGrid w:linePitch="360"/>
        </w:sectPr>
      </w:pPr>
    </w:p>
    <w:p w14:paraId="3DA169D2" w14:textId="5CFAB36E" w:rsidR="00FB690D" w:rsidRPr="003F3120" w:rsidRDefault="006E0890" w:rsidP="006E0890">
      <w:pPr>
        <w:pStyle w:val="CH1"/>
        <w:spacing w:before="0" w:after="240"/>
      </w:pPr>
      <w:r>
        <w:lastRenderedPageBreak/>
        <w:tab/>
      </w:r>
      <w:r>
        <w:tab/>
        <w:t>D</w:t>
      </w:r>
      <w:r w:rsidR="00274D0F" w:rsidRPr="003F3120">
        <w:t>é</w:t>
      </w:r>
      <w:r w:rsidR="00B56C3C" w:rsidRPr="003F3120">
        <w:t>cision </w:t>
      </w:r>
      <w:r w:rsidR="00FB690D" w:rsidRPr="003F3120">
        <w:t>IPBES-7/2</w:t>
      </w:r>
      <w:r w:rsidR="00FD5D6A">
        <w:t> :</w:t>
      </w:r>
      <w:r w:rsidR="00FB690D" w:rsidRPr="003F3120">
        <w:t xml:space="preserve"> </w:t>
      </w:r>
      <w:r w:rsidR="00274D0F" w:rsidRPr="003F3120">
        <w:t>Examen de</w:t>
      </w:r>
      <w:r w:rsidR="007031E0">
        <w:t xml:space="preserve"> la </w:t>
      </w:r>
      <w:r w:rsidR="00274D0F" w:rsidRPr="003F3120">
        <w:t>Plateforme intergouvernementale scientifique et p</w:t>
      </w:r>
      <w:r w:rsidR="0036675E">
        <w:t>olitique sur</w:t>
      </w:r>
      <w:r w:rsidR="007031E0">
        <w:t xml:space="preserve"> la </w:t>
      </w:r>
      <w:r w:rsidR="0036675E">
        <w:t>biodiversité et</w:t>
      </w:r>
      <w:r w:rsidR="007031E0">
        <w:t xml:space="preserve"> les </w:t>
      </w:r>
      <w:r w:rsidR="00274D0F" w:rsidRPr="003F3120">
        <w:t>services écosystémiques à l</w:t>
      </w:r>
      <w:r w:rsidR="00FA5ADB">
        <w:t>’</w:t>
      </w:r>
      <w:r w:rsidR="00274D0F" w:rsidRPr="003F3120">
        <w:t>issue de son </w:t>
      </w:r>
      <w:r w:rsidR="00E60FB8">
        <w:t>premier programme de travail</w:t>
      </w:r>
    </w:p>
    <w:p w14:paraId="3B13E799" w14:textId="560AA903" w:rsidR="00274D0F" w:rsidRPr="003F3120" w:rsidRDefault="006E0890" w:rsidP="006E0890">
      <w:pPr>
        <w:pStyle w:val="NormalNonumber"/>
        <w:rPr>
          <w:i/>
          <w:lang w:val="fr-FR"/>
        </w:rPr>
      </w:pPr>
      <w:r>
        <w:rPr>
          <w:i/>
          <w:lang w:val="fr-FR"/>
        </w:rPr>
        <w:tab/>
      </w:r>
      <w:r w:rsidR="00274D0F" w:rsidRPr="003F3120">
        <w:rPr>
          <w:i/>
          <w:lang w:val="fr-FR"/>
        </w:rPr>
        <w:t xml:space="preserve">La Plénière, </w:t>
      </w:r>
    </w:p>
    <w:p w14:paraId="05A89FFE" w14:textId="43008928" w:rsidR="00274D0F" w:rsidRPr="003F3120" w:rsidRDefault="00274D0F" w:rsidP="00274D0F">
      <w:pPr>
        <w:pStyle w:val="NormalNonumber"/>
        <w:rPr>
          <w:lang w:val="fr-FR"/>
        </w:rPr>
      </w:pPr>
      <w:r w:rsidRPr="003F3120">
        <w:rPr>
          <w:i/>
          <w:lang w:val="fr-FR"/>
        </w:rPr>
        <w:tab/>
        <w:t>Accueillant avec satisfaction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rapport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Secrétaire exécutive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 œuvre du </w:t>
      </w:r>
      <w:r w:rsidR="00E60FB8">
        <w:rPr>
          <w:lang w:val="fr-FR"/>
        </w:rPr>
        <w:t xml:space="preserve">premier </w:t>
      </w:r>
      <w:r w:rsidRPr="003F3120">
        <w:rPr>
          <w:lang w:val="fr-FR"/>
        </w:rPr>
        <w:t>programme de travail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intergouvernementale scientifique et politique sur</w:t>
      </w:r>
      <w:r w:rsidR="006E0890">
        <w:rPr>
          <w:lang w:val="fr-FR"/>
        </w:rPr>
        <w:t> </w:t>
      </w:r>
      <w:r w:rsidR="007031E0">
        <w:rPr>
          <w:lang w:val="fr-FR"/>
        </w:rPr>
        <w:t>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services écosystémiques</w:t>
      </w:r>
      <w:r w:rsidRPr="003F3120">
        <w:rPr>
          <w:rStyle w:val="FootnoteReference"/>
          <w:lang w:val="fr-FR"/>
        </w:rPr>
        <w:footnoteReference w:id="36"/>
      </w:r>
      <w:r w:rsidRPr="003F3120">
        <w:rPr>
          <w:lang w:val="fr-FR"/>
        </w:rPr>
        <w:t xml:space="preserve">, </w:t>
      </w:r>
    </w:p>
    <w:p w14:paraId="310E8AB9" w14:textId="54EFBB71" w:rsidR="00274D0F" w:rsidRPr="003F3120" w:rsidRDefault="00274D0F" w:rsidP="00274D0F">
      <w:pPr>
        <w:pStyle w:val="NormalNonumber"/>
        <w:rPr>
          <w:lang w:val="fr-FR"/>
        </w:rPr>
      </w:pPr>
      <w:r w:rsidRPr="003F3120">
        <w:rPr>
          <w:i/>
          <w:lang w:val="fr-FR"/>
        </w:rPr>
        <w:tab/>
        <w:t>Se félicitant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contributions remarquables apportées à ce jour par tous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experts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 xml:space="preserve">mise en œuvre du </w:t>
      </w:r>
      <w:r w:rsidR="00E60FB8">
        <w:rPr>
          <w:lang w:val="fr-FR"/>
        </w:rPr>
        <w:t xml:space="preserve">premier </w:t>
      </w:r>
      <w:r w:rsidR="0036675E">
        <w:rPr>
          <w:lang w:val="fr-FR"/>
        </w:rPr>
        <w:t>programme de travail</w:t>
      </w:r>
      <w:r w:rsidRPr="003F3120">
        <w:rPr>
          <w:lang w:val="fr-FR"/>
        </w:rPr>
        <w:t xml:space="preserve"> et remerciant ces experts ainsi que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 xml:space="preserve">institutions auxquelles ils appartiennent de leur dévouement sans faille, </w:t>
      </w:r>
    </w:p>
    <w:p w14:paraId="15EC9E92" w14:textId="1E321837" w:rsidR="00274D0F" w:rsidRPr="003F3120" w:rsidRDefault="00274D0F" w:rsidP="00274D0F">
      <w:pPr>
        <w:pStyle w:val="NormalNonumber"/>
        <w:rPr>
          <w:rFonts w:eastAsia="Calibri"/>
          <w:lang w:val="fr-FR"/>
        </w:rPr>
      </w:pPr>
      <w:r w:rsidRPr="003F3120">
        <w:rPr>
          <w:i/>
          <w:lang w:val="fr-FR"/>
        </w:rPr>
        <w:tab/>
      </w:r>
      <w:r w:rsidRPr="003F3120">
        <w:rPr>
          <w:rFonts w:eastAsia="Calibri"/>
          <w:i/>
          <w:lang w:val="fr-FR"/>
        </w:rPr>
        <w:t xml:space="preserve">Rappelant </w:t>
      </w:r>
      <w:r w:rsidR="00B56C3C" w:rsidRPr="003F3120">
        <w:rPr>
          <w:rFonts w:eastAsia="Calibri"/>
          <w:lang w:val="fr-FR"/>
        </w:rPr>
        <w:t>sa décision </w:t>
      </w:r>
      <w:r w:rsidRPr="003F3120">
        <w:rPr>
          <w:rFonts w:eastAsia="Calibri"/>
          <w:lang w:val="fr-FR"/>
        </w:rPr>
        <w:t>IPBES-5/2, dans laquelle elle a approuvé</w:t>
      </w:r>
      <w:r w:rsidR="007031E0">
        <w:rPr>
          <w:rFonts w:eastAsia="Calibri"/>
          <w:lang w:val="fr-FR"/>
        </w:rPr>
        <w:t xml:space="preserve"> le </w:t>
      </w:r>
      <w:r w:rsidRPr="003F3120">
        <w:rPr>
          <w:rFonts w:eastAsia="Calibri"/>
          <w:lang w:val="fr-FR"/>
        </w:rPr>
        <w:t>cadre pour l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examen de</w:t>
      </w:r>
      <w:r w:rsidR="007031E0">
        <w:rPr>
          <w:rFonts w:eastAsia="Calibri"/>
          <w:lang w:val="fr-FR"/>
        </w:rPr>
        <w:t xml:space="preserve"> la </w:t>
      </w:r>
      <w:r w:rsidRPr="003F3120">
        <w:rPr>
          <w:rFonts w:eastAsia="Calibri"/>
          <w:lang w:val="fr-FR"/>
        </w:rPr>
        <w:t>Plateforme à l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issue de son</w:t>
      </w:r>
      <w:r w:rsidR="00FD5D6A">
        <w:rPr>
          <w:rFonts w:eastAsia="Calibri"/>
          <w:lang w:val="fr-FR"/>
        </w:rPr>
        <w:t xml:space="preserve"> </w:t>
      </w:r>
      <w:r w:rsidR="00E60FB8">
        <w:rPr>
          <w:lang w:val="fr-FR"/>
        </w:rPr>
        <w:t xml:space="preserve">premier </w:t>
      </w:r>
      <w:r w:rsidR="00FD5D6A">
        <w:rPr>
          <w:rFonts w:eastAsia="Calibri"/>
          <w:lang w:val="fr-FR"/>
        </w:rPr>
        <w:t>programme de travail,</w:t>
      </w:r>
    </w:p>
    <w:p w14:paraId="318C05D5" w14:textId="39584B9B" w:rsidR="00274D0F" w:rsidRPr="003F3120" w:rsidRDefault="00274D0F" w:rsidP="00274D0F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rFonts w:eastAsia="Calibri"/>
          <w:lang w:val="fr-FR"/>
        </w:rPr>
      </w:pPr>
      <w:r w:rsidRPr="003F3120">
        <w:rPr>
          <w:rFonts w:eastAsia="Calibri"/>
          <w:i/>
          <w:lang w:val="fr-FR"/>
        </w:rPr>
        <w:t>Rappelant également</w:t>
      </w:r>
      <w:r w:rsidR="007031E0">
        <w:rPr>
          <w:rFonts w:eastAsia="Calibri"/>
          <w:i/>
          <w:lang w:val="fr-FR"/>
        </w:rPr>
        <w:t xml:space="preserve"> la </w:t>
      </w:r>
      <w:r w:rsidR="00B56C3C" w:rsidRPr="003F3120">
        <w:rPr>
          <w:rFonts w:eastAsia="Calibri"/>
          <w:lang w:val="fr-FR"/>
        </w:rPr>
        <w:t>section VIII de sa décision </w:t>
      </w:r>
      <w:r w:rsidRPr="003F3120">
        <w:rPr>
          <w:rFonts w:eastAsia="Calibri"/>
          <w:lang w:val="fr-FR"/>
        </w:rPr>
        <w:t>IPBES-6/1, dans laquelle elle a pris note du rapport établi par l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équipe d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examen interne</w:t>
      </w:r>
      <w:r w:rsidRPr="003F3120">
        <w:rPr>
          <w:rFonts w:eastAsia="Calibri"/>
          <w:vertAlign w:val="superscript"/>
          <w:lang w:val="fr-FR"/>
        </w:rPr>
        <w:footnoteReference w:id="37"/>
      </w:r>
      <w:r w:rsidRPr="003F3120">
        <w:rPr>
          <w:rFonts w:eastAsia="Calibri"/>
          <w:lang w:val="fr-FR"/>
        </w:rPr>
        <w:t>,</w:t>
      </w:r>
    </w:p>
    <w:p w14:paraId="63C87818" w14:textId="36FBAD5F" w:rsidR="00274D0F" w:rsidRPr="003F3120" w:rsidRDefault="00274D0F" w:rsidP="00ED6939">
      <w:pPr>
        <w:pStyle w:val="Normalnumber"/>
        <w:numPr>
          <w:ilvl w:val="0"/>
          <w:numId w:val="7"/>
        </w:numPr>
        <w:tabs>
          <w:tab w:val="clear" w:pos="1134"/>
        </w:tabs>
        <w:ind w:firstLine="596"/>
        <w:rPr>
          <w:rFonts w:eastAsia="Calibri"/>
          <w:lang w:val="fr-FR"/>
        </w:rPr>
      </w:pPr>
      <w:r w:rsidRPr="003F3120">
        <w:rPr>
          <w:rFonts w:eastAsia="Calibri"/>
          <w:i/>
          <w:lang w:val="fr-FR"/>
        </w:rPr>
        <w:t>Prend note</w:t>
      </w:r>
      <w:r w:rsidR="007031E0">
        <w:rPr>
          <w:rFonts w:eastAsia="Calibri"/>
          <w:i/>
          <w:lang w:val="fr-FR"/>
        </w:rPr>
        <w:t xml:space="preserve"> des </w:t>
      </w:r>
      <w:r w:rsidRPr="003F3120">
        <w:rPr>
          <w:rFonts w:eastAsia="Calibri"/>
          <w:lang w:val="fr-FR"/>
        </w:rPr>
        <w:t>activités entreprises pour mettre en œuvre</w:t>
      </w:r>
      <w:r w:rsidR="007031E0">
        <w:rPr>
          <w:rFonts w:eastAsia="Calibri"/>
          <w:lang w:val="fr-FR"/>
        </w:rPr>
        <w:t xml:space="preserve"> les </w:t>
      </w:r>
      <w:r w:rsidRPr="003F3120">
        <w:rPr>
          <w:rFonts w:eastAsia="Calibri"/>
          <w:lang w:val="fr-FR"/>
        </w:rPr>
        <w:t>recommandations issues du rapport établi par l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équipe chargée de l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examen interne</w:t>
      </w:r>
      <w:r w:rsidRPr="003F3120">
        <w:rPr>
          <w:rFonts w:eastAsia="Calibri"/>
          <w:vertAlign w:val="superscript"/>
          <w:lang w:val="fr-FR"/>
        </w:rPr>
        <w:footnoteReference w:id="38"/>
      </w:r>
      <w:r w:rsidR="00FD5D6A">
        <w:rPr>
          <w:rFonts w:eastAsia="Calibri"/>
          <w:lang w:val="fr-FR"/>
        </w:rPr>
        <w:t> ;</w:t>
      </w:r>
      <w:r w:rsidRPr="003F3120">
        <w:rPr>
          <w:rFonts w:eastAsia="Calibri"/>
          <w:lang w:val="fr-FR"/>
        </w:rPr>
        <w:t xml:space="preserve"> </w:t>
      </w:r>
    </w:p>
    <w:p w14:paraId="1CB42802" w14:textId="48E3251D" w:rsidR="00274D0F" w:rsidRPr="003F3120" w:rsidRDefault="00274D0F" w:rsidP="00ED6939">
      <w:pPr>
        <w:pStyle w:val="Normalnumber"/>
        <w:numPr>
          <w:ilvl w:val="0"/>
          <w:numId w:val="7"/>
        </w:numPr>
        <w:ind w:firstLine="624"/>
        <w:rPr>
          <w:rFonts w:eastAsia="Calibri"/>
          <w:lang w:val="fr-FR"/>
        </w:rPr>
      </w:pPr>
      <w:r w:rsidRPr="003F3120">
        <w:rPr>
          <w:rFonts w:eastAsia="Calibri"/>
          <w:i/>
          <w:iCs/>
          <w:lang w:val="fr-FR"/>
        </w:rPr>
        <w:t>Accueille avec satisfaction</w:t>
      </w:r>
      <w:r w:rsidR="007031E0">
        <w:rPr>
          <w:rFonts w:eastAsia="Calibri"/>
          <w:i/>
          <w:iCs/>
          <w:lang w:val="fr-FR"/>
        </w:rPr>
        <w:t xml:space="preserve"> le </w:t>
      </w:r>
      <w:r w:rsidRPr="003F3120">
        <w:rPr>
          <w:rFonts w:eastAsia="Calibri"/>
          <w:iCs/>
          <w:lang w:val="fr-FR"/>
        </w:rPr>
        <w:t>rapport</w:t>
      </w:r>
      <w:r w:rsidRPr="003F3120">
        <w:rPr>
          <w:rFonts w:eastAsia="Calibri"/>
          <w:i/>
          <w:iCs/>
          <w:lang w:val="fr-FR"/>
        </w:rPr>
        <w:t xml:space="preserve"> </w:t>
      </w:r>
      <w:r w:rsidRPr="003F3120">
        <w:rPr>
          <w:rFonts w:eastAsia="Calibri"/>
          <w:iCs/>
          <w:lang w:val="fr-FR"/>
        </w:rPr>
        <w:t>établi par</w:t>
      </w:r>
      <w:r w:rsidR="007031E0">
        <w:rPr>
          <w:rFonts w:eastAsia="Calibri"/>
          <w:iCs/>
          <w:lang w:val="fr-FR"/>
        </w:rPr>
        <w:t xml:space="preserve"> la </w:t>
      </w:r>
      <w:r w:rsidRPr="003F3120">
        <w:rPr>
          <w:rFonts w:eastAsia="Calibri"/>
          <w:iCs/>
          <w:lang w:val="fr-FR"/>
        </w:rPr>
        <w:t>commission d</w:t>
      </w:r>
      <w:r w:rsidR="00FA5ADB">
        <w:rPr>
          <w:rFonts w:eastAsia="Calibri"/>
          <w:iCs/>
          <w:lang w:val="fr-FR"/>
        </w:rPr>
        <w:t>’</w:t>
      </w:r>
      <w:r w:rsidRPr="003F3120">
        <w:rPr>
          <w:rFonts w:eastAsia="Calibri"/>
          <w:iCs/>
          <w:lang w:val="fr-FR"/>
        </w:rPr>
        <w:t>examen sur l</w:t>
      </w:r>
      <w:r w:rsidR="00FA5ADB">
        <w:rPr>
          <w:rFonts w:eastAsia="Calibri"/>
          <w:iCs/>
          <w:lang w:val="fr-FR"/>
        </w:rPr>
        <w:t>’</w:t>
      </w:r>
      <w:r w:rsidRPr="003F3120">
        <w:rPr>
          <w:rFonts w:eastAsia="Calibri"/>
          <w:iCs/>
          <w:lang w:val="fr-FR"/>
        </w:rPr>
        <w:t>examen de</w:t>
      </w:r>
      <w:r w:rsidR="007031E0">
        <w:rPr>
          <w:rFonts w:eastAsia="Calibri"/>
          <w:iCs/>
          <w:lang w:val="fr-FR"/>
        </w:rPr>
        <w:t xml:space="preserve"> la </w:t>
      </w:r>
      <w:r w:rsidRPr="003F3120">
        <w:rPr>
          <w:rFonts w:eastAsia="Calibri"/>
          <w:iCs/>
          <w:lang w:val="fr-FR"/>
        </w:rPr>
        <w:t>Plateforme à l</w:t>
      </w:r>
      <w:r w:rsidR="00FA5ADB">
        <w:rPr>
          <w:rFonts w:eastAsia="Calibri"/>
          <w:iCs/>
          <w:lang w:val="fr-FR"/>
        </w:rPr>
        <w:t>’</w:t>
      </w:r>
      <w:r w:rsidRPr="003F3120">
        <w:rPr>
          <w:rFonts w:eastAsia="Calibri"/>
          <w:iCs/>
          <w:lang w:val="fr-FR"/>
        </w:rPr>
        <w:t xml:space="preserve">issue de son </w:t>
      </w:r>
      <w:r w:rsidR="00E60FB8">
        <w:rPr>
          <w:lang w:val="fr-FR"/>
        </w:rPr>
        <w:t xml:space="preserve">premier </w:t>
      </w:r>
      <w:r w:rsidRPr="003F3120">
        <w:rPr>
          <w:rFonts w:eastAsia="Calibri"/>
          <w:iCs/>
          <w:lang w:val="fr-FR"/>
        </w:rPr>
        <w:t>programme de travail</w:t>
      </w:r>
      <w:r w:rsidRPr="003F3120">
        <w:rPr>
          <w:rFonts w:eastAsia="Calibri"/>
          <w:vertAlign w:val="superscript"/>
          <w:lang w:val="fr-FR"/>
        </w:rPr>
        <w:footnoteReference w:id="39"/>
      </w:r>
      <w:r w:rsidR="00FD5D6A">
        <w:rPr>
          <w:rFonts w:eastAsia="Calibri"/>
          <w:iCs/>
          <w:lang w:val="fr-FR"/>
        </w:rPr>
        <w:t> ;</w:t>
      </w:r>
      <w:r w:rsidRPr="003F3120">
        <w:rPr>
          <w:rFonts w:eastAsia="Calibri"/>
          <w:lang w:val="fr-FR"/>
        </w:rPr>
        <w:t xml:space="preserve"> </w:t>
      </w:r>
    </w:p>
    <w:p w14:paraId="466F8ECC" w14:textId="03B4BF78" w:rsidR="00274D0F" w:rsidRPr="003F3120" w:rsidRDefault="00274D0F" w:rsidP="00ED6939">
      <w:pPr>
        <w:pStyle w:val="Normalnumber"/>
        <w:numPr>
          <w:ilvl w:val="0"/>
          <w:numId w:val="7"/>
        </w:numPr>
        <w:ind w:firstLine="624"/>
        <w:rPr>
          <w:rFonts w:eastAsia="Calibri"/>
          <w:lang w:val="fr-FR"/>
        </w:rPr>
      </w:pPr>
      <w:r w:rsidRPr="003F3120">
        <w:rPr>
          <w:rFonts w:eastAsia="Calibri"/>
          <w:i/>
          <w:lang w:val="fr-FR"/>
        </w:rPr>
        <w:t>Accueille également avec satisfaction</w:t>
      </w:r>
      <w:r w:rsidR="007031E0">
        <w:rPr>
          <w:rFonts w:eastAsia="Calibri"/>
          <w:i/>
          <w:lang w:val="fr-FR"/>
        </w:rPr>
        <w:t xml:space="preserve"> les </w:t>
      </w:r>
      <w:r w:rsidRPr="003F3120">
        <w:rPr>
          <w:rFonts w:eastAsia="Calibri"/>
          <w:lang w:val="fr-FR"/>
        </w:rPr>
        <w:t>réponses au rapport mentionné au paragraphe</w:t>
      </w:r>
      <w:r w:rsidR="008E5719" w:rsidRPr="003F3120">
        <w:rPr>
          <w:rFonts w:eastAsia="Calibri"/>
          <w:lang w:val="fr-FR"/>
        </w:rPr>
        <w:t> </w:t>
      </w:r>
      <w:r w:rsidRPr="003F3120">
        <w:rPr>
          <w:rFonts w:eastAsia="Calibri"/>
          <w:lang w:val="fr-FR"/>
        </w:rPr>
        <w:t xml:space="preserve">2 </w:t>
      </w:r>
      <w:r w:rsidR="008E5719" w:rsidRPr="003F3120">
        <w:rPr>
          <w:rFonts w:eastAsia="Calibri"/>
          <w:lang w:val="fr-FR"/>
        </w:rPr>
        <w:t>de</w:t>
      </w:r>
      <w:r w:rsidR="007031E0">
        <w:rPr>
          <w:rFonts w:eastAsia="Calibri"/>
          <w:lang w:val="fr-FR"/>
        </w:rPr>
        <w:t xml:space="preserve"> la </w:t>
      </w:r>
      <w:r w:rsidR="008E5719" w:rsidRPr="003F3120">
        <w:rPr>
          <w:rFonts w:eastAsia="Calibri"/>
          <w:lang w:val="fr-FR"/>
        </w:rPr>
        <w:t>présente décision</w:t>
      </w:r>
      <w:r w:rsidRPr="003F3120">
        <w:rPr>
          <w:rFonts w:eastAsia="Calibri"/>
          <w:lang w:val="fr-FR"/>
        </w:rPr>
        <w:t xml:space="preserve"> apportées par</w:t>
      </w:r>
      <w:r w:rsidR="007031E0">
        <w:rPr>
          <w:rFonts w:eastAsia="Calibri"/>
          <w:lang w:val="fr-FR"/>
        </w:rPr>
        <w:t xml:space="preserve"> le </w:t>
      </w:r>
      <w:r w:rsidRPr="003F3120">
        <w:rPr>
          <w:rFonts w:eastAsia="Calibri"/>
          <w:lang w:val="fr-FR"/>
        </w:rPr>
        <w:t>Groupe d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experts multidisciplinaire et</w:t>
      </w:r>
      <w:r w:rsidR="007031E0">
        <w:rPr>
          <w:rFonts w:eastAsia="Calibri"/>
          <w:lang w:val="fr-FR"/>
        </w:rPr>
        <w:t xml:space="preserve"> le </w:t>
      </w:r>
      <w:r w:rsidRPr="003F3120">
        <w:rPr>
          <w:rFonts w:eastAsia="Calibri"/>
          <w:lang w:val="fr-FR"/>
        </w:rPr>
        <w:t>Bureau</w:t>
      </w:r>
      <w:r w:rsidRPr="003F3120">
        <w:rPr>
          <w:rFonts w:eastAsia="Calibri"/>
          <w:vertAlign w:val="superscript"/>
          <w:lang w:val="fr-FR"/>
        </w:rPr>
        <w:footnoteReference w:id="40"/>
      </w:r>
      <w:r w:rsidRPr="003F3120">
        <w:rPr>
          <w:rFonts w:eastAsia="Calibri"/>
          <w:lang w:val="fr-FR"/>
        </w:rPr>
        <w:t xml:space="preserve"> ainsi que par</w:t>
      </w:r>
      <w:r w:rsidR="007031E0">
        <w:rPr>
          <w:rFonts w:eastAsia="Calibri"/>
          <w:lang w:val="fr-FR"/>
        </w:rPr>
        <w:t xml:space="preserve"> la </w:t>
      </w:r>
      <w:r w:rsidRPr="003F3120">
        <w:rPr>
          <w:rFonts w:eastAsia="Calibri"/>
          <w:lang w:val="fr-FR"/>
        </w:rPr>
        <w:t>Secrétaire exécutive</w:t>
      </w:r>
      <w:r w:rsidRPr="003F3120">
        <w:rPr>
          <w:rFonts w:eastAsia="Calibri"/>
          <w:vertAlign w:val="superscript"/>
          <w:lang w:val="fr-FR"/>
        </w:rPr>
        <w:footnoteReference w:id="41"/>
      </w:r>
      <w:r w:rsidR="00FD5D6A">
        <w:rPr>
          <w:rFonts w:eastAsia="Calibri"/>
          <w:lang w:val="fr-FR"/>
        </w:rPr>
        <w:t> ;</w:t>
      </w:r>
    </w:p>
    <w:p w14:paraId="40C5F92F" w14:textId="24892E21" w:rsidR="00274D0F" w:rsidRPr="003F3120" w:rsidRDefault="00274D0F" w:rsidP="00ED6939">
      <w:pPr>
        <w:pStyle w:val="Normalnumber"/>
        <w:keepNext/>
        <w:keepLines/>
        <w:numPr>
          <w:ilvl w:val="0"/>
          <w:numId w:val="7"/>
        </w:numPr>
        <w:ind w:firstLine="624"/>
        <w:rPr>
          <w:rFonts w:eastAsia="Calibri"/>
          <w:lang w:val="fr-FR"/>
        </w:rPr>
      </w:pPr>
      <w:r w:rsidRPr="003F3120">
        <w:rPr>
          <w:rFonts w:eastAsia="Calibri"/>
          <w:i/>
          <w:lang w:val="fr-FR"/>
        </w:rPr>
        <w:t>Prie</w:t>
      </w:r>
      <w:r w:rsidR="007031E0">
        <w:rPr>
          <w:rFonts w:eastAsia="Calibri"/>
          <w:i/>
          <w:lang w:val="fr-FR"/>
        </w:rPr>
        <w:t xml:space="preserve"> le </w:t>
      </w:r>
      <w:r w:rsidRPr="003F3120">
        <w:rPr>
          <w:rFonts w:eastAsia="Calibri"/>
          <w:lang w:val="fr-FR"/>
        </w:rPr>
        <w:t>Bureau,</w:t>
      </w:r>
      <w:r w:rsidR="007031E0">
        <w:rPr>
          <w:rFonts w:eastAsia="Calibri"/>
          <w:lang w:val="fr-FR"/>
        </w:rPr>
        <w:t xml:space="preserve"> le </w:t>
      </w:r>
      <w:r w:rsidRPr="003F3120">
        <w:rPr>
          <w:rFonts w:eastAsia="Calibri"/>
          <w:lang w:val="fr-FR"/>
        </w:rPr>
        <w:t>Groupe d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experts multidisciplinaire et</w:t>
      </w:r>
      <w:r w:rsidR="007031E0">
        <w:rPr>
          <w:rFonts w:eastAsia="Calibri"/>
          <w:lang w:val="fr-FR"/>
        </w:rPr>
        <w:t xml:space="preserve"> la </w:t>
      </w:r>
      <w:r w:rsidRPr="003F3120">
        <w:rPr>
          <w:rFonts w:eastAsia="Calibri"/>
          <w:lang w:val="fr-FR"/>
        </w:rPr>
        <w:t>Secrétaire exécutive, conformément à leurs mandats respectifs, de tenir compte</w:t>
      </w:r>
      <w:r w:rsidR="007031E0">
        <w:rPr>
          <w:rFonts w:eastAsia="Calibri"/>
          <w:lang w:val="fr-FR"/>
        </w:rPr>
        <w:t xml:space="preserve"> des </w:t>
      </w:r>
      <w:r w:rsidRPr="003F3120">
        <w:rPr>
          <w:rFonts w:eastAsia="Calibri"/>
          <w:lang w:val="fr-FR"/>
        </w:rPr>
        <w:t>recommandations formulées par</w:t>
      </w:r>
      <w:r w:rsidR="007031E0">
        <w:rPr>
          <w:rFonts w:eastAsia="Calibri"/>
          <w:lang w:val="fr-FR"/>
        </w:rPr>
        <w:t xml:space="preserve"> la </w:t>
      </w:r>
      <w:r w:rsidRPr="003F3120">
        <w:rPr>
          <w:rFonts w:eastAsia="Calibri"/>
          <w:lang w:val="fr-FR"/>
        </w:rPr>
        <w:t>commission d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examen</w:t>
      </w:r>
      <w:r w:rsidRPr="003F3120">
        <w:rPr>
          <w:rStyle w:val="FootnoteReference"/>
          <w:rFonts w:eastAsia="Calibri"/>
          <w:lang w:val="fr-FR"/>
        </w:rPr>
        <w:footnoteReference w:customMarkFollows="1" w:id="42"/>
        <w:t>7</w:t>
      </w:r>
      <w:r w:rsidRPr="003F3120">
        <w:rPr>
          <w:rFonts w:eastAsia="Calibri"/>
          <w:lang w:val="fr-FR"/>
        </w:rPr>
        <w:t xml:space="preserve"> dans</w:t>
      </w:r>
      <w:r w:rsidR="007031E0">
        <w:rPr>
          <w:rFonts w:eastAsia="Calibri"/>
          <w:lang w:val="fr-FR"/>
        </w:rPr>
        <w:t xml:space="preserve"> la </w:t>
      </w:r>
      <w:r w:rsidRPr="003F3120">
        <w:rPr>
          <w:rFonts w:eastAsia="Calibri"/>
          <w:lang w:val="fr-FR"/>
        </w:rPr>
        <w:t xml:space="preserve">mise en œuvre du programme de travail </w:t>
      </w:r>
      <w:r w:rsidR="008E5719" w:rsidRPr="003F3120">
        <w:rPr>
          <w:rFonts w:eastAsia="Calibri"/>
          <w:lang w:val="fr-FR"/>
        </w:rPr>
        <w:t>glissant pour</w:t>
      </w:r>
      <w:r w:rsidR="007031E0">
        <w:rPr>
          <w:rFonts w:eastAsia="Calibri"/>
          <w:lang w:val="fr-FR"/>
        </w:rPr>
        <w:t xml:space="preserve"> la </w:t>
      </w:r>
      <w:r w:rsidR="008E5719" w:rsidRPr="003F3120">
        <w:rPr>
          <w:rFonts w:eastAsia="Calibri"/>
          <w:lang w:val="fr-FR"/>
        </w:rPr>
        <w:t xml:space="preserve">période allant </w:t>
      </w:r>
      <w:r w:rsidRPr="003F3120">
        <w:rPr>
          <w:rFonts w:eastAsia="Calibri"/>
          <w:lang w:val="fr-FR"/>
        </w:rPr>
        <w:t>jusqu</w:t>
      </w:r>
      <w:r w:rsidR="00FA5ADB">
        <w:rPr>
          <w:rFonts w:eastAsia="Calibri"/>
          <w:lang w:val="fr-FR"/>
        </w:rPr>
        <w:t>’</w:t>
      </w:r>
      <w:r w:rsidRPr="003F3120">
        <w:rPr>
          <w:rFonts w:eastAsia="Calibri"/>
          <w:lang w:val="fr-FR"/>
        </w:rPr>
        <w:t>en 2030 et de recenser</w:t>
      </w:r>
      <w:r w:rsidR="007031E0">
        <w:rPr>
          <w:rFonts w:eastAsia="Calibri"/>
          <w:lang w:val="fr-FR"/>
        </w:rPr>
        <w:t xml:space="preserve"> des </w:t>
      </w:r>
      <w:r w:rsidRPr="003F3120">
        <w:rPr>
          <w:rFonts w:eastAsia="Calibri"/>
          <w:lang w:val="fr-FR"/>
        </w:rPr>
        <w:t>solutions ou</w:t>
      </w:r>
      <w:r w:rsidR="007031E0">
        <w:rPr>
          <w:rFonts w:eastAsia="Calibri"/>
          <w:lang w:val="fr-FR"/>
        </w:rPr>
        <w:t xml:space="preserve"> des </w:t>
      </w:r>
      <w:r w:rsidRPr="003F3120">
        <w:rPr>
          <w:rFonts w:eastAsia="Calibri"/>
          <w:lang w:val="fr-FR"/>
        </w:rPr>
        <w:t xml:space="preserve">questions à </w:t>
      </w:r>
      <w:r w:rsidR="00DF23E8">
        <w:rPr>
          <w:rFonts w:eastAsia="Calibri"/>
          <w:lang w:val="fr-FR"/>
        </w:rPr>
        <w:t xml:space="preserve">lui </w:t>
      </w:r>
      <w:r w:rsidRPr="003F3120">
        <w:rPr>
          <w:rFonts w:eastAsia="Calibri"/>
          <w:lang w:val="fr-FR"/>
        </w:rPr>
        <w:t>soumettre pour examen à sa huitième session</w:t>
      </w:r>
      <w:r w:rsidR="00FD5D6A">
        <w:rPr>
          <w:rFonts w:eastAsia="Calibri"/>
          <w:lang w:val="fr-FR"/>
        </w:rPr>
        <w:t> ;</w:t>
      </w:r>
    </w:p>
    <w:p w14:paraId="59E2E1AE" w14:textId="5182A3D1" w:rsidR="00FB690D" w:rsidRPr="003F3120" w:rsidRDefault="008E5719" w:rsidP="00ED6939">
      <w:pPr>
        <w:pStyle w:val="Normalnumber"/>
        <w:keepNext/>
        <w:keepLines/>
        <w:numPr>
          <w:ilvl w:val="0"/>
          <w:numId w:val="7"/>
        </w:numPr>
        <w:ind w:firstLine="624"/>
        <w:rPr>
          <w:rFonts w:eastAsia="Calibri"/>
          <w:lang w:val="fr-FR"/>
        </w:rPr>
      </w:pPr>
      <w:r w:rsidRPr="003F3120">
        <w:rPr>
          <w:rFonts w:eastAsia="Calibri"/>
          <w:i/>
          <w:lang w:val="fr-FR"/>
        </w:rPr>
        <w:t>Engage</w:t>
      </w:r>
      <w:r w:rsidR="007031E0">
        <w:rPr>
          <w:rFonts w:eastAsia="Calibri"/>
          <w:lang w:val="fr-FR"/>
        </w:rPr>
        <w:t xml:space="preserve"> les </w:t>
      </w:r>
      <w:r w:rsidR="00274D0F" w:rsidRPr="003F3120">
        <w:rPr>
          <w:rFonts w:eastAsia="Calibri"/>
          <w:lang w:val="fr-FR"/>
        </w:rPr>
        <w:t>membres et</w:t>
      </w:r>
      <w:r w:rsidR="007031E0">
        <w:rPr>
          <w:rFonts w:eastAsia="Calibri"/>
          <w:lang w:val="fr-FR"/>
        </w:rPr>
        <w:t xml:space="preserve"> les </w:t>
      </w:r>
      <w:r w:rsidR="00274D0F" w:rsidRPr="003F3120">
        <w:rPr>
          <w:rFonts w:eastAsia="Calibri"/>
          <w:lang w:val="fr-FR"/>
        </w:rPr>
        <w:t>observateurs qui sont autorisés à renforcer leur participation</w:t>
      </w:r>
      <w:r w:rsidR="00B56C3C" w:rsidRPr="003F3120">
        <w:rPr>
          <w:rFonts w:eastAsia="Calibri"/>
          <w:lang w:val="fr-FR"/>
        </w:rPr>
        <w:t>, conformément à</w:t>
      </w:r>
      <w:r w:rsidR="007031E0">
        <w:rPr>
          <w:rFonts w:eastAsia="Calibri"/>
          <w:lang w:val="fr-FR"/>
        </w:rPr>
        <w:t xml:space="preserve"> la </w:t>
      </w:r>
      <w:r w:rsidR="00B56C3C" w:rsidRPr="003F3120">
        <w:rPr>
          <w:rFonts w:eastAsia="Calibri"/>
          <w:lang w:val="fr-FR"/>
        </w:rPr>
        <w:t>décision </w:t>
      </w:r>
      <w:r w:rsidR="00274D0F" w:rsidRPr="003F3120">
        <w:rPr>
          <w:rFonts w:eastAsia="Calibri"/>
          <w:lang w:val="fr-FR"/>
        </w:rPr>
        <w:t>IPBES-5/4, à utiliser</w:t>
      </w:r>
      <w:r w:rsidR="007031E0">
        <w:rPr>
          <w:rFonts w:eastAsia="Calibri"/>
          <w:lang w:val="fr-FR"/>
        </w:rPr>
        <w:t xml:space="preserve"> les </w:t>
      </w:r>
      <w:r w:rsidR="00274D0F" w:rsidRPr="003F3120">
        <w:rPr>
          <w:rFonts w:eastAsia="Calibri"/>
          <w:lang w:val="fr-FR"/>
        </w:rPr>
        <w:t>conclusions et recommandations figurant dans</w:t>
      </w:r>
      <w:r w:rsidR="007031E0">
        <w:rPr>
          <w:rFonts w:eastAsia="Calibri"/>
          <w:lang w:val="fr-FR"/>
        </w:rPr>
        <w:t xml:space="preserve"> le </w:t>
      </w:r>
      <w:r w:rsidR="00274D0F" w:rsidRPr="003F3120">
        <w:rPr>
          <w:rFonts w:eastAsia="Calibri"/>
          <w:lang w:val="fr-FR"/>
        </w:rPr>
        <w:t>rapport sur l</w:t>
      </w:r>
      <w:r w:rsidR="00FA5ADB">
        <w:rPr>
          <w:rFonts w:eastAsia="Calibri"/>
          <w:lang w:val="fr-FR"/>
        </w:rPr>
        <w:t>’</w:t>
      </w:r>
      <w:r w:rsidR="00274D0F" w:rsidRPr="003F3120">
        <w:rPr>
          <w:rFonts w:eastAsia="Calibri"/>
          <w:lang w:val="fr-FR"/>
        </w:rPr>
        <w:t xml:space="preserve">examen pour étayer leurs décisions et leurs </w:t>
      </w:r>
      <w:r w:rsidR="00DF23E8">
        <w:rPr>
          <w:rFonts w:eastAsia="Calibri"/>
          <w:lang w:val="fr-FR"/>
        </w:rPr>
        <w:t>échanges</w:t>
      </w:r>
      <w:r w:rsidR="00274D0F" w:rsidRPr="003F3120">
        <w:rPr>
          <w:rFonts w:eastAsia="Calibri"/>
          <w:lang w:val="fr-FR"/>
        </w:rPr>
        <w:t xml:space="preserve"> avec</w:t>
      </w:r>
      <w:r w:rsidR="007031E0">
        <w:rPr>
          <w:rFonts w:eastAsia="Calibri"/>
          <w:lang w:val="fr-FR"/>
        </w:rPr>
        <w:t xml:space="preserve"> la </w:t>
      </w:r>
      <w:r w:rsidR="00274D0F" w:rsidRPr="003F3120">
        <w:rPr>
          <w:rFonts w:eastAsia="Calibri"/>
          <w:lang w:val="fr-FR"/>
        </w:rPr>
        <w:t>Plateforme aux fins d</w:t>
      </w:r>
      <w:r w:rsidR="00FA5ADB">
        <w:rPr>
          <w:rFonts w:eastAsia="Calibri"/>
          <w:lang w:val="fr-FR"/>
        </w:rPr>
        <w:t>’</w:t>
      </w:r>
      <w:r w:rsidR="00274D0F" w:rsidRPr="003F3120">
        <w:rPr>
          <w:rFonts w:eastAsia="Calibri"/>
          <w:lang w:val="fr-FR"/>
        </w:rPr>
        <w:t>appuyer</w:t>
      </w:r>
      <w:r w:rsidR="007031E0">
        <w:rPr>
          <w:rFonts w:eastAsia="Calibri"/>
          <w:lang w:val="fr-FR"/>
        </w:rPr>
        <w:t xml:space="preserve"> la </w:t>
      </w:r>
      <w:r w:rsidR="00274D0F" w:rsidRPr="003F3120">
        <w:rPr>
          <w:rFonts w:eastAsia="Calibri"/>
          <w:lang w:val="fr-FR"/>
        </w:rPr>
        <w:t>mise en œuvre du programme de travail de</w:t>
      </w:r>
      <w:r w:rsidR="007031E0">
        <w:rPr>
          <w:rFonts w:eastAsia="Calibri"/>
          <w:lang w:val="fr-FR"/>
        </w:rPr>
        <w:t xml:space="preserve"> la </w:t>
      </w:r>
      <w:r w:rsidR="00274D0F" w:rsidRPr="003F3120">
        <w:rPr>
          <w:rFonts w:eastAsia="Calibri"/>
          <w:lang w:val="fr-FR"/>
        </w:rPr>
        <w:t>Plateforme.</w:t>
      </w:r>
    </w:p>
    <w:p w14:paraId="2DA27C49" w14:textId="274E6E95" w:rsidR="00953349" w:rsidRPr="003F3120" w:rsidRDefault="00953349">
      <w:pPr>
        <w:rPr>
          <w:b/>
          <w:sz w:val="28"/>
          <w:szCs w:val="28"/>
        </w:rPr>
      </w:pPr>
      <w:r w:rsidRPr="003F3120">
        <w:rPr>
          <w:b/>
          <w:sz w:val="28"/>
          <w:szCs w:val="28"/>
        </w:rPr>
        <w:br w:type="page"/>
      </w:r>
    </w:p>
    <w:p w14:paraId="4FAE609F" w14:textId="206CB337" w:rsidR="00FB690D" w:rsidRPr="003F3120" w:rsidRDefault="005C2FB4" w:rsidP="006E0890">
      <w:pPr>
        <w:pStyle w:val="CH1"/>
        <w:spacing w:before="0" w:after="240"/>
      </w:pPr>
      <w:r>
        <w:lastRenderedPageBreak/>
        <w:tab/>
      </w:r>
      <w:r>
        <w:tab/>
        <w:t>D</w:t>
      </w:r>
      <w:r w:rsidR="007E217F" w:rsidRPr="003F3120">
        <w:t>é</w:t>
      </w:r>
      <w:r w:rsidR="00A00F81">
        <w:t>cision </w:t>
      </w:r>
      <w:r w:rsidR="00FB690D" w:rsidRPr="003F3120">
        <w:t>IPBES-7/3</w:t>
      </w:r>
      <w:r w:rsidR="00FD5D6A">
        <w:t> :</w:t>
      </w:r>
      <w:r w:rsidR="00FB690D" w:rsidRPr="003F3120">
        <w:t xml:space="preserve"> </w:t>
      </w:r>
      <w:r w:rsidR="007E217F" w:rsidRPr="003F3120">
        <w:t>Organisation</w:t>
      </w:r>
      <w:r w:rsidR="007031E0">
        <w:t xml:space="preserve"> des </w:t>
      </w:r>
      <w:r w:rsidR="00F7627A">
        <w:t>travaux de</w:t>
      </w:r>
      <w:r w:rsidR="007031E0">
        <w:t xml:space="preserve"> la </w:t>
      </w:r>
      <w:r w:rsidR="00F7627A">
        <w:t>Plénière et date </w:t>
      </w:r>
      <w:r w:rsidR="007E217F" w:rsidRPr="003F3120">
        <w:t>et lieu de ses futures sessions</w:t>
      </w:r>
    </w:p>
    <w:p w14:paraId="4A86F153" w14:textId="286852A5" w:rsidR="007E217F" w:rsidRPr="005C2FB4" w:rsidRDefault="005C2FB4" w:rsidP="005C2FB4">
      <w:pPr>
        <w:pStyle w:val="NormalNonumber"/>
        <w:rPr>
          <w:i/>
          <w:lang w:val="fr-FR"/>
        </w:rPr>
      </w:pPr>
      <w:r>
        <w:rPr>
          <w:lang w:val="fr-FR"/>
        </w:rPr>
        <w:tab/>
      </w:r>
      <w:r w:rsidR="007E217F" w:rsidRPr="005C2FB4">
        <w:rPr>
          <w:i/>
          <w:lang w:val="fr-FR"/>
        </w:rPr>
        <w:t>La Plénière,</w:t>
      </w:r>
    </w:p>
    <w:p w14:paraId="35E4EBF9" w14:textId="758BF08E" w:rsidR="007E217F" w:rsidRPr="003F3120" w:rsidRDefault="007E217F" w:rsidP="005C2FB4">
      <w:pPr>
        <w:pStyle w:val="NormalNonumber"/>
        <w:rPr>
          <w:color w:val="000000"/>
          <w:lang w:val="fr-FR"/>
        </w:rPr>
      </w:pPr>
      <w:r w:rsidRPr="003F3120">
        <w:rPr>
          <w:iCs/>
          <w:lang w:val="fr-FR"/>
        </w:rPr>
        <w:tab/>
        <w:t>1.</w:t>
      </w:r>
      <w:r w:rsidRPr="003F3120">
        <w:rPr>
          <w:i/>
          <w:iCs/>
          <w:lang w:val="fr-FR"/>
        </w:rPr>
        <w:tab/>
        <w:t>D</w:t>
      </w:r>
      <w:r w:rsidR="003849C4" w:rsidRPr="003F3120">
        <w:rPr>
          <w:i/>
          <w:iCs/>
          <w:lang w:val="fr-FR"/>
        </w:rPr>
        <w:t>é</w:t>
      </w:r>
      <w:r w:rsidRPr="003F3120">
        <w:rPr>
          <w:i/>
          <w:iCs/>
          <w:lang w:val="fr-FR"/>
        </w:rPr>
        <w:t xml:space="preserve">cide </w:t>
      </w:r>
      <w:r w:rsidRPr="003F3120">
        <w:rPr>
          <w:lang w:val="fr-FR"/>
        </w:rPr>
        <w:t>que sa huitième session se tiendra en janvier ou février 2021</w:t>
      </w:r>
      <w:r w:rsidR="00FD5D6A">
        <w:rPr>
          <w:lang w:val="fr-FR"/>
        </w:rPr>
        <w:t> ;</w:t>
      </w:r>
    </w:p>
    <w:p w14:paraId="2A3D7BBC" w14:textId="6413273A" w:rsidR="007E217F" w:rsidRPr="003F3120" w:rsidRDefault="007E217F" w:rsidP="005C2FB4">
      <w:pPr>
        <w:pStyle w:val="NormalNonumber"/>
        <w:rPr>
          <w:lang w:val="fr-FR"/>
        </w:rPr>
      </w:pPr>
      <w:r w:rsidRPr="003F3120">
        <w:rPr>
          <w:lang w:val="fr-FR"/>
        </w:rPr>
        <w:tab/>
        <w:t>2.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 xml:space="preserve">Décide </w:t>
      </w:r>
      <w:r w:rsidRPr="003F3120">
        <w:rPr>
          <w:lang w:val="fr-FR"/>
        </w:rPr>
        <w:t>d</w:t>
      </w:r>
      <w:r w:rsidR="00FA5ADB">
        <w:rPr>
          <w:lang w:val="fr-FR"/>
        </w:rPr>
        <w:t>’</w:t>
      </w:r>
      <w:r w:rsidRPr="003F3120">
        <w:rPr>
          <w:lang w:val="fr-FR"/>
        </w:rPr>
        <w:t>accepter avec gratitude 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offre du Gouvernement </w:t>
      </w:r>
      <w:r w:rsidR="00DD4C10" w:rsidRPr="003F3120">
        <w:rPr>
          <w:lang w:val="fr-FR"/>
        </w:rPr>
        <w:t xml:space="preserve">marocain </w:t>
      </w:r>
      <w:r w:rsidRPr="003F3120">
        <w:rPr>
          <w:lang w:val="fr-FR"/>
        </w:rPr>
        <w:t>d</w:t>
      </w:r>
      <w:r w:rsidR="00FA5ADB">
        <w:rPr>
          <w:lang w:val="fr-FR"/>
        </w:rPr>
        <w:t>’</w:t>
      </w:r>
      <w:r w:rsidRPr="003F3120">
        <w:rPr>
          <w:lang w:val="fr-FR"/>
        </w:rPr>
        <w:t>accueillir sa</w:t>
      </w:r>
      <w:r w:rsidR="005C2FB4">
        <w:rPr>
          <w:lang w:val="fr-FR"/>
        </w:rPr>
        <w:t> </w:t>
      </w:r>
      <w:r w:rsidRPr="003F3120">
        <w:rPr>
          <w:lang w:val="fr-FR"/>
        </w:rPr>
        <w:t xml:space="preserve">huitième session à </w:t>
      </w:r>
      <w:r w:rsidR="00DD4C10" w:rsidRPr="003F3120">
        <w:rPr>
          <w:lang w:val="fr-FR"/>
        </w:rPr>
        <w:t>Marrakech</w:t>
      </w:r>
      <w:r w:rsidRPr="003F3120">
        <w:rPr>
          <w:lang w:val="fr-FR"/>
        </w:rPr>
        <w:t>, sous réserve qu</w:t>
      </w:r>
      <w:r w:rsidR="00FA5ADB">
        <w:rPr>
          <w:lang w:val="fr-FR"/>
        </w:rPr>
        <w:t>’</w:t>
      </w:r>
      <w:r w:rsidRPr="003F3120">
        <w:rPr>
          <w:lang w:val="fr-FR"/>
        </w:rPr>
        <w:t>un accord soit conclu à cet effet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pays hôte</w:t>
      </w:r>
      <w:r w:rsidR="00FD5D6A">
        <w:rPr>
          <w:lang w:val="fr-FR"/>
        </w:rPr>
        <w:t> ;</w:t>
      </w:r>
    </w:p>
    <w:p w14:paraId="13C0B1B1" w14:textId="75FA0A4D" w:rsidR="007E217F" w:rsidRPr="003F3120" w:rsidRDefault="007E217F" w:rsidP="005C2FB4">
      <w:pPr>
        <w:pStyle w:val="NormalNonumber"/>
        <w:rPr>
          <w:lang w:val="fr-FR"/>
        </w:rPr>
      </w:pPr>
      <w:r w:rsidRPr="003F3120">
        <w:rPr>
          <w:lang w:val="fr-FR"/>
        </w:rPr>
        <w:tab/>
        <w:t>3.</w:t>
      </w:r>
      <w:r w:rsidRPr="003F3120">
        <w:rPr>
          <w:lang w:val="fr-FR"/>
        </w:rPr>
        <w:tab/>
      </w:r>
      <w:r w:rsidRPr="003F3120">
        <w:rPr>
          <w:i/>
          <w:lang w:val="fr-FR"/>
        </w:rPr>
        <w:t>Prie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Bureau d</w:t>
      </w:r>
      <w:r w:rsidR="00FA5ADB">
        <w:rPr>
          <w:lang w:val="fr-FR"/>
        </w:rPr>
        <w:t>’</w:t>
      </w:r>
      <w:r w:rsidRPr="003F3120">
        <w:rPr>
          <w:lang w:val="fr-FR"/>
        </w:rPr>
        <w:t>arrêter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dates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session en consultation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pays hôte</w:t>
      </w:r>
      <w:r w:rsidR="00FD5D6A">
        <w:rPr>
          <w:lang w:val="fr-FR"/>
        </w:rPr>
        <w:t> ;</w:t>
      </w:r>
    </w:p>
    <w:p w14:paraId="626D9755" w14:textId="4FF69465" w:rsidR="007E217F" w:rsidRPr="003F3120" w:rsidRDefault="007E217F" w:rsidP="005C2FB4">
      <w:pPr>
        <w:pStyle w:val="NormalNonumber"/>
        <w:rPr>
          <w:color w:val="000000"/>
          <w:lang w:val="fr-FR"/>
        </w:rPr>
      </w:pPr>
      <w:r w:rsidRPr="003F3120">
        <w:rPr>
          <w:lang w:val="fr-FR"/>
        </w:rPr>
        <w:tab/>
        <w:t>4.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la </w:t>
      </w:r>
      <w:r w:rsidRPr="003F3120">
        <w:rPr>
          <w:lang w:val="fr-FR"/>
        </w:rPr>
        <w:t>Secrétaire exécutive de tenir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consultations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 xml:space="preserve">Gouvernement </w:t>
      </w:r>
      <w:r w:rsidR="00DD4C10" w:rsidRPr="003F3120">
        <w:rPr>
          <w:lang w:val="fr-FR"/>
        </w:rPr>
        <w:t>marocain</w:t>
      </w:r>
      <w:r w:rsidRPr="003F3120">
        <w:rPr>
          <w:lang w:val="fr-FR"/>
        </w:rPr>
        <w:t xml:space="preserve"> afin de négocier un accord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pays hôte, conformément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résolution 40/243 de l</w:t>
      </w:r>
      <w:r w:rsidR="00FA5ADB">
        <w:rPr>
          <w:lang w:val="fr-FR"/>
        </w:rPr>
        <w:t>’</w:t>
      </w:r>
      <w:r w:rsidRPr="003F3120">
        <w:rPr>
          <w:lang w:val="fr-FR"/>
        </w:rPr>
        <w:t>Assemblée générale et aux dispositions de l</w:t>
      </w:r>
      <w:r w:rsidR="00FA5ADB">
        <w:rPr>
          <w:lang w:val="fr-FR"/>
        </w:rPr>
        <w:t>’</w:t>
      </w:r>
      <w:r w:rsidRPr="003F3120">
        <w:rPr>
          <w:lang w:val="fr-FR"/>
        </w:rPr>
        <w:t>instruction administrative ST/AI/342 de l</w:t>
      </w:r>
      <w:r w:rsidR="00FA5ADB">
        <w:rPr>
          <w:lang w:val="fr-FR"/>
        </w:rPr>
        <w:t>’</w:t>
      </w:r>
      <w:r w:rsidRPr="003F3120">
        <w:rPr>
          <w:lang w:val="fr-FR"/>
        </w:rPr>
        <w:t>Organisation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</w:t>
      </w:r>
      <w:r w:rsidR="005C2FB4">
        <w:rPr>
          <w:lang w:val="fr-FR"/>
        </w:rPr>
        <w:t> </w:t>
      </w:r>
      <w:r w:rsidRPr="003F3120">
        <w:rPr>
          <w:lang w:val="fr-FR"/>
        </w:rPr>
        <w:t>Unies, en vue de conclure et de signer l</w:t>
      </w:r>
      <w:r w:rsidR="00FA5ADB">
        <w:rPr>
          <w:lang w:val="fr-FR"/>
        </w:rPr>
        <w:t>’</w:t>
      </w:r>
      <w:r w:rsidRPr="003F3120">
        <w:rPr>
          <w:lang w:val="fr-FR"/>
        </w:rPr>
        <w:t>accord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pays hôte dès que possible, d</w:t>
      </w:r>
      <w:r w:rsidR="00FA5ADB">
        <w:rPr>
          <w:lang w:val="fr-FR"/>
        </w:rPr>
        <w:t>’</w:t>
      </w:r>
      <w:r w:rsidRPr="003F3120">
        <w:rPr>
          <w:lang w:val="fr-FR"/>
        </w:rPr>
        <w:t>organiser sa huitième session en étroite collaboration avec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pays hôte et d</w:t>
      </w:r>
      <w:r w:rsidR="00FA5ADB">
        <w:rPr>
          <w:lang w:val="fr-FR"/>
        </w:rPr>
        <w:t>’</w:t>
      </w:r>
      <w:r w:rsidRPr="003F3120">
        <w:rPr>
          <w:lang w:val="fr-FR"/>
        </w:rPr>
        <w:t>inviter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membres et observateurs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intergouvernementale scientifique et politique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biodiversité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services écosystémiques à participer aux travaux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session</w:t>
      </w:r>
      <w:r w:rsidR="00FD5D6A">
        <w:rPr>
          <w:lang w:val="fr-FR"/>
        </w:rPr>
        <w:t> ;</w:t>
      </w:r>
    </w:p>
    <w:p w14:paraId="21539563" w14:textId="5F35492D" w:rsidR="007E217F" w:rsidRPr="003F3120" w:rsidRDefault="007E217F" w:rsidP="005C2FB4">
      <w:pPr>
        <w:pStyle w:val="NormalNonumber"/>
        <w:rPr>
          <w:lang w:val="fr-FR"/>
        </w:rPr>
      </w:pPr>
      <w:r w:rsidRPr="003F3120">
        <w:rPr>
          <w:lang w:val="fr-FR"/>
        </w:rPr>
        <w:tab/>
        <w:t>5.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>Invite</w:t>
      </w:r>
      <w:r w:rsidR="007031E0">
        <w:rPr>
          <w:i/>
          <w:iCs/>
          <w:lang w:val="fr-FR"/>
        </w:rPr>
        <w:t xml:space="preserve"> les </w:t>
      </w:r>
      <w:r w:rsidRPr="003F3120">
        <w:rPr>
          <w:lang w:val="fr-FR"/>
        </w:rPr>
        <w:t>membres en mesure de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faire à envisager d</w:t>
      </w:r>
      <w:r w:rsidR="00FA5ADB">
        <w:rPr>
          <w:lang w:val="fr-FR"/>
        </w:rPr>
        <w:t>’</w:t>
      </w:r>
      <w:r w:rsidRPr="003F3120">
        <w:rPr>
          <w:lang w:val="fr-FR"/>
        </w:rPr>
        <w:t>accueillir sa neuvième session, qui doit se tenir en 202</w:t>
      </w:r>
      <w:r w:rsidR="00E86A33" w:rsidRPr="003F3120">
        <w:rPr>
          <w:lang w:val="fr-FR"/>
        </w:rPr>
        <w:t>2</w:t>
      </w:r>
      <w:r w:rsidR="00FD5D6A">
        <w:rPr>
          <w:lang w:val="fr-FR"/>
        </w:rPr>
        <w:t> ;</w:t>
      </w:r>
    </w:p>
    <w:p w14:paraId="1E96B3F5" w14:textId="698BBFF3" w:rsidR="007E217F" w:rsidRPr="003F3120" w:rsidRDefault="007E217F" w:rsidP="005C2FB4">
      <w:pPr>
        <w:pStyle w:val="NormalNonumber"/>
        <w:rPr>
          <w:color w:val="000000"/>
          <w:lang w:val="fr-FR"/>
        </w:rPr>
      </w:pPr>
      <w:r w:rsidRPr="003F3120">
        <w:rPr>
          <w:lang w:val="fr-FR"/>
        </w:rPr>
        <w:tab/>
        <w:t>6.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la </w:t>
      </w:r>
      <w:r w:rsidRPr="003F3120">
        <w:rPr>
          <w:lang w:val="fr-FR"/>
        </w:rPr>
        <w:t>Secrétaire exécutive, sous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direction du Bureau, de consulter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membres de</w:t>
      </w:r>
      <w:r w:rsidR="007031E0">
        <w:rPr>
          <w:lang w:val="fr-FR"/>
        </w:rPr>
        <w:t xml:space="preserve"> la </w:t>
      </w:r>
      <w:r w:rsidRPr="005C2FB4">
        <w:rPr>
          <w:iCs/>
          <w:lang w:val="fr-FR"/>
        </w:rPr>
        <w:t>Plateforme</w:t>
      </w:r>
      <w:r w:rsidRPr="003F3120">
        <w:rPr>
          <w:lang w:val="fr-FR"/>
        </w:rPr>
        <w:t xml:space="preserve"> qui pourraient, durant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période précédant sa huitième session, proposer d</w:t>
      </w:r>
      <w:r w:rsidR="00FA5ADB">
        <w:rPr>
          <w:lang w:val="fr-FR"/>
        </w:rPr>
        <w:t>’</w:t>
      </w:r>
      <w:r w:rsidRPr="003F3120">
        <w:rPr>
          <w:lang w:val="fr-FR"/>
        </w:rPr>
        <w:t>accueillir sa</w:t>
      </w:r>
      <w:r w:rsidR="005C2FB4">
        <w:rPr>
          <w:lang w:val="fr-FR"/>
        </w:rPr>
        <w:t> </w:t>
      </w:r>
      <w:r w:rsidRPr="003F3120">
        <w:rPr>
          <w:lang w:val="fr-FR"/>
        </w:rPr>
        <w:t>neuvième session</w:t>
      </w:r>
      <w:r w:rsidR="00FD5D6A">
        <w:rPr>
          <w:lang w:val="fr-FR"/>
        </w:rPr>
        <w:t> ;</w:t>
      </w:r>
    </w:p>
    <w:p w14:paraId="1682924D" w14:textId="2D5EE11E" w:rsidR="007E217F" w:rsidRPr="003F3120" w:rsidRDefault="007E217F" w:rsidP="005C2FB4">
      <w:pPr>
        <w:pStyle w:val="NormalNonumber"/>
        <w:rPr>
          <w:color w:val="000000"/>
          <w:lang w:val="fr-FR"/>
        </w:rPr>
      </w:pPr>
      <w:r w:rsidRPr="003F3120">
        <w:rPr>
          <w:lang w:val="fr-FR"/>
        </w:rPr>
        <w:tab/>
        <w:t>7.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>Prie également</w:t>
      </w:r>
      <w:r w:rsidR="007031E0">
        <w:rPr>
          <w:i/>
          <w:iCs/>
          <w:lang w:val="fr-FR"/>
        </w:rPr>
        <w:t xml:space="preserve"> la </w:t>
      </w:r>
      <w:r w:rsidRPr="003F3120">
        <w:rPr>
          <w:lang w:val="fr-FR"/>
        </w:rPr>
        <w:t>Secrétaire exécutive de lui faire rapport, à sa huitième session, sur l</w:t>
      </w:r>
      <w:r w:rsidR="00FA5ADB">
        <w:rPr>
          <w:lang w:val="fr-FR"/>
        </w:rPr>
        <w:t>’</w:t>
      </w:r>
      <w:r w:rsidRPr="003F3120">
        <w:rPr>
          <w:lang w:val="fr-FR"/>
        </w:rPr>
        <w:t>état d</w:t>
      </w:r>
      <w:r w:rsidR="00FA5ADB">
        <w:rPr>
          <w:lang w:val="fr-FR"/>
        </w:rPr>
        <w:t>’</w:t>
      </w:r>
      <w:r w:rsidRPr="003F3120">
        <w:rPr>
          <w:lang w:val="fr-FR"/>
        </w:rPr>
        <w:t>avancement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consultations mentionnées au paragraphe </w:t>
      </w:r>
      <w:r w:rsidR="008E5719" w:rsidRPr="003F3120">
        <w:rPr>
          <w:lang w:val="fr-FR"/>
        </w:rPr>
        <w:t>6 de</w:t>
      </w:r>
      <w:r w:rsidR="007031E0">
        <w:rPr>
          <w:lang w:val="fr-FR"/>
        </w:rPr>
        <w:t xml:space="preserve"> la </w:t>
      </w:r>
      <w:r w:rsidR="008E5719" w:rsidRPr="003F3120">
        <w:rPr>
          <w:lang w:val="fr-FR"/>
        </w:rPr>
        <w:t>présente décision</w:t>
      </w:r>
      <w:r w:rsidRPr="003F3120">
        <w:rPr>
          <w:lang w:val="fr-FR"/>
        </w:rPr>
        <w:t>, pour qu</w:t>
      </w:r>
      <w:r w:rsidR="00FA5ADB">
        <w:rPr>
          <w:lang w:val="fr-FR"/>
        </w:rPr>
        <w:t>’</w:t>
      </w:r>
      <w:r w:rsidRPr="003F3120">
        <w:rPr>
          <w:lang w:val="fr-FR"/>
        </w:rPr>
        <w:t>elle puisse adopter, à cette session, une décision concernant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date et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lieu de sa neuvième session</w:t>
      </w:r>
      <w:r w:rsidR="00FD5D6A">
        <w:rPr>
          <w:lang w:val="fr-FR"/>
        </w:rPr>
        <w:t> ;</w:t>
      </w:r>
    </w:p>
    <w:p w14:paraId="2A3354B6" w14:textId="26239785" w:rsidR="007E217F" w:rsidRPr="003F3120" w:rsidRDefault="007E217F" w:rsidP="005C2FB4">
      <w:pPr>
        <w:pStyle w:val="NormalNonumber"/>
        <w:rPr>
          <w:color w:val="000000"/>
          <w:lang w:val="fr-FR"/>
        </w:rPr>
      </w:pPr>
      <w:r w:rsidRPr="003F3120">
        <w:rPr>
          <w:lang w:val="fr-FR"/>
        </w:rPr>
        <w:tab/>
        <w:t>8.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 xml:space="preserve">Prend note </w:t>
      </w:r>
      <w:r w:rsidRPr="003F3120">
        <w:rPr>
          <w:lang w:val="fr-FR"/>
        </w:rPr>
        <w:t>du projet d</w:t>
      </w:r>
      <w:r w:rsidR="00FA5ADB">
        <w:rPr>
          <w:lang w:val="fr-FR"/>
        </w:rPr>
        <w:t>’</w:t>
      </w:r>
      <w:r w:rsidRPr="003F3120">
        <w:rPr>
          <w:lang w:val="fr-FR"/>
        </w:rPr>
        <w:t>ordre du jour provisoire de sa huitième session, qui figure dans</w:t>
      </w:r>
      <w:r w:rsidR="005C2FB4">
        <w:rPr>
          <w:lang w:val="fr-FR"/>
        </w:rPr>
        <w:t> </w:t>
      </w:r>
      <w:r w:rsidRPr="003F3120">
        <w:rPr>
          <w:lang w:val="fr-FR"/>
        </w:rPr>
        <w:t>l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annexe </w:t>
      </w:r>
      <w:r w:rsidR="008E5719"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présente décision</w:t>
      </w:r>
      <w:r w:rsidR="00FD5D6A">
        <w:rPr>
          <w:lang w:val="fr-FR"/>
        </w:rPr>
        <w:t> ;</w:t>
      </w:r>
    </w:p>
    <w:p w14:paraId="0E45A190" w14:textId="342CA8D7" w:rsidR="007E217F" w:rsidRPr="003F3120" w:rsidRDefault="007E217F" w:rsidP="005C2FB4">
      <w:pPr>
        <w:pStyle w:val="NormalNonumber"/>
        <w:rPr>
          <w:color w:val="000000"/>
          <w:lang w:val="fr-FR"/>
        </w:rPr>
      </w:pPr>
      <w:r w:rsidRPr="003F3120">
        <w:rPr>
          <w:lang w:val="fr-FR"/>
        </w:rPr>
        <w:tab/>
        <w:t>9.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la </w:t>
      </w:r>
      <w:r w:rsidRPr="003F3120">
        <w:rPr>
          <w:lang w:val="fr-FR"/>
        </w:rPr>
        <w:t>Secrétaire exécutive d</w:t>
      </w:r>
      <w:r w:rsidR="00FA5ADB">
        <w:rPr>
          <w:lang w:val="fr-FR"/>
        </w:rPr>
        <w:t>’</w:t>
      </w:r>
      <w:r w:rsidRPr="003F3120">
        <w:rPr>
          <w:lang w:val="fr-FR"/>
        </w:rPr>
        <w:t>inviter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membres et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observateurs qui sont l</w:t>
      </w:r>
      <w:r w:rsidR="00FA5ADB">
        <w:rPr>
          <w:lang w:val="fr-FR"/>
        </w:rPr>
        <w:t>’</w:t>
      </w:r>
      <w:r w:rsidRPr="003F3120">
        <w:rPr>
          <w:lang w:val="fr-FR"/>
        </w:rPr>
        <w:t>objet du mécanisme de participation renforcée prévu dans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décision IPBES-5/4 à communiquer par écrit, d</w:t>
      </w:r>
      <w:r w:rsidR="00FA5ADB">
        <w:rPr>
          <w:lang w:val="fr-FR"/>
        </w:rPr>
        <w:t>’</w:t>
      </w:r>
      <w:r w:rsidRPr="003F3120">
        <w:rPr>
          <w:lang w:val="fr-FR"/>
        </w:rPr>
        <w:t>ici au 1</w:t>
      </w:r>
      <w:r w:rsidRPr="003F3120">
        <w:rPr>
          <w:vertAlign w:val="superscript"/>
          <w:lang w:val="fr-FR"/>
        </w:rPr>
        <w:t>er</w:t>
      </w:r>
      <w:r w:rsidRPr="003F3120">
        <w:rPr>
          <w:lang w:val="fr-FR"/>
        </w:rPr>
        <w:t> juillet 2019,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observations sur</w:t>
      </w:r>
      <w:r w:rsidR="007031E0">
        <w:rPr>
          <w:lang w:val="fr-FR"/>
        </w:rPr>
        <w:t xml:space="preserve"> le </w:t>
      </w:r>
      <w:r w:rsidRPr="003F3120">
        <w:rPr>
          <w:lang w:val="fr-FR"/>
        </w:rPr>
        <w:t>projet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travaux de sa</w:t>
      </w:r>
      <w:r w:rsidR="005C2FB4">
        <w:rPr>
          <w:lang w:val="fr-FR"/>
        </w:rPr>
        <w:t> </w:t>
      </w:r>
      <w:r w:rsidRPr="003F3120">
        <w:rPr>
          <w:lang w:val="fr-FR"/>
        </w:rPr>
        <w:t>huitième session</w:t>
      </w:r>
      <w:r w:rsidR="00FD5D6A">
        <w:rPr>
          <w:lang w:val="fr-FR"/>
        </w:rPr>
        <w:t> ;</w:t>
      </w:r>
    </w:p>
    <w:p w14:paraId="2053C3D1" w14:textId="5C863F0B" w:rsidR="007E217F" w:rsidRPr="003F3120" w:rsidRDefault="007E217F" w:rsidP="005C2FB4">
      <w:pPr>
        <w:pStyle w:val="NormalNonumber"/>
        <w:rPr>
          <w:rFonts w:eastAsia="Calibri"/>
          <w:lang w:val="fr-FR"/>
        </w:rPr>
      </w:pPr>
      <w:r w:rsidRPr="003F3120">
        <w:rPr>
          <w:lang w:val="fr-FR"/>
        </w:rPr>
        <w:tab/>
        <w:t>10.</w:t>
      </w:r>
      <w:r w:rsidRPr="003F3120">
        <w:rPr>
          <w:lang w:val="fr-FR"/>
        </w:rPr>
        <w:tab/>
      </w:r>
      <w:r w:rsidRPr="003F3120">
        <w:rPr>
          <w:i/>
          <w:iCs/>
          <w:lang w:val="fr-FR"/>
        </w:rPr>
        <w:t>Prie également</w:t>
      </w:r>
      <w:r w:rsidR="007031E0">
        <w:rPr>
          <w:i/>
          <w:iCs/>
          <w:lang w:val="fr-FR"/>
        </w:rPr>
        <w:t xml:space="preserve"> la </w:t>
      </w:r>
      <w:r w:rsidRPr="003F3120">
        <w:rPr>
          <w:lang w:val="fr-FR"/>
        </w:rPr>
        <w:t>Secrétaire exécutive d</w:t>
      </w:r>
      <w:r w:rsidR="00FA5ADB">
        <w:rPr>
          <w:lang w:val="fr-FR"/>
        </w:rPr>
        <w:t>’</w:t>
      </w:r>
      <w:r w:rsidRPr="003F3120">
        <w:rPr>
          <w:lang w:val="fr-FR"/>
        </w:rPr>
        <w:t>établir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version finale du projet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travaux de sa huitième session à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lumière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observations reçues pendant sa septième session et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observations reçues par écrit comme suite à l</w:t>
      </w:r>
      <w:r w:rsidR="00FA5ADB">
        <w:rPr>
          <w:lang w:val="fr-FR"/>
        </w:rPr>
        <w:t>’</w:t>
      </w:r>
      <w:r w:rsidRPr="003F3120">
        <w:rPr>
          <w:lang w:val="fr-FR"/>
        </w:rPr>
        <w:t>invitation visée au paragraphe </w:t>
      </w:r>
      <w:r w:rsidR="008E5719" w:rsidRPr="003F3120">
        <w:rPr>
          <w:lang w:val="fr-FR"/>
        </w:rPr>
        <w:t>9</w:t>
      </w:r>
      <w:r w:rsidRPr="003F3120">
        <w:rPr>
          <w:lang w:val="fr-FR"/>
        </w:rPr>
        <w:t xml:space="preserve">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présente décision.</w:t>
      </w:r>
    </w:p>
    <w:p w14:paraId="488BECBC" w14:textId="534ADF23" w:rsidR="007E217F" w:rsidRPr="003F3120" w:rsidRDefault="005C2FB4" w:rsidP="006E0890">
      <w:pPr>
        <w:pStyle w:val="CH2"/>
      </w:pPr>
      <w:r>
        <w:tab/>
      </w:r>
      <w:r>
        <w:tab/>
      </w:r>
      <w:r w:rsidR="007E217F" w:rsidRPr="003F3120">
        <w:t>A</w:t>
      </w:r>
      <w:r w:rsidR="00B40174" w:rsidRPr="003F3120">
        <w:t xml:space="preserve">nnexe </w:t>
      </w:r>
      <w:r w:rsidR="008E5719" w:rsidRPr="003F3120">
        <w:t>de</w:t>
      </w:r>
      <w:r w:rsidR="007031E0">
        <w:t xml:space="preserve"> la </w:t>
      </w:r>
      <w:r w:rsidR="00B40174" w:rsidRPr="003F3120">
        <w:t>décision IPBES-7/3</w:t>
      </w:r>
    </w:p>
    <w:p w14:paraId="3B05D0E6" w14:textId="5BFB7D78" w:rsidR="007E217F" w:rsidRPr="003F3120" w:rsidRDefault="005C2FB4" w:rsidP="006E0890">
      <w:pPr>
        <w:pStyle w:val="CH2"/>
        <w:rPr>
          <w:rFonts w:eastAsia="Calibri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 w:rsidR="007E217F" w:rsidRPr="003F3120">
        <w:rPr>
          <w:bCs/>
          <w:szCs w:val="26"/>
        </w:rPr>
        <w:t>Projet d</w:t>
      </w:r>
      <w:r w:rsidR="00FA5ADB">
        <w:rPr>
          <w:bCs/>
          <w:szCs w:val="26"/>
        </w:rPr>
        <w:t>’</w:t>
      </w:r>
      <w:r w:rsidR="007E217F" w:rsidRPr="003F3120">
        <w:rPr>
          <w:bCs/>
          <w:szCs w:val="26"/>
        </w:rPr>
        <w:t>ordre du jour provisoire de</w:t>
      </w:r>
      <w:r w:rsidR="007031E0">
        <w:rPr>
          <w:bCs/>
          <w:szCs w:val="26"/>
        </w:rPr>
        <w:t xml:space="preserve"> la </w:t>
      </w:r>
      <w:r w:rsidR="007E217F" w:rsidRPr="003F3120">
        <w:rPr>
          <w:bCs/>
          <w:szCs w:val="26"/>
        </w:rPr>
        <w:t>huitième session</w:t>
      </w:r>
      <w:r w:rsidR="007E217F" w:rsidRPr="003F3120">
        <w:rPr>
          <w:bCs/>
        </w:rPr>
        <w:t xml:space="preserve"> </w:t>
      </w:r>
      <w:r w:rsidR="007E217F" w:rsidRPr="003F3120">
        <w:t>de</w:t>
      </w:r>
      <w:r w:rsidR="007031E0">
        <w:t xml:space="preserve"> la </w:t>
      </w:r>
      <w:r w:rsidR="007E217F" w:rsidRPr="003F3120">
        <w:t>Plateforme intergouvernementale scientifique et politique sur</w:t>
      </w:r>
      <w:r w:rsidR="007031E0">
        <w:t xml:space="preserve"> la </w:t>
      </w:r>
      <w:r w:rsidR="007E217F" w:rsidRPr="003F3120">
        <w:t>biodiversité et</w:t>
      </w:r>
      <w:r w:rsidR="007031E0">
        <w:t xml:space="preserve"> les </w:t>
      </w:r>
      <w:r w:rsidR="007E217F" w:rsidRPr="003F3120">
        <w:t>services écosystémiques</w:t>
      </w:r>
    </w:p>
    <w:p w14:paraId="692BD0E8" w14:textId="763ED985" w:rsidR="007E217F" w:rsidRPr="003F3120" w:rsidRDefault="007E217F" w:rsidP="005C2FB4">
      <w:pPr>
        <w:pStyle w:val="NormalNonumber"/>
        <w:rPr>
          <w:lang w:val="fr-FR"/>
        </w:rPr>
      </w:pPr>
      <w:r w:rsidRPr="003F3120">
        <w:rPr>
          <w:lang w:val="fr-FR"/>
        </w:rPr>
        <w:t>1.</w:t>
      </w:r>
      <w:r w:rsidRPr="003F3120">
        <w:rPr>
          <w:lang w:val="fr-FR"/>
        </w:rPr>
        <w:tab/>
        <w:t>Ouverture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session.</w:t>
      </w:r>
    </w:p>
    <w:p w14:paraId="50FA4DD0" w14:textId="324ABBDD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>2.</w:t>
      </w:r>
      <w:r w:rsidRPr="003F3120">
        <w:rPr>
          <w:lang w:val="fr-FR"/>
        </w:rPr>
        <w:tab/>
        <w:t>Questions d</w:t>
      </w:r>
      <w:r w:rsidR="00FA5ADB">
        <w:rPr>
          <w:lang w:val="fr-FR"/>
        </w:rPr>
        <w:t>’</w:t>
      </w:r>
      <w:r w:rsidRPr="003F3120">
        <w:rPr>
          <w:lang w:val="fr-FR"/>
        </w:rPr>
        <w:t>organisation</w:t>
      </w:r>
      <w:r w:rsidR="00FD5D6A">
        <w:rPr>
          <w:lang w:val="fr-FR"/>
        </w:rPr>
        <w:t> :</w:t>
      </w:r>
    </w:p>
    <w:p w14:paraId="2D88163B" w14:textId="7B142B02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ab/>
        <w:t>a)</w:t>
      </w:r>
      <w:r w:rsidRPr="003F3120">
        <w:rPr>
          <w:lang w:val="fr-FR"/>
        </w:rPr>
        <w:tab/>
        <w:t>Adoption de l</w:t>
      </w:r>
      <w:r w:rsidR="00FA5ADB">
        <w:rPr>
          <w:lang w:val="fr-FR"/>
        </w:rPr>
        <w:t>’</w:t>
      </w:r>
      <w:r w:rsidRPr="003F3120">
        <w:rPr>
          <w:lang w:val="fr-FR"/>
        </w:rPr>
        <w:t>ordre du jour et organisation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travaux</w:t>
      </w:r>
      <w:r w:rsidR="00FD5D6A">
        <w:rPr>
          <w:lang w:val="fr-FR"/>
        </w:rPr>
        <w:t> ;</w:t>
      </w:r>
    </w:p>
    <w:p w14:paraId="58C99DF7" w14:textId="7B3856D2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ab/>
        <w:t>b)</w:t>
      </w:r>
      <w:r w:rsidRPr="003F3120">
        <w:rPr>
          <w:lang w:val="fr-FR"/>
        </w:rPr>
        <w:tab/>
        <w:t>Composition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</w:t>
      </w:r>
      <w:r w:rsidR="00FD5D6A">
        <w:rPr>
          <w:lang w:val="fr-FR"/>
        </w:rPr>
        <w:t> ;</w:t>
      </w:r>
    </w:p>
    <w:p w14:paraId="49BDDFFA" w14:textId="054C0AEB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>3.</w:t>
      </w:r>
      <w:r w:rsidRPr="003F3120">
        <w:rPr>
          <w:lang w:val="fr-FR"/>
        </w:rPr>
        <w:tab/>
        <w:t>Admission d</w:t>
      </w:r>
      <w:r w:rsidR="00FA5ADB">
        <w:rPr>
          <w:lang w:val="fr-FR"/>
        </w:rPr>
        <w:t>’</w:t>
      </w:r>
      <w:r w:rsidRPr="003F3120">
        <w:rPr>
          <w:lang w:val="fr-FR"/>
        </w:rPr>
        <w:t>observateurs.</w:t>
      </w:r>
    </w:p>
    <w:p w14:paraId="14464C18" w14:textId="0A152211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>4.</w:t>
      </w:r>
      <w:r w:rsidRPr="003F3120">
        <w:rPr>
          <w:lang w:val="fr-FR"/>
        </w:rPr>
        <w:tab/>
        <w:t>Vérification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pouvoirs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représentants.</w:t>
      </w:r>
    </w:p>
    <w:p w14:paraId="67E1F920" w14:textId="06CC1D94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>5.</w:t>
      </w:r>
      <w:r w:rsidRPr="003F3120">
        <w:rPr>
          <w:lang w:val="fr-FR"/>
        </w:rPr>
        <w:tab/>
        <w:t>Rapport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Secrétaire exécutive sur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 œuvre du programme de travail.</w:t>
      </w:r>
    </w:p>
    <w:p w14:paraId="631F3A9B" w14:textId="4FC7F334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>6.</w:t>
      </w:r>
      <w:r w:rsidRPr="003F3120">
        <w:rPr>
          <w:lang w:val="fr-FR"/>
        </w:rPr>
        <w:tab/>
        <w:t>Dispositifs financiers et budgétaires pour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Plateforme.</w:t>
      </w:r>
    </w:p>
    <w:p w14:paraId="4018416C" w14:textId="1093600D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>7.</w:t>
      </w:r>
      <w:r w:rsidRPr="003F3120">
        <w:rPr>
          <w:lang w:val="fr-FR"/>
        </w:rPr>
        <w:tab/>
        <w:t>Questions intéressant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mise en œuvre du programme de travail</w:t>
      </w:r>
      <w:r w:rsidR="00FD5D6A">
        <w:rPr>
          <w:lang w:val="fr-FR"/>
        </w:rPr>
        <w:t> :</w:t>
      </w:r>
    </w:p>
    <w:p w14:paraId="7D92A266" w14:textId="2EA94175" w:rsidR="007E217F" w:rsidRPr="003F3120" w:rsidRDefault="007E217F" w:rsidP="005C2FB4">
      <w:pPr>
        <w:pStyle w:val="NormalNonumber"/>
        <w:ind w:left="2381" w:hanging="1134"/>
        <w:rPr>
          <w:lang w:val="fr-FR"/>
        </w:rPr>
      </w:pPr>
      <w:r w:rsidRPr="003F3120">
        <w:rPr>
          <w:lang w:val="fr-FR"/>
        </w:rPr>
        <w:tab/>
        <w:t>a)</w:t>
      </w:r>
      <w:r w:rsidRPr="003F3120">
        <w:rPr>
          <w:lang w:val="fr-FR"/>
        </w:rPr>
        <w:tab/>
        <w:t xml:space="preserve">Rapport de cadrage </w:t>
      </w:r>
      <w:r w:rsidR="003849C4" w:rsidRPr="003F3120">
        <w:rPr>
          <w:lang w:val="fr-FR"/>
        </w:rPr>
        <w:t>d</w:t>
      </w:r>
      <w:r w:rsidR="00FA5ADB">
        <w:rPr>
          <w:lang w:val="fr-FR"/>
        </w:rPr>
        <w:t>’</w:t>
      </w:r>
      <w:r w:rsidRPr="003F3120">
        <w:rPr>
          <w:lang w:val="fr-FR"/>
        </w:rPr>
        <w:t xml:space="preserve">une évaluation </w:t>
      </w:r>
      <w:r w:rsidR="003849C4" w:rsidRPr="003F3120">
        <w:rPr>
          <w:lang w:val="fr-FR"/>
        </w:rPr>
        <w:t>thématique</w:t>
      </w:r>
      <w:r w:rsidR="007031E0">
        <w:rPr>
          <w:lang w:val="fr-FR"/>
        </w:rPr>
        <w:t xml:space="preserve"> des </w:t>
      </w:r>
      <w:r w:rsidR="003849C4" w:rsidRPr="003F3120">
        <w:rPr>
          <w:lang w:val="fr-FR"/>
        </w:rPr>
        <w:t>liens d</w:t>
      </w:r>
      <w:r w:rsidR="00FA5ADB">
        <w:rPr>
          <w:lang w:val="fr-FR"/>
        </w:rPr>
        <w:t>’</w:t>
      </w:r>
      <w:r w:rsidR="003849C4" w:rsidRPr="003F3120">
        <w:rPr>
          <w:lang w:val="fr-FR"/>
        </w:rPr>
        <w:t>interdépendance entre</w:t>
      </w:r>
      <w:r w:rsidR="007031E0">
        <w:rPr>
          <w:lang w:val="fr-FR"/>
        </w:rPr>
        <w:t xml:space="preserve"> la </w:t>
      </w:r>
      <w:r w:rsidR="003849C4" w:rsidRPr="003F3120">
        <w:rPr>
          <w:lang w:val="fr-FR"/>
        </w:rPr>
        <w:t xml:space="preserve">biodiversité, </w:t>
      </w:r>
      <w:r w:rsidR="00DF23E8">
        <w:rPr>
          <w:lang w:val="fr-FR"/>
        </w:rPr>
        <w:t>l</w:t>
      </w:r>
      <w:r w:rsidR="00FA5ADB">
        <w:rPr>
          <w:lang w:val="fr-FR"/>
        </w:rPr>
        <w:t>’</w:t>
      </w:r>
      <w:r w:rsidR="003849C4" w:rsidRPr="003F3120">
        <w:rPr>
          <w:lang w:val="fr-FR"/>
        </w:rPr>
        <w:t xml:space="preserve">eau, </w:t>
      </w:r>
      <w:r w:rsidR="00DF23E8">
        <w:rPr>
          <w:lang w:val="fr-FR"/>
        </w:rPr>
        <w:t>l</w:t>
      </w:r>
      <w:r w:rsidR="00FA5ADB">
        <w:rPr>
          <w:lang w:val="fr-FR"/>
        </w:rPr>
        <w:t>’</w:t>
      </w:r>
      <w:r w:rsidR="003849C4" w:rsidRPr="003F3120">
        <w:rPr>
          <w:lang w:val="fr-FR"/>
        </w:rPr>
        <w:t>alimentation et</w:t>
      </w:r>
      <w:r w:rsidR="007031E0">
        <w:rPr>
          <w:lang w:val="fr-FR"/>
        </w:rPr>
        <w:t xml:space="preserve"> la </w:t>
      </w:r>
      <w:r w:rsidR="003849C4" w:rsidRPr="003F3120">
        <w:rPr>
          <w:lang w:val="fr-FR"/>
        </w:rPr>
        <w:t>santé</w:t>
      </w:r>
      <w:r w:rsidR="00FD5D6A">
        <w:rPr>
          <w:lang w:val="fr-FR"/>
        </w:rPr>
        <w:t> ;</w:t>
      </w:r>
    </w:p>
    <w:p w14:paraId="7D6D1EE8" w14:textId="797BD64A" w:rsidR="007E217F" w:rsidRPr="003F3120" w:rsidRDefault="007E217F" w:rsidP="005C2FB4">
      <w:pPr>
        <w:pStyle w:val="NormalNonumber"/>
        <w:ind w:left="2381" w:hanging="1134"/>
        <w:rPr>
          <w:lang w:val="fr-FR"/>
        </w:rPr>
      </w:pPr>
      <w:r w:rsidRPr="003F3120">
        <w:rPr>
          <w:lang w:val="fr-FR"/>
        </w:rPr>
        <w:lastRenderedPageBreak/>
        <w:tab/>
        <w:t>b)</w:t>
      </w:r>
      <w:r w:rsidRPr="003F3120">
        <w:rPr>
          <w:lang w:val="fr-FR"/>
        </w:rPr>
        <w:tab/>
        <w:t xml:space="preserve">Rapport de cadrage </w:t>
      </w:r>
      <w:r w:rsidR="003849C4" w:rsidRPr="003F3120">
        <w:rPr>
          <w:lang w:val="fr-FR"/>
        </w:rPr>
        <w:t>d</w:t>
      </w:r>
      <w:r w:rsidR="00FA5ADB">
        <w:rPr>
          <w:lang w:val="fr-FR"/>
        </w:rPr>
        <w:t>’</w:t>
      </w:r>
      <w:r w:rsidRPr="003F3120">
        <w:rPr>
          <w:lang w:val="fr-FR"/>
        </w:rPr>
        <w:t>une évaluation</w:t>
      </w:r>
      <w:r w:rsidR="003849C4" w:rsidRPr="003F3120">
        <w:rPr>
          <w:lang w:val="fr-FR"/>
        </w:rPr>
        <w:t xml:space="preserve"> thématique</w:t>
      </w:r>
      <w:r w:rsidR="007031E0">
        <w:rPr>
          <w:lang w:val="fr-FR"/>
        </w:rPr>
        <w:t xml:space="preserve"> des </w:t>
      </w:r>
      <w:r w:rsidR="003849C4" w:rsidRPr="003F3120">
        <w:rPr>
          <w:lang w:val="fr-FR"/>
        </w:rPr>
        <w:t>causes profondes de l</w:t>
      </w:r>
      <w:r w:rsidR="00FA5ADB">
        <w:rPr>
          <w:lang w:val="fr-FR"/>
        </w:rPr>
        <w:t>’</w:t>
      </w:r>
      <w:r w:rsidR="003849C4" w:rsidRPr="003F3120">
        <w:rPr>
          <w:lang w:val="fr-FR"/>
        </w:rPr>
        <w:t>érosion de</w:t>
      </w:r>
      <w:r w:rsidR="007031E0">
        <w:rPr>
          <w:lang w:val="fr-FR"/>
        </w:rPr>
        <w:t xml:space="preserve"> la </w:t>
      </w:r>
      <w:r w:rsidR="003849C4" w:rsidRPr="003F3120">
        <w:rPr>
          <w:lang w:val="fr-FR"/>
        </w:rPr>
        <w:t>biodiversité,</w:t>
      </w:r>
      <w:r w:rsidR="007031E0">
        <w:rPr>
          <w:lang w:val="fr-FR"/>
        </w:rPr>
        <w:t xml:space="preserve"> des </w:t>
      </w:r>
      <w:r w:rsidR="003849C4" w:rsidRPr="003F3120">
        <w:rPr>
          <w:lang w:val="fr-FR"/>
        </w:rPr>
        <w:t>déterminants</w:t>
      </w:r>
      <w:r w:rsidR="007031E0">
        <w:rPr>
          <w:lang w:val="fr-FR"/>
        </w:rPr>
        <w:t xml:space="preserve"> des </w:t>
      </w:r>
      <w:r w:rsidR="003849C4" w:rsidRPr="003F3120">
        <w:rPr>
          <w:lang w:val="fr-FR"/>
        </w:rPr>
        <w:t>changements transformateurs et</w:t>
      </w:r>
      <w:r w:rsidR="007031E0">
        <w:rPr>
          <w:lang w:val="fr-FR"/>
        </w:rPr>
        <w:t xml:space="preserve"> des </w:t>
      </w:r>
      <w:r w:rsidR="003849C4" w:rsidRPr="003F3120">
        <w:rPr>
          <w:lang w:val="fr-FR"/>
        </w:rPr>
        <w:t>solutions pour réaliser</w:t>
      </w:r>
      <w:r w:rsidR="007031E0">
        <w:rPr>
          <w:lang w:val="fr-FR"/>
        </w:rPr>
        <w:t xml:space="preserve"> la </w:t>
      </w:r>
      <w:r w:rsidR="003849C4" w:rsidRPr="003F3120">
        <w:rPr>
          <w:lang w:val="fr-FR"/>
        </w:rPr>
        <w:t>Vision 2050 pour</w:t>
      </w:r>
      <w:r w:rsidR="007031E0">
        <w:rPr>
          <w:lang w:val="fr-FR"/>
        </w:rPr>
        <w:t xml:space="preserve"> la </w:t>
      </w:r>
      <w:r w:rsidR="003849C4" w:rsidRPr="003F3120">
        <w:rPr>
          <w:lang w:val="fr-FR"/>
        </w:rPr>
        <w:t>biodiversité</w:t>
      </w:r>
      <w:r w:rsidR="00FD5D6A">
        <w:rPr>
          <w:lang w:val="fr-FR"/>
        </w:rPr>
        <w:t> ;</w:t>
      </w:r>
    </w:p>
    <w:p w14:paraId="5E47B439" w14:textId="7CDE5C7B" w:rsidR="007E217F" w:rsidRPr="003F3120" w:rsidRDefault="007E217F" w:rsidP="005C2FB4">
      <w:pPr>
        <w:pStyle w:val="NormalNonumber"/>
        <w:ind w:left="2381" w:hanging="1134"/>
        <w:rPr>
          <w:lang w:val="fr-FR"/>
        </w:rPr>
      </w:pPr>
      <w:r w:rsidRPr="003F3120">
        <w:rPr>
          <w:lang w:val="fr-FR"/>
        </w:rPr>
        <w:tab/>
        <w:t>c)</w:t>
      </w:r>
      <w:r w:rsidRPr="003F3120">
        <w:rPr>
          <w:lang w:val="fr-FR"/>
        </w:rPr>
        <w:tab/>
        <w:t>Équipes spéciales et groupes d</w:t>
      </w:r>
      <w:r w:rsidR="00FA5ADB">
        <w:rPr>
          <w:lang w:val="fr-FR"/>
        </w:rPr>
        <w:t>’</w:t>
      </w:r>
      <w:r w:rsidRPr="003F3120">
        <w:rPr>
          <w:lang w:val="fr-FR"/>
        </w:rPr>
        <w:t>experts</w:t>
      </w:r>
      <w:r w:rsidR="00FD5D6A">
        <w:rPr>
          <w:lang w:val="fr-FR"/>
        </w:rPr>
        <w:t> ;</w:t>
      </w:r>
    </w:p>
    <w:p w14:paraId="7FD9D7FA" w14:textId="7CC23FCC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>8.</w:t>
      </w:r>
      <w:r w:rsidRPr="003F3120">
        <w:rPr>
          <w:lang w:val="fr-FR"/>
        </w:rPr>
        <w:tab/>
        <w:t>Organisation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travaux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Plénière et date et lieu de ses futures sessions.</w:t>
      </w:r>
    </w:p>
    <w:p w14:paraId="633F99E3" w14:textId="4F93D053" w:rsidR="007E217F" w:rsidRPr="003F3120" w:rsidRDefault="007E217F" w:rsidP="007E217F">
      <w:pPr>
        <w:pStyle w:val="NormalNonumber"/>
        <w:ind w:left="1814" w:hanging="567"/>
        <w:rPr>
          <w:lang w:val="fr-FR"/>
        </w:rPr>
      </w:pPr>
      <w:r w:rsidRPr="003F3120">
        <w:rPr>
          <w:lang w:val="fr-FR"/>
        </w:rPr>
        <w:t>9.</w:t>
      </w:r>
      <w:r w:rsidRPr="003F3120">
        <w:rPr>
          <w:lang w:val="fr-FR"/>
        </w:rPr>
        <w:tab/>
        <w:t>Dispositions institutionnelles</w:t>
      </w:r>
      <w:r w:rsidR="00FD5D6A">
        <w:rPr>
          <w:lang w:val="fr-FR"/>
        </w:rPr>
        <w:t> :</w:t>
      </w:r>
      <w:r w:rsidRPr="003F3120">
        <w:rPr>
          <w:lang w:val="fr-FR"/>
        </w:rPr>
        <w:t xml:space="preserve"> dispositions concernant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partenariats de collaboration</w:t>
      </w:r>
      <w:r w:rsidR="007031E0">
        <w:rPr>
          <w:lang w:val="fr-FR"/>
        </w:rPr>
        <w:t xml:space="preserve"> des </w:t>
      </w:r>
      <w:r w:rsidRPr="003F3120">
        <w:rPr>
          <w:lang w:val="fr-FR"/>
        </w:rPr>
        <w:t>Nations Unies pour</w:t>
      </w:r>
      <w:r w:rsidR="007031E0">
        <w:rPr>
          <w:lang w:val="fr-FR"/>
        </w:rPr>
        <w:t xml:space="preserve"> les </w:t>
      </w:r>
      <w:r w:rsidRPr="003F3120">
        <w:rPr>
          <w:lang w:val="fr-FR"/>
        </w:rPr>
        <w:t>travaux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Plateforme et de son secrétariat.</w:t>
      </w:r>
    </w:p>
    <w:p w14:paraId="19FF9446" w14:textId="050BBA18" w:rsidR="007E217F" w:rsidRPr="003F3120" w:rsidRDefault="007E217F" w:rsidP="007E217F">
      <w:pPr>
        <w:pStyle w:val="NormalNonumber"/>
        <w:rPr>
          <w:lang w:val="fr-FR"/>
        </w:rPr>
      </w:pPr>
      <w:r w:rsidRPr="003F3120">
        <w:rPr>
          <w:lang w:val="fr-FR"/>
        </w:rPr>
        <w:t>10.</w:t>
      </w:r>
      <w:r w:rsidRPr="003F3120">
        <w:rPr>
          <w:lang w:val="fr-FR"/>
        </w:rPr>
        <w:tab/>
        <w:t xml:space="preserve">Adoption du rapport </w:t>
      </w:r>
      <w:r w:rsidR="00DF23E8">
        <w:rPr>
          <w:lang w:val="fr-FR"/>
        </w:rPr>
        <w:t>sur</w:t>
      </w:r>
      <w:r w:rsidR="007031E0">
        <w:rPr>
          <w:lang w:val="fr-FR"/>
        </w:rPr>
        <w:t xml:space="preserve"> les </w:t>
      </w:r>
      <w:r w:rsidR="00DF23E8">
        <w:rPr>
          <w:lang w:val="fr-FR"/>
        </w:rPr>
        <w:t xml:space="preserve">travaux </w:t>
      </w:r>
      <w:r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session.</w:t>
      </w:r>
    </w:p>
    <w:p w14:paraId="487F60AB" w14:textId="166A4ACC" w:rsidR="00FB690D" w:rsidRPr="003F3120" w:rsidRDefault="007E217F" w:rsidP="00B40174">
      <w:pPr>
        <w:pStyle w:val="NormalNonumber"/>
        <w:rPr>
          <w:lang w:val="fr-FR"/>
        </w:rPr>
      </w:pPr>
      <w:r w:rsidRPr="003F3120">
        <w:rPr>
          <w:lang w:val="fr-FR"/>
        </w:rPr>
        <w:t>11.</w:t>
      </w:r>
      <w:r w:rsidRPr="003F3120">
        <w:rPr>
          <w:lang w:val="fr-FR"/>
        </w:rPr>
        <w:tab/>
        <w:t>Clôture de</w:t>
      </w:r>
      <w:r w:rsidR="007031E0">
        <w:rPr>
          <w:lang w:val="fr-FR"/>
        </w:rPr>
        <w:t xml:space="preserve"> la </w:t>
      </w:r>
      <w:r w:rsidRPr="003F3120">
        <w:rPr>
          <w:lang w:val="fr-FR"/>
        </w:rPr>
        <w:t>session</w:t>
      </w:r>
      <w:r w:rsidR="00FB690D" w:rsidRPr="003F3120">
        <w:rPr>
          <w:lang w:val="fr-FR"/>
        </w:rPr>
        <w:t>.</w:t>
      </w:r>
    </w:p>
    <w:p w14:paraId="1743E87B" w14:textId="77777777" w:rsidR="00691D8F" w:rsidRPr="003F3120" w:rsidRDefault="00691D8F">
      <w:pPr>
        <w:rPr>
          <w:b/>
          <w:sz w:val="28"/>
          <w:szCs w:val="28"/>
        </w:rPr>
        <w:sectPr w:rsidR="00691D8F" w:rsidRPr="003F3120" w:rsidSect="005C2FB4">
          <w:footnotePr>
            <w:numRestart w:val="eachSect"/>
          </w:footnotePr>
          <w:pgSz w:w="11907" w:h="16840" w:code="9"/>
          <w:pgMar w:top="907" w:right="992" w:bottom="1418" w:left="1418" w:header="539" w:footer="975" w:gutter="0"/>
          <w:cols w:space="539"/>
          <w:docGrid w:linePitch="360"/>
        </w:sectPr>
      </w:pPr>
    </w:p>
    <w:p w14:paraId="4DA26A0E" w14:textId="2A4E0CDA" w:rsidR="00B16B8D" w:rsidRPr="003F3120" w:rsidRDefault="005C2FB4" w:rsidP="006E0890">
      <w:pPr>
        <w:pStyle w:val="CH1"/>
        <w:spacing w:before="0" w:after="240"/>
        <w:rPr>
          <w:i/>
          <w:w w:val="1"/>
          <w:szCs w:val="18"/>
        </w:rPr>
      </w:pPr>
      <w:r>
        <w:lastRenderedPageBreak/>
        <w:tab/>
      </w:r>
      <w:r>
        <w:tab/>
      </w:r>
      <w:r w:rsidR="006E0890">
        <w:t>D</w:t>
      </w:r>
      <w:r w:rsidR="00B16B8D" w:rsidRPr="003F3120">
        <w:t>é</w:t>
      </w:r>
      <w:r w:rsidR="00B56C3C" w:rsidRPr="003F3120">
        <w:t>cision </w:t>
      </w:r>
      <w:r w:rsidR="00FB690D" w:rsidRPr="003F3120">
        <w:t>IPBES-7/4</w:t>
      </w:r>
      <w:r w:rsidR="00FD5D6A">
        <w:t> :</w:t>
      </w:r>
      <w:r w:rsidR="00FB690D" w:rsidRPr="003F3120">
        <w:t xml:space="preserve"> </w:t>
      </w:r>
      <w:r w:rsidR="00B16B8D" w:rsidRPr="003F3120">
        <w:t>Dispositifs financiers et budgétaires</w:t>
      </w:r>
    </w:p>
    <w:p w14:paraId="693C130C" w14:textId="5F7774B2" w:rsidR="00B16B8D" w:rsidRPr="005C2FB4" w:rsidRDefault="005C2FB4" w:rsidP="005C2FB4">
      <w:pPr>
        <w:pStyle w:val="NormalNonumber"/>
        <w:rPr>
          <w:i/>
          <w:lang w:val="fr-FR"/>
        </w:rPr>
      </w:pPr>
      <w:bookmarkStart w:id="91" w:name="_Hlk535846233"/>
      <w:r>
        <w:rPr>
          <w:lang w:val="fr-FR"/>
        </w:rPr>
        <w:tab/>
      </w:r>
      <w:r w:rsidR="00B16B8D" w:rsidRPr="005C2FB4">
        <w:rPr>
          <w:i/>
          <w:lang w:val="fr-FR"/>
        </w:rPr>
        <w:t>La Plénière,</w:t>
      </w:r>
    </w:p>
    <w:p w14:paraId="40B3ABEB" w14:textId="03492F3F" w:rsidR="00B16B8D" w:rsidRPr="003F3120" w:rsidRDefault="005C2FB4" w:rsidP="005C2FB4">
      <w:pPr>
        <w:pStyle w:val="NormalNonumber"/>
        <w:rPr>
          <w:lang w:val="fr-FR"/>
        </w:rPr>
      </w:pPr>
      <w:r>
        <w:rPr>
          <w:i/>
          <w:iCs/>
          <w:lang w:val="fr-FR"/>
        </w:rPr>
        <w:tab/>
      </w:r>
      <w:r w:rsidR="00B16B8D" w:rsidRPr="003F3120">
        <w:rPr>
          <w:i/>
          <w:iCs/>
          <w:lang w:val="fr-FR"/>
        </w:rPr>
        <w:t>Se félicitant</w:t>
      </w:r>
      <w:r w:rsidR="007031E0">
        <w:rPr>
          <w:i/>
          <w:iCs/>
          <w:lang w:val="fr-FR"/>
        </w:rPr>
        <w:t xml:space="preserve"> des </w:t>
      </w:r>
      <w:r w:rsidR="00B16B8D" w:rsidRPr="003F3120">
        <w:rPr>
          <w:lang w:val="fr-FR"/>
        </w:rPr>
        <w:t xml:space="preserve">contributions en espèces et en nature reçues depuis sa sixième session, </w:t>
      </w:r>
    </w:p>
    <w:p w14:paraId="47D73A2D" w14:textId="0E4CFD35" w:rsidR="00B16B8D" w:rsidRPr="003F3120" w:rsidRDefault="005C2FB4" w:rsidP="005C2FB4">
      <w:pPr>
        <w:pStyle w:val="NormalNonumber"/>
        <w:rPr>
          <w:lang w:val="fr-FR"/>
        </w:rPr>
      </w:pPr>
      <w:r>
        <w:rPr>
          <w:i/>
          <w:iCs/>
          <w:lang w:val="fr-FR"/>
        </w:rPr>
        <w:tab/>
      </w:r>
      <w:r w:rsidR="00B16B8D" w:rsidRPr="003F3120">
        <w:rPr>
          <w:i/>
          <w:iCs/>
          <w:lang w:val="fr-FR"/>
        </w:rPr>
        <w:t>Prenant note</w:t>
      </w:r>
      <w:r w:rsidR="00B16B8D" w:rsidRPr="003F3120">
        <w:rPr>
          <w:lang w:val="fr-FR"/>
        </w:rPr>
        <w:t xml:space="preserve"> de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état</w:t>
      </w:r>
      <w:r w:rsidR="007031E0">
        <w:rPr>
          <w:lang w:val="fr-FR"/>
        </w:rPr>
        <w:t xml:space="preserve"> des </w:t>
      </w:r>
      <w:r w:rsidR="00B16B8D" w:rsidRPr="003F3120">
        <w:rPr>
          <w:lang w:val="fr-FR"/>
        </w:rPr>
        <w:t>contributions en espèces et en nature reçues à ce jour, qui figure dans</w:t>
      </w:r>
      <w:r w:rsidR="006E0890">
        <w:rPr>
          <w:lang w:val="fr-FR"/>
        </w:rPr>
        <w:t> </w:t>
      </w:r>
      <w:r w:rsidR="007031E0">
        <w:rPr>
          <w:lang w:val="fr-FR"/>
        </w:rPr>
        <w:t>les </w:t>
      </w:r>
      <w:r w:rsidR="00A00F81">
        <w:rPr>
          <w:lang w:val="fr-FR"/>
        </w:rPr>
        <w:t>tableaux 1, 2 et </w:t>
      </w:r>
      <w:r w:rsidR="00B16B8D" w:rsidRPr="003F3120">
        <w:rPr>
          <w:lang w:val="fr-FR"/>
        </w:rPr>
        <w:t>3 de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annexe </w:t>
      </w:r>
      <w:r w:rsidR="003849C4"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="00B16B8D" w:rsidRPr="003F3120">
        <w:rPr>
          <w:lang w:val="fr-FR"/>
        </w:rPr>
        <w:t>présente décision,</w:t>
      </w:r>
    </w:p>
    <w:p w14:paraId="26DFA817" w14:textId="590D9025" w:rsidR="00B16B8D" w:rsidRPr="003F3120" w:rsidRDefault="005C2FB4" w:rsidP="005C2FB4">
      <w:pPr>
        <w:pStyle w:val="NormalNonumber"/>
        <w:rPr>
          <w:lang w:val="fr-FR"/>
        </w:rPr>
      </w:pPr>
      <w:r>
        <w:rPr>
          <w:i/>
          <w:iCs/>
          <w:lang w:val="fr-FR"/>
        </w:rPr>
        <w:tab/>
      </w:r>
      <w:r w:rsidR="00B16B8D" w:rsidRPr="003F3120">
        <w:rPr>
          <w:i/>
          <w:iCs/>
          <w:lang w:val="fr-FR"/>
        </w:rPr>
        <w:t>Prenant note également</w:t>
      </w:r>
      <w:r w:rsidR="007031E0">
        <w:rPr>
          <w:lang w:val="fr-FR"/>
        </w:rPr>
        <w:t xml:space="preserve"> des </w:t>
      </w:r>
      <w:r w:rsidR="00B16B8D" w:rsidRPr="003F3120">
        <w:rPr>
          <w:lang w:val="fr-FR"/>
        </w:rPr>
        <w:t>contributions annoncées pour</w:t>
      </w:r>
      <w:r w:rsidR="007031E0">
        <w:rPr>
          <w:lang w:val="fr-FR"/>
        </w:rPr>
        <w:t xml:space="preserve"> la </w:t>
      </w:r>
      <w:r w:rsidR="00B16B8D" w:rsidRPr="003F3120">
        <w:rPr>
          <w:lang w:val="fr-FR"/>
        </w:rPr>
        <w:t>période s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 xml:space="preserve">étendant au-delà de 2018, </w:t>
      </w:r>
    </w:p>
    <w:p w14:paraId="6D4048BA" w14:textId="6AE6F883" w:rsidR="00B16B8D" w:rsidRPr="003F3120" w:rsidRDefault="005C2FB4" w:rsidP="005C2FB4">
      <w:pPr>
        <w:pStyle w:val="NormalNonumber"/>
        <w:rPr>
          <w:iCs/>
          <w:lang w:val="fr-FR"/>
        </w:rPr>
      </w:pPr>
      <w:r>
        <w:rPr>
          <w:i/>
          <w:iCs/>
          <w:lang w:val="fr-FR"/>
        </w:rPr>
        <w:tab/>
      </w:r>
      <w:r w:rsidR="00B16B8D" w:rsidRPr="003F3120">
        <w:rPr>
          <w:i/>
          <w:iCs/>
          <w:lang w:val="fr-FR"/>
        </w:rPr>
        <w:t xml:space="preserve">Rappelant </w:t>
      </w:r>
      <w:r w:rsidR="00B16B8D" w:rsidRPr="003F3120">
        <w:rPr>
          <w:iCs/>
          <w:lang w:val="fr-FR"/>
        </w:rPr>
        <w:t>l</w:t>
      </w:r>
      <w:r w:rsidR="00FA5ADB">
        <w:rPr>
          <w:iCs/>
          <w:lang w:val="fr-FR"/>
        </w:rPr>
        <w:t>’</w:t>
      </w:r>
      <w:r w:rsidR="00B16B8D" w:rsidRPr="003F3120">
        <w:rPr>
          <w:iCs/>
          <w:lang w:val="fr-FR"/>
        </w:rPr>
        <w:t>importance d</w:t>
      </w:r>
      <w:r w:rsidR="00FA5ADB">
        <w:rPr>
          <w:iCs/>
          <w:lang w:val="fr-FR"/>
        </w:rPr>
        <w:t>’</w:t>
      </w:r>
      <w:r w:rsidR="00B16B8D" w:rsidRPr="003F3120">
        <w:rPr>
          <w:iCs/>
          <w:lang w:val="fr-FR"/>
        </w:rPr>
        <w:t>une stratégie de collecte de fonds pour garantir un financement suffisant</w:t>
      </w:r>
      <w:r w:rsidR="007031E0">
        <w:rPr>
          <w:iCs/>
          <w:lang w:val="fr-FR"/>
        </w:rPr>
        <w:t xml:space="preserve"> des </w:t>
      </w:r>
      <w:r w:rsidR="00B16B8D" w:rsidRPr="003F3120">
        <w:rPr>
          <w:iCs/>
          <w:lang w:val="fr-FR"/>
        </w:rPr>
        <w:t>activités de</w:t>
      </w:r>
      <w:r w:rsidR="007031E0">
        <w:rPr>
          <w:iCs/>
          <w:lang w:val="fr-FR"/>
        </w:rPr>
        <w:t xml:space="preserve"> la </w:t>
      </w:r>
      <w:r w:rsidR="00B16B8D" w:rsidRPr="003F3120">
        <w:rPr>
          <w:iCs/>
          <w:lang w:val="fr-FR"/>
        </w:rPr>
        <w:t xml:space="preserve">Plateforme, </w:t>
      </w:r>
    </w:p>
    <w:p w14:paraId="5633079F" w14:textId="733DA04A" w:rsidR="00B16B8D" w:rsidRPr="003F3120" w:rsidRDefault="005C2FB4" w:rsidP="005C2FB4">
      <w:pPr>
        <w:pStyle w:val="NormalNonumber"/>
        <w:rPr>
          <w:lang w:val="fr-FR"/>
        </w:rPr>
      </w:pPr>
      <w:r>
        <w:rPr>
          <w:i/>
          <w:iCs/>
          <w:lang w:val="fr-FR"/>
        </w:rPr>
        <w:tab/>
      </w:r>
      <w:r w:rsidR="00B16B8D" w:rsidRPr="003F3120">
        <w:rPr>
          <w:i/>
          <w:iCs/>
          <w:lang w:val="fr-FR"/>
        </w:rPr>
        <w:t xml:space="preserve">Prenant note </w:t>
      </w:r>
      <w:r w:rsidR="00B16B8D" w:rsidRPr="003F3120">
        <w:rPr>
          <w:lang w:val="fr-FR"/>
        </w:rPr>
        <w:t>de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état</w:t>
      </w:r>
      <w:r w:rsidR="007031E0">
        <w:rPr>
          <w:lang w:val="fr-FR"/>
        </w:rPr>
        <w:t xml:space="preserve"> des </w:t>
      </w:r>
      <w:r w:rsidR="00B16B8D" w:rsidRPr="003F3120">
        <w:rPr>
          <w:lang w:val="fr-FR"/>
        </w:rPr>
        <w:t>dépenses de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exercice biennal 2017-2018, qui est présenté dans</w:t>
      </w:r>
      <w:r w:rsidR="006E0890">
        <w:rPr>
          <w:lang w:val="fr-FR"/>
        </w:rPr>
        <w:t> </w:t>
      </w:r>
      <w:r w:rsidR="007031E0">
        <w:rPr>
          <w:lang w:val="fr-FR"/>
        </w:rPr>
        <w:t>les </w:t>
      </w:r>
      <w:r w:rsidR="00B16B8D" w:rsidRPr="003F3120">
        <w:rPr>
          <w:lang w:val="fr-FR"/>
        </w:rPr>
        <w:t>tableaux 5 et 6 de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 xml:space="preserve">annexe I </w:t>
      </w:r>
      <w:r w:rsidR="00933127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="00B16B8D" w:rsidRPr="003F3120">
        <w:rPr>
          <w:lang w:val="fr-FR"/>
        </w:rPr>
        <w:t>présente décision, et</w:t>
      </w:r>
      <w:r w:rsidR="007031E0">
        <w:rPr>
          <w:lang w:val="fr-FR"/>
        </w:rPr>
        <w:t xml:space="preserve"> des </w:t>
      </w:r>
      <w:r w:rsidR="00B16B8D" w:rsidRPr="003F3120">
        <w:rPr>
          <w:lang w:val="fr-FR"/>
        </w:rPr>
        <w:t>économies réalisées pendant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exercice</w:t>
      </w:r>
      <w:r w:rsidR="006E0890">
        <w:rPr>
          <w:lang w:val="fr-FR"/>
        </w:rPr>
        <w:t> </w:t>
      </w:r>
      <w:r w:rsidR="00B16B8D" w:rsidRPr="003F3120">
        <w:rPr>
          <w:lang w:val="fr-FR"/>
        </w:rPr>
        <w:t>biennal,</w:t>
      </w:r>
    </w:p>
    <w:p w14:paraId="7EB848EE" w14:textId="63EABCD3" w:rsidR="00B16B8D" w:rsidRPr="003F3120" w:rsidRDefault="005C2FB4" w:rsidP="005C2FB4">
      <w:pPr>
        <w:pStyle w:val="NormalNonumber"/>
        <w:rPr>
          <w:lang w:val="fr-FR"/>
        </w:rPr>
      </w:pPr>
      <w:r>
        <w:rPr>
          <w:i/>
          <w:iCs/>
          <w:lang w:val="fr-FR"/>
        </w:rPr>
        <w:tab/>
      </w:r>
      <w:r>
        <w:rPr>
          <w:iCs/>
          <w:lang w:val="fr-FR"/>
        </w:rPr>
        <w:t>1.</w:t>
      </w:r>
      <w:r>
        <w:rPr>
          <w:iCs/>
          <w:lang w:val="fr-FR"/>
        </w:rPr>
        <w:tab/>
      </w:r>
      <w:r w:rsidR="00B16B8D" w:rsidRPr="003F3120">
        <w:rPr>
          <w:i/>
          <w:iCs/>
          <w:lang w:val="fr-FR"/>
        </w:rPr>
        <w:t>Invite</w:t>
      </w:r>
      <w:r w:rsidR="007031E0">
        <w:rPr>
          <w:i/>
          <w:iCs/>
          <w:lang w:val="fr-FR"/>
        </w:rPr>
        <w:t xml:space="preserve"> les </w:t>
      </w:r>
      <w:r w:rsidR="00B16B8D" w:rsidRPr="003F3120">
        <w:rPr>
          <w:lang w:val="fr-FR"/>
        </w:rPr>
        <w:t>gouvernements,</w:t>
      </w:r>
      <w:r w:rsidR="007031E0">
        <w:rPr>
          <w:lang w:val="fr-FR"/>
        </w:rPr>
        <w:t xml:space="preserve"> les </w:t>
      </w:r>
      <w:r w:rsidR="00B16B8D" w:rsidRPr="003F3120">
        <w:rPr>
          <w:lang w:val="fr-FR"/>
        </w:rPr>
        <w:t>organismes</w:t>
      </w:r>
      <w:r w:rsidR="007031E0">
        <w:rPr>
          <w:lang w:val="fr-FR"/>
        </w:rPr>
        <w:t xml:space="preserve"> des </w:t>
      </w:r>
      <w:r w:rsidR="00B16B8D" w:rsidRPr="003F3120">
        <w:rPr>
          <w:lang w:val="fr-FR"/>
        </w:rPr>
        <w:t>Nations Unies,</w:t>
      </w:r>
      <w:r w:rsidR="007031E0">
        <w:rPr>
          <w:lang w:val="fr-FR"/>
        </w:rPr>
        <w:t xml:space="preserve"> le </w:t>
      </w:r>
      <w:r w:rsidR="00B16B8D" w:rsidRPr="003F3120">
        <w:rPr>
          <w:lang w:val="fr-FR"/>
        </w:rPr>
        <w:t>Fonds pour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environnement mondial, d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autres organisations intergouvernementales,</w:t>
      </w:r>
      <w:r w:rsidR="007031E0">
        <w:rPr>
          <w:lang w:val="fr-FR"/>
        </w:rPr>
        <w:t xml:space="preserve"> les </w:t>
      </w:r>
      <w:r w:rsidR="00B16B8D" w:rsidRPr="003F3120">
        <w:rPr>
          <w:lang w:val="fr-FR"/>
        </w:rPr>
        <w:t>parties prenantes et autres entités en mesure de</w:t>
      </w:r>
      <w:r w:rsidR="007031E0">
        <w:rPr>
          <w:lang w:val="fr-FR"/>
        </w:rPr>
        <w:t xml:space="preserve"> le </w:t>
      </w:r>
      <w:r w:rsidR="00B16B8D" w:rsidRPr="003F3120">
        <w:rPr>
          <w:lang w:val="fr-FR"/>
        </w:rPr>
        <w:t>faire, notamment</w:t>
      </w:r>
      <w:r w:rsidR="007031E0">
        <w:rPr>
          <w:lang w:val="fr-FR"/>
        </w:rPr>
        <w:t xml:space="preserve"> les </w:t>
      </w:r>
      <w:r w:rsidR="00B16B8D" w:rsidRPr="003F3120">
        <w:rPr>
          <w:lang w:val="fr-FR"/>
        </w:rPr>
        <w:t>organisations d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intég</w:t>
      </w:r>
      <w:r w:rsidR="00A00F81">
        <w:rPr>
          <w:lang w:val="fr-FR"/>
        </w:rPr>
        <w:t>ration économique régionale,</w:t>
      </w:r>
      <w:r w:rsidR="007031E0">
        <w:rPr>
          <w:lang w:val="fr-FR"/>
        </w:rPr>
        <w:t xml:space="preserve"> le </w:t>
      </w:r>
      <w:r w:rsidR="00B16B8D" w:rsidRPr="003F3120">
        <w:rPr>
          <w:lang w:val="fr-FR"/>
        </w:rPr>
        <w:t>secteur privé et</w:t>
      </w:r>
      <w:r w:rsidR="007031E0">
        <w:rPr>
          <w:lang w:val="fr-FR"/>
        </w:rPr>
        <w:t xml:space="preserve"> les </w:t>
      </w:r>
      <w:r w:rsidR="00B16B8D" w:rsidRPr="003F3120">
        <w:rPr>
          <w:lang w:val="fr-FR"/>
        </w:rPr>
        <w:t>fondations, à annoncer et à verser</w:t>
      </w:r>
      <w:r w:rsidR="007031E0">
        <w:rPr>
          <w:lang w:val="fr-FR"/>
        </w:rPr>
        <w:t xml:space="preserve"> des </w:t>
      </w:r>
      <w:r w:rsidR="00B16B8D" w:rsidRPr="003F3120">
        <w:rPr>
          <w:lang w:val="fr-FR"/>
        </w:rPr>
        <w:t>contributions au Fonds d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affectation spéciale de</w:t>
      </w:r>
      <w:r w:rsidR="007031E0">
        <w:rPr>
          <w:lang w:val="fr-FR"/>
        </w:rPr>
        <w:t xml:space="preserve"> la </w:t>
      </w:r>
      <w:r w:rsidR="003849C4" w:rsidRPr="003F3120">
        <w:rPr>
          <w:rStyle w:val="DeltaViewInsertion"/>
          <w:color w:val="auto"/>
          <w:u w:val="none"/>
          <w:lang w:val="fr-FR"/>
        </w:rPr>
        <w:t>Plateforme intergouvernementale scientifique et politique sur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3849C4" w:rsidRPr="003F3120">
        <w:rPr>
          <w:rStyle w:val="DeltaViewInsertion"/>
          <w:color w:val="auto"/>
          <w:u w:val="none"/>
          <w:lang w:val="fr-FR"/>
        </w:rPr>
        <w:t>biodiversité et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3849C4" w:rsidRPr="003F3120">
        <w:rPr>
          <w:rStyle w:val="DeltaViewInsertion"/>
          <w:color w:val="auto"/>
          <w:u w:val="none"/>
          <w:lang w:val="fr-FR"/>
        </w:rPr>
        <w:t>services écosystémiques</w:t>
      </w:r>
      <w:r w:rsidR="003849C4" w:rsidRPr="003F3120">
        <w:rPr>
          <w:lang w:val="fr-FR"/>
        </w:rPr>
        <w:t xml:space="preserve"> </w:t>
      </w:r>
      <w:r w:rsidR="00B16B8D" w:rsidRPr="003F3120">
        <w:rPr>
          <w:lang w:val="fr-FR"/>
        </w:rPr>
        <w:t>et à apporter à cette dernière</w:t>
      </w:r>
      <w:r w:rsidR="007031E0">
        <w:rPr>
          <w:lang w:val="fr-FR"/>
        </w:rPr>
        <w:t xml:space="preserve"> des </w:t>
      </w:r>
      <w:r w:rsidR="00B16B8D" w:rsidRPr="003F3120">
        <w:rPr>
          <w:lang w:val="fr-FR"/>
        </w:rPr>
        <w:t xml:space="preserve">contributions en nature </w:t>
      </w:r>
      <w:r w:rsidR="00933127">
        <w:rPr>
          <w:lang w:val="fr-FR"/>
        </w:rPr>
        <w:t>au profit de</w:t>
      </w:r>
      <w:r w:rsidR="00B16B8D" w:rsidRPr="003F3120">
        <w:rPr>
          <w:lang w:val="fr-FR"/>
        </w:rPr>
        <w:t xml:space="preserve"> ses</w:t>
      </w:r>
      <w:r>
        <w:rPr>
          <w:lang w:val="fr-FR"/>
        </w:rPr>
        <w:t> </w:t>
      </w:r>
      <w:r w:rsidR="00B16B8D" w:rsidRPr="003F3120">
        <w:rPr>
          <w:lang w:val="fr-FR"/>
        </w:rPr>
        <w:t>activités</w:t>
      </w:r>
      <w:r w:rsidR="00FD5D6A">
        <w:rPr>
          <w:lang w:val="fr-FR"/>
        </w:rPr>
        <w:t> ;</w:t>
      </w:r>
    </w:p>
    <w:p w14:paraId="7ED2E16C" w14:textId="18D4C014" w:rsidR="00B16B8D" w:rsidRPr="003F3120" w:rsidRDefault="005C2FB4" w:rsidP="005C2FB4">
      <w:pPr>
        <w:pStyle w:val="NormalNonumber"/>
        <w:rPr>
          <w:lang w:val="fr-FR"/>
        </w:rPr>
      </w:pPr>
      <w:r>
        <w:rPr>
          <w:iCs/>
          <w:lang w:val="fr-FR"/>
        </w:rPr>
        <w:tab/>
        <w:t>2.</w:t>
      </w:r>
      <w:r>
        <w:rPr>
          <w:iCs/>
          <w:lang w:val="fr-FR"/>
        </w:rPr>
        <w:tab/>
      </w:r>
      <w:r w:rsidR="00B16B8D" w:rsidRPr="003F3120">
        <w:rPr>
          <w:i/>
          <w:iCs/>
          <w:lang w:val="fr-FR"/>
        </w:rPr>
        <w:t>Prie</w:t>
      </w:r>
      <w:r w:rsidR="007031E0">
        <w:rPr>
          <w:i/>
          <w:iCs/>
          <w:lang w:val="fr-FR"/>
        </w:rPr>
        <w:t xml:space="preserve"> la </w:t>
      </w:r>
      <w:r w:rsidR="00B16B8D" w:rsidRPr="003F3120">
        <w:rPr>
          <w:lang w:val="fr-FR"/>
        </w:rPr>
        <w:t>Secrétaire exécutive, agissant sous</w:t>
      </w:r>
      <w:r w:rsidR="007031E0">
        <w:rPr>
          <w:lang w:val="fr-FR"/>
        </w:rPr>
        <w:t xml:space="preserve"> la </w:t>
      </w:r>
      <w:r w:rsidR="00B16B8D" w:rsidRPr="003F3120">
        <w:rPr>
          <w:lang w:val="fr-FR"/>
        </w:rPr>
        <w:t>direction du Bureau, de lui faire rapport à sa huitième session sur</w:t>
      </w:r>
      <w:r w:rsidR="007031E0">
        <w:rPr>
          <w:lang w:val="fr-FR"/>
        </w:rPr>
        <w:t xml:space="preserve"> les </w:t>
      </w:r>
      <w:r w:rsidR="00B16B8D" w:rsidRPr="003F3120">
        <w:rPr>
          <w:lang w:val="fr-FR"/>
        </w:rPr>
        <w:t>dépenses pour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exercice triennal 2018-2020 et sur</w:t>
      </w:r>
      <w:r w:rsidR="007031E0">
        <w:rPr>
          <w:lang w:val="fr-FR"/>
        </w:rPr>
        <w:t xml:space="preserve"> les </w:t>
      </w:r>
      <w:r w:rsidR="00B16B8D" w:rsidRPr="003F3120">
        <w:rPr>
          <w:lang w:val="fr-FR"/>
        </w:rPr>
        <w:t xml:space="preserve">activités </w:t>
      </w:r>
      <w:r w:rsidR="00933127">
        <w:rPr>
          <w:lang w:val="fr-FR"/>
        </w:rPr>
        <w:t>de</w:t>
      </w:r>
      <w:r w:rsidR="00B16B8D" w:rsidRPr="003F3120">
        <w:rPr>
          <w:lang w:val="fr-FR"/>
        </w:rPr>
        <w:t xml:space="preserve"> collecte de fonds</w:t>
      </w:r>
      <w:r w:rsidR="00FD5D6A">
        <w:rPr>
          <w:lang w:val="fr-FR"/>
        </w:rPr>
        <w:t> ;</w:t>
      </w:r>
    </w:p>
    <w:p w14:paraId="7B1EDBF3" w14:textId="57194B52" w:rsidR="00B16B8D" w:rsidRPr="003F3120" w:rsidRDefault="005C2FB4" w:rsidP="005C2FB4">
      <w:pPr>
        <w:pStyle w:val="NormalNonumber"/>
        <w:rPr>
          <w:lang w:val="fr-FR"/>
        </w:rPr>
      </w:pPr>
      <w:r>
        <w:rPr>
          <w:iCs/>
          <w:lang w:val="fr-FR"/>
        </w:rPr>
        <w:tab/>
        <w:t>3.</w:t>
      </w:r>
      <w:r>
        <w:rPr>
          <w:iCs/>
          <w:lang w:val="fr-FR"/>
        </w:rPr>
        <w:tab/>
      </w:r>
      <w:r w:rsidR="00B16B8D" w:rsidRPr="003F3120">
        <w:rPr>
          <w:i/>
          <w:iCs/>
          <w:lang w:val="fr-FR"/>
        </w:rPr>
        <w:t>Adopte</w:t>
      </w:r>
      <w:r w:rsidR="007031E0">
        <w:rPr>
          <w:i/>
          <w:iCs/>
          <w:lang w:val="fr-FR"/>
        </w:rPr>
        <w:t xml:space="preserve"> les </w:t>
      </w:r>
      <w:r w:rsidR="00B16B8D" w:rsidRPr="003F3120">
        <w:rPr>
          <w:lang w:val="fr-FR"/>
        </w:rPr>
        <w:t>budgets révisés pour 2019 et 2020, d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un montant de 8 </w:t>
      </w:r>
      <w:r w:rsidR="003849C4" w:rsidRPr="003F3120">
        <w:rPr>
          <w:lang w:val="fr-FR"/>
        </w:rPr>
        <w:t>269 605 dollars et de</w:t>
      </w:r>
      <w:r w:rsidR="006C0085">
        <w:rPr>
          <w:lang w:val="fr-FR"/>
        </w:rPr>
        <w:t> </w:t>
      </w:r>
      <w:r w:rsidR="003849C4" w:rsidRPr="003F3120">
        <w:rPr>
          <w:lang w:val="fr-FR"/>
        </w:rPr>
        <w:t>7 146 360 dollars</w:t>
      </w:r>
      <w:r w:rsidR="00B16B8D" w:rsidRPr="003F3120">
        <w:rPr>
          <w:lang w:val="fr-FR"/>
        </w:rPr>
        <w:t>, présentés dans</w:t>
      </w:r>
      <w:r w:rsidR="007031E0">
        <w:rPr>
          <w:lang w:val="fr-FR"/>
        </w:rPr>
        <w:t xml:space="preserve"> le </w:t>
      </w:r>
      <w:r w:rsidR="00B16B8D" w:rsidRPr="003F3120">
        <w:rPr>
          <w:lang w:val="fr-FR"/>
        </w:rPr>
        <w:t>tableau 7 de l</w:t>
      </w:r>
      <w:r w:rsidR="00FA5ADB">
        <w:rPr>
          <w:lang w:val="fr-FR"/>
        </w:rPr>
        <w:t>’</w:t>
      </w:r>
      <w:r w:rsidR="00B16B8D" w:rsidRPr="003F3120">
        <w:rPr>
          <w:lang w:val="fr-FR"/>
        </w:rPr>
        <w:t>annexe </w:t>
      </w:r>
      <w:r w:rsidR="008E5719" w:rsidRPr="003F3120">
        <w:rPr>
          <w:lang w:val="fr-FR"/>
        </w:rPr>
        <w:t>de</w:t>
      </w:r>
      <w:r w:rsidR="007031E0">
        <w:rPr>
          <w:lang w:val="fr-FR"/>
        </w:rPr>
        <w:t xml:space="preserve"> la </w:t>
      </w:r>
      <w:r w:rsidR="00B16B8D" w:rsidRPr="003F3120">
        <w:rPr>
          <w:lang w:val="fr-FR"/>
        </w:rPr>
        <w:t>présente décision</w:t>
      </w:r>
      <w:r w:rsidR="00FD5D6A">
        <w:rPr>
          <w:lang w:val="fr-FR"/>
        </w:rPr>
        <w:t> ;</w:t>
      </w:r>
    </w:p>
    <w:p w14:paraId="69E8F2E2" w14:textId="5F41F900" w:rsidR="00B16B8D" w:rsidRPr="003F3120" w:rsidRDefault="005C2FB4" w:rsidP="005C2FB4">
      <w:pPr>
        <w:pStyle w:val="NormalNonumber"/>
        <w:rPr>
          <w:lang w:val="fr-FR"/>
        </w:rPr>
      </w:pPr>
      <w:r>
        <w:rPr>
          <w:iCs/>
          <w:lang w:val="fr-FR"/>
        </w:rPr>
        <w:tab/>
        <w:t>4.</w:t>
      </w:r>
      <w:r>
        <w:rPr>
          <w:iCs/>
          <w:lang w:val="fr-FR"/>
        </w:rPr>
        <w:tab/>
      </w:r>
      <w:r w:rsidR="00B16B8D" w:rsidRPr="003F3120">
        <w:rPr>
          <w:i/>
          <w:iCs/>
          <w:lang w:val="fr-FR"/>
        </w:rPr>
        <w:t>Adopte également</w:t>
      </w:r>
      <w:r w:rsidR="007031E0">
        <w:rPr>
          <w:i/>
          <w:iCs/>
          <w:lang w:val="fr-FR"/>
        </w:rPr>
        <w:t xml:space="preserve"> le </w:t>
      </w:r>
      <w:r w:rsidR="00B16B8D" w:rsidRPr="003F3120">
        <w:rPr>
          <w:iCs/>
          <w:lang w:val="fr-FR"/>
        </w:rPr>
        <w:t>budget provisoire pour 2021, d</w:t>
      </w:r>
      <w:r w:rsidR="00FA5ADB">
        <w:rPr>
          <w:iCs/>
          <w:lang w:val="fr-FR"/>
        </w:rPr>
        <w:t>’</w:t>
      </w:r>
      <w:r w:rsidR="00B16B8D" w:rsidRPr="003F3120">
        <w:rPr>
          <w:iCs/>
          <w:lang w:val="fr-FR"/>
        </w:rPr>
        <w:t>un montant de 8 721 810 dollars, présenté dans</w:t>
      </w:r>
      <w:r w:rsidR="007031E0">
        <w:rPr>
          <w:iCs/>
          <w:lang w:val="fr-FR"/>
        </w:rPr>
        <w:t xml:space="preserve"> le </w:t>
      </w:r>
      <w:r w:rsidR="00B16B8D" w:rsidRPr="003F3120">
        <w:rPr>
          <w:iCs/>
          <w:lang w:val="fr-FR"/>
        </w:rPr>
        <w:t>tableau 8 de l</w:t>
      </w:r>
      <w:r w:rsidR="00FA5ADB">
        <w:rPr>
          <w:iCs/>
          <w:lang w:val="fr-FR"/>
        </w:rPr>
        <w:t>’</w:t>
      </w:r>
      <w:r w:rsidR="00B16B8D" w:rsidRPr="003F3120">
        <w:rPr>
          <w:iCs/>
          <w:lang w:val="fr-FR"/>
        </w:rPr>
        <w:t xml:space="preserve">annexe </w:t>
      </w:r>
      <w:r w:rsidR="008E5719" w:rsidRPr="003F3120">
        <w:rPr>
          <w:iCs/>
          <w:lang w:val="fr-FR"/>
        </w:rPr>
        <w:t>de</w:t>
      </w:r>
      <w:r w:rsidR="007031E0">
        <w:rPr>
          <w:iCs/>
          <w:lang w:val="fr-FR"/>
        </w:rPr>
        <w:t xml:space="preserve"> la </w:t>
      </w:r>
      <w:r w:rsidR="00B16B8D" w:rsidRPr="003F3120">
        <w:rPr>
          <w:iCs/>
          <w:lang w:val="fr-FR"/>
        </w:rPr>
        <w:t>présente décision</w:t>
      </w:r>
      <w:r w:rsidR="00FD5D6A">
        <w:rPr>
          <w:iCs/>
          <w:lang w:val="fr-FR"/>
        </w:rPr>
        <w:t> ;</w:t>
      </w:r>
      <w:r w:rsidR="00B16B8D" w:rsidRPr="003F3120">
        <w:rPr>
          <w:iCs/>
          <w:lang w:val="fr-FR"/>
        </w:rPr>
        <w:t xml:space="preserve"> </w:t>
      </w:r>
    </w:p>
    <w:p w14:paraId="28BAC0D0" w14:textId="3E035217" w:rsidR="00B16B8D" w:rsidRPr="003F3120" w:rsidRDefault="005C2FB4" w:rsidP="005C2FB4">
      <w:pPr>
        <w:pStyle w:val="NormalNonumber"/>
        <w:rPr>
          <w:lang w:val="fr-FR"/>
        </w:rPr>
      </w:pPr>
      <w:r>
        <w:rPr>
          <w:rStyle w:val="DeltaViewInsertion"/>
          <w:color w:val="auto"/>
          <w:u w:val="none"/>
          <w:lang w:val="fr-FR"/>
        </w:rPr>
        <w:tab/>
        <w:t>5.</w:t>
      </w:r>
      <w:r>
        <w:rPr>
          <w:rStyle w:val="DeltaViewInsertion"/>
          <w:color w:val="auto"/>
          <w:u w:val="none"/>
          <w:lang w:val="fr-FR"/>
        </w:rPr>
        <w:tab/>
      </w:r>
      <w:r w:rsidR="00B16B8D" w:rsidRPr="003F3120">
        <w:rPr>
          <w:rStyle w:val="DeltaViewInsertion"/>
          <w:i/>
          <w:color w:val="auto"/>
          <w:u w:val="none"/>
          <w:lang w:val="fr-FR"/>
        </w:rPr>
        <w:t>Rappelle</w:t>
      </w:r>
      <w:r w:rsidR="00B16B8D" w:rsidRPr="003F3120">
        <w:rPr>
          <w:rStyle w:val="DeltaViewInsertion"/>
          <w:color w:val="auto"/>
          <w:u w:val="none"/>
          <w:lang w:val="fr-FR"/>
        </w:rPr>
        <w:t>, s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B16B8D" w:rsidRPr="003F3120">
        <w:rPr>
          <w:rStyle w:val="DeltaViewInsertion"/>
          <w:color w:val="auto"/>
          <w:u w:val="none"/>
          <w:lang w:val="fr-FR"/>
        </w:rPr>
        <w:t>agissant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B16B8D" w:rsidRPr="003F3120">
        <w:rPr>
          <w:rStyle w:val="DeltaViewInsertion"/>
          <w:color w:val="auto"/>
          <w:u w:val="none"/>
          <w:lang w:val="fr-FR"/>
        </w:rPr>
        <w:t>contributions reçues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>part du secteur privé et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B16B8D" w:rsidRPr="003F3120">
        <w:rPr>
          <w:rStyle w:val="DeltaViewInsertion"/>
          <w:color w:val="auto"/>
          <w:u w:val="none"/>
          <w:lang w:val="fr-FR"/>
        </w:rPr>
        <w:t>parties prenantes non gouvernementales,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principes opérationnels qu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B16B8D" w:rsidRPr="003F3120">
        <w:rPr>
          <w:rStyle w:val="DeltaViewInsertion"/>
          <w:color w:val="auto"/>
          <w:u w:val="none"/>
          <w:lang w:val="fr-FR"/>
        </w:rPr>
        <w:t>elle a adoptés à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>deuxième session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>réunion pour déterminer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modalités et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dispositions i</w:t>
      </w:r>
      <w:r w:rsidR="003849C4" w:rsidRPr="003F3120">
        <w:rPr>
          <w:rStyle w:val="DeltaViewInsertion"/>
          <w:color w:val="auto"/>
          <w:u w:val="none"/>
          <w:lang w:val="fr-FR"/>
        </w:rPr>
        <w:t>nstitutionnelles concernant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3849C4" w:rsidRPr="003F3120">
        <w:rPr>
          <w:rStyle w:val="DeltaViewInsertion"/>
          <w:color w:val="auto"/>
          <w:u w:val="none"/>
          <w:lang w:val="fr-FR"/>
        </w:rPr>
        <w:t>P</w:t>
      </w:r>
      <w:r w:rsidR="00B16B8D" w:rsidRPr="003F3120">
        <w:rPr>
          <w:rStyle w:val="DeltaViewInsertion"/>
          <w:color w:val="auto"/>
          <w:u w:val="none"/>
          <w:lang w:val="fr-FR"/>
        </w:rPr>
        <w:t>lateforme intergouvernementale scientifique et politique sur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>biodiversité et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services écosystémiques, qui s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B16B8D" w:rsidRPr="003F3120">
        <w:rPr>
          <w:rStyle w:val="DeltaViewInsertion"/>
          <w:color w:val="auto"/>
          <w:u w:val="none"/>
          <w:lang w:val="fr-FR"/>
        </w:rPr>
        <w:t>est tenue à Panama en 2012, et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procédures financières pour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 xml:space="preserve">Plateforme adoptées </w:t>
      </w:r>
      <w:r w:rsidR="003849C4" w:rsidRPr="003F3120">
        <w:rPr>
          <w:rStyle w:val="DeltaViewInsertion"/>
          <w:color w:val="auto"/>
          <w:u w:val="none"/>
          <w:lang w:val="fr-FR"/>
        </w:rPr>
        <w:t>dans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décisions IPBES-2/7 et IPBES-3/2, et à cet égard</w:t>
      </w:r>
      <w:r w:rsidR="00FD5D6A">
        <w:rPr>
          <w:rStyle w:val="DeltaViewInsertion"/>
          <w:color w:val="auto"/>
          <w:u w:val="none"/>
          <w:lang w:val="fr-FR"/>
        </w:rPr>
        <w:t> :</w:t>
      </w:r>
      <w:r w:rsidR="00B16B8D" w:rsidRPr="003F3120">
        <w:rPr>
          <w:rStyle w:val="DeltaViewInsertion"/>
          <w:color w:val="auto"/>
          <w:u w:val="none"/>
          <w:lang w:val="fr-FR"/>
        </w:rPr>
        <w:t xml:space="preserve"> </w:t>
      </w:r>
    </w:p>
    <w:p w14:paraId="1F83B6F1" w14:textId="2E87012A" w:rsidR="00B16B8D" w:rsidRPr="003F3120" w:rsidRDefault="006C0085" w:rsidP="006C0085">
      <w:pPr>
        <w:pStyle w:val="NormalNonumber"/>
        <w:rPr>
          <w:lang w:val="fr-FR"/>
        </w:rPr>
      </w:pPr>
      <w:bookmarkStart w:id="92" w:name="_DV_C103"/>
      <w:r w:rsidRPr="006C0085">
        <w:rPr>
          <w:rStyle w:val="DeltaViewInsertion"/>
          <w:color w:val="auto"/>
          <w:u w:val="none"/>
          <w:lang w:val="fr-FR"/>
        </w:rPr>
        <w:tab/>
        <w:t>a)</w:t>
      </w:r>
      <w:r w:rsidRPr="006C0085">
        <w:rPr>
          <w:rStyle w:val="DeltaViewInsertion"/>
          <w:color w:val="auto"/>
          <w:u w:val="none"/>
          <w:lang w:val="fr-FR"/>
        </w:rPr>
        <w:tab/>
      </w:r>
      <w:r w:rsidR="00B16B8D" w:rsidRPr="003F3120">
        <w:rPr>
          <w:rStyle w:val="DeltaViewInsertion"/>
          <w:i/>
          <w:color w:val="auto"/>
          <w:u w:val="none"/>
          <w:lang w:val="fr-FR"/>
        </w:rPr>
        <w:t>Prie</w:t>
      </w:r>
      <w:r w:rsidR="007031E0">
        <w:rPr>
          <w:rStyle w:val="DeltaViewInsertion"/>
          <w:i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>Secrétaire exécutive d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B16B8D" w:rsidRPr="003F3120">
        <w:rPr>
          <w:rStyle w:val="DeltaViewInsertion"/>
          <w:color w:val="auto"/>
          <w:u w:val="none"/>
          <w:lang w:val="fr-FR"/>
        </w:rPr>
        <w:t>élaborer un projet de directives régissant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contributions reçues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>part du secteur privé et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B16B8D" w:rsidRPr="003F3120">
        <w:rPr>
          <w:rStyle w:val="DeltaViewInsertion"/>
          <w:color w:val="auto"/>
          <w:u w:val="none"/>
          <w:lang w:val="fr-FR"/>
        </w:rPr>
        <w:t xml:space="preserve">parties prenantes non gouvernementales pour </w:t>
      </w:r>
      <w:r w:rsidR="002B6D00" w:rsidRPr="003F3120">
        <w:rPr>
          <w:rStyle w:val="DeltaViewInsertion"/>
          <w:color w:val="auto"/>
          <w:u w:val="none"/>
          <w:lang w:val="fr-FR"/>
        </w:rPr>
        <w:t>faciliter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travaux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>Plateforme et de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lui présenter pour approbation à sa huitième session</w:t>
      </w:r>
      <w:r w:rsidR="00FD5D6A">
        <w:rPr>
          <w:rStyle w:val="DeltaViewInsertion"/>
          <w:color w:val="auto"/>
          <w:u w:val="none"/>
          <w:lang w:val="fr-FR"/>
        </w:rPr>
        <w:t> ;</w:t>
      </w:r>
      <w:bookmarkEnd w:id="92"/>
    </w:p>
    <w:p w14:paraId="1B0E0B0D" w14:textId="4010A00C" w:rsidR="00B16B8D" w:rsidRPr="003F3120" w:rsidRDefault="006C0085" w:rsidP="006C0085">
      <w:pPr>
        <w:pStyle w:val="NormalNonumber"/>
        <w:rPr>
          <w:szCs w:val="18"/>
          <w:lang w:val="fr-FR"/>
        </w:rPr>
      </w:pPr>
      <w:bookmarkStart w:id="93" w:name="_DV_C104"/>
      <w:r>
        <w:rPr>
          <w:rStyle w:val="DeltaViewInsertion"/>
          <w:color w:val="auto"/>
          <w:u w:val="none"/>
          <w:lang w:val="fr-FR"/>
        </w:rPr>
        <w:tab/>
        <w:t>b)</w:t>
      </w:r>
      <w:r>
        <w:rPr>
          <w:rStyle w:val="DeltaViewInsertion"/>
          <w:color w:val="auto"/>
          <w:u w:val="none"/>
          <w:lang w:val="fr-FR"/>
        </w:rPr>
        <w:tab/>
      </w:r>
      <w:r w:rsidR="00B16B8D" w:rsidRPr="003F3120">
        <w:rPr>
          <w:rStyle w:val="DeltaViewInsertion"/>
          <w:i/>
          <w:color w:val="auto"/>
          <w:u w:val="none"/>
          <w:lang w:val="fr-FR"/>
        </w:rPr>
        <w:t>Décide</w:t>
      </w:r>
      <w:r w:rsidR="00B16B8D" w:rsidRPr="003F3120">
        <w:rPr>
          <w:rStyle w:val="DeltaViewInsertion"/>
          <w:color w:val="auto"/>
          <w:u w:val="none"/>
          <w:lang w:val="fr-FR"/>
        </w:rPr>
        <w:t xml:space="preserve"> que, outre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règlements, règles, politiques et procédures déjà mis en place pour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B16B8D" w:rsidRPr="003F3120">
        <w:rPr>
          <w:rStyle w:val="DeltaViewInsertion"/>
          <w:color w:val="auto"/>
          <w:u w:val="none"/>
          <w:lang w:val="fr-FR"/>
        </w:rPr>
        <w:t>acceptation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B16B8D" w:rsidRPr="003F3120">
        <w:rPr>
          <w:rStyle w:val="DeltaViewInsertion"/>
          <w:color w:val="auto"/>
          <w:u w:val="none"/>
          <w:lang w:val="fr-FR"/>
        </w:rPr>
        <w:t>contributions et annonces de contributions,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orientations provisoires suivantes à l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B16B8D" w:rsidRPr="003F3120">
        <w:rPr>
          <w:rStyle w:val="DeltaViewInsertion"/>
          <w:color w:val="auto"/>
          <w:u w:val="none"/>
          <w:lang w:val="fr-FR"/>
        </w:rPr>
        <w:t>intention du secteur privé et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B16B8D" w:rsidRPr="003F3120">
        <w:rPr>
          <w:rStyle w:val="DeltaViewInsertion"/>
          <w:color w:val="auto"/>
          <w:u w:val="none"/>
          <w:lang w:val="fr-FR"/>
        </w:rPr>
        <w:t xml:space="preserve">parties prenantes non gouvernementales </w:t>
      </w:r>
      <w:bookmarkStart w:id="94" w:name="_DV_C106"/>
      <w:bookmarkEnd w:id="93"/>
      <w:r w:rsidR="00B16B8D" w:rsidRPr="003F3120">
        <w:rPr>
          <w:rStyle w:val="DeltaViewInsertion"/>
          <w:color w:val="auto"/>
          <w:u w:val="none"/>
          <w:lang w:val="fr-FR"/>
        </w:rPr>
        <w:t>s</w:t>
      </w:r>
      <w:r w:rsidR="00FA5ADB">
        <w:rPr>
          <w:rStyle w:val="DeltaViewInsertion"/>
          <w:color w:val="auto"/>
          <w:u w:val="none"/>
          <w:lang w:val="fr-FR"/>
        </w:rPr>
        <w:t>’</w:t>
      </w:r>
      <w:r w:rsidR="00B16B8D" w:rsidRPr="003F3120">
        <w:rPr>
          <w:rStyle w:val="DeltaViewInsertion"/>
          <w:color w:val="auto"/>
          <w:u w:val="none"/>
          <w:lang w:val="fr-FR"/>
        </w:rPr>
        <w:t>appliqueront</w:t>
      </w:r>
      <w:r w:rsidR="00FD5D6A">
        <w:rPr>
          <w:rStyle w:val="DeltaViewInsertion"/>
          <w:color w:val="auto"/>
          <w:u w:val="none"/>
          <w:lang w:val="fr-FR"/>
        </w:rPr>
        <w:t> :</w:t>
      </w:r>
      <w:r w:rsidR="00B16B8D" w:rsidRPr="003F3120">
        <w:rPr>
          <w:rStyle w:val="DeltaViewInsertion"/>
          <w:color w:val="auto"/>
          <w:u w:val="none"/>
          <w:lang w:val="fr-FR"/>
        </w:rPr>
        <w:t xml:space="preserve"> il ne sera nullement fait </w:t>
      </w:r>
      <w:r w:rsidR="00933127">
        <w:rPr>
          <w:rStyle w:val="DeltaViewInsertion"/>
          <w:color w:val="auto"/>
          <w:u w:val="none"/>
          <w:lang w:val="fr-FR"/>
        </w:rPr>
        <w:t>mention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B16B8D" w:rsidRPr="003F3120">
        <w:rPr>
          <w:rStyle w:val="DeltaViewInsertion"/>
          <w:color w:val="auto"/>
          <w:u w:val="none"/>
          <w:lang w:val="fr-FR"/>
        </w:rPr>
        <w:t>logos ni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B16B8D" w:rsidRPr="003F3120">
        <w:rPr>
          <w:rStyle w:val="DeltaViewInsertion"/>
          <w:color w:val="auto"/>
          <w:u w:val="none"/>
          <w:lang w:val="fr-FR"/>
        </w:rPr>
        <w:t>noms</w:t>
      </w:r>
      <w:r w:rsidR="007031E0">
        <w:rPr>
          <w:rStyle w:val="DeltaViewInsertion"/>
          <w:color w:val="auto"/>
          <w:u w:val="none"/>
          <w:lang w:val="fr-FR"/>
        </w:rPr>
        <w:t xml:space="preserve"> des </w:t>
      </w:r>
      <w:r w:rsidR="00B16B8D" w:rsidRPr="003F3120">
        <w:rPr>
          <w:rStyle w:val="DeltaViewInsertion"/>
          <w:color w:val="auto"/>
          <w:u w:val="none"/>
          <w:lang w:val="fr-FR"/>
        </w:rPr>
        <w:t>donateurs sur</w:t>
      </w:r>
      <w:r w:rsidR="007031E0">
        <w:rPr>
          <w:rStyle w:val="DeltaViewInsertion"/>
          <w:color w:val="auto"/>
          <w:u w:val="none"/>
          <w:lang w:val="fr-FR"/>
        </w:rPr>
        <w:t xml:space="preserve"> les </w:t>
      </w:r>
      <w:r w:rsidR="00B16B8D" w:rsidRPr="003F3120">
        <w:rPr>
          <w:rStyle w:val="DeltaViewInsertion"/>
          <w:color w:val="auto"/>
          <w:u w:val="none"/>
          <w:lang w:val="fr-FR"/>
        </w:rPr>
        <w:t>rapports de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16B8D" w:rsidRPr="003F3120">
        <w:rPr>
          <w:rStyle w:val="DeltaViewInsertion"/>
          <w:color w:val="auto"/>
          <w:u w:val="none"/>
          <w:lang w:val="fr-FR"/>
        </w:rPr>
        <w:t>Plateforme</w:t>
      </w:r>
      <w:r w:rsidR="006E0890">
        <w:rPr>
          <w:rStyle w:val="FootnoteReference"/>
          <w:lang w:val="fr-FR"/>
        </w:rPr>
        <w:footnoteReference w:id="43"/>
      </w:r>
      <w:bookmarkEnd w:id="94"/>
      <w:r w:rsidR="00FD5D6A">
        <w:rPr>
          <w:rStyle w:val="DeltaViewInsertion"/>
          <w:color w:val="auto"/>
          <w:szCs w:val="18"/>
          <w:u w:val="none"/>
          <w:vertAlign w:val="superscript"/>
          <w:lang w:val="fr-FR"/>
        </w:rPr>
        <w:t> </w:t>
      </w:r>
      <w:r w:rsidR="00FD5D6A" w:rsidRPr="00933127">
        <w:rPr>
          <w:rStyle w:val="DeltaViewInsertion"/>
          <w:color w:val="auto"/>
          <w:szCs w:val="18"/>
          <w:u w:val="none"/>
          <w:lang w:val="fr-FR"/>
        </w:rPr>
        <w:t>;</w:t>
      </w:r>
    </w:p>
    <w:p w14:paraId="371F6699" w14:textId="284290B3" w:rsidR="00FB690D" w:rsidRPr="003F3120" w:rsidRDefault="006C0085" w:rsidP="006C0085">
      <w:pPr>
        <w:pStyle w:val="NormalNonumber"/>
        <w:rPr>
          <w:lang w:val="fr-FR"/>
        </w:rPr>
      </w:pPr>
      <w:bookmarkStart w:id="95" w:name="_DV_C109"/>
      <w:r>
        <w:rPr>
          <w:rStyle w:val="DeltaViewInsertion"/>
          <w:i/>
          <w:color w:val="auto"/>
          <w:u w:val="none"/>
          <w:lang w:val="fr-FR"/>
        </w:rPr>
        <w:tab/>
      </w:r>
      <w:r>
        <w:rPr>
          <w:rStyle w:val="DeltaViewInsertion"/>
          <w:color w:val="auto"/>
          <w:u w:val="none"/>
          <w:lang w:val="fr-FR"/>
        </w:rPr>
        <w:t>6.</w:t>
      </w:r>
      <w:r>
        <w:rPr>
          <w:rStyle w:val="DeltaViewInsertion"/>
          <w:color w:val="auto"/>
          <w:u w:val="none"/>
          <w:lang w:val="fr-FR"/>
        </w:rPr>
        <w:tab/>
      </w:r>
      <w:r w:rsidR="00B16B8D" w:rsidRPr="003F3120">
        <w:rPr>
          <w:rStyle w:val="DeltaViewInsertion"/>
          <w:i/>
          <w:color w:val="auto"/>
          <w:u w:val="none"/>
          <w:lang w:val="fr-FR"/>
        </w:rPr>
        <w:t xml:space="preserve">Décide </w:t>
      </w:r>
      <w:r w:rsidR="00B56C3C" w:rsidRPr="003F3120">
        <w:rPr>
          <w:rStyle w:val="DeltaViewInsertion"/>
          <w:color w:val="auto"/>
          <w:u w:val="none"/>
          <w:lang w:val="fr-FR"/>
        </w:rPr>
        <w:t>de reclasser de D-1 à </w:t>
      </w:r>
      <w:r w:rsidR="00B16B8D" w:rsidRPr="003F3120">
        <w:rPr>
          <w:rStyle w:val="DeltaViewInsertion"/>
          <w:color w:val="auto"/>
          <w:u w:val="none"/>
          <w:lang w:val="fr-FR"/>
        </w:rPr>
        <w:t>D-2</w:t>
      </w:r>
      <w:r w:rsidR="007031E0">
        <w:rPr>
          <w:rStyle w:val="DeltaViewInsertion"/>
          <w:color w:val="auto"/>
          <w:u w:val="none"/>
          <w:lang w:val="fr-FR"/>
        </w:rPr>
        <w:t xml:space="preserve"> le </w:t>
      </w:r>
      <w:r w:rsidR="002B6D00" w:rsidRPr="003F3120">
        <w:rPr>
          <w:rStyle w:val="DeltaViewInsertion"/>
          <w:color w:val="auto"/>
          <w:u w:val="none"/>
          <w:lang w:val="fr-FR"/>
        </w:rPr>
        <w:t>poste de Chef du secrétariat</w:t>
      </w:r>
      <w:r w:rsidR="00933127">
        <w:rPr>
          <w:rStyle w:val="DeltaViewInsertion"/>
          <w:color w:val="auto"/>
          <w:u w:val="none"/>
          <w:lang w:val="fr-FR"/>
        </w:rPr>
        <w:t xml:space="preserve"> et </w:t>
      </w:r>
      <w:r w:rsidR="00B16B8D" w:rsidRPr="003F3120">
        <w:rPr>
          <w:rStyle w:val="DeltaViewInsertion"/>
          <w:color w:val="auto"/>
          <w:u w:val="none"/>
          <w:lang w:val="fr-FR"/>
        </w:rPr>
        <w:t>Secrétaire exécutif</w:t>
      </w:r>
      <w:r w:rsidR="002B6D00" w:rsidRPr="003F3120">
        <w:rPr>
          <w:rStyle w:val="DeltaViewInsertion"/>
          <w:color w:val="auto"/>
          <w:u w:val="none"/>
          <w:lang w:val="fr-FR"/>
        </w:rPr>
        <w:t xml:space="preserve"> de</w:t>
      </w:r>
      <w:r w:rsidR="006E0890">
        <w:rPr>
          <w:rStyle w:val="DeltaViewInsertion"/>
          <w:color w:val="auto"/>
          <w:u w:val="none"/>
          <w:lang w:val="fr-FR"/>
        </w:rPr>
        <w:t> </w:t>
      </w:r>
      <w:r w:rsidR="007031E0">
        <w:rPr>
          <w:rStyle w:val="DeltaViewInsertion"/>
          <w:color w:val="auto"/>
          <w:u w:val="none"/>
          <w:lang w:val="fr-FR"/>
        </w:rPr>
        <w:t>la </w:t>
      </w:r>
      <w:r w:rsidR="002B6D00" w:rsidRPr="003F3120">
        <w:rPr>
          <w:rStyle w:val="DeltaViewInsertion"/>
          <w:color w:val="auto"/>
          <w:u w:val="none"/>
          <w:lang w:val="fr-FR"/>
        </w:rPr>
        <w:t>Plateforme</w:t>
      </w:r>
      <w:r w:rsidR="00B16B8D" w:rsidRPr="003F3120">
        <w:rPr>
          <w:rStyle w:val="DeltaViewInsertion"/>
          <w:color w:val="auto"/>
          <w:u w:val="none"/>
          <w:lang w:val="fr-FR"/>
        </w:rPr>
        <w:t xml:space="preserve"> et</w:t>
      </w:r>
      <w:r w:rsidR="002B6D00" w:rsidRPr="003F3120">
        <w:rPr>
          <w:rStyle w:val="DeltaViewInsertion"/>
          <w:color w:val="auto"/>
          <w:u w:val="none"/>
          <w:lang w:val="fr-FR"/>
        </w:rPr>
        <w:t xml:space="preserve"> </w:t>
      </w:r>
      <w:r w:rsidR="00B16B8D" w:rsidRPr="003F3120">
        <w:rPr>
          <w:rStyle w:val="DeltaViewInsertion"/>
          <w:color w:val="auto"/>
          <w:u w:val="none"/>
          <w:lang w:val="fr-FR"/>
        </w:rPr>
        <w:t>décide également que lorsque ce poste sera devenu vac</w:t>
      </w:r>
      <w:r w:rsidR="00B56C3C" w:rsidRPr="003F3120">
        <w:rPr>
          <w:rStyle w:val="DeltaViewInsertion"/>
          <w:color w:val="auto"/>
          <w:u w:val="none"/>
          <w:lang w:val="fr-FR"/>
        </w:rPr>
        <w:t>ant, il sera pourvu à</w:t>
      </w:r>
      <w:r w:rsidR="007031E0">
        <w:rPr>
          <w:rStyle w:val="DeltaViewInsertion"/>
          <w:color w:val="auto"/>
          <w:u w:val="none"/>
          <w:lang w:val="fr-FR"/>
        </w:rPr>
        <w:t xml:space="preserve"> la </w:t>
      </w:r>
      <w:r w:rsidR="00B56C3C" w:rsidRPr="003F3120">
        <w:rPr>
          <w:rStyle w:val="DeltaViewInsertion"/>
          <w:color w:val="auto"/>
          <w:u w:val="none"/>
          <w:lang w:val="fr-FR"/>
        </w:rPr>
        <w:t>classe </w:t>
      </w:r>
      <w:r w:rsidR="002B6D00" w:rsidRPr="003F3120">
        <w:rPr>
          <w:rStyle w:val="DeltaViewInsertion"/>
          <w:color w:val="auto"/>
          <w:u w:val="none"/>
          <w:lang w:val="fr-FR"/>
        </w:rPr>
        <w:t>D</w:t>
      </w:r>
      <w:r w:rsidR="002B6D00" w:rsidRPr="003F3120">
        <w:rPr>
          <w:rStyle w:val="DeltaViewInsertion"/>
          <w:color w:val="auto"/>
          <w:u w:val="none"/>
          <w:lang w:val="fr-FR"/>
        </w:rPr>
        <w:noBreakHyphen/>
      </w:r>
      <w:r w:rsidR="00B16B8D" w:rsidRPr="003F3120">
        <w:rPr>
          <w:rStyle w:val="DeltaViewInsertion"/>
          <w:color w:val="auto"/>
          <w:u w:val="none"/>
          <w:lang w:val="fr-FR"/>
        </w:rPr>
        <w:t>1/D-2 de manière à attirer un nombre plus vaste de candidats qualifiés.</w:t>
      </w:r>
      <w:bookmarkEnd w:id="95"/>
    </w:p>
    <w:bookmarkEnd w:id="91"/>
    <w:p w14:paraId="1E3CC616" w14:textId="77777777" w:rsidR="006A4C1E" w:rsidRPr="003F3120" w:rsidRDefault="00FB690D" w:rsidP="00FB690D">
      <w:pPr>
        <w:sectPr w:rsidR="006A4C1E" w:rsidRPr="003F3120" w:rsidSect="005C2FB4">
          <w:footnotePr>
            <w:numRestart w:val="eachSect"/>
          </w:footnotePr>
          <w:pgSz w:w="11907" w:h="16840" w:code="9"/>
          <w:pgMar w:top="907" w:right="992" w:bottom="1418" w:left="1418" w:header="539" w:footer="975" w:gutter="0"/>
          <w:cols w:space="539"/>
          <w:docGrid w:linePitch="360"/>
        </w:sectPr>
      </w:pPr>
      <w:r w:rsidRPr="003F3120">
        <w:tab/>
      </w:r>
    </w:p>
    <w:p w14:paraId="728FC488" w14:textId="655F82EF" w:rsidR="00FB690D" w:rsidRPr="006E0890" w:rsidRDefault="00FB690D" w:rsidP="00DF2CCD">
      <w:pPr>
        <w:pStyle w:val="ZZAnxheader"/>
        <w:spacing w:after="240"/>
        <w:rPr>
          <w:sz w:val="24"/>
          <w:szCs w:val="24"/>
        </w:rPr>
      </w:pPr>
      <w:bookmarkStart w:id="96" w:name="_Hlk349912"/>
      <w:r w:rsidRPr="006E0890">
        <w:rPr>
          <w:w w:val="103"/>
          <w:sz w:val="24"/>
          <w:szCs w:val="24"/>
        </w:rPr>
        <w:lastRenderedPageBreak/>
        <w:tab/>
      </w:r>
      <w:r w:rsidRPr="006E0890">
        <w:rPr>
          <w:w w:val="103"/>
          <w:sz w:val="24"/>
          <w:szCs w:val="24"/>
        </w:rPr>
        <w:tab/>
        <w:t>Annex</w:t>
      </w:r>
      <w:r w:rsidR="00D70968" w:rsidRPr="006E0890">
        <w:rPr>
          <w:w w:val="103"/>
          <w:sz w:val="24"/>
          <w:szCs w:val="24"/>
        </w:rPr>
        <w:t>e</w:t>
      </w:r>
      <w:r w:rsidRPr="006E0890">
        <w:rPr>
          <w:w w:val="103"/>
          <w:sz w:val="24"/>
          <w:szCs w:val="24"/>
        </w:rPr>
        <w:t xml:space="preserve"> </w:t>
      </w:r>
      <w:r w:rsidR="008E5719" w:rsidRPr="006E0890">
        <w:rPr>
          <w:w w:val="103"/>
          <w:sz w:val="24"/>
          <w:szCs w:val="24"/>
        </w:rPr>
        <w:t>de</w:t>
      </w:r>
      <w:r w:rsidR="007031E0" w:rsidRPr="006E0890">
        <w:rPr>
          <w:w w:val="103"/>
          <w:sz w:val="24"/>
          <w:szCs w:val="24"/>
        </w:rPr>
        <w:t xml:space="preserve"> la </w:t>
      </w:r>
      <w:r w:rsidR="00B56C3C" w:rsidRPr="006E0890">
        <w:rPr>
          <w:w w:val="103"/>
          <w:sz w:val="24"/>
          <w:szCs w:val="24"/>
        </w:rPr>
        <w:t>d</w:t>
      </w:r>
      <w:r w:rsidR="008E5719" w:rsidRPr="006E0890">
        <w:rPr>
          <w:w w:val="103"/>
          <w:sz w:val="24"/>
          <w:szCs w:val="24"/>
        </w:rPr>
        <w:t>é</w:t>
      </w:r>
      <w:r w:rsidR="00B56C3C" w:rsidRPr="006E0890">
        <w:rPr>
          <w:w w:val="103"/>
          <w:sz w:val="24"/>
          <w:szCs w:val="24"/>
        </w:rPr>
        <w:t>cision </w:t>
      </w:r>
      <w:r w:rsidRPr="006E0890">
        <w:rPr>
          <w:w w:val="103"/>
          <w:sz w:val="24"/>
          <w:szCs w:val="24"/>
        </w:rPr>
        <w:t>IPBES-7/</w:t>
      </w:r>
      <w:r w:rsidR="00E57DA5" w:rsidRPr="006E0890">
        <w:rPr>
          <w:w w:val="103"/>
          <w:sz w:val="24"/>
          <w:szCs w:val="24"/>
        </w:rPr>
        <w:t>4</w:t>
      </w:r>
    </w:p>
    <w:p w14:paraId="10738D38" w14:textId="525FE47F" w:rsidR="00FB690D" w:rsidRPr="006E0890" w:rsidRDefault="00FB690D" w:rsidP="00DF2CCD">
      <w:pPr>
        <w:pStyle w:val="ZZAnxheader"/>
        <w:spacing w:after="240"/>
        <w:rPr>
          <w:rFonts w:eastAsia="Gulim"/>
          <w:sz w:val="24"/>
          <w:szCs w:val="24"/>
          <w:lang w:eastAsia="ko-KR"/>
        </w:rPr>
      </w:pPr>
      <w:r w:rsidRPr="006E0890">
        <w:rPr>
          <w:rFonts w:eastAsia="Gulim"/>
          <w:sz w:val="24"/>
          <w:szCs w:val="24"/>
          <w:lang w:eastAsia="ko-KR"/>
        </w:rPr>
        <w:tab/>
      </w:r>
      <w:r w:rsidR="006C0085" w:rsidRPr="006E0890">
        <w:rPr>
          <w:rFonts w:eastAsia="Gulim"/>
          <w:sz w:val="24"/>
          <w:szCs w:val="24"/>
          <w:lang w:eastAsia="ko-KR"/>
        </w:rPr>
        <w:tab/>
      </w:r>
      <w:r w:rsidR="006C0085" w:rsidRPr="006E0890">
        <w:rPr>
          <w:rFonts w:eastAsia="Gulim"/>
          <w:sz w:val="24"/>
          <w:szCs w:val="24"/>
          <w:lang w:eastAsia="ko-KR"/>
        </w:rPr>
        <w:tab/>
      </w:r>
      <w:r w:rsidR="00232F93" w:rsidRPr="006E0890">
        <w:rPr>
          <w:sz w:val="24"/>
          <w:szCs w:val="24"/>
        </w:rPr>
        <w:t xml:space="preserve">Tableaux financiers et </w:t>
      </w:r>
      <w:r w:rsidR="00232F93" w:rsidRPr="00DF2CCD">
        <w:rPr>
          <w:w w:val="103"/>
          <w:sz w:val="24"/>
          <w:szCs w:val="24"/>
        </w:rPr>
        <w:t>budgétaires</w:t>
      </w:r>
    </w:p>
    <w:p w14:paraId="3BFD61E7" w14:textId="2F5F504E" w:rsidR="00FB690D" w:rsidRPr="003F3120" w:rsidRDefault="00FB690D" w:rsidP="006C0085">
      <w:pPr>
        <w:pStyle w:val="CH1"/>
      </w:pPr>
      <w:r w:rsidRPr="003F3120">
        <w:tab/>
        <w:t>I.</w:t>
      </w:r>
      <w:r w:rsidRPr="003F3120">
        <w:tab/>
      </w:r>
      <w:r w:rsidR="00232F93" w:rsidRPr="003F3120">
        <w:t>État</w:t>
      </w:r>
      <w:r w:rsidR="007031E0">
        <w:t xml:space="preserve"> des </w:t>
      </w:r>
      <w:r w:rsidR="00232F93" w:rsidRPr="003F3120">
        <w:t>contributions en espèces et en nature à</w:t>
      </w:r>
      <w:r w:rsidR="007031E0">
        <w:t xml:space="preserve"> la </w:t>
      </w:r>
      <w:r w:rsidR="00232F93" w:rsidRPr="003F3120">
        <w:t>Plateforme</w:t>
      </w:r>
      <w:r w:rsidR="008E5719" w:rsidRPr="003F3120">
        <w:t xml:space="preserve"> </w:t>
      </w:r>
    </w:p>
    <w:p w14:paraId="02A1BC7B" w14:textId="573D0392" w:rsidR="00FB690D" w:rsidRPr="003F3120" w:rsidRDefault="00FB690D" w:rsidP="006C0085">
      <w:pPr>
        <w:pStyle w:val="Titletable"/>
      </w:pPr>
      <w:r w:rsidRPr="006C0085">
        <w:rPr>
          <w:b w:val="0"/>
        </w:rPr>
        <w:t>Table</w:t>
      </w:r>
      <w:r w:rsidR="00232F93" w:rsidRPr="006C0085">
        <w:rPr>
          <w:b w:val="0"/>
        </w:rPr>
        <w:t>au</w:t>
      </w:r>
      <w:r w:rsidR="00B56C3C" w:rsidRPr="006C0085">
        <w:rPr>
          <w:b w:val="0"/>
        </w:rPr>
        <w:t> </w:t>
      </w:r>
      <w:r w:rsidRPr="006C0085">
        <w:rPr>
          <w:b w:val="0"/>
        </w:rPr>
        <w:t xml:space="preserve">1 </w:t>
      </w:r>
      <w:r w:rsidRPr="006C0085">
        <w:rPr>
          <w:b w:val="0"/>
        </w:rPr>
        <w:br/>
      </w:r>
      <w:r w:rsidR="00232F93" w:rsidRPr="003F3120">
        <w:t>État</w:t>
      </w:r>
      <w:r w:rsidR="007031E0">
        <w:t xml:space="preserve"> des </w:t>
      </w:r>
      <w:r w:rsidR="00232F93" w:rsidRPr="003F3120">
        <w:t>contributions en espèces reçues ou annoncées depuis</w:t>
      </w:r>
      <w:r w:rsidR="007031E0">
        <w:t xml:space="preserve"> la </w:t>
      </w:r>
      <w:r w:rsidR="00232F93" w:rsidRPr="003F3120">
        <w:t>création de</w:t>
      </w:r>
      <w:r w:rsidR="007031E0">
        <w:t xml:space="preserve"> la </w:t>
      </w:r>
      <w:r w:rsidR="00232F93" w:rsidRPr="003F3120">
        <w:t>Plateforme en avril 2012 (du 1</w:t>
      </w:r>
      <w:r w:rsidR="00232F93" w:rsidRPr="003F3120">
        <w:rPr>
          <w:vertAlign w:val="superscript"/>
        </w:rPr>
        <w:t>er</w:t>
      </w:r>
      <w:r w:rsidR="00B56C3C" w:rsidRPr="003F3120">
        <w:t> mai 2012 au 2 </w:t>
      </w:r>
      <w:r w:rsidR="00232F93" w:rsidRPr="003F3120">
        <w:t>mai 2019)</w:t>
      </w:r>
    </w:p>
    <w:p w14:paraId="11C85AD5" w14:textId="6CA54E95" w:rsidR="00FB690D" w:rsidRPr="006C0085" w:rsidRDefault="00FB690D" w:rsidP="006C0085">
      <w:pPr>
        <w:pStyle w:val="NormalNonumber"/>
        <w:rPr>
          <w:sz w:val="18"/>
          <w:szCs w:val="18"/>
        </w:rPr>
      </w:pPr>
      <w:r w:rsidRPr="006C0085">
        <w:rPr>
          <w:sz w:val="18"/>
          <w:szCs w:val="18"/>
        </w:rPr>
        <w:t>(</w:t>
      </w:r>
      <w:r w:rsidR="00DF2CCD">
        <w:rPr>
          <w:sz w:val="18"/>
          <w:szCs w:val="18"/>
        </w:rPr>
        <w:t>e</w:t>
      </w:r>
      <w:r w:rsidR="00232F93" w:rsidRPr="006C0085">
        <w:rPr>
          <w:sz w:val="18"/>
          <w:szCs w:val="18"/>
        </w:rPr>
        <w:t>n dollars</w:t>
      </w:r>
      <w:r w:rsidR="007031E0">
        <w:rPr>
          <w:sz w:val="18"/>
          <w:szCs w:val="18"/>
        </w:rPr>
        <w:t xml:space="preserve"> des </w:t>
      </w:r>
      <w:r w:rsidR="00232F93" w:rsidRPr="006C0085">
        <w:rPr>
          <w:sz w:val="18"/>
          <w:szCs w:val="18"/>
        </w:rPr>
        <w:t>États-Unis</w:t>
      </w:r>
      <w:r w:rsidR="002B6D00" w:rsidRPr="006C0085">
        <w:rPr>
          <w:sz w:val="18"/>
          <w:szCs w:val="18"/>
        </w:rPr>
        <w:t>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1586"/>
        <w:gridCol w:w="819"/>
        <w:gridCol w:w="822"/>
        <w:gridCol w:w="966"/>
        <w:gridCol w:w="1099"/>
        <w:gridCol w:w="828"/>
        <w:gridCol w:w="822"/>
        <w:gridCol w:w="857"/>
        <w:gridCol w:w="880"/>
        <w:gridCol w:w="983"/>
        <w:gridCol w:w="822"/>
        <w:gridCol w:w="822"/>
        <w:gridCol w:w="960"/>
        <w:gridCol w:w="1087"/>
        <w:gridCol w:w="1067"/>
      </w:tblGrid>
      <w:tr w:rsidR="00FB690D" w:rsidRPr="003F3120" w14:paraId="4B22CD59" w14:textId="77777777" w:rsidTr="006C0085">
        <w:trPr>
          <w:trHeight w:val="57"/>
          <w:tblHeader/>
          <w:jc w:val="right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14DEF" w14:textId="77777777" w:rsidR="00FB690D" w:rsidRPr="003F3120" w:rsidRDefault="00FB690D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27AF48" w14:textId="77777777" w:rsidR="00FB690D" w:rsidRPr="003F3120" w:rsidRDefault="00FB690D" w:rsidP="00DF2CCD">
            <w:pPr>
              <w:spacing w:before="40" w:after="60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Contributions</w:t>
            </w:r>
          </w:p>
        </w:tc>
        <w:tc>
          <w:tcPr>
            <w:tcW w:w="1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7C0E63" w14:textId="2072A9F1" w:rsidR="00FB690D" w:rsidRPr="003F3120" w:rsidRDefault="00311D76" w:rsidP="00DF2CCD">
            <w:pPr>
              <w:spacing w:before="40" w:after="60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Annonces de contributions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40AC68" w14:textId="77777777" w:rsidR="00FB690D" w:rsidRPr="003F3120" w:rsidRDefault="00FB690D" w:rsidP="00DF2CCD">
            <w:pPr>
              <w:spacing w:before="40" w:after="60"/>
              <w:jc w:val="center"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</w:tr>
      <w:tr w:rsidR="00FB690D" w:rsidRPr="003F3120" w14:paraId="134D0D76" w14:textId="77777777" w:rsidTr="006C0085">
        <w:trPr>
          <w:trHeight w:val="57"/>
          <w:tblHeader/>
          <w:jc w:val="right"/>
        </w:trPr>
        <w:tc>
          <w:tcPr>
            <w:tcW w:w="5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2CB8AF" w14:textId="77777777" w:rsidR="00FB690D" w:rsidRPr="003F3120" w:rsidRDefault="00FB690D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B5D3E2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8E7BCB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2FC36F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694500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88FC5F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46AD84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7B7519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48193F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FD6593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2E6A27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AB4B63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77DA0D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2020–2022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F4EA55" w14:textId="77777777" w:rsidR="00FB690D" w:rsidRPr="003F3120" w:rsidRDefault="00FB690D" w:rsidP="00DF2CCD">
            <w:pPr>
              <w:spacing w:before="40" w:after="60"/>
              <w:jc w:val="right"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CE8EE7" w14:textId="77777777" w:rsidR="00FB690D" w:rsidRPr="003F3120" w:rsidRDefault="00FB690D" w:rsidP="00DF2CCD">
            <w:pPr>
              <w:spacing w:before="40" w:after="60"/>
              <w:jc w:val="right"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B690D" w:rsidRPr="003F3120" w14:paraId="11575657" w14:textId="77777777" w:rsidTr="006C0085">
        <w:trPr>
          <w:trHeight w:val="57"/>
          <w:tblHeader/>
          <w:jc w:val="right"/>
        </w:trPr>
        <w:tc>
          <w:tcPr>
            <w:tcW w:w="55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0A1DAB" w14:textId="77777777" w:rsidR="00FB690D" w:rsidRPr="003F3120" w:rsidRDefault="00FB690D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20ECA2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2CF94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823A9C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0F1DFB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FDFF92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4278A0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1A843D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500A93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B29154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E1AE3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A21FF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721EF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i/>
                <w:i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BD8FB0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13 </w:t>
            </w:r>
            <w:r w:rsidRPr="003F3120">
              <w:rPr>
                <w:bCs/>
                <w:color w:val="000000"/>
                <w:sz w:val="16"/>
                <w:szCs w:val="16"/>
                <w:lang w:eastAsia="en-GB"/>
              </w:rPr>
              <w:t>= (10+11+12)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E1FD0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14 </w:t>
            </w:r>
            <w:r w:rsidRPr="003F3120">
              <w:rPr>
                <w:bCs/>
                <w:color w:val="000000"/>
                <w:sz w:val="16"/>
                <w:szCs w:val="16"/>
                <w:lang w:eastAsia="en-GB"/>
              </w:rPr>
              <w:t>= (9+13)</w:t>
            </w:r>
          </w:p>
        </w:tc>
      </w:tr>
      <w:tr w:rsidR="00FB690D" w:rsidRPr="003F3120" w14:paraId="0AD26069" w14:textId="77777777" w:rsidTr="006C0085">
        <w:trPr>
          <w:trHeight w:val="57"/>
          <w:jc w:val="right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981109" w14:textId="0C109FB8" w:rsidR="00FB690D" w:rsidRPr="003F3120" w:rsidRDefault="00FB690D" w:rsidP="00DF2CCD">
            <w:pPr>
              <w:spacing w:before="40" w:after="6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>1. Go</w:t>
            </w:r>
            <w:r w:rsidR="00311D76"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>u</w:t>
            </w:r>
            <w:r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>vern</w:t>
            </w:r>
            <w:r w:rsidR="00311D76"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>e</w:t>
            </w:r>
            <w:r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>ments</w:t>
            </w:r>
          </w:p>
        </w:tc>
      </w:tr>
      <w:tr w:rsidR="00F31F7A" w:rsidRPr="003F3120" w14:paraId="3DF8455B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38521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Afrique du Sud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7379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BF48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05E4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30 000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E442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87A8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0A2E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101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71C5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73B94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30 000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56DE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678F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204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E4D1B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0E971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30 000</w:t>
            </w:r>
          </w:p>
        </w:tc>
      </w:tr>
      <w:tr w:rsidR="00F31F7A" w:rsidRPr="003F3120" w14:paraId="7BA8DADE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97B76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Allemagne</w:t>
            </w:r>
            <w:r w:rsidRPr="003F3120">
              <w:rPr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2620A" w14:textId="5367233E" w:rsidR="00F31F7A" w:rsidRPr="003F3120" w:rsidRDefault="00CA1313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1 736 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8035B" w14:textId="5E40E455" w:rsidR="00F31F7A" w:rsidRPr="003F3120" w:rsidRDefault="002D11E5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1 298 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721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59F36" w14:textId="318E0E95" w:rsidR="00F31F7A" w:rsidRPr="003F3120" w:rsidRDefault="002D11E5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1 850 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9BCD9" w14:textId="27C2AD3F" w:rsidR="00F31F7A" w:rsidRPr="003F3120" w:rsidRDefault="002D11E5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1 582 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840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EAFB1" w14:textId="7EFB2EE8" w:rsidR="00F31F7A" w:rsidRPr="003F3120" w:rsidRDefault="002D11E5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1 119 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991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6F17E" w14:textId="4EC44EF7" w:rsidR="00F31F7A" w:rsidRPr="003F3120" w:rsidRDefault="002D11E5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1 270 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997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B4098" w14:textId="6D83745D" w:rsidR="00F31F7A" w:rsidRPr="003F3120" w:rsidRDefault="002D11E5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1 461 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333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9EE8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650 403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136D9" w14:textId="021C9CC3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10 970 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516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1C8F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7BD6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570 776 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835E" w14:textId="602B26C4" w:rsidR="00F31F7A" w:rsidRPr="003F3120" w:rsidRDefault="0074672B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 xml:space="preserve"> 3 344 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482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15F0C" w14:textId="00D9CF9F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3 915 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84E84" w14:textId="67B7F955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14 885 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774</w:t>
            </w:r>
          </w:p>
        </w:tc>
      </w:tr>
      <w:tr w:rsidR="00F31F7A" w:rsidRPr="003F3120" w14:paraId="61F41E33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16A57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Australie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9507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0BC4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97 860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48BF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B8E0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56F7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68 706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169B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2654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44B0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F3D82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166 566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788A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188B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5BFF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C28CDA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22F0F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166 566</w:t>
            </w:r>
          </w:p>
        </w:tc>
      </w:tr>
      <w:tr w:rsidR="00F31F7A" w:rsidRPr="003F3120" w14:paraId="3D48C3CF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77CDE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sz w:val="16"/>
                <w:szCs w:val="16"/>
              </w:rPr>
              <w:t>Autriche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318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F030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2F39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894F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8AEA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07F4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8FE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16 854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C7B96" w14:textId="77777777" w:rsidR="00F31F7A" w:rsidRPr="003F3120" w:rsidRDefault="00F31F7A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E02F6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16 854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4633" w14:textId="77777777" w:rsidR="00F31F7A" w:rsidRPr="003F3120" w:rsidRDefault="00F31F7A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5DA2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F3A4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A7DB2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4E457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16 854</w:t>
            </w:r>
          </w:p>
        </w:tc>
      </w:tr>
      <w:tr w:rsidR="00F31F7A" w:rsidRPr="003F3120" w14:paraId="2133DBB5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CACC0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Belgique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BFF5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F924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BC0A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AA11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382D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118 243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F85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78 199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8B0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80 982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C9E4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1A9E4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277 424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F7955" w14:textId="77777777" w:rsidR="00F31F7A" w:rsidRPr="003F3120" w:rsidRDefault="00F31F7A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E5BC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73 579 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3364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65E51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73 579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347F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351 002</w:t>
            </w:r>
          </w:p>
        </w:tc>
      </w:tr>
      <w:tr w:rsidR="00F31F7A" w:rsidRPr="003F3120" w14:paraId="78FDD467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073FC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Bulgarie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E847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C444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47EC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1A05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02A7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9749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882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2 415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3D15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373F1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2 415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39CE5" w14:textId="77777777" w:rsidR="00F31F7A" w:rsidRPr="003F3120" w:rsidRDefault="00F31F7A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6EDC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DF84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A08EB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4EC65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2 415</w:t>
            </w:r>
          </w:p>
        </w:tc>
      </w:tr>
      <w:tr w:rsidR="00F31F7A" w:rsidRPr="003F3120" w14:paraId="5B6D355C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A5B0B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Canada</w:t>
            </w:r>
            <w:r w:rsidRPr="003F3120">
              <w:rPr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396E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1EB7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38 914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25D1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36 496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A0BA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30 098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EE14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30 616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4930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52 619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EBD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25 547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BE2B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5FB0C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214 291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D068" w14:textId="77777777" w:rsidR="00F31F7A" w:rsidRPr="003F3120" w:rsidRDefault="00F31F7A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3F67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30 793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3983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32D0F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30 793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4390A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245 084</w:t>
            </w:r>
          </w:p>
        </w:tc>
      </w:tr>
      <w:tr w:rsidR="00F31F7A" w:rsidRPr="003F3120" w14:paraId="2E1C4CEA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4F20D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Chili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6983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A585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CAE3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46A4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23 136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E91E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14 966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BF2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13 710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5278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13 000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9BF7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2B071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64 812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796B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E0F7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13 491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46DE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8DB69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13 491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104E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78 303</w:t>
            </w:r>
          </w:p>
        </w:tc>
      </w:tr>
      <w:tr w:rsidR="00F31F7A" w:rsidRPr="003F3120" w14:paraId="318E1CF6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F78EA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Chine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E5C8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1B29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D202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160 000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63A3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60 000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48B4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2 005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0E6B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398 000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F908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200 000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7B48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47435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820 005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E9B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446B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9369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01878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796B9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820 005</w:t>
            </w:r>
          </w:p>
        </w:tc>
      </w:tr>
      <w:tr w:rsidR="00F31F7A" w:rsidRPr="003F3120" w14:paraId="55FAB73B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9D678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Danemark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58FE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EC11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1D12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37 037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21B6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18AB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381F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39 311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CF73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575D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77A8D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76 348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53E3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10A1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28 000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CF81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634D7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28 000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5F592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104 348</w:t>
            </w:r>
          </w:p>
        </w:tc>
      </w:tr>
      <w:tr w:rsidR="00F31F7A" w:rsidRPr="003F3120" w14:paraId="73209EF6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54406F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Estonie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8885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2426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4B0F8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EEC1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D4B32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960D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340B9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AE702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2 854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0A9FC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2 854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5F60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CC16F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9A43A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21EE13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B746B6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2,854</w:t>
            </w:r>
          </w:p>
        </w:tc>
      </w:tr>
      <w:tr w:rsidR="00F31F7A" w:rsidRPr="003F3120" w14:paraId="6A6AC000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F4452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États-Unis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CC87E" w14:textId="6EBC5CFE" w:rsidR="00F31F7A" w:rsidRPr="003F3120" w:rsidRDefault="00CA1313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500 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4674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500 000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B295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500 000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EF0D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477 500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B0F7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516 306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D6FD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516 951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897F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495 000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AF18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02880" w14:textId="1504ED56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3 505 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E7E5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24A5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D66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3D4A3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13E2B" w14:textId="4A490BA2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3 505 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757</w:t>
            </w:r>
          </w:p>
        </w:tc>
      </w:tr>
      <w:tr w:rsidR="00F31F7A" w:rsidRPr="003F3120" w14:paraId="48E916CA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4ABAD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Finlande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ABFF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483A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25 885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BC52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275 626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681E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2E2D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472F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9 434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A93E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11 655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873D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0A2B1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322 600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E6B3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4143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22 297 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7754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A86E5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22 297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5ED30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344 897</w:t>
            </w:r>
          </w:p>
        </w:tc>
      </w:tr>
      <w:tr w:rsidR="00F31F7A" w:rsidRPr="003F3120" w14:paraId="50AA2112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C20BF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France</w:t>
            </w:r>
            <w:r w:rsidRPr="003F3120">
              <w:rPr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0FF4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F047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270 680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C0F3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247 631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1A39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264 291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D276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252 218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C7A1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330 248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3E97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860 032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06DC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117 553 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012DB" w14:textId="22968E98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2 342 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031C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82 287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361E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135 186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ED5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370 292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AC9A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587 765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06331" w14:textId="6D073032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2 930 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418</w:t>
            </w:r>
          </w:p>
        </w:tc>
      </w:tr>
      <w:tr w:rsidR="00F31F7A" w:rsidRPr="003F3120" w14:paraId="0ABA966E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39A50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Inde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3C2A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0825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10 000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4805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10 000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B9F4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A70A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0E59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609F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9E0E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54439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20 000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71DC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EBB7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232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00487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A9C49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20 000</w:t>
            </w:r>
          </w:p>
        </w:tc>
      </w:tr>
      <w:tr w:rsidR="00F31F7A" w:rsidRPr="003F3120" w14:paraId="6E717A9A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9C1D1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Japon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D502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9EC1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267 900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255F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330 000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7CB8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300 000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6DC3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300 000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C223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203 333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8B2A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190 454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B80E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166 428 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BC5AC" w14:textId="64D699AF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1 758 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B4F72" w14:textId="77777777" w:rsidR="00F31F7A" w:rsidRPr="003F3120" w:rsidRDefault="00F31F7A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39AE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B5F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365A0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E7B01" w14:textId="13F30706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1 758 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115</w:t>
            </w:r>
          </w:p>
        </w:tc>
      </w:tr>
      <w:tr w:rsidR="00F31F7A" w:rsidRPr="003F3120" w14:paraId="2844BB18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94A5A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Lettonie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6217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E594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3AF1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4 299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1DFD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3 944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477E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3 889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868A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3 726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3AE0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4 348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90B5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11 416 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470DA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31 621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A452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B702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C46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1A860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51A74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31 621</w:t>
            </w:r>
          </w:p>
        </w:tc>
      </w:tr>
      <w:tr w:rsidR="00F31F7A" w:rsidRPr="003F3120" w14:paraId="7C5073BF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A515F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Luxembourg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988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960E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EF5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5998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F771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82C8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1375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17 483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41D6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11 416 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9DA3A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28 898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D808" w14:textId="77777777" w:rsidR="00F31F7A" w:rsidRPr="003F3120" w:rsidRDefault="00F31F7A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D999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811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AC771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223B3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28 898</w:t>
            </w:r>
          </w:p>
        </w:tc>
      </w:tr>
      <w:tr w:rsidR="00F31F7A" w:rsidRPr="003F3120" w14:paraId="462046A8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571FB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Malaisie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26CF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A53A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93D6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5C11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100 000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D179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F21A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B9C3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42CC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625AF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100 000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0732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F85E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A34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09309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905F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100 000</w:t>
            </w:r>
          </w:p>
        </w:tc>
      </w:tr>
      <w:tr w:rsidR="00F31F7A" w:rsidRPr="003F3120" w14:paraId="3B496ED1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37312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lastRenderedPageBreak/>
              <w:t>Monaco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263C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059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2371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840E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EA5B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79E5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23 697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5E8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4E18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CA227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23 697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58F2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1B4F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53D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B03B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69FB3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23 697</w:t>
            </w:r>
          </w:p>
        </w:tc>
      </w:tr>
      <w:tr w:rsidR="00F31F7A" w:rsidRPr="003F3120" w14:paraId="715D1B1D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D2B22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Norvège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C7DB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F7819" w14:textId="375B4032" w:rsidR="00F31F7A" w:rsidRPr="003F3120" w:rsidRDefault="00CA1313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140 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458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F2DC5" w14:textId="4F869CC2" w:rsidR="00F31F7A" w:rsidRPr="003F3120" w:rsidRDefault="002D11E5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8 118 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860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BE4D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58 357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6D2C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372 420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067B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651 080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6DE0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695 488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0552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FDC96" w14:textId="79F58CE1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10 036 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E466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FA41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352 319 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51C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45B0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352 319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D2BFC" w14:textId="292FB2E7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10 388 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982</w:t>
            </w:r>
          </w:p>
        </w:tc>
      </w:tr>
      <w:tr w:rsidR="00F31F7A" w:rsidRPr="003F3120" w14:paraId="7F38E2C8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62D10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Nouvelle-Zélande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B71B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55398" w14:textId="062DBA0C" w:rsidR="00F31F7A" w:rsidRPr="003F3120" w:rsidRDefault="00CA1313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16 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094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49BD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17 134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BC56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18 727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1A82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16 258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D044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17 834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9503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17 047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7FC1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16,287 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E695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119 380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0AF0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6A12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AB8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0745D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D0155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119 380</w:t>
            </w:r>
          </w:p>
        </w:tc>
      </w:tr>
      <w:tr w:rsidR="00F31F7A" w:rsidRPr="003F3120" w14:paraId="63F4AA0C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108BE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Pays-Bas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9450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AF05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42E8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678 426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9A57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EB24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636 943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B4AF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74CC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95BE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7EFF5" w14:textId="01DB7274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1 315 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369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D5C9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553B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4A1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E8B28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D1F3F" w14:textId="2955C1A6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1 315 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369</w:t>
            </w:r>
          </w:p>
        </w:tc>
      </w:tr>
      <w:tr w:rsidR="00F31F7A" w:rsidRPr="003F3120" w14:paraId="11A86981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796F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République de Corée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B607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026C5" w14:textId="405F6B55" w:rsidR="00F31F7A" w:rsidRPr="003F3120" w:rsidRDefault="00CA1313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20 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000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C2B3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3643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7FCC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928B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B1CA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78FA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123 899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E0694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143 899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F359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84CFB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129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B5FA1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06F3E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143 899</w:t>
            </w:r>
          </w:p>
        </w:tc>
      </w:tr>
      <w:tr w:rsidR="00F31F7A" w:rsidRPr="003F3120" w14:paraId="716F06AB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43463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Royaume-Uni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A681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942E8" w14:textId="3363E2F0" w:rsidR="00F31F7A" w:rsidRPr="003F3120" w:rsidRDefault="00CA1313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1 285 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694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8895C" w14:textId="7F4F3150" w:rsidR="00F31F7A" w:rsidRPr="003F3120" w:rsidRDefault="0074672B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1 046 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A686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463C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228 956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3B44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193 140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73D6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650 214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AF10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C9EBB" w14:textId="621DE5DA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3 404 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2774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7991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250 000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ED23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250 000 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B3E5E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500 000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47024" w14:textId="1AFA66D0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3 904 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149</w:t>
            </w:r>
          </w:p>
        </w:tc>
      </w:tr>
      <w:tr w:rsidR="00F31F7A" w:rsidRPr="003F3120" w14:paraId="5B883DDD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FB60C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Suède</w:t>
            </w:r>
            <w:r w:rsidRPr="003F3120">
              <w:rPr>
                <w:color w:val="000000"/>
                <w:sz w:val="16"/>
                <w:szCs w:val="16"/>
                <w:vertAlign w:val="superscript"/>
                <w:lang w:eastAsia="en-GB"/>
              </w:rPr>
              <w:t>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7C1C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2AE57" w14:textId="23FC3156" w:rsidR="00F31F7A" w:rsidRPr="003F3120" w:rsidRDefault="00CA1313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228 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349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7036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194 368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AE21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128 535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1158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116 421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3AF3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255 445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59C4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230 209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9650C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161 338 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676F8" w14:textId="70A1EF81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1 </w:t>
            </w:r>
            <w:r w:rsidR="002D11E5">
              <w:rPr>
                <w:b/>
                <w:bCs/>
                <w:color w:val="000000"/>
                <w:sz w:val="16"/>
                <w:szCs w:val="16"/>
                <w:lang w:eastAsia="en-GB"/>
              </w:rPr>
              <w:t>314 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EDA5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C0C8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9D91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BB8C9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CF38D" w14:textId="6EE39E64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1 314 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666</w:t>
            </w:r>
          </w:p>
        </w:tc>
      </w:tr>
      <w:tr w:rsidR="00F31F7A" w:rsidRPr="003F3120" w14:paraId="094D6376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A38BB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Suisse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F118F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17A90" w14:textId="3B012AB0" w:rsidR="00F31F7A" w:rsidRPr="003F3120" w:rsidRDefault="00CA1313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76 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7911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84 793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63B0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84 000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47328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84 000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2B50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84 000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78BD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 84 000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B5BDD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72 651 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01B0E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569 588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AC5E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6CBEA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B529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7C7F9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F92BE" w14:textId="77777777" w:rsidR="00F31F7A" w:rsidRPr="003F3120" w:rsidRDefault="00F31F7A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569 588</w:t>
            </w:r>
          </w:p>
        </w:tc>
      </w:tr>
      <w:tr w:rsidR="00F31F7A" w:rsidRPr="003F3120" w14:paraId="74463378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5093" w14:textId="77777777" w:rsidR="00F31F7A" w:rsidRPr="003F3120" w:rsidRDefault="00F31F7A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 xml:space="preserve">Union européenne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905C6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F45D5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6F27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0A34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407A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54724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6E487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9EE93" w14:textId="65904D91" w:rsidR="00F31F7A" w:rsidRPr="003F3120" w:rsidRDefault="002D11E5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2 155 </w:t>
            </w:r>
            <w:r w:rsidR="00F31F7A" w:rsidRPr="003F3120">
              <w:rPr>
                <w:color w:val="000000"/>
                <w:sz w:val="16"/>
                <w:szCs w:val="16"/>
                <w:lang w:eastAsia="en-GB"/>
              </w:rPr>
              <w:t>332 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26DF1" w14:textId="7F90757C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2 155 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332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0B002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D2780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12D1E" w14:textId="77777777" w:rsidR="00F31F7A" w:rsidRPr="003F3120" w:rsidRDefault="00F31F7A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2 535 788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CCD03" w14:textId="6A3B92A2" w:rsidR="00F31F7A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2 535 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788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1C243" w14:textId="34CE88B1" w:rsidR="00F31F7A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4 691 </w:t>
            </w:r>
            <w:r w:rsidR="00F31F7A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120</w:t>
            </w:r>
          </w:p>
        </w:tc>
      </w:tr>
      <w:tr w:rsidR="00FB690D" w:rsidRPr="003F3120" w14:paraId="5C146513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B43B0" w14:textId="2DE770FD" w:rsidR="00FB690D" w:rsidRPr="003F3120" w:rsidRDefault="000B342D" w:rsidP="00DF2CCD">
            <w:pPr>
              <w:spacing w:before="40" w:after="60"/>
              <w:ind w:left="17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color w:val="000000"/>
                <w:sz w:val="16"/>
                <w:szCs w:val="16"/>
                <w:lang w:eastAsia="en-GB"/>
              </w:rPr>
              <w:t>Total partiel</w:t>
            </w:r>
            <w:r w:rsidR="00FB690D" w:rsidRPr="003F3120">
              <w:rPr>
                <w:b/>
                <w:color w:val="000000"/>
                <w:sz w:val="16"/>
                <w:szCs w:val="16"/>
                <w:lang w:eastAsia="en-GB"/>
              </w:rPr>
              <w:t>,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0913B" w14:textId="429F693C" w:rsidR="00FB690D" w:rsidRPr="003F3120" w:rsidRDefault="00CA1313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2 236 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03331" w14:textId="5C81A14E" w:rsidR="00FB690D" w:rsidRPr="003F3120" w:rsidRDefault="00CA1313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4 276 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89F77" w14:textId="7B9432AB" w:rsidR="00FB690D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13 620 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944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A68B4" w14:textId="1EE3E216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3 131 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428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F9E61" w14:textId="78E06DDC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3 881 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938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BB2AD" w14:textId="490A5AE7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4 141 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723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25C9B" w14:textId="489E7E66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5 056 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061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78445" w14:textId="75A49A5D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3 489 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577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A1C5D" w14:textId="24E181ED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39 834 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472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EF8B2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82 287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7A77E" w14:textId="41A45299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1 476 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441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17D04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6 500 561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E031" w14:textId="10A07137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8 059 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289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7431" w14:textId="417E9378" w:rsidR="00FB690D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47 893 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761</w:t>
            </w:r>
          </w:p>
        </w:tc>
      </w:tr>
      <w:tr w:rsidR="00FB690D" w:rsidRPr="003F3120" w14:paraId="29070661" w14:textId="77777777" w:rsidTr="006C0085">
        <w:trPr>
          <w:trHeight w:val="57"/>
          <w:jc w:val="right"/>
        </w:trPr>
        <w:tc>
          <w:tcPr>
            <w:tcW w:w="33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66BB0" w14:textId="44DE7C1E" w:rsidR="00FB690D" w:rsidRPr="003F3120" w:rsidRDefault="00FB690D" w:rsidP="00DF2CCD">
            <w:pPr>
              <w:spacing w:before="40" w:after="60"/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2. </w:t>
            </w:r>
            <w:r w:rsidR="000B342D"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>Autres donateurs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DF3FC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FB76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D3E1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3BCD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F1E1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B690D" w:rsidRPr="003F3120" w14:paraId="1490003B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6F37" w14:textId="77777777" w:rsidR="00FB690D" w:rsidRPr="003F3120" w:rsidRDefault="00FB690D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Yves Rocher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33864" w14:textId="19A73D01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74300" w14:textId="072C458C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21558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9893E" w14:textId="02C9F199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2D2CE" w14:textId="32C90DB4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E2D63" w14:textId="06B3D158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EEE2" w14:textId="7A30F3DC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11 416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C0541" w14:textId="77777777" w:rsidR="00FB690D" w:rsidRPr="003F3120" w:rsidRDefault="00FB690D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26E72" w14:textId="313A6BBF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11 416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3F178" w14:textId="77777777" w:rsidR="00FB690D" w:rsidRPr="003F3120" w:rsidRDefault="00FB690D" w:rsidP="00DF2CCD">
            <w:pPr>
              <w:spacing w:before="40" w:after="6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34B36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8F617" w14:textId="77777777" w:rsidR="00FB690D" w:rsidRPr="003F3120" w:rsidRDefault="00FB690D" w:rsidP="00DF2CCD">
            <w:pPr>
              <w:spacing w:before="40" w:after="6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58EEC" w14:textId="56569671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8D7EA" w14:textId="57343F38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11 416</w:t>
            </w:r>
          </w:p>
        </w:tc>
      </w:tr>
      <w:tr w:rsidR="00FB690D" w:rsidRPr="003F3120" w14:paraId="01A124A9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659133" w14:textId="77777777" w:rsidR="00FB690D" w:rsidRPr="003F3120" w:rsidRDefault="00FB690D" w:rsidP="00DF2CCD">
            <w:pPr>
              <w:spacing w:before="40" w:after="60"/>
              <w:ind w:left="170"/>
              <w:rPr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color w:val="000000"/>
                <w:sz w:val="16"/>
                <w:szCs w:val="16"/>
                <w:lang w:eastAsia="en-GB"/>
              </w:rPr>
              <w:t>Kering SA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805375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0E61C8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CA0AEC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11F4B2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E53F56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BB8495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DA26C4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0DF07E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CFC999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75B26B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4AA9C9" w14:textId="77777777" w:rsidR="00FB690D" w:rsidRPr="003F3120" w:rsidRDefault="00FB690D" w:rsidP="00DF2CCD">
            <w:pPr>
              <w:spacing w:before="40" w:after="60"/>
              <w:jc w:val="right"/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Cs/>
                <w:color w:val="000000"/>
                <w:sz w:val="16"/>
                <w:szCs w:val="16"/>
                <w:lang w:eastAsia="en-GB"/>
              </w:rPr>
              <w:t>134 680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41B0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C4C339" w14:textId="2A9A8B23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134 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223B9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134 680</w:t>
            </w:r>
          </w:p>
        </w:tc>
      </w:tr>
      <w:tr w:rsidR="00FB690D" w:rsidRPr="003F3120" w14:paraId="4E9F557D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82091" w14:textId="4C666327" w:rsidR="00FB690D" w:rsidRPr="003F3120" w:rsidRDefault="000B342D" w:rsidP="00DF2CCD">
            <w:pPr>
              <w:spacing w:before="40" w:after="60"/>
              <w:ind w:left="17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color w:val="000000"/>
                <w:sz w:val="16"/>
                <w:szCs w:val="16"/>
                <w:lang w:eastAsia="en-GB"/>
              </w:rPr>
              <w:t>Total partiel</w:t>
            </w:r>
            <w:r w:rsidR="00FB690D" w:rsidRPr="003F3120">
              <w:rPr>
                <w:b/>
                <w:color w:val="000000"/>
                <w:sz w:val="16"/>
                <w:szCs w:val="16"/>
                <w:lang w:eastAsia="en-GB"/>
              </w:rPr>
              <w:t>,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624DB" w14:textId="2999C762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0C429" w14:textId="7FB426D2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2058D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BD5F4" w14:textId="7886A7F1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BC269" w14:textId="1CF3CCE9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E2F02" w14:textId="22CDA98D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E12C1" w14:textId="6501E53A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11 416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24457" w14:textId="0BC46801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4895C" w14:textId="3BB1872B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11 416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65A66" w14:textId="2B279322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6DBEF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134 680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5AB5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4A765" w14:textId="3F0DD7F9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134 680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6BF21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146 096</w:t>
            </w:r>
          </w:p>
        </w:tc>
      </w:tr>
      <w:tr w:rsidR="00FB690D" w:rsidRPr="003F3120" w14:paraId="7B03DCDD" w14:textId="77777777" w:rsidTr="006C0085">
        <w:trPr>
          <w:trHeight w:val="57"/>
          <w:jc w:val="right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F89F4" w14:textId="4EEC8B9B" w:rsidR="00FB690D" w:rsidRPr="003F3120" w:rsidRDefault="000B342D" w:rsidP="00DF2CCD">
            <w:pPr>
              <w:spacing w:before="40" w:after="60"/>
              <w:ind w:left="17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Total partiel</w:t>
            </w:r>
            <w:r w:rsidR="00FB690D" w:rsidRPr="003F3120">
              <w:rPr>
                <w:b/>
                <w:color w:val="000000"/>
                <w:sz w:val="16"/>
                <w:szCs w:val="16"/>
                <w:lang w:eastAsia="en-GB"/>
              </w:rPr>
              <w:t>,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1+2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C44E8" w14:textId="51F9F51D" w:rsidR="00FB690D" w:rsidRPr="003F3120" w:rsidRDefault="00CA1313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2 236 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C6E5E" w14:textId="75F0E9AA" w:rsidR="00FB690D" w:rsidRPr="003F3120" w:rsidRDefault="00CA1313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4 276 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2F02D" w14:textId="1B04F934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13 620 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944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4DAFF" w14:textId="6F6B7742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3 131 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428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22AA7" w14:textId="2329EE32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3 881 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938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AFD1F" w14:textId="544E44BA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4 141 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723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D476F" w14:textId="0587D131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5 067 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477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A3781" w14:textId="37353009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3 489 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577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022F6" w14:textId="6C2468CA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39 845 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888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9FBB3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82 287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09F50B" w14:textId="3E53A17F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1 611 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A79F0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6 500 561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4EF50" w14:textId="73E5A4F0" w:rsidR="00FB690D" w:rsidRPr="003F3120" w:rsidRDefault="002D11E5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8 193 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969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DA51B" w14:textId="0AD0118C" w:rsidR="00FB690D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48 039 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857</w:t>
            </w:r>
          </w:p>
        </w:tc>
      </w:tr>
      <w:tr w:rsidR="00FB690D" w:rsidRPr="003F3120" w14:paraId="3AC8B1D6" w14:textId="77777777" w:rsidTr="006C0085">
        <w:trPr>
          <w:trHeight w:val="57"/>
          <w:jc w:val="right"/>
        </w:trPr>
        <w:tc>
          <w:tcPr>
            <w:tcW w:w="2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D053E" w14:textId="133F3A32" w:rsidR="00FB690D" w:rsidRPr="003F3120" w:rsidRDefault="00FB690D" w:rsidP="00DF2CCD">
            <w:pPr>
              <w:spacing w:before="40" w:after="60"/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3. </w:t>
            </w:r>
            <w:r w:rsidR="000B342D"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>Revenu</w:t>
            </w:r>
            <w:r w:rsidR="007031E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 des </w:t>
            </w:r>
            <w:r w:rsidR="000B342D" w:rsidRPr="003F3120">
              <w:rPr>
                <w:b/>
                <w:bCs/>
                <w:iCs/>
                <w:color w:val="000000"/>
                <w:sz w:val="16"/>
                <w:szCs w:val="16"/>
                <w:lang w:eastAsia="en-GB"/>
              </w:rPr>
              <w:t>investissements et recettes accessoires</w:t>
            </w:r>
            <w:r w:rsidRPr="003F3120">
              <w:rPr>
                <w:b/>
                <w:bCs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b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EF835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4FD8C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F93BD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39620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30E1D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122C3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5D79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9B24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5FAF" w14:textId="5A10F554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413 880</w:t>
            </w:r>
          </w:p>
        </w:tc>
      </w:tr>
      <w:tr w:rsidR="00FB690D" w:rsidRPr="003F3120" w14:paraId="0B0CFAFA" w14:textId="77777777" w:rsidTr="006C0085">
        <w:trPr>
          <w:trHeight w:val="57"/>
          <w:jc w:val="right"/>
        </w:trPr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B42D9" w14:textId="2F6BD72A" w:rsidR="00FB690D" w:rsidRPr="003F3120" w:rsidRDefault="00FB690D" w:rsidP="00DF2CCD">
            <w:pPr>
              <w:spacing w:before="40" w:after="6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04C16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3A5E2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FAA4A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B4E5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C9120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873F6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5573F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0CC2D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5AE57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3132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3317" w14:textId="77777777" w:rsidR="00FB690D" w:rsidRPr="003F3120" w:rsidRDefault="00FB690D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D0CC" w14:textId="26D1CC0D" w:rsidR="00FB690D" w:rsidRPr="003F3120" w:rsidRDefault="0074672B" w:rsidP="00DF2CCD">
            <w:pPr>
              <w:spacing w:before="40" w:after="60"/>
              <w:jc w:val="right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48 453 </w:t>
            </w:r>
            <w:r w:rsidR="00FB690D" w:rsidRPr="003F3120">
              <w:rPr>
                <w:b/>
                <w:bCs/>
                <w:color w:val="000000"/>
                <w:sz w:val="16"/>
                <w:szCs w:val="16"/>
                <w:lang w:eastAsia="en-GB"/>
              </w:rPr>
              <w:t>737</w:t>
            </w:r>
          </w:p>
        </w:tc>
      </w:tr>
    </w:tbl>
    <w:p w14:paraId="0C050CA2" w14:textId="6AFFB636" w:rsidR="00FB690D" w:rsidRPr="003F3120" w:rsidRDefault="00FB690D" w:rsidP="00FB690D">
      <w:pPr>
        <w:spacing w:before="20" w:after="40"/>
        <w:rPr>
          <w:color w:val="000000"/>
          <w:sz w:val="16"/>
          <w:szCs w:val="16"/>
          <w:lang w:eastAsia="en-GB"/>
        </w:rPr>
      </w:pPr>
      <w:r w:rsidRPr="003F3120">
        <w:rPr>
          <w:color w:val="000000"/>
          <w:sz w:val="16"/>
          <w:szCs w:val="16"/>
          <w:vertAlign w:val="superscript"/>
          <w:lang w:eastAsia="en-GB"/>
        </w:rPr>
        <w:t>a</w:t>
      </w:r>
      <w:r w:rsidR="007031E0">
        <w:rPr>
          <w:color w:val="000000"/>
          <w:sz w:val="16"/>
          <w:szCs w:val="16"/>
          <w:lang w:eastAsia="en-GB"/>
        </w:rPr>
        <w:t xml:space="preserve"> La </w:t>
      </w:r>
      <w:r w:rsidR="00B31351" w:rsidRPr="003F3120">
        <w:rPr>
          <w:sz w:val="16"/>
          <w:szCs w:val="16"/>
        </w:rPr>
        <w:t>contribution comprend</w:t>
      </w:r>
      <w:r w:rsidR="007031E0">
        <w:rPr>
          <w:sz w:val="16"/>
          <w:szCs w:val="16"/>
        </w:rPr>
        <w:t xml:space="preserve"> des </w:t>
      </w:r>
      <w:r w:rsidR="00B31351" w:rsidRPr="003F3120">
        <w:rPr>
          <w:sz w:val="16"/>
          <w:szCs w:val="16"/>
        </w:rPr>
        <w:t>composantes préaffectées. Pour en sav</w:t>
      </w:r>
      <w:r w:rsidR="00B56C3C" w:rsidRPr="003F3120">
        <w:rPr>
          <w:sz w:val="16"/>
          <w:szCs w:val="16"/>
        </w:rPr>
        <w:t xml:space="preserve">oir plus, </w:t>
      </w:r>
      <w:r w:rsidR="002B6D00" w:rsidRPr="003F3120">
        <w:rPr>
          <w:sz w:val="16"/>
          <w:szCs w:val="16"/>
        </w:rPr>
        <w:t>voir</w:t>
      </w:r>
      <w:r w:rsidR="00B56C3C" w:rsidRPr="003F3120">
        <w:rPr>
          <w:sz w:val="16"/>
          <w:szCs w:val="16"/>
        </w:rPr>
        <w:t xml:space="preserve"> tableau </w:t>
      </w:r>
      <w:r w:rsidR="00B31351" w:rsidRPr="003F3120">
        <w:rPr>
          <w:sz w:val="16"/>
          <w:szCs w:val="16"/>
        </w:rPr>
        <w:t>2, sect</w:t>
      </w:r>
      <w:r w:rsidR="00DB29C8" w:rsidRPr="003F3120">
        <w:rPr>
          <w:sz w:val="16"/>
          <w:szCs w:val="16"/>
        </w:rPr>
        <w:t>.</w:t>
      </w:r>
      <w:r w:rsidR="00B31351" w:rsidRPr="003F3120">
        <w:rPr>
          <w:sz w:val="16"/>
          <w:szCs w:val="16"/>
        </w:rPr>
        <w:t xml:space="preserve"> 1.</w:t>
      </w:r>
    </w:p>
    <w:p w14:paraId="38C26517" w14:textId="11156FFD" w:rsidR="00FB690D" w:rsidRPr="003F3120" w:rsidRDefault="00FB690D" w:rsidP="00FB690D">
      <w:pPr>
        <w:spacing w:before="20" w:after="40"/>
        <w:rPr>
          <w:color w:val="000000"/>
          <w:sz w:val="16"/>
          <w:szCs w:val="16"/>
          <w:lang w:eastAsia="en-GB"/>
        </w:rPr>
      </w:pPr>
      <w:r w:rsidRPr="003F3120">
        <w:rPr>
          <w:color w:val="000000"/>
          <w:sz w:val="16"/>
          <w:szCs w:val="16"/>
          <w:vertAlign w:val="superscript"/>
          <w:lang w:eastAsia="en-GB"/>
        </w:rPr>
        <w:t>b</w:t>
      </w:r>
      <w:r w:rsidRPr="003F3120">
        <w:rPr>
          <w:color w:val="000000"/>
          <w:sz w:val="16"/>
          <w:szCs w:val="16"/>
          <w:lang w:eastAsia="en-GB"/>
        </w:rPr>
        <w:t xml:space="preserve"> </w:t>
      </w:r>
      <w:r w:rsidR="00B31351" w:rsidRPr="003F3120">
        <w:rPr>
          <w:sz w:val="16"/>
          <w:szCs w:val="16"/>
        </w:rPr>
        <w:t>Produit cumulé</w:t>
      </w:r>
      <w:r w:rsidR="007031E0">
        <w:rPr>
          <w:sz w:val="16"/>
          <w:szCs w:val="16"/>
        </w:rPr>
        <w:t xml:space="preserve"> des </w:t>
      </w:r>
      <w:r w:rsidR="00B31351" w:rsidRPr="003F3120">
        <w:rPr>
          <w:sz w:val="16"/>
          <w:szCs w:val="16"/>
        </w:rPr>
        <w:t>investissements et recettes accessoires du fonds de gestion centralisée</w:t>
      </w:r>
      <w:r w:rsidR="007031E0">
        <w:rPr>
          <w:sz w:val="16"/>
          <w:szCs w:val="16"/>
        </w:rPr>
        <w:t xml:space="preserve"> des </w:t>
      </w:r>
      <w:r w:rsidR="00B31351" w:rsidRPr="003F3120">
        <w:rPr>
          <w:sz w:val="16"/>
          <w:szCs w:val="16"/>
        </w:rPr>
        <w:t>liquidités du PNUE.</w:t>
      </w:r>
      <w:r w:rsidR="007031E0">
        <w:rPr>
          <w:sz w:val="16"/>
          <w:szCs w:val="16"/>
        </w:rPr>
        <w:t xml:space="preserve"> Le </w:t>
      </w:r>
      <w:r w:rsidR="00B31351" w:rsidRPr="003F3120">
        <w:rPr>
          <w:sz w:val="16"/>
          <w:szCs w:val="16"/>
        </w:rPr>
        <w:t>montant indiqué pour 2018 est provisoire</w:t>
      </w:r>
      <w:r w:rsidRPr="003F3120">
        <w:rPr>
          <w:color w:val="000000"/>
          <w:sz w:val="16"/>
          <w:szCs w:val="16"/>
          <w:lang w:eastAsia="en-GB"/>
        </w:rPr>
        <w:t>.</w:t>
      </w:r>
    </w:p>
    <w:bookmarkEnd w:id="96"/>
    <w:p w14:paraId="48361F9E" w14:textId="3D7D8E2C" w:rsidR="00451DB8" w:rsidRPr="003F3120" w:rsidRDefault="00451DB8" w:rsidP="00451DB8">
      <w:pPr>
        <w:tabs>
          <w:tab w:val="num" w:pos="624"/>
        </w:tabs>
        <w:spacing w:before="240" w:after="120"/>
        <w:ind w:left="1247"/>
      </w:pPr>
    </w:p>
    <w:p w14:paraId="2EFD9D80" w14:textId="77777777" w:rsidR="00451DB8" w:rsidRPr="003F3120" w:rsidRDefault="00451DB8" w:rsidP="00451DB8">
      <w:pPr>
        <w:tabs>
          <w:tab w:val="num" w:pos="624"/>
        </w:tabs>
        <w:spacing w:before="240" w:after="120"/>
        <w:ind w:left="1247"/>
        <w:sectPr w:rsidR="00451DB8" w:rsidRPr="003F3120" w:rsidSect="006C0085">
          <w:headerReference w:type="default" r:id="rId34"/>
          <w:headerReference w:type="first" r:id="rId35"/>
          <w:footerReference w:type="first" r:id="rId36"/>
          <w:pgSz w:w="16840" w:h="11907" w:orient="landscape" w:code="9"/>
          <w:pgMar w:top="907" w:right="992" w:bottom="1418" w:left="1418" w:header="539" w:footer="975" w:gutter="0"/>
          <w:cols w:space="539"/>
          <w:docGrid w:linePitch="360"/>
        </w:sectPr>
      </w:pPr>
    </w:p>
    <w:p w14:paraId="1D8D94E1" w14:textId="56B04F91" w:rsidR="00FB690D" w:rsidRPr="003F3120" w:rsidRDefault="00F31F7A" w:rsidP="00DF2CCD">
      <w:pPr>
        <w:pStyle w:val="Normalnumber"/>
        <w:numPr>
          <w:ilvl w:val="0"/>
          <w:numId w:val="12"/>
        </w:numPr>
      </w:pPr>
      <w:r w:rsidRPr="003F3120">
        <w:lastRenderedPageBreak/>
        <w:t xml:space="preserve">La section 1 du tableau 2 </w:t>
      </w:r>
      <w:r w:rsidR="00FB6556">
        <w:t>indique</w:t>
      </w:r>
      <w:r w:rsidR="007031E0">
        <w:t xml:space="preserve"> les </w:t>
      </w:r>
      <w:r w:rsidRPr="003F3120">
        <w:t>contributions préaffectées reçues en espèces par</w:t>
      </w:r>
      <w:r w:rsidR="007031E0">
        <w:t xml:space="preserve"> le </w:t>
      </w:r>
      <w:r w:rsidRPr="003F3120">
        <w:t>fonds d</w:t>
      </w:r>
      <w:r w:rsidR="00FA5ADB">
        <w:t>’</w:t>
      </w:r>
      <w:r w:rsidRPr="003F3120">
        <w:t>affectation spéciale pour</w:t>
      </w:r>
      <w:r w:rsidR="007031E0">
        <w:t xml:space="preserve"> des </w:t>
      </w:r>
      <w:r w:rsidRPr="003F3120">
        <w:t>activités prévues dans</w:t>
      </w:r>
      <w:r w:rsidR="007031E0">
        <w:t xml:space="preserve"> le </w:t>
      </w:r>
      <w:r w:rsidRPr="003F3120">
        <w:t>programme de travail et</w:t>
      </w:r>
      <w:r w:rsidR="007031E0">
        <w:t xml:space="preserve"> le </w:t>
      </w:r>
      <w:r w:rsidRPr="003F3120">
        <w:t>budget approuvés, et celles versées ou annoncées pour</w:t>
      </w:r>
      <w:r w:rsidR="007031E0">
        <w:t xml:space="preserve"> la </w:t>
      </w:r>
      <w:r w:rsidRPr="003F3120">
        <w:t>période 2018–2021.</w:t>
      </w:r>
      <w:r w:rsidR="007031E0">
        <w:t xml:space="preserve"> Le </w:t>
      </w:r>
      <w:r w:rsidRPr="003F3120">
        <w:t>montant total</w:t>
      </w:r>
      <w:r w:rsidR="007031E0">
        <w:t xml:space="preserve"> des </w:t>
      </w:r>
      <w:r w:rsidRPr="003F3120">
        <w:t>contributions préaffectées pour 2018 s</w:t>
      </w:r>
      <w:r w:rsidR="00FA5ADB">
        <w:t>’</w:t>
      </w:r>
      <w:r w:rsidRPr="003F3120">
        <w:t>élevait à 0</w:t>
      </w:r>
      <w:r w:rsidR="00A34602" w:rsidRPr="003F3120">
        <w:t>,8 million de dollars, dont 0,1 </w:t>
      </w:r>
      <w:r w:rsidRPr="003F3120">
        <w:t>million de contributions annoncées.</w:t>
      </w:r>
      <w:r w:rsidR="007031E0">
        <w:t xml:space="preserve"> Les </w:t>
      </w:r>
      <w:r w:rsidRPr="003F3120">
        <w:t xml:space="preserve">contributions préaffectées reçues et annoncées pour </w:t>
      </w:r>
      <w:r w:rsidR="00B56C3C" w:rsidRPr="003F3120">
        <w:t>2019 et au-delà s</w:t>
      </w:r>
      <w:r w:rsidR="00FA5ADB">
        <w:t>’</w:t>
      </w:r>
      <w:r w:rsidR="00B56C3C" w:rsidRPr="003F3120">
        <w:t>élèvent à 0,7 </w:t>
      </w:r>
      <w:r w:rsidR="005449C1">
        <w:t>million. Ces </w:t>
      </w:r>
      <w:r w:rsidRPr="003F3120">
        <w:t>contributions sont incluses dans</w:t>
      </w:r>
      <w:r w:rsidR="007031E0">
        <w:t xml:space="preserve"> les </w:t>
      </w:r>
      <w:r w:rsidRPr="003F3120">
        <w:t>montants indiqués au tableau 1, qui renvoient à</w:t>
      </w:r>
      <w:r w:rsidR="007031E0">
        <w:t xml:space="preserve"> la </w:t>
      </w:r>
      <w:r w:rsidRPr="003F3120">
        <w:t xml:space="preserve">note de bas de page </w:t>
      </w:r>
      <w:r w:rsidRPr="00DF2CCD">
        <w:rPr>
          <w:i/>
          <w:iCs/>
        </w:rPr>
        <w:t>a</w:t>
      </w:r>
      <w:r w:rsidRPr="003F3120">
        <w:t>. Elles ont été faites conformément aux procédures et règles financières de</w:t>
      </w:r>
      <w:r w:rsidR="007031E0">
        <w:t xml:space="preserve"> la </w:t>
      </w:r>
      <w:r w:rsidRPr="003F3120">
        <w:t>Platefo</w:t>
      </w:r>
      <w:r w:rsidR="00B56C3C" w:rsidRPr="003F3120">
        <w:t>rme énoncées dans</w:t>
      </w:r>
      <w:r w:rsidR="007031E0">
        <w:t xml:space="preserve"> les </w:t>
      </w:r>
      <w:r w:rsidR="00B56C3C" w:rsidRPr="003F3120">
        <w:t>décisions </w:t>
      </w:r>
      <w:r w:rsidRPr="003F3120">
        <w:t>IPBES-2/7 et IPBES-3/2</w:t>
      </w:r>
      <w:r w:rsidR="00FB690D" w:rsidRPr="003F3120">
        <w:t>.</w:t>
      </w:r>
    </w:p>
    <w:p w14:paraId="5B954025" w14:textId="2B301D23" w:rsidR="00FB690D" w:rsidRPr="003F3120" w:rsidRDefault="00B56C3C" w:rsidP="00DF2CCD">
      <w:pPr>
        <w:pStyle w:val="Normalnumber"/>
        <w:numPr>
          <w:ilvl w:val="0"/>
          <w:numId w:val="12"/>
        </w:numPr>
      </w:pPr>
      <w:r w:rsidRPr="003F3120">
        <w:t>La section </w:t>
      </w:r>
      <w:r w:rsidR="003C77B2">
        <w:t>2 du tableau </w:t>
      </w:r>
      <w:r w:rsidR="00F31F7A" w:rsidRPr="003F3120">
        <w:t>2 présente</w:t>
      </w:r>
      <w:r w:rsidR="007031E0">
        <w:t xml:space="preserve"> les </w:t>
      </w:r>
      <w:r w:rsidR="00F31F7A" w:rsidRPr="003F3120">
        <w:t>contributions préaffectées supplémentaires reçues en</w:t>
      </w:r>
      <w:r w:rsidR="006C0085">
        <w:t> </w:t>
      </w:r>
      <w:r w:rsidR="00F31F7A" w:rsidRPr="003F3120">
        <w:t>espèces à l</w:t>
      </w:r>
      <w:r w:rsidR="00FA5ADB">
        <w:t>’</w:t>
      </w:r>
      <w:r w:rsidR="00F31F7A" w:rsidRPr="003F3120">
        <w:t xml:space="preserve">appui </w:t>
      </w:r>
      <w:r w:rsidR="00F31F7A" w:rsidRPr="00DF2CCD">
        <w:t>d</w:t>
      </w:r>
      <w:r w:rsidR="00FA5ADB">
        <w:t>’</w:t>
      </w:r>
      <w:r w:rsidR="00F31F7A" w:rsidRPr="00DF2CCD">
        <w:t>activités relevant du programme de travail mais non prévues dans</w:t>
      </w:r>
      <w:r w:rsidR="007031E0" w:rsidRPr="00DF2CCD">
        <w:t xml:space="preserve"> le </w:t>
      </w:r>
      <w:r w:rsidR="00F31F7A" w:rsidRPr="00DF2CCD">
        <w:t>budget approuvé. Celles-ci s</w:t>
      </w:r>
      <w:r w:rsidR="00FA5ADB">
        <w:t>’</w:t>
      </w:r>
      <w:r w:rsidR="00F31F7A" w:rsidRPr="00DF2CCD">
        <w:t xml:space="preserve">élevaient à </w:t>
      </w:r>
      <w:r w:rsidR="00F31F7A" w:rsidRPr="00DF2CCD">
        <w:rPr>
          <w:bCs/>
        </w:rPr>
        <w:t>0,4 million de dollars pour 2018, ce qui inclut</w:t>
      </w:r>
      <w:r w:rsidR="007031E0" w:rsidRPr="00DF2CCD">
        <w:rPr>
          <w:bCs/>
        </w:rPr>
        <w:t xml:space="preserve"> la </w:t>
      </w:r>
      <w:r w:rsidR="00F31F7A" w:rsidRPr="00DF2CCD">
        <w:rPr>
          <w:bCs/>
        </w:rPr>
        <w:t>contribution de</w:t>
      </w:r>
      <w:r w:rsidR="006C0085" w:rsidRPr="00DF2CCD">
        <w:rPr>
          <w:bCs/>
        </w:rPr>
        <w:t> </w:t>
      </w:r>
      <w:r w:rsidR="00F31F7A" w:rsidRPr="00DF2CCD">
        <w:rPr>
          <w:bCs/>
        </w:rPr>
        <w:t>0,3 million de dollars</w:t>
      </w:r>
      <w:r w:rsidR="00F31F7A" w:rsidRPr="00DF2CCD">
        <w:t xml:space="preserve"> de</w:t>
      </w:r>
      <w:r w:rsidR="007031E0" w:rsidRPr="00DF2CCD">
        <w:t xml:space="preserve"> la </w:t>
      </w:r>
      <w:r w:rsidR="00F31F7A" w:rsidRPr="00DF2CCD">
        <w:t>Colombie en</w:t>
      </w:r>
      <w:r w:rsidR="00F31F7A" w:rsidRPr="003F3120">
        <w:t xml:space="preserve"> tant que pays hôte de</w:t>
      </w:r>
      <w:r w:rsidR="007031E0">
        <w:t xml:space="preserve"> la </w:t>
      </w:r>
      <w:r w:rsidR="00F31F7A" w:rsidRPr="003F3120">
        <w:t>sixi</w:t>
      </w:r>
      <w:r w:rsidR="003872B9" w:rsidRPr="003F3120">
        <w:t>ème session de</w:t>
      </w:r>
      <w:r w:rsidR="007031E0">
        <w:t xml:space="preserve"> la </w:t>
      </w:r>
      <w:r w:rsidR="003872B9" w:rsidRPr="003F3120">
        <w:t>Plénière.</w:t>
      </w:r>
      <w:r w:rsidR="007031E0">
        <w:t xml:space="preserve"> Les </w:t>
      </w:r>
      <w:r w:rsidR="00F31F7A" w:rsidRPr="003F3120">
        <w:t>contributions annoncées pour 2019 et au-delà s</w:t>
      </w:r>
      <w:r w:rsidR="00FA5ADB">
        <w:t>’</w:t>
      </w:r>
      <w:r w:rsidR="003C77B2">
        <w:t>élèvent à 0,1 </w:t>
      </w:r>
      <w:r w:rsidR="00F31F7A" w:rsidRPr="003F3120">
        <w:t>million de dollars</w:t>
      </w:r>
      <w:r w:rsidR="00FB690D" w:rsidRPr="003F3120">
        <w:t>.</w:t>
      </w:r>
    </w:p>
    <w:p w14:paraId="07CAC56E" w14:textId="77777777" w:rsidR="00FB690D" w:rsidRPr="003F3120" w:rsidRDefault="00FB690D" w:rsidP="00FB690D">
      <w:pPr>
        <w:spacing w:after="120"/>
        <w:ind w:left="1247"/>
      </w:pPr>
    </w:p>
    <w:p w14:paraId="0D270CBE" w14:textId="77777777" w:rsidR="008A69D1" w:rsidRPr="003F3120" w:rsidRDefault="008A69D1" w:rsidP="00FB690D">
      <w:pPr>
        <w:spacing w:after="120"/>
        <w:ind w:left="1247"/>
        <w:sectPr w:rsidR="008A69D1" w:rsidRPr="003F3120" w:rsidSect="006C0085">
          <w:footerReference w:type="even" r:id="rId37"/>
          <w:pgSz w:w="11907" w:h="16840" w:code="9"/>
          <w:pgMar w:top="907" w:right="992" w:bottom="1418" w:left="1418" w:header="539" w:footer="975" w:gutter="0"/>
          <w:cols w:space="539"/>
          <w:docGrid w:linePitch="360"/>
        </w:sectPr>
      </w:pPr>
    </w:p>
    <w:p w14:paraId="14ADED81" w14:textId="5BFF6BFD" w:rsidR="00FB690D" w:rsidRPr="003F3120" w:rsidRDefault="00FB690D" w:rsidP="006C0085">
      <w:pPr>
        <w:pStyle w:val="Titletable"/>
      </w:pPr>
      <w:r w:rsidRPr="006C0085">
        <w:rPr>
          <w:b w:val="0"/>
        </w:rPr>
        <w:lastRenderedPageBreak/>
        <w:t>Table</w:t>
      </w:r>
      <w:r w:rsidR="00B17E0C" w:rsidRPr="006C0085">
        <w:rPr>
          <w:b w:val="0"/>
        </w:rPr>
        <w:t>au</w:t>
      </w:r>
      <w:r w:rsidR="00A07985" w:rsidRPr="006C0085">
        <w:rPr>
          <w:b w:val="0"/>
        </w:rPr>
        <w:t> </w:t>
      </w:r>
      <w:r w:rsidRPr="006C0085">
        <w:rPr>
          <w:b w:val="0"/>
        </w:rPr>
        <w:t xml:space="preserve">2 </w:t>
      </w:r>
      <w:r w:rsidRPr="003F3120">
        <w:br/>
      </w:r>
      <w:r w:rsidR="00752A92" w:rsidRPr="003F3120">
        <w:t>Contributions préaffectées en espèces reçues en 2018 et annonces de contributions pour</w:t>
      </w:r>
      <w:r w:rsidR="007031E0">
        <w:t xml:space="preserve"> la </w:t>
      </w:r>
      <w:r w:rsidR="00752A92" w:rsidRPr="003F3120">
        <w:t>période 2018-2021</w:t>
      </w:r>
    </w:p>
    <w:p w14:paraId="6F7D1CFE" w14:textId="70582134" w:rsidR="00FB690D" w:rsidRPr="006C0085" w:rsidRDefault="00FB690D" w:rsidP="006C0085">
      <w:pPr>
        <w:pStyle w:val="NormalNonumber"/>
        <w:rPr>
          <w:bCs/>
          <w:sz w:val="18"/>
          <w:szCs w:val="18"/>
        </w:rPr>
      </w:pPr>
      <w:r w:rsidRPr="006C0085">
        <w:rPr>
          <w:bCs/>
          <w:sz w:val="18"/>
          <w:szCs w:val="18"/>
        </w:rPr>
        <w:t>(</w:t>
      </w:r>
      <w:r w:rsidR="00DF2CCD">
        <w:rPr>
          <w:bCs/>
          <w:sz w:val="18"/>
          <w:szCs w:val="18"/>
        </w:rPr>
        <w:t>e</w:t>
      </w:r>
      <w:r w:rsidR="00752A92" w:rsidRPr="006C0085">
        <w:rPr>
          <w:sz w:val="18"/>
          <w:szCs w:val="18"/>
        </w:rPr>
        <w:t>n dollars</w:t>
      </w:r>
      <w:r w:rsidR="007031E0">
        <w:rPr>
          <w:sz w:val="18"/>
          <w:szCs w:val="18"/>
        </w:rPr>
        <w:t xml:space="preserve"> des </w:t>
      </w:r>
      <w:r w:rsidR="00752A92" w:rsidRPr="006C0085">
        <w:rPr>
          <w:sz w:val="18"/>
          <w:szCs w:val="18"/>
        </w:rPr>
        <w:t>États-Unis</w:t>
      </w:r>
      <w:r w:rsidRPr="006C0085">
        <w:rPr>
          <w:bCs/>
          <w:sz w:val="18"/>
          <w:szCs w:val="18"/>
        </w:rPr>
        <w:t>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2311"/>
        <w:gridCol w:w="1663"/>
        <w:gridCol w:w="1663"/>
        <w:gridCol w:w="1663"/>
        <w:gridCol w:w="1663"/>
        <w:gridCol w:w="1663"/>
        <w:gridCol w:w="1663"/>
      </w:tblGrid>
      <w:tr w:rsidR="00FB690D" w:rsidRPr="00DF2CCD" w14:paraId="1939B054" w14:textId="77777777" w:rsidTr="002C7940">
        <w:trPr>
          <w:trHeight w:val="57"/>
          <w:tblHeader/>
          <w:jc w:val="right"/>
        </w:trPr>
        <w:tc>
          <w:tcPr>
            <w:tcW w:w="21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E1FC8" w14:textId="40FD7124" w:rsidR="00FB690D" w:rsidRPr="00DF2CCD" w:rsidRDefault="00752A92" w:rsidP="00F7427A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i/>
                <w:iCs/>
                <w:sz w:val="18"/>
                <w:szCs w:val="18"/>
              </w:rPr>
              <w:t>Gouvernement</w:t>
            </w:r>
            <w:r w:rsidR="00FB690D" w:rsidRPr="00DF2CCD">
              <w:rPr>
                <w:i/>
                <w:iCs/>
                <w:color w:val="000000"/>
                <w:sz w:val="18"/>
                <w:szCs w:val="18"/>
                <w:lang w:eastAsia="en-GB"/>
              </w:rPr>
              <w:t>/</w:t>
            </w:r>
            <w:r w:rsidR="00FB690D" w:rsidRPr="00DF2CCD">
              <w:rPr>
                <w:i/>
                <w:iCs/>
                <w:color w:val="000000"/>
                <w:sz w:val="18"/>
                <w:szCs w:val="18"/>
                <w:lang w:eastAsia="en-GB"/>
              </w:rPr>
              <w:br/>
            </w:r>
            <w:r w:rsidRPr="00DF2CCD">
              <w:rPr>
                <w:i/>
                <w:iCs/>
                <w:sz w:val="18"/>
                <w:szCs w:val="18"/>
              </w:rPr>
              <w:t>institution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5F786" w14:textId="1DE49CAF" w:rsidR="00FB690D" w:rsidRPr="00DF2CCD" w:rsidRDefault="00752A92" w:rsidP="001E2BF5">
            <w:pPr>
              <w:spacing w:before="40" w:after="40"/>
              <w:ind w:right="604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i/>
                <w:iCs/>
                <w:sz w:val="18"/>
                <w:szCs w:val="18"/>
              </w:rPr>
              <w:t>Activité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5AE8B" w14:textId="2F04D253" w:rsidR="00FB690D" w:rsidRPr="00DF2CCD" w:rsidRDefault="00752A92" w:rsidP="001E2BF5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i/>
                <w:iCs/>
                <w:sz w:val="18"/>
                <w:szCs w:val="18"/>
              </w:rPr>
              <w:t>Type d</w:t>
            </w:r>
            <w:r w:rsidR="00FA5ADB">
              <w:rPr>
                <w:i/>
                <w:iCs/>
                <w:sz w:val="18"/>
                <w:szCs w:val="18"/>
              </w:rPr>
              <w:t>’</w:t>
            </w:r>
            <w:r w:rsidRPr="00DF2CCD">
              <w:rPr>
                <w:i/>
                <w:iCs/>
                <w:sz w:val="18"/>
                <w:szCs w:val="18"/>
              </w:rPr>
              <w:t>appui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BD5BC52" w14:textId="2B680C14" w:rsidR="00FB690D" w:rsidRPr="00DF2CCD" w:rsidRDefault="00FB690D" w:rsidP="001E2BF5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i/>
                <w:iCs/>
                <w:color w:val="000000"/>
                <w:sz w:val="18"/>
                <w:szCs w:val="18"/>
                <w:lang w:eastAsia="en-GB"/>
              </w:rPr>
              <w:t xml:space="preserve">Contributions </w:t>
            </w:r>
            <w:r w:rsidR="00752A92" w:rsidRPr="00DF2CCD">
              <w:rPr>
                <w:i/>
                <w:iCs/>
                <w:sz w:val="18"/>
                <w:szCs w:val="18"/>
              </w:rPr>
              <w:t>reçues en 2018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1A68DF9" w14:textId="3FE0AD8E" w:rsidR="00FB690D" w:rsidRPr="00DF2CCD" w:rsidRDefault="00752A92" w:rsidP="001E2BF5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i/>
                <w:iCs/>
                <w:sz w:val="18"/>
                <w:szCs w:val="18"/>
              </w:rPr>
              <w:t>Annonces de contributions pour </w:t>
            </w:r>
            <w:r w:rsidR="00FB690D" w:rsidRPr="00DF2CCD">
              <w:rPr>
                <w:i/>
                <w:iCs/>
                <w:color w:val="000000"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DA170C8" w14:textId="3596E73F" w:rsidR="00FB690D" w:rsidRPr="00DF2CCD" w:rsidRDefault="00FB690D" w:rsidP="001E2BF5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i/>
                <w:iCs/>
                <w:color w:val="000000"/>
                <w:sz w:val="18"/>
                <w:szCs w:val="18"/>
                <w:lang w:eastAsia="en-GB"/>
              </w:rPr>
              <w:t xml:space="preserve">Contributions </w:t>
            </w:r>
            <w:r w:rsidR="00752A92" w:rsidRPr="00DF2CCD">
              <w:rPr>
                <w:i/>
                <w:iCs/>
                <w:sz w:val="18"/>
                <w:szCs w:val="18"/>
              </w:rPr>
              <w:t xml:space="preserve">reçues en </w:t>
            </w:r>
            <w:r w:rsidRPr="00DF2CCD">
              <w:rPr>
                <w:i/>
                <w:iCs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5709501" w14:textId="19D4FBE6" w:rsidR="00FB690D" w:rsidRPr="00DF2CCD" w:rsidRDefault="00752A92" w:rsidP="001E2BF5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i/>
                <w:iCs/>
                <w:sz w:val="18"/>
                <w:szCs w:val="18"/>
              </w:rPr>
              <w:t xml:space="preserve">Annonces de contributions pour </w:t>
            </w:r>
            <w:r w:rsidR="00FB690D" w:rsidRPr="00DF2CCD">
              <w:rPr>
                <w:i/>
                <w:iCs/>
                <w:color w:val="000000"/>
                <w:sz w:val="18"/>
                <w:szCs w:val="18"/>
                <w:lang w:eastAsia="en-GB"/>
              </w:rPr>
              <w:t>2019–2021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B111404" w14:textId="77777777" w:rsidR="00FB690D" w:rsidRPr="00DF2CCD" w:rsidRDefault="00FB690D" w:rsidP="001E2BF5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i/>
                <w:iCs/>
                <w:color w:val="000000"/>
                <w:sz w:val="18"/>
                <w:szCs w:val="18"/>
                <w:lang w:eastAsia="en-GB"/>
              </w:rPr>
              <w:t xml:space="preserve">Total </w:t>
            </w:r>
          </w:p>
        </w:tc>
      </w:tr>
      <w:tr w:rsidR="00FB690D" w:rsidRPr="00DF2CCD" w14:paraId="68D85DED" w14:textId="77777777" w:rsidTr="002C7940">
        <w:trPr>
          <w:trHeight w:val="57"/>
          <w:jc w:val="right"/>
        </w:trPr>
        <w:tc>
          <w:tcPr>
            <w:tcW w:w="1443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E35F2" w14:textId="5806373E" w:rsidR="00FB690D" w:rsidRPr="00DF2CCD" w:rsidRDefault="00FB690D" w:rsidP="002C794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 </w:t>
            </w:r>
            <w:r w:rsidR="00752A92" w:rsidRPr="00DF2CCD">
              <w:rPr>
                <w:b/>
                <w:bCs/>
                <w:sz w:val="18"/>
                <w:szCs w:val="18"/>
              </w:rPr>
              <w:t>Contributions préaffectées reçues en espèces à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752A92" w:rsidRPr="00DF2CCD">
              <w:rPr>
                <w:b/>
                <w:bCs/>
                <w:sz w:val="18"/>
                <w:szCs w:val="18"/>
              </w:rPr>
              <w:t>appui du programme de travail approuvé</w:t>
            </w:r>
          </w:p>
        </w:tc>
      </w:tr>
      <w:tr w:rsidR="00FB690D" w:rsidRPr="00DF2CCD" w14:paraId="69A3478E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84535" w14:textId="77777777" w:rsidR="00FB690D" w:rsidRPr="00DF2CCD" w:rsidRDefault="00FB690D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E29D" w14:textId="7A8966F8" w:rsidR="00FB690D" w:rsidRPr="00DF2CCD" w:rsidRDefault="00752A92" w:rsidP="00DF2CCD">
            <w:pPr>
              <w:spacing w:before="40" w:after="40"/>
              <w:rPr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Évaluation mondiale</w:t>
            </w:r>
            <w:r w:rsidR="00FD5D6A" w:rsidRPr="00DF2CCD">
              <w:rPr>
                <w:sz w:val="18"/>
                <w:szCs w:val="18"/>
              </w:rPr>
              <w:t> ;</w:t>
            </w:r>
            <w:r w:rsidRPr="00DF2CCD">
              <w:rPr>
                <w:sz w:val="18"/>
                <w:szCs w:val="18"/>
              </w:rPr>
              <w:t xml:space="preserve"> évaluation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espèces exotiques envahissantes</w:t>
            </w:r>
            <w:r w:rsidR="00FD5D6A" w:rsidRPr="00DF2CCD">
              <w:rPr>
                <w:sz w:val="18"/>
                <w:szCs w:val="18"/>
              </w:rPr>
              <w:t> ;</w:t>
            </w:r>
            <w:r w:rsidRPr="00DF2CCD">
              <w:rPr>
                <w:sz w:val="18"/>
                <w:szCs w:val="18"/>
              </w:rPr>
              <w:t xml:space="preserve"> évaluation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utilisation durable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espèces sauvages</w:t>
            </w:r>
            <w:r w:rsidR="00FD5D6A" w:rsidRPr="00DF2CCD">
              <w:rPr>
                <w:sz w:val="18"/>
                <w:szCs w:val="18"/>
              </w:rPr>
              <w:t> ;</w:t>
            </w:r>
            <w:r w:rsidRPr="00DF2CCD">
              <w:rPr>
                <w:sz w:val="18"/>
                <w:szCs w:val="18"/>
              </w:rPr>
              <w:t xml:space="preserve"> évaluation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valeurs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96B23" w14:textId="2BD6FA43" w:rsidR="00FB690D" w:rsidRPr="00DF2CCD" w:rsidRDefault="0025339C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établissement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produits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01034" w14:textId="63A023DB" w:rsidR="00FB690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25 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547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A89B6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1D764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11415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30 793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C541A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56 340</w:t>
            </w:r>
          </w:p>
        </w:tc>
      </w:tr>
      <w:tr w:rsidR="00543F5D" w:rsidRPr="00DF2CCD" w14:paraId="0B83C8B0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F6357" w14:textId="2AA5D3F0" w:rsidR="00543F5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France (Agence française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2C3E4" w14:textId="506085C5" w:rsidR="00543F5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Évaluation mondiale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1E004" w14:textId="7FC6FDD2" w:rsidR="00543F5D" w:rsidRPr="00DF2CCD" w:rsidRDefault="0025339C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exécution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produits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BB94B" w14:textId="48D7475A" w:rsidR="00543F5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105 </w:t>
            </w:r>
            <w:r w:rsidR="00543F5D" w:rsidRPr="00DF2CCD">
              <w:rPr>
                <w:color w:val="000000"/>
                <w:sz w:val="18"/>
                <w:szCs w:val="18"/>
                <w:lang w:eastAsia="en-GB"/>
              </w:rPr>
              <w:t>798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042CB" w14:textId="77777777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F49B3" w14:textId="7C25D3DC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B3DDB" w14:textId="523D9442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76 409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0CEA0" w14:textId="1F6D9334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182 207</w:t>
            </w:r>
          </w:p>
        </w:tc>
      </w:tr>
      <w:tr w:rsidR="00543F5D" w:rsidRPr="00DF2CCD" w14:paraId="7FC962FF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4C91C" w14:textId="0DE99753" w:rsidR="00543F5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France (Agence française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40B9D" w14:textId="1225BBA5" w:rsidR="00543F5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espèces exotiques envahissantes</w:t>
            </w:r>
            <w:r w:rsidR="00543F5D" w:rsidRPr="00DF2CC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E7B13" w14:textId="27EB0B84" w:rsidR="00543F5D" w:rsidRPr="00DF2CCD" w:rsidRDefault="0025339C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exécution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produits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45740" w14:textId="14598EF0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419CD" w14:textId="0D330441" w:rsidR="00543F5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82 </w:t>
            </w:r>
            <w:r w:rsidR="00543F5D" w:rsidRPr="00DF2CCD">
              <w:rPr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8EA85D" w14:textId="3F61A97D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DB7EC" w14:textId="20B008B6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182 207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5C527" w14:textId="1C4B01F7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264 494</w:t>
            </w:r>
          </w:p>
        </w:tc>
      </w:tr>
      <w:tr w:rsidR="00543F5D" w:rsidRPr="00DF2CCD" w14:paraId="5FC88F5E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D8364" w14:textId="3B29D7D4" w:rsidR="00543F5D" w:rsidRPr="00DF2CCD" w:rsidRDefault="00543F5D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France (Agence française pour</w:t>
            </w:r>
            <w:r w:rsidR="007031E0" w:rsidRPr="00DF2CCD">
              <w:rPr>
                <w:color w:val="000000"/>
                <w:sz w:val="18"/>
                <w:szCs w:val="18"/>
                <w:lang w:eastAsia="en-GB"/>
              </w:rPr>
              <w:t xml:space="preserve"> la </w:t>
            </w:r>
            <w:r w:rsidRPr="00DF2CCD">
              <w:rPr>
                <w:color w:val="000000"/>
                <w:sz w:val="18"/>
                <w:szCs w:val="18"/>
                <w:lang w:eastAsia="en-GB"/>
              </w:rPr>
              <w:t>biodiversité)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68A77" w14:textId="35359762" w:rsidR="00543F5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utilisation durable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espèces sauvages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C9BA" w14:textId="06E14451" w:rsidR="00543F5D" w:rsidRPr="00DF2CCD" w:rsidRDefault="0025339C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exécution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produits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9BDE3" w14:textId="193644D6" w:rsidR="00543F5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82 </w:t>
            </w:r>
            <w:r w:rsidR="00543F5D" w:rsidRPr="00DF2CCD">
              <w:rPr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674B9" w14:textId="263B564F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8AD16" w14:textId="4D6AD2D0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4CA3C" w14:textId="162665A8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182 207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F1DD6" w14:textId="5A16ADAE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264 494</w:t>
            </w:r>
          </w:p>
        </w:tc>
      </w:tr>
      <w:tr w:rsidR="00FB690D" w:rsidRPr="00DF2CCD" w14:paraId="0149BB5F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CF1D2" w14:textId="1577D361" w:rsidR="00FB690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Allemagne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5D9F4" w14:textId="5B2F4F6F" w:rsidR="00FB690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Sixième session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Plénière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6F96" w14:textId="1E1E9022" w:rsidR="00FB690D" w:rsidRPr="00DF2CCD" w:rsidRDefault="0025339C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9067" w14:textId="5DD6AE8F" w:rsidR="00FB690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139 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860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0A11F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1D12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20A49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18F0D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139 860</w:t>
            </w:r>
          </w:p>
        </w:tc>
      </w:tr>
      <w:tr w:rsidR="00FB690D" w:rsidRPr="00DF2CCD" w14:paraId="03D9840D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D03B" w14:textId="2E946534" w:rsidR="00FB690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Allemagne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21B0F" w14:textId="6782C00C" w:rsidR="00FB690D" w:rsidRPr="00DF2CCD" w:rsidRDefault="00752A92" w:rsidP="00DF2CCD">
            <w:pPr>
              <w:spacing w:before="40" w:after="40"/>
              <w:rPr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Consultant de classe P-3 pour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</w:t>
            </w:r>
            <w:r w:rsidR="0025339C" w:rsidRPr="00DF2CCD">
              <w:rPr>
                <w:sz w:val="18"/>
                <w:szCs w:val="18"/>
              </w:rPr>
              <w:t xml:space="preserve"> pour l</w:t>
            </w:r>
            <w:r w:rsidR="00FA5ADB">
              <w:rPr>
                <w:sz w:val="18"/>
                <w:szCs w:val="18"/>
              </w:rPr>
              <w:t>’</w:t>
            </w:r>
            <w:r w:rsidR="0025339C" w:rsidRPr="00DF2CCD">
              <w:rPr>
                <w:sz w:val="18"/>
                <w:szCs w:val="18"/>
              </w:rPr>
              <w:t>évaluation mondiale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4F98D" w14:textId="2347C0A5" w:rsidR="00FB690D" w:rsidRPr="00DF2CCD" w:rsidRDefault="0025339C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Dépenses de personnel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694C7" w14:textId="1B563C4C" w:rsidR="00FB690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106 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681D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507DD" w14:textId="3C47AC6E" w:rsidR="00FB690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79 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627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B6F44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7692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185 794</w:t>
            </w:r>
          </w:p>
        </w:tc>
      </w:tr>
      <w:tr w:rsidR="00FB690D" w:rsidRPr="00DF2CCD" w14:paraId="24DE8661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BA55D" w14:textId="1BDAB179" w:rsidR="00FB690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Allemagne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3B4EE" w14:textId="2AAFB5FA" w:rsidR="00FB690D" w:rsidRPr="00DF2CCD" w:rsidRDefault="0025339C" w:rsidP="00DF2CCD">
            <w:pPr>
              <w:spacing w:before="40" w:after="40"/>
              <w:rPr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Troisième réunion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auteurs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mondiale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0E7A0" w14:textId="18FC0189" w:rsidR="00FB690D" w:rsidRPr="00DF2CCD" w:rsidRDefault="00422BC0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Locaux</w:t>
            </w:r>
            <w:r w:rsidR="0025339C" w:rsidRPr="00DF2CCD">
              <w:rPr>
                <w:sz w:val="18"/>
                <w:szCs w:val="18"/>
              </w:rPr>
              <w:t xml:space="preserve"> et logistique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C4CF" w14:textId="5169155D" w:rsidR="00FB690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6 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1151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61B47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15E3D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93621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6 277</w:t>
            </w:r>
          </w:p>
        </w:tc>
      </w:tr>
      <w:tr w:rsidR="00FB690D" w:rsidRPr="00DF2CCD" w14:paraId="4185228F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0FF842" w14:textId="5EE0B932" w:rsidR="00FB690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République de Corée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3E4BA" w14:textId="372088E7" w:rsidR="00FB690D" w:rsidRPr="00DF2CCD" w:rsidRDefault="0025339C" w:rsidP="00DF2CCD">
            <w:pPr>
              <w:spacing w:before="40" w:after="40"/>
              <w:rPr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Réunion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équipe spéciale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connaissances et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données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A8B04" w14:textId="2388AD5E" w:rsidR="00FB690D" w:rsidRPr="00DF2CCD" w:rsidRDefault="0025339C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93CAF5" w14:textId="545FEC74" w:rsidR="00FB690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 xml:space="preserve">123 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899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DDCD1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6D0029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AC149D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9F9E34" w14:textId="77777777" w:rsidR="00FB690D" w:rsidRPr="00DF2CCD" w:rsidRDefault="00FB690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123 899</w:t>
            </w:r>
          </w:p>
        </w:tc>
      </w:tr>
      <w:tr w:rsidR="00543F5D" w:rsidRPr="00DF2CCD" w14:paraId="0D98F556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5F35C7" w14:textId="1924C0C7" w:rsidR="00543F5D" w:rsidRPr="00DF2CCD" w:rsidRDefault="00543F5D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S</w:t>
            </w:r>
            <w:r w:rsidR="00752A92" w:rsidRPr="00DF2CCD">
              <w:rPr>
                <w:color w:val="000000"/>
                <w:sz w:val="18"/>
                <w:szCs w:val="18"/>
                <w:lang w:eastAsia="en-GB"/>
              </w:rPr>
              <w:t>uède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EC413" w14:textId="4958C5ED" w:rsidR="00543F5D" w:rsidRPr="00DF2CCD" w:rsidRDefault="0025339C" w:rsidP="00DF2CCD">
            <w:pPr>
              <w:spacing w:before="40" w:after="40"/>
              <w:rPr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Réunions du 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experts multidisciplinaire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4C9E6" w14:textId="6C1686F2" w:rsidR="00543F5D" w:rsidRPr="00DF2CCD" w:rsidRDefault="0025339C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522A7C" w14:textId="2D4BCD85" w:rsidR="00543F5D" w:rsidRPr="00DF2CCD" w:rsidRDefault="00A26EBF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84 </w:t>
            </w:r>
            <w:r w:rsidR="00543F5D" w:rsidRPr="00DF2CCD">
              <w:rPr>
                <w:color w:val="000000"/>
                <w:sz w:val="18"/>
                <w:szCs w:val="18"/>
                <w:lang w:eastAsia="en-GB"/>
              </w:rPr>
              <w:t>603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34BE25" w14:textId="3A3CC2EB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6F8F3F" w14:textId="480E8D62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73CC1" w14:textId="7152D2EC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427BED" w14:textId="11729E46" w:rsidR="00543F5D" w:rsidRPr="00DF2CCD" w:rsidRDefault="00543F5D" w:rsidP="00FB6FAF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84 603</w:t>
            </w:r>
          </w:p>
        </w:tc>
      </w:tr>
      <w:tr w:rsidR="00FB690D" w:rsidRPr="00DF2CCD" w14:paraId="73245ED5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8B908E" w14:textId="1C1BE19A" w:rsidR="00FB690D" w:rsidRPr="00DF2CCD" w:rsidRDefault="0025339C" w:rsidP="002C794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T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otal </w:t>
            </w: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partiel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571CD" w14:textId="77777777" w:rsidR="00FB690D" w:rsidRPr="00DF2CCD" w:rsidRDefault="00FB690D" w:rsidP="00DF2CC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B93A0" w14:textId="77777777" w:rsidR="00FB690D" w:rsidRPr="00DF2CCD" w:rsidRDefault="00FB690D" w:rsidP="00DF2CC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B25E9" w14:textId="6495228E" w:rsidR="00FB690D" w:rsidRPr="00DF2CCD" w:rsidRDefault="00A26EBF" w:rsidP="00FB6FAF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756 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725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A2BBD" w14:textId="77BAD1DF" w:rsidR="00FB690D" w:rsidRPr="00DF2CCD" w:rsidRDefault="00A26EBF" w:rsidP="00FB6FAF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82 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CF887" w14:textId="372DA547" w:rsidR="00FB690D" w:rsidRPr="00DF2CCD" w:rsidRDefault="00A26EBF" w:rsidP="00FB6FAF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79 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627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75172" w14:textId="77777777" w:rsidR="00FB690D" w:rsidRPr="00DF2CCD" w:rsidRDefault="00FB690D" w:rsidP="00FB6FAF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653 824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C6CBD" w14:textId="5A74C3FE" w:rsidR="00FB690D" w:rsidRPr="00DF2CCD" w:rsidRDefault="00A07985" w:rsidP="00FB6FAF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1 572 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463</w:t>
            </w:r>
          </w:p>
        </w:tc>
      </w:tr>
      <w:tr w:rsidR="00FB690D" w:rsidRPr="00DF2CCD" w14:paraId="0495BD8F" w14:textId="77777777" w:rsidTr="00DF2CCD">
        <w:trPr>
          <w:trHeight w:val="57"/>
          <w:jc w:val="right"/>
        </w:trPr>
        <w:tc>
          <w:tcPr>
            <w:tcW w:w="144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6F8DB" w14:textId="35BD1F9E" w:rsidR="00FB690D" w:rsidRPr="00DF2CCD" w:rsidRDefault="00FB690D" w:rsidP="00DF2CCD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2. </w:t>
            </w:r>
            <w:r w:rsidR="001B4746" w:rsidRPr="00DF2CCD">
              <w:rPr>
                <w:b/>
                <w:sz w:val="18"/>
                <w:szCs w:val="18"/>
              </w:rPr>
              <w:t>Contributions préaffectées reçues en espèces à l</w:t>
            </w:r>
            <w:r w:rsidR="00FA5ADB">
              <w:rPr>
                <w:b/>
                <w:sz w:val="18"/>
                <w:szCs w:val="18"/>
              </w:rPr>
              <w:t>’</w:t>
            </w:r>
            <w:r w:rsidR="001B4746" w:rsidRPr="00DF2CCD">
              <w:rPr>
                <w:b/>
                <w:sz w:val="18"/>
                <w:szCs w:val="18"/>
              </w:rPr>
              <w:t>appui d</w:t>
            </w:r>
            <w:r w:rsidR="00FA5ADB">
              <w:rPr>
                <w:b/>
                <w:sz w:val="18"/>
                <w:szCs w:val="18"/>
              </w:rPr>
              <w:t>’</w:t>
            </w:r>
            <w:r w:rsidR="001B4746" w:rsidRPr="00DF2CCD">
              <w:rPr>
                <w:b/>
                <w:sz w:val="18"/>
                <w:szCs w:val="18"/>
              </w:rPr>
              <w:t>activités prévues dans</w:t>
            </w:r>
            <w:r w:rsidR="007031E0" w:rsidRPr="00DF2CCD">
              <w:rPr>
                <w:b/>
                <w:sz w:val="18"/>
                <w:szCs w:val="18"/>
              </w:rPr>
              <w:t xml:space="preserve"> le </w:t>
            </w:r>
            <w:r w:rsidR="001B4746" w:rsidRPr="00DF2CCD">
              <w:rPr>
                <w:b/>
                <w:sz w:val="18"/>
                <w:szCs w:val="18"/>
              </w:rPr>
              <w:t>programme de travail mais non inscrites dans</w:t>
            </w:r>
            <w:r w:rsidR="007031E0" w:rsidRPr="00DF2CCD">
              <w:rPr>
                <w:b/>
                <w:sz w:val="18"/>
                <w:szCs w:val="18"/>
              </w:rPr>
              <w:t xml:space="preserve"> le </w:t>
            </w:r>
            <w:r w:rsidR="001B4746" w:rsidRPr="00DF2CCD">
              <w:rPr>
                <w:b/>
                <w:sz w:val="18"/>
                <w:szCs w:val="18"/>
              </w:rPr>
              <w:t>budget approuvé</w:t>
            </w:r>
            <w:r w:rsidR="001B4746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43F5D" w:rsidRPr="00DF2CCD" w14:paraId="4CD15F41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EBFDE" w14:textId="4D4856B1" w:rsidR="00543F5D" w:rsidRPr="00DF2CCD" w:rsidRDefault="00543F5D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Colombi</w:t>
            </w:r>
            <w:r w:rsidR="00752A92" w:rsidRPr="00DF2CCD">
              <w:rPr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392A6" w14:textId="4F9742AA" w:rsidR="00543F5D" w:rsidRPr="00DF2CCD" w:rsidRDefault="001B4746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Sixième session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Plénière</w:t>
            </w:r>
            <w:r w:rsidR="00543F5D" w:rsidRPr="00DF2C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DAC78" w14:textId="5A584DB9" w:rsidR="00543F5D" w:rsidRPr="00DF2CCD" w:rsidRDefault="001B4746" w:rsidP="00DF2CCD">
            <w:pPr>
              <w:keepNext/>
              <w:keepLines/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Participation aux frais de voyage du personnel assurant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service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conférences et du secrétariat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E39FA" w14:textId="400E3CDC" w:rsidR="00543F5D" w:rsidRPr="00DF2CCD" w:rsidRDefault="00A26EBF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324 </w:t>
            </w:r>
            <w:r w:rsidR="00543F5D" w:rsidRPr="00DF2CCD">
              <w:rPr>
                <w:color w:val="000000"/>
                <w:sz w:val="18"/>
                <w:szCs w:val="18"/>
                <w:lang w:eastAsia="en-GB"/>
              </w:rPr>
              <w:t>950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3297A" w14:textId="2A13AF7F" w:rsidR="00543F5D" w:rsidRPr="00DF2CCD" w:rsidRDefault="00543F5D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AF854" w14:textId="5040538F" w:rsidR="00543F5D" w:rsidRPr="00DF2CCD" w:rsidRDefault="00543F5D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55B2D" w14:textId="4ED2662C" w:rsidR="00543F5D" w:rsidRPr="00DF2CCD" w:rsidRDefault="00543F5D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78AB6" w14:textId="5398FEC7" w:rsidR="00543F5D" w:rsidRPr="00DF2CCD" w:rsidRDefault="00D026C5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324 </w:t>
            </w:r>
            <w:r w:rsidR="00543F5D" w:rsidRPr="00DF2CCD">
              <w:rPr>
                <w:color w:val="000000"/>
                <w:sz w:val="18"/>
                <w:szCs w:val="18"/>
                <w:lang w:eastAsia="en-GB"/>
              </w:rPr>
              <w:t>950</w:t>
            </w:r>
          </w:p>
        </w:tc>
      </w:tr>
      <w:tr w:rsidR="00FB690D" w:rsidRPr="00DF2CCD" w14:paraId="0D41C08E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5BBCF" w14:textId="4F4FB4DE" w:rsidR="00FB690D" w:rsidRPr="00DF2CCD" w:rsidRDefault="00752A92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Allemagne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3027D" w14:textId="41DDB1D3" w:rsidR="00FB690D" w:rsidRPr="00DF2CCD" w:rsidRDefault="001B4746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Assistant(e) aux systèmes informatiques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4CDA" w14:textId="468F9572" w:rsidR="00FB690D" w:rsidRPr="00DF2CCD" w:rsidRDefault="001B4746" w:rsidP="00DF2CCD">
            <w:pPr>
              <w:keepNext/>
              <w:keepLines/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Dépenses de personnel</w:t>
            </w:r>
            <w:r w:rsidR="00B01BC9" w:rsidRPr="00DF2CCD">
              <w:rPr>
                <w:color w:val="000000"/>
                <w:sz w:val="18"/>
                <w:szCs w:val="18"/>
                <w:vertAlign w:val="superscript"/>
                <w:lang w:eastAsia="en-GB"/>
              </w:rPr>
              <w:t>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8200F" w14:textId="75E2DF6A" w:rsidR="00FB690D" w:rsidRPr="00DF2CCD" w:rsidRDefault="00A26EBF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30 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2C9A0" w14:textId="77777777" w:rsidR="00FB690D" w:rsidRPr="00DF2CCD" w:rsidRDefault="00FB690D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DC15D" w14:textId="77777777" w:rsidR="00FB690D" w:rsidRPr="00DF2CCD" w:rsidRDefault="00FB690D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FD624" w14:textId="77777777" w:rsidR="00FB690D" w:rsidRPr="00DF2CCD" w:rsidRDefault="00FB690D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154 500 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F63F" w14:textId="0890237C" w:rsidR="00FB690D" w:rsidRPr="00DF2CCD" w:rsidRDefault="00D026C5" w:rsidP="00DF2CCD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184 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500</w:t>
            </w:r>
          </w:p>
        </w:tc>
      </w:tr>
      <w:tr w:rsidR="00FB690D" w:rsidRPr="00DF2CCD" w14:paraId="63E226AD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4D01E" w14:textId="41D51FF4" w:rsidR="00FB690D" w:rsidRPr="00DF2CCD" w:rsidRDefault="00FB690D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Nor</w:t>
            </w:r>
            <w:r w:rsidR="00752A92" w:rsidRPr="00DF2CCD">
              <w:rPr>
                <w:color w:val="000000"/>
                <w:sz w:val="18"/>
                <w:szCs w:val="18"/>
                <w:lang w:eastAsia="en-GB"/>
              </w:rPr>
              <w:t>vège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0E225" w14:textId="4830B0BA" w:rsidR="00FB690D" w:rsidRPr="00DF2CCD" w:rsidRDefault="001B4746" w:rsidP="00DF2CCD">
            <w:pPr>
              <w:spacing w:before="40" w:after="40"/>
              <w:rPr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Réunion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élaboration du résumé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intention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décideurs dans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cadre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mondiale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077B6" w14:textId="5C1C0D57" w:rsidR="00FB690D" w:rsidRPr="00DF2CCD" w:rsidRDefault="006D40B3" w:rsidP="00DF2CCD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sz w:val="18"/>
                <w:szCs w:val="18"/>
              </w:rPr>
              <w:t>Aide aux participants, à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tenue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réunion et à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logistique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D6BE3" w14:textId="65D22CB3" w:rsidR="00FB690D" w:rsidRPr="00DF2CCD" w:rsidRDefault="00A26EBF" w:rsidP="00DF2C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44 </w:t>
            </w:r>
            <w:r w:rsidR="00FB690D" w:rsidRPr="00DF2CCD">
              <w:rPr>
                <w:color w:val="000000"/>
                <w:sz w:val="18"/>
                <w:szCs w:val="18"/>
                <w:lang w:eastAsia="en-GB"/>
              </w:rPr>
              <w:t>952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DD73" w14:textId="77777777" w:rsidR="00FB690D" w:rsidRPr="00DF2CCD" w:rsidRDefault="00FB690D" w:rsidP="00DF2C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C5388" w14:textId="77777777" w:rsidR="00FB690D" w:rsidRPr="00DF2CCD" w:rsidRDefault="00FB690D" w:rsidP="00DF2C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D3837" w14:textId="77777777" w:rsidR="00FB690D" w:rsidRPr="00DF2CCD" w:rsidRDefault="00FB690D" w:rsidP="00DF2C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2451D" w14:textId="77777777" w:rsidR="00FB690D" w:rsidRPr="00DF2CCD" w:rsidRDefault="00FB690D" w:rsidP="00DF2C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color w:val="000000"/>
                <w:sz w:val="18"/>
                <w:szCs w:val="18"/>
                <w:lang w:eastAsia="en-GB"/>
              </w:rPr>
              <w:t>44 952</w:t>
            </w:r>
          </w:p>
        </w:tc>
      </w:tr>
      <w:tr w:rsidR="00FB690D" w:rsidRPr="00DF2CCD" w14:paraId="505EAEF3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6FDDD" w14:textId="4B8BD894" w:rsidR="00FB690D" w:rsidRPr="00DF2CCD" w:rsidRDefault="006D40B3" w:rsidP="00DF2CC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T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otal </w:t>
            </w: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partiel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5C03B" w14:textId="77777777" w:rsidR="00FB690D" w:rsidRPr="00DF2CCD" w:rsidRDefault="00FB690D" w:rsidP="002C7940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C7312" w14:textId="77777777" w:rsidR="00FB690D" w:rsidRPr="00DF2CCD" w:rsidRDefault="00FB690D" w:rsidP="002C7940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75900" w14:textId="3C53FA36" w:rsidR="00FB690D" w:rsidRPr="00DF2CCD" w:rsidRDefault="00A26EBF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399 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E1835" w14:textId="77777777" w:rsidR="00FB690D" w:rsidRPr="00DF2CCD" w:rsidRDefault="00FB690D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3A6D7" w14:textId="77777777" w:rsidR="00FB690D" w:rsidRPr="00DF2CCD" w:rsidRDefault="00FB690D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42F3E" w14:textId="77777777" w:rsidR="00FB690D" w:rsidRPr="00DF2CCD" w:rsidRDefault="00FB690D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154 500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52CA6" w14:textId="77777777" w:rsidR="00FB690D" w:rsidRPr="00DF2CCD" w:rsidRDefault="00FB690D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554 402</w:t>
            </w:r>
          </w:p>
        </w:tc>
      </w:tr>
      <w:tr w:rsidR="00FB690D" w:rsidRPr="00DF2CCD" w14:paraId="626D8F1A" w14:textId="77777777" w:rsidTr="00DF2CCD">
        <w:trPr>
          <w:trHeight w:val="57"/>
          <w:jc w:val="right"/>
        </w:trPr>
        <w:tc>
          <w:tcPr>
            <w:tcW w:w="21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B6A8787" w14:textId="77777777" w:rsidR="00FB690D" w:rsidRPr="00DF2CCD" w:rsidRDefault="00FB690D" w:rsidP="00DF2CC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0DE2B6C" w14:textId="77777777" w:rsidR="00FB690D" w:rsidRPr="00DF2CCD" w:rsidRDefault="00FB690D" w:rsidP="002C7940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6349EDC" w14:textId="77777777" w:rsidR="00FB690D" w:rsidRPr="00DF2CCD" w:rsidRDefault="00FB690D" w:rsidP="002C7940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BBF227C" w14:textId="7F3A6C5F" w:rsidR="00FB690D" w:rsidRPr="00DF2CCD" w:rsidRDefault="00A26EBF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1 156 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627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E9AAA3D" w14:textId="53E19449" w:rsidR="00FB690D" w:rsidRPr="00DF2CCD" w:rsidRDefault="00FB690D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 w:rsidDel="00FE1DDC">
              <w:rPr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A26EBF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82 </w:t>
            </w: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E81D307" w14:textId="787B62F7" w:rsidR="00FB690D" w:rsidRPr="00DF2CCD" w:rsidRDefault="00A26EBF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79 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627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589B0D4" w14:textId="77777777" w:rsidR="00FB690D" w:rsidRPr="00DF2CCD" w:rsidRDefault="00FB690D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808 324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E515D1B" w14:textId="2698798D" w:rsidR="00FB690D" w:rsidRPr="00DF2CCD" w:rsidRDefault="00A07985" w:rsidP="00DF2C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2 126 </w:t>
            </w:r>
            <w:r w:rsidR="00FB690D" w:rsidRPr="00DF2CCD">
              <w:rPr>
                <w:b/>
                <w:bCs/>
                <w:color w:val="000000"/>
                <w:sz w:val="18"/>
                <w:szCs w:val="18"/>
                <w:lang w:eastAsia="en-GB"/>
              </w:rPr>
              <w:t>865</w:t>
            </w:r>
          </w:p>
        </w:tc>
      </w:tr>
    </w:tbl>
    <w:p w14:paraId="0BB26208" w14:textId="1FD985C0" w:rsidR="00B01BC9" w:rsidRPr="003F3120" w:rsidRDefault="00B01BC9" w:rsidP="00B01BC9">
      <w:pPr>
        <w:pStyle w:val="Normal-pool"/>
        <w:rPr>
          <w:sz w:val="18"/>
          <w:szCs w:val="18"/>
          <w:lang w:val="fr-FR"/>
        </w:rPr>
      </w:pPr>
      <w:r w:rsidRPr="003F3120">
        <w:rPr>
          <w:color w:val="000000"/>
          <w:sz w:val="18"/>
          <w:szCs w:val="18"/>
          <w:vertAlign w:val="superscript"/>
          <w:lang w:val="fr-FR" w:eastAsia="en-GB"/>
        </w:rPr>
        <w:t>a</w:t>
      </w:r>
      <w:r w:rsidR="007031E0">
        <w:rPr>
          <w:color w:val="000000"/>
          <w:sz w:val="18"/>
          <w:szCs w:val="18"/>
          <w:vertAlign w:val="superscript"/>
          <w:lang w:val="fr-FR" w:eastAsia="en-GB"/>
        </w:rPr>
        <w:t xml:space="preserve"> </w:t>
      </w:r>
      <w:r w:rsidR="007031E0" w:rsidRPr="00DF2CCD">
        <w:rPr>
          <w:color w:val="000000"/>
          <w:sz w:val="18"/>
          <w:szCs w:val="18"/>
          <w:lang w:val="fr-FR" w:eastAsia="en-GB"/>
        </w:rPr>
        <w:t>La </w:t>
      </w:r>
      <w:r w:rsidR="001F0AD0" w:rsidRPr="00DF2CCD">
        <w:rPr>
          <w:sz w:val="18"/>
          <w:szCs w:val="18"/>
          <w:lang w:val="fr-FR"/>
        </w:rPr>
        <w:t>c</w:t>
      </w:r>
      <w:r w:rsidR="001F0AD0" w:rsidRPr="003F3120">
        <w:rPr>
          <w:sz w:val="18"/>
          <w:szCs w:val="18"/>
          <w:lang w:val="fr-FR"/>
        </w:rPr>
        <w:t>ontribution de l</w:t>
      </w:r>
      <w:r w:rsidR="00FA5ADB">
        <w:rPr>
          <w:sz w:val="18"/>
          <w:szCs w:val="18"/>
          <w:lang w:val="fr-FR"/>
        </w:rPr>
        <w:t>’</w:t>
      </w:r>
      <w:r w:rsidR="001F0AD0" w:rsidRPr="003F3120">
        <w:rPr>
          <w:sz w:val="18"/>
          <w:szCs w:val="18"/>
          <w:lang w:val="fr-FR"/>
        </w:rPr>
        <w:t>Allemagne destinée à financer</w:t>
      </w:r>
      <w:r w:rsidR="007031E0">
        <w:rPr>
          <w:sz w:val="18"/>
          <w:szCs w:val="18"/>
          <w:lang w:val="fr-FR"/>
        </w:rPr>
        <w:t xml:space="preserve"> le </w:t>
      </w:r>
      <w:r w:rsidR="001F0AD0" w:rsidRPr="003F3120">
        <w:rPr>
          <w:sz w:val="18"/>
          <w:szCs w:val="18"/>
          <w:lang w:val="fr-FR"/>
        </w:rPr>
        <w:t>poste d</w:t>
      </w:r>
      <w:r w:rsidR="00FA5ADB">
        <w:rPr>
          <w:sz w:val="18"/>
          <w:szCs w:val="18"/>
          <w:lang w:val="fr-FR"/>
        </w:rPr>
        <w:t>’</w:t>
      </w:r>
      <w:r w:rsidR="001F0AD0" w:rsidRPr="003F3120">
        <w:rPr>
          <w:sz w:val="18"/>
          <w:szCs w:val="18"/>
          <w:lang w:val="fr-FR"/>
        </w:rPr>
        <w:t>assistant(e) aux systèmes informatiques est limitée à</w:t>
      </w:r>
      <w:r w:rsidR="007031E0">
        <w:rPr>
          <w:sz w:val="18"/>
          <w:szCs w:val="18"/>
          <w:lang w:val="fr-FR"/>
        </w:rPr>
        <w:t xml:space="preserve"> la </w:t>
      </w:r>
      <w:r w:rsidR="001F0AD0" w:rsidRPr="003F3120">
        <w:rPr>
          <w:sz w:val="18"/>
          <w:szCs w:val="18"/>
          <w:lang w:val="fr-FR"/>
        </w:rPr>
        <w:t>période 2019-2021 (trois ans).</w:t>
      </w:r>
    </w:p>
    <w:p w14:paraId="2017BE6D" w14:textId="5606E3E4" w:rsidR="00FB690D" w:rsidRPr="00471052" w:rsidRDefault="001F0AD0" w:rsidP="00DF2CCD">
      <w:pPr>
        <w:pStyle w:val="Normalnumber"/>
        <w:numPr>
          <w:ilvl w:val="0"/>
          <w:numId w:val="12"/>
        </w:numPr>
        <w:spacing w:before="240"/>
      </w:pPr>
      <w:r w:rsidRPr="00471052">
        <w:t xml:space="preserve">Le tableau 3 </w:t>
      </w:r>
      <w:r w:rsidR="00422BC0" w:rsidRPr="00471052">
        <w:t>indique</w:t>
      </w:r>
      <w:r w:rsidR="007031E0">
        <w:t xml:space="preserve"> les </w:t>
      </w:r>
      <w:r w:rsidRPr="00471052">
        <w:t>contributions en nature reçues en 2018, avec leur valeur en dollars</w:t>
      </w:r>
      <w:r w:rsidR="007031E0">
        <w:t xml:space="preserve"> des </w:t>
      </w:r>
      <w:r w:rsidRPr="00471052">
        <w:t>États-Unis donnée ou estimée, si possible, à partir</w:t>
      </w:r>
      <w:r w:rsidR="007031E0">
        <w:t xml:space="preserve"> des </w:t>
      </w:r>
      <w:r w:rsidRPr="00471052">
        <w:t xml:space="preserve">coûts correspondants </w:t>
      </w:r>
      <w:r w:rsidR="00422BC0" w:rsidRPr="00471052">
        <w:t>précisés</w:t>
      </w:r>
      <w:r w:rsidRPr="00471052">
        <w:t xml:space="preserve"> dans</w:t>
      </w:r>
      <w:r w:rsidR="007031E0">
        <w:t xml:space="preserve"> le </w:t>
      </w:r>
      <w:r w:rsidRPr="00471052">
        <w:t>programme de travail, lorsqu</w:t>
      </w:r>
      <w:r w:rsidR="00FA5ADB">
        <w:t>’</w:t>
      </w:r>
      <w:r w:rsidRPr="00471052">
        <w:t>ils sont disponibles. Ces contributions en nature, qui s</w:t>
      </w:r>
      <w:r w:rsidR="00FA5ADB">
        <w:t>’</w:t>
      </w:r>
      <w:r w:rsidRPr="00471052">
        <w:t>élèv</w:t>
      </w:r>
      <w:r w:rsidR="00422BC0" w:rsidRPr="00471052">
        <w:t>ent à 3,5 </w:t>
      </w:r>
      <w:r w:rsidRPr="00471052">
        <w:t>millions de dollars, consistent en un appui direct apporté par</w:t>
      </w:r>
      <w:r w:rsidR="007031E0">
        <w:t xml:space="preserve"> le </w:t>
      </w:r>
      <w:r w:rsidRPr="00471052">
        <w:t>donateur et, partant, non reçu par</w:t>
      </w:r>
      <w:r w:rsidR="007031E0">
        <w:t xml:space="preserve"> le </w:t>
      </w:r>
      <w:r w:rsidRPr="00471052">
        <w:t>fonds d</w:t>
      </w:r>
      <w:r w:rsidR="00FA5ADB">
        <w:t>’</w:t>
      </w:r>
      <w:r w:rsidRPr="00471052">
        <w:t>affectation spéciale, pour</w:t>
      </w:r>
      <w:r w:rsidR="007031E0">
        <w:t xml:space="preserve"> des </w:t>
      </w:r>
      <w:r w:rsidRPr="00471052">
        <w:t>activités approuvées et chiffrées prévues dans</w:t>
      </w:r>
      <w:r w:rsidR="007031E0">
        <w:t xml:space="preserve"> le </w:t>
      </w:r>
      <w:r w:rsidR="00422BC0" w:rsidRPr="00471052">
        <w:t>programme de travail (sect. </w:t>
      </w:r>
      <w:r w:rsidRPr="00471052">
        <w:t>1) et pour</w:t>
      </w:r>
      <w:r w:rsidR="007031E0">
        <w:t xml:space="preserve"> des </w:t>
      </w:r>
      <w:r w:rsidRPr="00471052">
        <w:t>activités organisées à l</w:t>
      </w:r>
      <w:r w:rsidR="00FA5ADB">
        <w:t>’</w:t>
      </w:r>
      <w:r w:rsidRPr="00471052">
        <w:t>appui du programme de travail, telles qu</w:t>
      </w:r>
      <w:r w:rsidR="00FA5ADB">
        <w:t>’</w:t>
      </w:r>
      <w:r w:rsidRPr="00471052">
        <w:t xml:space="preserve">un </w:t>
      </w:r>
      <w:r w:rsidR="00422BC0" w:rsidRPr="00471052">
        <w:t>appui</w:t>
      </w:r>
      <w:r w:rsidRPr="00471052">
        <w:t xml:space="preserve"> technique,</w:t>
      </w:r>
      <w:r w:rsidR="007031E0">
        <w:t xml:space="preserve"> des </w:t>
      </w:r>
      <w:r w:rsidRPr="00471052">
        <w:t>installations pour</w:t>
      </w:r>
      <w:r w:rsidR="007031E0">
        <w:t xml:space="preserve"> les </w:t>
      </w:r>
      <w:r w:rsidRPr="00471052">
        <w:t>ré</w:t>
      </w:r>
      <w:r w:rsidR="00422BC0" w:rsidRPr="00471052">
        <w:t>unions ou un appui local (sect. </w:t>
      </w:r>
      <w:r w:rsidRPr="00471052">
        <w:t>2).</w:t>
      </w:r>
    </w:p>
    <w:p w14:paraId="49F1173E" w14:textId="3BD17F9F" w:rsidR="00FB690D" w:rsidRPr="003F3120" w:rsidRDefault="00FB690D" w:rsidP="00471052">
      <w:pPr>
        <w:pStyle w:val="Titletable"/>
      </w:pPr>
      <w:r w:rsidRPr="00471052">
        <w:rPr>
          <w:b w:val="0"/>
        </w:rPr>
        <w:t>Table</w:t>
      </w:r>
      <w:r w:rsidR="00D023EF" w:rsidRPr="00471052">
        <w:rPr>
          <w:b w:val="0"/>
        </w:rPr>
        <w:t>au</w:t>
      </w:r>
      <w:r w:rsidR="00422BC0" w:rsidRPr="00471052">
        <w:rPr>
          <w:b w:val="0"/>
        </w:rPr>
        <w:t> </w:t>
      </w:r>
      <w:r w:rsidRPr="00471052">
        <w:rPr>
          <w:b w:val="0"/>
        </w:rPr>
        <w:t xml:space="preserve">3 </w:t>
      </w:r>
      <w:r w:rsidRPr="003F3120">
        <w:br/>
      </w:r>
      <w:r w:rsidR="00DC3FB8" w:rsidRPr="003F3120">
        <w:t>Contributions en</w:t>
      </w:r>
      <w:r w:rsidR="00422BC0">
        <w:t xml:space="preserve"> nature reçues pour 2018, au 31 </w:t>
      </w:r>
      <w:r w:rsidR="00DC3FB8" w:rsidRPr="003F3120">
        <w:t>décembre 2018</w:t>
      </w:r>
    </w:p>
    <w:p w14:paraId="41156F7A" w14:textId="78749637" w:rsidR="00FB690D" w:rsidRPr="003F3120" w:rsidRDefault="00FB690D" w:rsidP="00FB690D">
      <w:pPr>
        <w:keepNext/>
        <w:keepLines/>
        <w:tabs>
          <w:tab w:val="left" w:pos="3969"/>
        </w:tabs>
        <w:suppressAutoHyphens/>
        <w:spacing w:after="60"/>
        <w:ind w:left="1247"/>
        <w:rPr>
          <w:bCs/>
          <w:sz w:val="18"/>
          <w:szCs w:val="18"/>
        </w:rPr>
      </w:pPr>
      <w:r w:rsidRPr="003F3120">
        <w:rPr>
          <w:bCs/>
          <w:sz w:val="18"/>
          <w:szCs w:val="18"/>
        </w:rPr>
        <w:t>(</w:t>
      </w:r>
      <w:r w:rsidR="00DF2CCD">
        <w:rPr>
          <w:bCs/>
          <w:sz w:val="18"/>
          <w:szCs w:val="18"/>
        </w:rPr>
        <w:t>e</w:t>
      </w:r>
      <w:r w:rsidR="00DC3FB8" w:rsidRPr="003F3120">
        <w:rPr>
          <w:sz w:val="18"/>
          <w:szCs w:val="18"/>
        </w:rPr>
        <w:t>n dollars</w:t>
      </w:r>
      <w:r w:rsidR="007031E0">
        <w:rPr>
          <w:sz w:val="18"/>
          <w:szCs w:val="18"/>
        </w:rPr>
        <w:t xml:space="preserve"> des </w:t>
      </w:r>
      <w:r w:rsidR="00DC3FB8" w:rsidRPr="003F3120">
        <w:rPr>
          <w:sz w:val="18"/>
          <w:szCs w:val="18"/>
        </w:rPr>
        <w:t>États-Unis</w:t>
      </w:r>
      <w:r w:rsidRPr="003F3120">
        <w:rPr>
          <w:bCs/>
          <w:sz w:val="18"/>
          <w:szCs w:val="18"/>
        </w:rPr>
        <w:t>)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3434"/>
        <w:gridCol w:w="5599"/>
        <w:gridCol w:w="3761"/>
        <w:gridCol w:w="1636"/>
      </w:tblGrid>
      <w:tr w:rsidR="00FB690D" w:rsidRPr="003F3120" w14:paraId="0F982BD5" w14:textId="77777777" w:rsidTr="00471052">
        <w:trPr>
          <w:trHeight w:val="57"/>
          <w:tblHeader/>
          <w:jc w:val="right"/>
        </w:trPr>
        <w:tc>
          <w:tcPr>
            <w:tcW w:w="34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E627FDF" w14:textId="1CCFD96C" w:rsidR="00FB690D" w:rsidRPr="00DF2CCD" w:rsidRDefault="00DC3FB8" w:rsidP="006E3E64">
            <w:pPr>
              <w:spacing w:before="40" w:after="60"/>
              <w:rPr>
                <w:i/>
                <w:iCs/>
                <w:color w:val="000000"/>
                <w:sz w:val="18"/>
                <w:szCs w:val="18"/>
              </w:rPr>
            </w:pPr>
            <w:r w:rsidRPr="00DF2CCD">
              <w:rPr>
                <w:i/>
                <w:iCs/>
                <w:sz w:val="18"/>
                <w:szCs w:val="18"/>
              </w:rPr>
              <w:t>Gouvernement/institution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3D08512" w14:textId="03FAD662" w:rsidR="00FB690D" w:rsidRPr="00DF2CCD" w:rsidRDefault="00DC3FB8" w:rsidP="006E3E64">
            <w:pPr>
              <w:spacing w:before="40" w:after="60"/>
              <w:rPr>
                <w:i/>
                <w:iCs/>
                <w:color w:val="000000"/>
                <w:sz w:val="18"/>
                <w:szCs w:val="18"/>
              </w:rPr>
            </w:pPr>
            <w:r w:rsidRPr="00DF2CCD">
              <w:rPr>
                <w:i/>
                <w:iCs/>
                <w:sz w:val="18"/>
                <w:szCs w:val="18"/>
              </w:rPr>
              <w:t>Activité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18DF582" w14:textId="7824CF00" w:rsidR="00FB690D" w:rsidRPr="00DF2CCD" w:rsidRDefault="00DC3FB8" w:rsidP="006E3E64">
            <w:pPr>
              <w:spacing w:before="40" w:after="60"/>
              <w:rPr>
                <w:i/>
                <w:iCs/>
                <w:color w:val="000000"/>
                <w:sz w:val="18"/>
                <w:szCs w:val="18"/>
              </w:rPr>
            </w:pPr>
            <w:r w:rsidRPr="00DF2CCD">
              <w:rPr>
                <w:i/>
                <w:iCs/>
                <w:sz w:val="18"/>
                <w:szCs w:val="18"/>
              </w:rPr>
              <w:t>Type d</w:t>
            </w:r>
            <w:r w:rsidR="00FA5ADB">
              <w:rPr>
                <w:i/>
                <w:iCs/>
                <w:sz w:val="18"/>
                <w:szCs w:val="18"/>
              </w:rPr>
              <w:t>’</w:t>
            </w:r>
            <w:r w:rsidRPr="00DF2CCD">
              <w:rPr>
                <w:i/>
                <w:iCs/>
                <w:sz w:val="18"/>
                <w:szCs w:val="18"/>
              </w:rPr>
              <w:t>appui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E103A45" w14:textId="7C81A275" w:rsidR="00FB690D" w:rsidRPr="00DF2CCD" w:rsidRDefault="00DC3FB8" w:rsidP="006E3E64">
            <w:pPr>
              <w:spacing w:before="40" w:after="60"/>
              <w:rPr>
                <w:i/>
                <w:iCs/>
                <w:color w:val="000000"/>
                <w:sz w:val="18"/>
                <w:szCs w:val="18"/>
              </w:rPr>
            </w:pPr>
            <w:r w:rsidRPr="00DF2CCD">
              <w:rPr>
                <w:i/>
                <w:iCs/>
                <w:sz w:val="18"/>
                <w:szCs w:val="18"/>
              </w:rPr>
              <w:t>Valeur estimée</w:t>
            </w:r>
          </w:p>
        </w:tc>
      </w:tr>
      <w:tr w:rsidR="00FB690D" w:rsidRPr="000C25F6" w14:paraId="45DEC2EB" w14:textId="77777777" w:rsidTr="00471052">
        <w:trPr>
          <w:trHeight w:val="57"/>
          <w:jc w:val="right"/>
        </w:trPr>
        <w:tc>
          <w:tcPr>
            <w:tcW w:w="14430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BD64340" w14:textId="4D67DC28" w:rsidR="00FB690D" w:rsidRPr="00DF2CCD" w:rsidRDefault="00FB690D" w:rsidP="006E3E64">
            <w:pPr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="006E627F" w:rsidRPr="00DF2CCD">
              <w:rPr>
                <w:b/>
                <w:sz w:val="18"/>
                <w:szCs w:val="18"/>
              </w:rPr>
              <w:t>Contributions en nature à l</w:t>
            </w:r>
            <w:r w:rsidR="00FA5ADB">
              <w:rPr>
                <w:b/>
                <w:sz w:val="18"/>
                <w:szCs w:val="18"/>
              </w:rPr>
              <w:t>’</w:t>
            </w:r>
            <w:r w:rsidR="006E627F" w:rsidRPr="00DF2CCD">
              <w:rPr>
                <w:b/>
                <w:sz w:val="18"/>
                <w:szCs w:val="18"/>
              </w:rPr>
              <w:t>appui</w:t>
            </w:r>
            <w:r w:rsidR="007031E0" w:rsidRPr="00DF2CCD">
              <w:rPr>
                <w:b/>
                <w:sz w:val="18"/>
                <w:szCs w:val="18"/>
              </w:rPr>
              <w:t xml:space="preserve"> des </w:t>
            </w:r>
            <w:r w:rsidR="006E627F" w:rsidRPr="00DF2CCD">
              <w:rPr>
                <w:b/>
                <w:sz w:val="18"/>
                <w:szCs w:val="18"/>
              </w:rPr>
              <w:t>activités approuvées et chiffrées du programme de travail</w:t>
            </w:r>
          </w:p>
        </w:tc>
      </w:tr>
      <w:tr w:rsidR="00FB690D" w:rsidRPr="003F3120" w14:paraId="7A9E0DC0" w14:textId="77777777" w:rsidTr="006E3E64">
        <w:trPr>
          <w:trHeight w:val="57"/>
          <w:jc w:val="right"/>
        </w:trPr>
        <w:tc>
          <w:tcPr>
            <w:tcW w:w="343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894F4" w14:textId="3DBEB3F7" w:rsidR="00FB690D" w:rsidRPr="00DF2CCD" w:rsidRDefault="00FB690D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Nor</w:t>
            </w:r>
            <w:r w:rsidR="00752A92" w:rsidRPr="00DF2CCD">
              <w:rPr>
                <w:color w:val="000000"/>
                <w:sz w:val="18"/>
                <w:szCs w:val="18"/>
              </w:rPr>
              <w:t>vège</w:t>
            </w:r>
          </w:p>
        </w:tc>
        <w:tc>
          <w:tcPr>
            <w:tcW w:w="559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7177A" w14:textId="52FE7913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sur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renforcement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capacités</w:t>
            </w:r>
          </w:p>
        </w:tc>
        <w:tc>
          <w:tcPr>
            <w:tcW w:w="376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C7E0F" w14:textId="4C7ADAD4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CDE04" w14:textId="77777777" w:rsidR="00FB690D" w:rsidRPr="00DF2CCD" w:rsidRDefault="00FB690D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300 000</w:t>
            </w:r>
          </w:p>
        </w:tc>
      </w:tr>
      <w:tr w:rsidR="00FB690D" w:rsidRPr="003F3120" w14:paraId="2AC233D9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277D6" w14:textId="77777777" w:rsidR="00FB690D" w:rsidRPr="00DF2CCD" w:rsidRDefault="00FB690D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UNESCO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C1499" w14:textId="146DD592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savoirs autochtones et locaux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F12D7" w14:textId="330DE0D8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2931B" w14:textId="77777777" w:rsidR="00FB690D" w:rsidRPr="00DF2CCD" w:rsidRDefault="00FB690D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150 000 </w:t>
            </w:r>
          </w:p>
        </w:tc>
      </w:tr>
      <w:tr w:rsidR="00FB690D" w:rsidRPr="003F3120" w14:paraId="134E6F8F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BD8C8" w14:textId="77777777" w:rsidR="00FB690D" w:rsidRPr="00DF2CCD" w:rsidRDefault="00FB690D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UNESCO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85F67" w14:textId="23764284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Sixième réunion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équipe spéciale sur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renforcement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capacités</w:t>
            </w:r>
            <w:r w:rsidR="00FB690D" w:rsidRPr="00DF2CCD">
              <w:rPr>
                <w:color w:val="000000"/>
                <w:sz w:val="18"/>
                <w:szCs w:val="18"/>
              </w:rPr>
              <w:t xml:space="preserve"> </w:t>
            </w:r>
          </w:p>
          <w:p w14:paraId="2900B7E1" w14:textId="3F46C195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Troisième réunion du forum sur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renforcement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capacités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</w:t>
            </w:r>
          </w:p>
          <w:p w14:paraId="1B9AF4D4" w14:textId="1B4CEB46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lastRenderedPageBreak/>
              <w:t>Consultation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peuples autochtones sur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mécanisme participatif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</w:t>
            </w:r>
          </w:p>
          <w:p w14:paraId="22AF2470" w14:textId="2FDC0AD0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Septième réunion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équipe spéciale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savoirs autochtones et locaux</w:t>
            </w:r>
            <w:r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591BD" w14:textId="178F9974" w:rsidR="00FB690D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lastRenderedPageBreak/>
              <w:t>Installations pour réunions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4CA37" w14:textId="77777777" w:rsidR="00FB690D" w:rsidRPr="00DF2CCD" w:rsidRDefault="00FB690D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11 000 </w:t>
            </w:r>
          </w:p>
        </w:tc>
      </w:tr>
      <w:tr w:rsidR="006E627F" w:rsidRPr="003F3120" w14:paraId="3E7B263D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A70AE" w14:textId="20C220CB" w:rsidR="006E627F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Initiative Future Earth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191BC" w14:textId="7B943EE9" w:rsidR="006E627F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Atelier et autres activités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boursiers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0C0ED" w14:textId="08FB2788" w:rsidR="006E627F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5FF97" w14:textId="77777777" w:rsidR="006E627F" w:rsidRPr="00DF2CCD" w:rsidRDefault="006E627F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21 000 </w:t>
            </w:r>
          </w:p>
        </w:tc>
      </w:tr>
      <w:tr w:rsidR="006E627F" w:rsidRPr="003F3120" w14:paraId="308D3C69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6CF99" w14:textId="6A1ABC2A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Institut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stratégies environnementales mondiales (Japon)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6E778" w14:textId="19AE2DD9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Consultation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peuples autochtones sur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mécanisme participatif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A93A0" w14:textId="74101146" w:rsidR="006E627F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 xml:space="preserve">Aide aux participants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E4155" w14:textId="77777777" w:rsidR="006E627F" w:rsidRPr="00DF2CCD" w:rsidRDefault="006E627F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30 000 </w:t>
            </w:r>
          </w:p>
        </w:tc>
      </w:tr>
      <w:tr w:rsidR="006E627F" w:rsidRPr="003F3120" w14:paraId="2F76477F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35C84" w14:textId="54A9D8EC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Ministère de l</w:t>
            </w:r>
            <w:r w:rsidR="00FA5ADB">
              <w:rPr>
                <w:sz w:val="18"/>
                <w:szCs w:val="18"/>
              </w:rPr>
              <w:t>’</w:t>
            </w:r>
            <w:r w:rsidR="0050515A" w:rsidRPr="00DF2CCD">
              <w:rPr>
                <w:sz w:val="18"/>
                <w:szCs w:val="18"/>
              </w:rPr>
              <w:t>e</w:t>
            </w:r>
            <w:r w:rsidRPr="00DF2CCD">
              <w:rPr>
                <w:sz w:val="18"/>
                <w:szCs w:val="18"/>
              </w:rPr>
              <w:t>nvironnement (République de Corée)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0FBA9" w14:textId="2DB6E898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connaissances et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données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355B7" w14:textId="4DD820A4" w:rsidR="006E627F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C26B9" w14:textId="77777777" w:rsidR="006E627F" w:rsidRPr="00DF2CCD" w:rsidRDefault="006E627F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194 000 </w:t>
            </w:r>
          </w:p>
        </w:tc>
      </w:tr>
      <w:tr w:rsidR="006E627F" w:rsidRPr="003F3120" w14:paraId="4F297E04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1A721" w14:textId="1F0F09F1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Conseil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recherche scientifique et industrielle (Afrique du Sud)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58E94" w14:textId="6E3CFC2E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régionale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Afrique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BABB0" w14:textId="353F3D28" w:rsidR="006E627F" w:rsidRPr="00DF2CCD" w:rsidRDefault="006E627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67CAA" w14:textId="5109B039" w:rsidR="006E627F" w:rsidRPr="00DF2CCD" w:rsidRDefault="006E627F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28 700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627F" w:rsidRPr="003F3120" w14:paraId="34AAC509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44DD4" w14:textId="604672EF" w:rsidR="006E627F" w:rsidRPr="00DF2CCD" w:rsidRDefault="0050515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SwedBio</w:t>
            </w:r>
            <w:r w:rsidR="00D232A4" w:rsidRPr="00DF2CCD">
              <w:rPr>
                <w:sz w:val="18"/>
                <w:szCs w:val="18"/>
              </w:rPr>
              <w:t xml:space="preserve"> </w:t>
            </w:r>
            <w:r w:rsidRPr="00DF2CCD">
              <w:rPr>
                <w:sz w:val="18"/>
                <w:szCs w:val="18"/>
              </w:rPr>
              <w:t>(</w:t>
            </w:r>
            <w:r w:rsidR="00D232A4" w:rsidRPr="00DF2CCD">
              <w:rPr>
                <w:sz w:val="18"/>
                <w:szCs w:val="18"/>
              </w:rPr>
              <w:t>Suède</w:t>
            </w:r>
            <w:r w:rsidRPr="00DF2CCD">
              <w:rPr>
                <w:sz w:val="18"/>
                <w:szCs w:val="18"/>
              </w:rPr>
              <w:t>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A607C" w14:textId="0577E9C6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régionale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Afrique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43DCD" w14:textId="66248BFD" w:rsidR="006E627F" w:rsidRPr="00DF2CCD" w:rsidRDefault="00E840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3C9A0" w14:textId="7BBA4E19" w:rsidR="006E627F" w:rsidRPr="00DF2CCD" w:rsidRDefault="006E627F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83 600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627F" w:rsidRPr="003F3120" w14:paraId="0B82704E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AFCE" w14:textId="0DE5B3DE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Institut de recherche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ressources biologiques Alexander von Humboldt (Colombie)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63AE3" w14:textId="2C9F1F8D" w:rsidR="006E627F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régionale pour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Amériques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E1A7D" w14:textId="54A170C8" w:rsidR="006E627F" w:rsidRPr="00DF2CCD" w:rsidRDefault="00E840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B0959" w14:textId="77777777" w:rsidR="006E627F" w:rsidRPr="00DF2CCD" w:rsidRDefault="006E627F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70 000 </w:t>
            </w:r>
          </w:p>
        </w:tc>
      </w:tr>
      <w:tr w:rsidR="00E840F7" w:rsidRPr="003F3120" w14:paraId="4122A1B1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B1310" w14:textId="09458208" w:rsidR="00E840F7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Institut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stratégies environnementales mondiales (Japon)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72586" w14:textId="414A42D0" w:rsidR="00E840F7" w:rsidRPr="00DF2CCD" w:rsidRDefault="00D232A4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régionale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Asie et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Pacifique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78848" w14:textId="6B3B2CA5" w:rsidR="00E840F7" w:rsidRPr="00DF2CCD" w:rsidRDefault="00E840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3FCB6" w14:textId="77777777" w:rsidR="00E840F7" w:rsidRPr="00DF2CCD" w:rsidRDefault="00E840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97 000 </w:t>
            </w:r>
          </w:p>
        </w:tc>
      </w:tr>
      <w:tr w:rsidR="00BC048A" w:rsidRPr="003F3120" w14:paraId="778944A3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1D964" w14:textId="7FDC29AB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Université de Berne (Suisse)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DC638" w14:textId="10480445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régionale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Europe et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Asie centrale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A139C" w14:textId="4742ED23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032B" w14:textId="7777777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150 000 </w:t>
            </w:r>
          </w:p>
        </w:tc>
      </w:tr>
      <w:tr w:rsidR="00BC048A" w:rsidRPr="003F3120" w14:paraId="3F187F3A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B0E02" w14:textId="17D02AA5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Institut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stratégies environnementales mondiales (Japon)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55909" w14:textId="1D2D17BA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espèces exotiques envahissantes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5A735" w14:textId="2AD2E0A5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C5653" w14:textId="7777777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101 000 </w:t>
            </w:r>
          </w:p>
        </w:tc>
      </w:tr>
      <w:tr w:rsidR="00BC048A" w:rsidRPr="003F3120" w14:paraId="20D7E61B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9C14" w14:textId="570FB5B1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bookmarkStart w:id="97" w:name="_Hlk535514709"/>
            <w:r w:rsidRPr="00DF2CCD">
              <w:rPr>
                <w:sz w:val="18"/>
                <w:szCs w:val="18"/>
              </w:rPr>
              <w:t>Fondation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recherche sur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(France) et Agence française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(France)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1741A" w14:textId="59C0ADD7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utilisation durable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espèces sauvages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FABD7" w14:textId="07A83399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018E5" w14:textId="7777777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17 000 </w:t>
            </w:r>
          </w:p>
        </w:tc>
      </w:tr>
      <w:bookmarkEnd w:id="97"/>
      <w:tr w:rsidR="00BC048A" w:rsidRPr="003F3120" w14:paraId="3FC3BA93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35647" w14:textId="76836496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Ministère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affaires étrangères (France)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1ABAC" w14:textId="05924CCA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Appui technique à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mise en œuvre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stratégie de collecte de fonds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3C312" w14:textId="6D80A93D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F5E5D" w14:textId="35531BA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rFonts w:eastAsia="MS Mincho"/>
                <w:sz w:val="18"/>
                <w:szCs w:val="18"/>
              </w:rPr>
              <w:t>279 800</w:t>
            </w:r>
            <w:r w:rsidR="00471052" w:rsidRPr="00DF2CCD">
              <w:rPr>
                <w:rFonts w:eastAsia="MS Mincho"/>
                <w:sz w:val="18"/>
                <w:szCs w:val="18"/>
              </w:rPr>
              <w:t xml:space="preserve"> </w:t>
            </w:r>
          </w:p>
        </w:tc>
      </w:tr>
      <w:tr w:rsidR="00BC048A" w:rsidRPr="003F3120" w14:paraId="0230507E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97A5C" w14:textId="5F8F48B9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Pays-Bas</w:t>
            </w:r>
            <w:r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80DE9" w14:textId="0085C857" w:rsidR="00BC048A" w:rsidRPr="00DF2CCD" w:rsidRDefault="00BC048A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scénarios et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modèles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et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services écosystémiques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A9278" w14:textId="5177E95C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AB95" w14:textId="7777777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423 500 </w:t>
            </w:r>
          </w:p>
        </w:tc>
      </w:tr>
      <w:tr w:rsidR="00BC048A" w:rsidRPr="003F3120" w14:paraId="2E609BA3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CB1B1" w14:textId="128D7757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Pays-Bas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98475" w14:textId="0793ABB3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Réunions liées aux travaux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scénarios et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modèles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et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services écosystémiques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4CFA" w14:textId="1E3D02B8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4EFCE" w14:textId="5058B833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75 900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C048A" w:rsidRPr="003F3120" w14:paraId="4CFBFB3C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F81F9" w14:textId="2D405040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Agence néerlandaise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environnementale (PBL)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A0B6A" w14:textId="3070A948" w:rsidR="00BC048A" w:rsidRPr="00DF2CCD" w:rsidRDefault="00BC048A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Réunions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équipe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experts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scénarios et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modèles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et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 xml:space="preserve">services écosystémiques 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4D92C" w14:textId="3B55DD08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Installations pour réunions et restauration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C2388" w14:textId="7777777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5 700 </w:t>
            </w:r>
          </w:p>
        </w:tc>
      </w:tr>
      <w:tr w:rsidR="00BC048A" w:rsidRPr="003F3120" w14:paraId="2C8C23DD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21D09" w14:textId="40E753CD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Agence néerlandaise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environnementale (PBL)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0E637" w14:textId="1BDF0AFB" w:rsidR="00BC048A" w:rsidRPr="00DF2CCD" w:rsidRDefault="00BC048A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scénarios et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modèles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et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services écosystémiques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C73D" w14:textId="00F48AF3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Installations de bureaux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4415B" w14:textId="769F50E5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27 500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C048A" w:rsidRPr="003F3120" w14:paraId="1B89997F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8AD07" w14:textId="76D3CECE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Ministère fédéral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environnement,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sécurité nucléaire et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conservation de</w:t>
            </w:r>
            <w:r w:rsidR="007031E0" w:rsidRPr="00DF2CCD">
              <w:rPr>
                <w:sz w:val="18"/>
                <w:szCs w:val="18"/>
              </w:rPr>
              <w:t xml:space="preserve"> </w:t>
            </w:r>
            <w:r w:rsidR="007031E0" w:rsidRPr="00DF2CCD">
              <w:rPr>
                <w:sz w:val="18"/>
                <w:szCs w:val="18"/>
              </w:rPr>
              <w:lastRenderedPageBreak/>
              <w:t>la </w:t>
            </w:r>
            <w:r w:rsidRPr="00DF2CCD">
              <w:rPr>
                <w:sz w:val="18"/>
                <w:szCs w:val="18"/>
              </w:rPr>
              <w:t>nature, Allemagne/Initiative internationale pour</w:t>
            </w:r>
            <w:r w:rsidR="007031E0" w:rsidRPr="00DF2CCD">
              <w:rPr>
                <w:sz w:val="18"/>
                <w:szCs w:val="18"/>
              </w:rPr>
              <w:t xml:space="preserve"> le </w:t>
            </w:r>
            <w:r w:rsidRPr="00DF2CCD">
              <w:rPr>
                <w:sz w:val="18"/>
                <w:szCs w:val="18"/>
              </w:rPr>
              <w:t>climat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2B3EB" w14:textId="592DA161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lastRenderedPageBreak/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valeurs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D1811" w14:textId="52B0F135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0E18D" w14:textId="58EF4F43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18 000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C048A" w:rsidRPr="003F3120" w14:paraId="1EB8DF0C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2529F" w14:textId="410F5108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Centre mondial de surveillance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conservation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84D45" w14:textId="445C824D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outils et méthodes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élaboration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 xml:space="preserve">politiques 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909B0" w14:textId="2F2A2EA1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5728F" w14:textId="7777777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40 000 </w:t>
            </w:r>
          </w:p>
        </w:tc>
      </w:tr>
      <w:tr w:rsidR="00BC048A" w:rsidRPr="003F3120" w14:paraId="6A1B97DF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19605" w14:textId="330EBE9D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PNUE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4FC4F" w14:textId="0816C915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Détachement au secrétariat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un administrateur de programme P-4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028E7" w14:textId="55ECF9B4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E2DB0" w14:textId="7777777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180 600 </w:t>
            </w:r>
          </w:p>
        </w:tc>
      </w:tr>
      <w:tr w:rsidR="00BC048A" w:rsidRPr="003F3120" w14:paraId="5E18C0DF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252C" w14:textId="2850CF79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  <w:lang w:val="es-ES"/>
              </w:rPr>
            </w:pPr>
            <w:r w:rsidRPr="00DF2CCD">
              <w:rPr>
                <w:color w:val="000000"/>
                <w:sz w:val="18"/>
                <w:szCs w:val="18"/>
                <w:lang w:val="es-ES"/>
              </w:rPr>
              <w:t>Universidad Nacional Autónoma de México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4D6B0" w14:textId="2B81CE71" w:rsidR="00BC048A" w:rsidRPr="00DF2CCD" w:rsidRDefault="00380D8E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technique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valeurs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CDF47" w14:textId="3D642CD4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de personnel, installations pour réunions, frais de voyage, hébergement et restauration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E6940" w14:textId="69328332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55 460</w:t>
            </w:r>
          </w:p>
        </w:tc>
      </w:tr>
      <w:tr w:rsidR="00BC048A" w:rsidRPr="003F3120" w14:paraId="48DF8A65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AC1854" w14:textId="12755D65" w:rsidR="00BC048A" w:rsidRPr="00DF2CCD" w:rsidRDefault="0058349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Union internationale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conservation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nature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32E4F3E" w14:textId="58A6B590" w:rsidR="00BC048A" w:rsidRPr="00DF2CCD" w:rsidRDefault="0058349F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Appui en faveur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collaboration avec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parties prenantes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62A2D9C2" w14:textId="77777777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C88D852" w14:textId="6FC090BC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75 000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C048A" w:rsidRPr="003F3120" w14:paraId="27372893" w14:textId="77777777" w:rsidTr="00471052">
        <w:trPr>
          <w:trHeight w:val="57"/>
          <w:jc w:val="right"/>
        </w:trPr>
        <w:tc>
          <w:tcPr>
            <w:tcW w:w="34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D1EE8" w14:textId="355B81B5" w:rsidR="00BC048A" w:rsidRPr="00DF2CCD" w:rsidRDefault="006E1AF7" w:rsidP="006E3E64">
            <w:pPr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T</w:t>
            </w:r>
            <w:r w:rsidR="00BC048A" w:rsidRPr="00DF2CCD">
              <w:rPr>
                <w:b/>
                <w:bCs/>
                <w:color w:val="000000"/>
                <w:sz w:val="18"/>
                <w:szCs w:val="18"/>
              </w:rPr>
              <w:t>otal</w:t>
            </w:r>
            <w:r w:rsidRPr="00DF2CCD">
              <w:rPr>
                <w:b/>
                <w:bCs/>
                <w:color w:val="000000"/>
                <w:sz w:val="18"/>
                <w:szCs w:val="18"/>
              </w:rPr>
              <w:t xml:space="preserve"> partiel</w:t>
            </w:r>
            <w:r w:rsidR="00BC048A" w:rsidRPr="00DF2CCD">
              <w:rPr>
                <w:b/>
                <w:bCs/>
                <w:color w:val="000000"/>
                <w:sz w:val="18"/>
                <w:szCs w:val="18"/>
              </w:rPr>
              <w:t xml:space="preserve"> (1)</w:t>
            </w:r>
          </w:p>
        </w:tc>
        <w:tc>
          <w:tcPr>
            <w:tcW w:w="55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27786E" w14:textId="77777777" w:rsidR="00BC048A" w:rsidRPr="00DF2CCD" w:rsidRDefault="00BC048A" w:rsidP="006E3E64">
            <w:pPr>
              <w:spacing w:before="40" w:after="60"/>
              <w:rPr>
                <w:i/>
                <w:iCs/>
                <w:color w:val="000000"/>
                <w:sz w:val="18"/>
                <w:szCs w:val="18"/>
              </w:rPr>
            </w:pPr>
            <w:r w:rsidRPr="00DF2CC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43FF1C" w14:textId="77777777" w:rsidR="00BC048A" w:rsidRPr="00DF2CCD" w:rsidRDefault="00BC048A" w:rsidP="006E3E64">
            <w:pPr>
              <w:spacing w:before="40" w:after="60"/>
              <w:rPr>
                <w:i/>
                <w:iCs/>
                <w:color w:val="000000"/>
                <w:sz w:val="18"/>
                <w:szCs w:val="18"/>
              </w:rPr>
            </w:pPr>
            <w:r w:rsidRPr="00DF2CCD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9EA544" w14:textId="497D5C81" w:rsidR="00BC048A" w:rsidRPr="00DF2CCD" w:rsidRDefault="00A07985" w:rsidP="006E3E64">
            <w:pPr>
              <w:spacing w:before="40" w:after="6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2 434 </w:t>
            </w:r>
            <w:r w:rsidR="00BC048A" w:rsidRPr="00DF2CCD">
              <w:rPr>
                <w:b/>
                <w:bCs/>
                <w:color w:val="000000"/>
                <w:sz w:val="18"/>
                <w:szCs w:val="18"/>
              </w:rPr>
              <w:t>760</w:t>
            </w:r>
            <w:r w:rsidR="00471052" w:rsidRPr="00DF2CC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C048A" w:rsidRPr="000C25F6" w14:paraId="11E63506" w14:textId="77777777" w:rsidTr="00471052">
        <w:trPr>
          <w:trHeight w:val="57"/>
          <w:jc w:val="right"/>
        </w:trPr>
        <w:tc>
          <w:tcPr>
            <w:tcW w:w="9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C6772" w14:textId="11245D55" w:rsidR="00BC048A" w:rsidRPr="00DF2CCD" w:rsidRDefault="00BC048A" w:rsidP="006E3E64">
            <w:pPr>
              <w:keepNext/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 xml:space="preserve">2. </w:t>
            </w:r>
            <w:r w:rsidR="006E1AF7" w:rsidRPr="00DF2CCD">
              <w:rPr>
                <w:b/>
                <w:sz w:val="18"/>
                <w:szCs w:val="18"/>
              </w:rPr>
              <w:t>Contributions en nature à l</w:t>
            </w:r>
            <w:r w:rsidR="00FA5ADB">
              <w:rPr>
                <w:b/>
                <w:sz w:val="18"/>
                <w:szCs w:val="18"/>
              </w:rPr>
              <w:t>’</w:t>
            </w:r>
            <w:r w:rsidR="006E1AF7" w:rsidRPr="00DF2CCD">
              <w:rPr>
                <w:b/>
                <w:sz w:val="18"/>
                <w:szCs w:val="18"/>
              </w:rPr>
              <w:t>appui du programme de travail approuvé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9444C" w14:textId="77777777" w:rsidR="00BC048A" w:rsidRPr="00DF2CCD" w:rsidRDefault="00BC048A" w:rsidP="006E3E64">
            <w:pPr>
              <w:keepNext/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E072E" w14:textId="77777777" w:rsidR="00BC048A" w:rsidRPr="00DF2CCD" w:rsidRDefault="00BC048A" w:rsidP="006E3E64">
            <w:pPr>
              <w:keepNext/>
              <w:spacing w:before="40" w:after="60"/>
              <w:rPr>
                <w:sz w:val="18"/>
                <w:szCs w:val="18"/>
              </w:rPr>
            </w:pPr>
          </w:p>
        </w:tc>
      </w:tr>
      <w:tr w:rsidR="00BC048A" w:rsidRPr="003F3120" w14:paraId="73F8B2BE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CDB54" w14:textId="58056415" w:rsidR="00BC048A" w:rsidRPr="00DF2CCD" w:rsidRDefault="006E1AF7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Centre Helmholtz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="002B6D00" w:rsidRPr="00DF2CCD">
              <w:rPr>
                <w:sz w:val="18"/>
                <w:szCs w:val="18"/>
              </w:rPr>
              <w:t>recherche environnementale</w:t>
            </w:r>
            <w:r w:rsidR="00F15217" w:rsidRPr="00DF2CCD">
              <w:rPr>
                <w:sz w:val="18"/>
                <w:szCs w:val="18"/>
              </w:rPr>
              <w:t xml:space="preserve"> (Allemagne)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70F8B" w14:textId="6F4576DA" w:rsidR="00BC048A" w:rsidRPr="00DF2CCD" w:rsidRDefault="00933FB0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Évaluation mondiale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et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services écosystémiques</w:t>
            </w:r>
            <w:r w:rsidR="00FD5D6A" w:rsidRPr="00DF2CCD">
              <w:rPr>
                <w:sz w:val="18"/>
                <w:szCs w:val="18"/>
              </w:rPr>
              <w:t> :</w:t>
            </w:r>
          </w:p>
          <w:p w14:paraId="4CABFBCC" w14:textId="6967FE29" w:rsidR="00BC048A" w:rsidRPr="00DF2CCD" w:rsidRDefault="00933FB0" w:rsidP="006E3E64">
            <w:pPr>
              <w:spacing w:before="40" w:after="60"/>
              <w:ind w:left="486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Atelier de dialogue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savoirs autochtones et locaux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Arctique</w:t>
            </w:r>
            <w:r w:rsidR="00BC048A" w:rsidRPr="00DF2CCD">
              <w:rPr>
                <w:sz w:val="18"/>
                <w:szCs w:val="18"/>
              </w:rPr>
              <w:t xml:space="preserve"> </w:t>
            </w:r>
          </w:p>
          <w:p w14:paraId="7CE792B5" w14:textId="5375F257" w:rsidR="00BC048A" w:rsidRPr="00DF2CCD" w:rsidRDefault="00933FB0" w:rsidP="006E3E64">
            <w:pPr>
              <w:spacing w:before="40" w:after="60"/>
              <w:ind w:left="486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Réunion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experts consacrée au chapitre 1</w:t>
            </w:r>
          </w:p>
          <w:p w14:paraId="4206031B" w14:textId="75459708" w:rsidR="00933FB0" w:rsidRPr="00DF2CCD" w:rsidRDefault="00933FB0" w:rsidP="006E3E64">
            <w:pPr>
              <w:spacing w:before="40" w:after="60"/>
              <w:ind w:left="486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Troisième réunion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auteurs</w:t>
            </w:r>
          </w:p>
          <w:p w14:paraId="60909510" w14:textId="24DC3D19" w:rsidR="00BC048A" w:rsidRPr="00DF2CCD" w:rsidRDefault="00933FB0" w:rsidP="006E3E64">
            <w:pPr>
              <w:spacing w:before="40" w:after="60"/>
              <w:ind w:left="486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Réunion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auteurs du résumé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intention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décideurs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38059" w14:textId="7062D18A" w:rsidR="00BC048A" w:rsidRPr="00DF2CCD" w:rsidRDefault="00BC048A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FA1A2" w14:textId="77777777" w:rsidR="00BC048A" w:rsidRPr="00DF2CCD" w:rsidRDefault="00BC048A" w:rsidP="006E3E64">
            <w:pPr>
              <w:spacing w:before="40" w:after="60"/>
              <w:jc w:val="right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 xml:space="preserve">11 500 </w:t>
            </w:r>
          </w:p>
        </w:tc>
      </w:tr>
      <w:tr w:rsidR="006E1AF7" w:rsidRPr="003F3120" w14:paraId="7419CE39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E1CA2" w14:textId="703894E2" w:rsidR="006E1AF7" w:rsidRPr="00DF2CCD" w:rsidRDefault="006E1AF7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Agence norvégienne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environnement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D4533" w14:textId="0350B31A" w:rsidR="006E1AF7" w:rsidRPr="00DF2CCD" w:rsidRDefault="00933FB0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Évaluation mondiale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et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services écosystémiques</w:t>
            </w:r>
            <w:r w:rsidR="00FD5D6A" w:rsidRPr="00DF2CCD">
              <w:rPr>
                <w:sz w:val="18"/>
                <w:szCs w:val="18"/>
              </w:rPr>
              <w:t> :</w:t>
            </w:r>
          </w:p>
          <w:p w14:paraId="07C4E7D2" w14:textId="3B8755BF" w:rsidR="00933FB0" w:rsidRPr="00DF2CCD" w:rsidRDefault="00933FB0" w:rsidP="006E3E64">
            <w:pPr>
              <w:spacing w:before="40" w:after="60"/>
              <w:ind w:left="1026" w:hanging="576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Réunion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 xml:space="preserve">experts consacrée au chapitre 2 </w:t>
            </w:r>
          </w:p>
          <w:p w14:paraId="313213C8" w14:textId="2F78FEC6" w:rsidR="006E1AF7" w:rsidRPr="00DF2CCD" w:rsidRDefault="00933FB0" w:rsidP="006E3E64">
            <w:pPr>
              <w:spacing w:before="40" w:after="60"/>
              <w:ind w:left="1026" w:hanging="576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Réunion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auteurs du résumé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intention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décideurs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AEC7" w14:textId="4BF3A577" w:rsidR="006E1AF7" w:rsidRPr="00DF2CCD" w:rsidRDefault="006E1AF7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7014E" w14:textId="6A649E74" w:rsidR="006E1AF7" w:rsidRPr="00DF2CCD" w:rsidRDefault="006E1AF7" w:rsidP="006E3E64">
            <w:pPr>
              <w:spacing w:before="40" w:after="60"/>
              <w:jc w:val="right"/>
              <w:rPr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58 500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1AF7" w:rsidRPr="003F3120" w14:paraId="42F94E06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94616" w14:textId="644D7CD5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Agence norvégienne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environnement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28AB2" w14:textId="683D5DCB" w:rsidR="006E1AF7" w:rsidRPr="00DF2CCD" w:rsidRDefault="00933FB0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Consultation avec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correspondants nationaux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F73D4" w14:textId="62300E77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B6973" w14:textId="5E9738A3" w:rsidR="006E1AF7" w:rsidRPr="00DF2CCD" w:rsidRDefault="006E1A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7 400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1AF7" w:rsidRPr="003F3120" w14:paraId="19FCF20D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30F92" w14:textId="1BA8241C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Agence norvégienne pour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environnement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95A9C" w14:textId="655CF1C1" w:rsidR="006E1AF7" w:rsidRPr="00DF2CCD" w:rsidRDefault="00933FB0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Atelier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boursiers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 à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sixième session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Plénière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F533" w14:textId="7D7AC9C3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CA043" w14:textId="6C1AE384" w:rsidR="006E1AF7" w:rsidRPr="00DF2CCD" w:rsidRDefault="006E1A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9 200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1AF7" w:rsidRPr="003F3120" w14:paraId="50435C4E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E89AF" w14:textId="29ADF228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Ministère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affaires étrangères et Ministère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environnement (Finlande)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4B173" w14:textId="6E7D3C7C" w:rsidR="006E1AF7" w:rsidRPr="00DF2CCD" w:rsidRDefault="00933FB0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Atelier de dialogue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savoirs autochtones et locaux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Arctique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86F6D" w14:textId="221500FB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 et coûts logistiques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A2F4" w14:textId="77777777" w:rsidR="006E1AF7" w:rsidRPr="00DF2CCD" w:rsidRDefault="006E1AF7" w:rsidP="006E3E64">
            <w:pPr>
              <w:spacing w:before="40" w:after="60"/>
              <w:jc w:val="right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 xml:space="preserve">28 800 </w:t>
            </w:r>
          </w:p>
        </w:tc>
      </w:tr>
      <w:tr w:rsidR="00BC048A" w:rsidRPr="003F3120" w14:paraId="47938ADD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90B3B" w14:textId="1E760FA0" w:rsidR="00BC048A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Université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Helsinki (Finlande)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0A9AD" w14:textId="2E2BA2A5" w:rsidR="00BC048A" w:rsidRPr="00DF2CCD" w:rsidRDefault="00933FB0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Atelier de dialogue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savoirs autochtones et locaux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Arctique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A4A7B" w14:textId="76419803" w:rsidR="00BC048A" w:rsidRPr="00DF2CCD" w:rsidRDefault="00BC048A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Coûts logistiques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83B9B" w14:textId="77777777" w:rsidR="00BC048A" w:rsidRPr="00DF2CCD" w:rsidRDefault="00BC048A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5 200 </w:t>
            </w:r>
          </w:p>
        </w:tc>
      </w:tr>
      <w:tr w:rsidR="006E1AF7" w:rsidRPr="003F3120" w14:paraId="63A7AAD8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32D29" w14:textId="08754ADE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Université du Minnesota (États-Unis)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82E72" w14:textId="38613E6D" w:rsidR="006E1AF7" w:rsidRPr="00DF2CCD" w:rsidRDefault="00933FB0" w:rsidP="006E3E64">
            <w:pPr>
              <w:spacing w:before="40" w:after="60"/>
              <w:rPr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Réunion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experts consacrée au chapitre 2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mondiale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biodiversité et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services écosystémiques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AC03B" w14:textId="22498A7B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D68BC" w14:textId="77777777" w:rsidR="006E1AF7" w:rsidRPr="00DF2CCD" w:rsidRDefault="006E1A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2 200 </w:t>
            </w:r>
          </w:p>
        </w:tc>
      </w:tr>
      <w:tr w:rsidR="006E1AF7" w:rsidRPr="003F3120" w14:paraId="25BC667A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034D" w14:textId="0F0F48ED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Centre mondial de surveillance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conservation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56ADB" w14:textId="16D4E946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Appui technique (contribution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résultats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modèles)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évaluation mondiale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10AC8" w14:textId="692B4C34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Dépenses de personnel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76F79" w14:textId="77777777" w:rsidR="006E1AF7" w:rsidRPr="00DF2CCD" w:rsidRDefault="006E1A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128 000 </w:t>
            </w:r>
          </w:p>
        </w:tc>
      </w:tr>
      <w:tr w:rsidR="006E1AF7" w:rsidRPr="003F3120" w14:paraId="561225AB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410FD" w14:textId="78DB4658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Centre mondial de surveillance pour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conservation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9C5D" w14:textId="1DC91D2A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Réunion du groupe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experts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outils et méthodes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 à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élaboration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politiques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78F8D" w14:textId="79FB7C62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L</w:t>
            </w:r>
            <w:r w:rsidR="00F15217" w:rsidRPr="00DF2CCD">
              <w:rPr>
                <w:sz w:val="18"/>
                <w:szCs w:val="18"/>
              </w:rPr>
              <w:t>ocaux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AE00D" w14:textId="6952A364" w:rsidR="006E1AF7" w:rsidRPr="00DF2CCD" w:rsidRDefault="006E1A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7 600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1AF7" w:rsidRPr="003F3120" w14:paraId="3A08EAED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BEDE3" w14:textId="7C48F51C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lastRenderedPageBreak/>
              <w:t>Pays-Bas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1CBFF" w14:textId="7AC5762F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Atelier sur</w:t>
            </w:r>
            <w:r w:rsidR="007031E0" w:rsidRPr="00DF2CCD">
              <w:rPr>
                <w:sz w:val="18"/>
                <w:szCs w:val="18"/>
              </w:rPr>
              <w:t xml:space="preserve"> les </w:t>
            </w:r>
            <w:r w:rsidRPr="00DF2CCD">
              <w:rPr>
                <w:sz w:val="18"/>
                <w:szCs w:val="18"/>
              </w:rPr>
              <w:t>travaux relatifs aux scénarios et aux modèles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BC7C3" w14:textId="549FA1D5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 et coûts logistiques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B3A50" w14:textId="22532E10" w:rsidR="006E1AF7" w:rsidRPr="00DF2CCD" w:rsidRDefault="006E1A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11 500</w:t>
            </w:r>
            <w:r w:rsidR="00471052" w:rsidRPr="00DF2CC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E1AF7" w:rsidRPr="003F3120" w14:paraId="2FC503EA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96B1B" w14:textId="4769970C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Ministère de l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environnement (République de Corée)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E9896" w14:textId="4E6FB08A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experts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Plateforme en vue de leur participation aux réunions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auteurs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0B206" w14:textId="2FAE98D3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Aide aux participants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A6080" w14:textId="77777777" w:rsidR="006E1AF7" w:rsidRPr="00DF2CCD" w:rsidRDefault="006E1A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 xml:space="preserve">12 000 </w:t>
            </w:r>
          </w:p>
        </w:tc>
      </w:tr>
      <w:tr w:rsidR="006E1AF7" w:rsidRPr="003F3120" w14:paraId="4D09F67C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3F3C3" w14:textId="14D28FD5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Colombie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B4BD1" w14:textId="78D1B3E9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Organisation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sixième session de</w:t>
            </w:r>
            <w:r w:rsidR="007031E0" w:rsidRPr="00DF2CCD">
              <w:rPr>
                <w:sz w:val="18"/>
                <w:szCs w:val="18"/>
              </w:rPr>
              <w:t xml:space="preserve"> la </w:t>
            </w:r>
            <w:r w:rsidRPr="00DF2CCD">
              <w:rPr>
                <w:sz w:val="18"/>
                <w:szCs w:val="18"/>
              </w:rPr>
              <w:t>Plénière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871CF" w14:textId="4C308FF0" w:rsidR="006E1AF7" w:rsidRPr="00DF2CCD" w:rsidRDefault="006E1AF7" w:rsidP="006E3E64">
            <w:pPr>
              <w:spacing w:before="40" w:after="60"/>
              <w:rPr>
                <w:color w:val="000000"/>
                <w:sz w:val="18"/>
                <w:szCs w:val="18"/>
              </w:rPr>
            </w:pPr>
            <w:r w:rsidRPr="00DF2CCD">
              <w:rPr>
                <w:sz w:val="18"/>
                <w:szCs w:val="18"/>
              </w:rPr>
              <w:t>Lieu, personnel d</w:t>
            </w:r>
            <w:r w:rsidR="00FA5ADB">
              <w:rPr>
                <w:sz w:val="18"/>
                <w:szCs w:val="18"/>
              </w:rPr>
              <w:t>’</w:t>
            </w:r>
            <w:r w:rsidRPr="00DF2CCD">
              <w:rPr>
                <w:sz w:val="18"/>
                <w:szCs w:val="18"/>
              </w:rPr>
              <w:t>appui, sécurité, communication, voyages, journée</w:t>
            </w:r>
            <w:r w:rsidR="007031E0" w:rsidRPr="00DF2CCD">
              <w:rPr>
                <w:sz w:val="18"/>
                <w:szCs w:val="18"/>
              </w:rPr>
              <w:t xml:space="preserve"> des </w:t>
            </w:r>
            <w:r w:rsidRPr="00DF2CCD">
              <w:rPr>
                <w:sz w:val="18"/>
                <w:szCs w:val="18"/>
              </w:rPr>
              <w:t>parties prenantes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2E6B8" w14:textId="77777777" w:rsidR="006E1AF7" w:rsidRPr="00DF2CCD" w:rsidRDefault="006E1AF7" w:rsidP="006E3E64">
            <w:pPr>
              <w:spacing w:before="40" w:after="60"/>
              <w:jc w:val="right"/>
              <w:rPr>
                <w:color w:val="000000"/>
                <w:sz w:val="18"/>
                <w:szCs w:val="18"/>
              </w:rPr>
            </w:pPr>
            <w:r w:rsidRPr="00DF2CCD">
              <w:rPr>
                <w:color w:val="000000"/>
                <w:sz w:val="18"/>
                <w:szCs w:val="18"/>
              </w:rPr>
              <w:t>839 500</w:t>
            </w:r>
          </w:p>
        </w:tc>
      </w:tr>
      <w:tr w:rsidR="006E1AF7" w:rsidRPr="003F3120" w14:paraId="7F44EA41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41E47E" w14:textId="53C61991" w:rsidR="006E1AF7" w:rsidRPr="00DF2CCD" w:rsidRDefault="002B6D00" w:rsidP="006E3E64">
            <w:pPr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Total partiel</w:t>
            </w:r>
            <w:r w:rsidR="006E1AF7" w:rsidRPr="00DF2CCD">
              <w:rPr>
                <w:b/>
                <w:bCs/>
                <w:color w:val="000000"/>
                <w:sz w:val="18"/>
                <w:szCs w:val="18"/>
              </w:rPr>
              <w:t xml:space="preserve"> (2)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76967" w14:textId="77777777" w:rsidR="006E1AF7" w:rsidRPr="00DF2CCD" w:rsidRDefault="006E1AF7" w:rsidP="006E3E64">
            <w:pPr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34DAA" w14:textId="77777777" w:rsidR="006E1AF7" w:rsidRPr="00DF2CCD" w:rsidRDefault="006E1AF7" w:rsidP="006E3E64">
            <w:pPr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743E8" w14:textId="3C0376BF" w:rsidR="006E1AF7" w:rsidRPr="00DF2CCD" w:rsidRDefault="00A07985" w:rsidP="006E3E64">
            <w:pPr>
              <w:spacing w:before="40" w:after="6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1 121 </w:t>
            </w:r>
            <w:r w:rsidR="006E1AF7" w:rsidRPr="00DF2CCD">
              <w:rPr>
                <w:b/>
                <w:bCs/>
                <w:color w:val="000000"/>
                <w:sz w:val="18"/>
                <w:szCs w:val="18"/>
              </w:rPr>
              <w:t xml:space="preserve">400 </w:t>
            </w:r>
          </w:p>
        </w:tc>
      </w:tr>
      <w:tr w:rsidR="006E1AF7" w:rsidRPr="003F3120" w14:paraId="4FA81179" w14:textId="77777777" w:rsidTr="006E3E64">
        <w:trPr>
          <w:trHeight w:val="57"/>
          <w:jc w:val="right"/>
        </w:trPr>
        <w:tc>
          <w:tcPr>
            <w:tcW w:w="34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1DBAAB0" w14:textId="4C0A8A2D" w:rsidR="006E1AF7" w:rsidRPr="00DF2CCD" w:rsidRDefault="006E1AF7" w:rsidP="006E3E64">
            <w:pPr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32FEB25" w14:textId="77777777" w:rsidR="006E1AF7" w:rsidRPr="00DF2CCD" w:rsidRDefault="006E1AF7" w:rsidP="006E3E64">
            <w:pPr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05CAFAD" w14:textId="77777777" w:rsidR="006E1AF7" w:rsidRPr="00DF2CCD" w:rsidRDefault="006E1AF7" w:rsidP="006E3E64">
            <w:pPr>
              <w:spacing w:before="40" w:after="60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ECC5365" w14:textId="0D0EDE83" w:rsidR="006E1AF7" w:rsidRPr="00DF2CCD" w:rsidRDefault="00A07985" w:rsidP="006E3E64">
            <w:pPr>
              <w:spacing w:before="40" w:after="6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F2CCD">
              <w:rPr>
                <w:b/>
                <w:bCs/>
                <w:color w:val="000000"/>
                <w:sz w:val="18"/>
                <w:szCs w:val="18"/>
              </w:rPr>
              <w:t>3 556 </w:t>
            </w:r>
            <w:r w:rsidR="006E1AF7" w:rsidRPr="00DF2CCD">
              <w:rPr>
                <w:b/>
                <w:bCs/>
                <w:color w:val="000000"/>
                <w:sz w:val="18"/>
                <w:szCs w:val="18"/>
              </w:rPr>
              <w:t xml:space="preserve">160 </w:t>
            </w:r>
          </w:p>
        </w:tc>
      </w:tr>
    </w:tbl>
    <w:p w14:paraId="7DB3293E" w14:textId="17B11026" w:rsidR="00FB690D" w:rsidRPr="003F3120" w:rsidRDefault="00C73B3A" w:rsidP="00B25DF3">
      <w:pPr>
        <w:spacing w:before="60"/>
        <w:ind w:left="1247"/>
        <w:rPr>
          <w:rFonts w:eastAsia="MS Mincho"/>
          <w:b/>
          <w:sz w:val="16"/>
          <w:szCs w:val="16"/>
        </w:rPr>
      </w:pPr>
      <w:r w:rsidRPr="003F3120">
        <w:rPr>
          <w:i/>
          <w:iCs/>
          <w:sz w:val="16"/>
          <w:szCs w:val="16"/>
        </w:rPr>
        <w:t>Abréviation</w:t>
      </w:r>
      <w:r w:rsidR="00FD5D6A">
        <w:rPr>
          <w:sz w:val="16"/>
          <w:szCs w:val="16"/>
        </w:rPr>
        <w:t> :</w:t>
      </w:r>
      <w:r w:rsidRPr="003F3120">
        <w:rPr>
          <w:sz w:val="16"/>
          <w:szCs w:val="16"/>
        </w:rPr>
        <w:t xml:space="preserve"> UNESCO, Organisation</w:t>
      </w:r>
      <w:r w:rsidR="007031E0">
        <w:rPr>
          <w:sz w:val="16"/>
          <w:szCs w:val="16"/>
        </w:rPr>
        <w:t xml:space="preserve"> des </w:t>
      </w:r>
      <w:r w:rsidRPr="003F3120">
        <w:rPr>
          <w:sz w:val="16"/>
          <w:szCs w:val="16"/>
        </w:rPr>
        <w:t>Nations Unies pour l</w:t>
      </w:r>
      <w:r w:rsidR="00FA5ADB">
        <w:rPr>
          <w:sz w:val="16"/>
          <w:szCs w:val="16"/>
        </w:rPr>
        <w:t>’</w:t>
      </w:r>
      <w:r w:rsidRPr="003F3120">
        <w:rPr>
          <w:sz w:val="16"/>
          <w:szCs w:val="16"/>
        </w:rPr>
        <w:t>éducation,</w:t>
      </w:r>
      <w:r w:rsidR="007031E0">
        <w:rPr>
          <w:sz w:val="16"/>
          <w:szCs w:val="16"/>
        </w:rPr>
        <w:t xml:space="preserve"> la </w:t>
      </w:r>
      <w:r w:rsidRPr="003F3120">
        <w:rPr>
          <w:sz w:val="16"/>
          <w:szCs w:val="16"/>
        </w:rPr>
        <w:t>science et</w:t>
      </w:r>
      <w:r w:rsidR="007031E0">
        <w:rPr>
          <w:sz w:val="16"/>
          <w:szCs w:val="16"/>
        </w:rPr>
        <w:t xml:space="preserve"> la </w:t>
      </w:r>
      <w:r w:rsidRPr="003F3120">
        <w:rPr>
          <w:sz w:val="16"/>
          <w:szCs w:val="16"/>
        </w:rPr>
        <w:t>culture.</w:t>
      </w:r>
    </w:p>
    <w:p w14:paraId="5D422B01" w14:textId="77777777" w:rsidR="00FB690D" w:rsidRPr="003F3120" w:rsidRDefault="00FB690D" w:rsidP="00FB690D">
      <w:pPr>
        <w:ind w:left="1247" w:firstLine="624"/>
        <w:rPr>
          <w:rFonts w:eastAsia="MS Mincho"/>
          <w:b/>
          <w:sz w:val="16"/>
          <w:szCs w:val="16"/>
        </w:rPr>
      </w:pPr>
    </w:p>
    <w:p w14:paraId="4E78AC64" w14:textId="77777777" w:rsidR="00FB690D" w:rsidRPr="003F3120" w:rsidRDefault="00FB690D" w:rsidP="00FB690D">
      <w:pPr>
        <w:ind w:left="1247" w:firstLine="624"/>
        <w:rPr>
          <w:rFonts w:eastAsia="MS Mincho"/>
          <w:b/>
          <w:sz w:val="18"/>
        </w:rPr>
        <w:sectPr w:rsidR="00FB690D" w:rsidRPr="003F3120" w:rsidSect="006C0085">
          <w:headerReference w:type="even" r:id="rId38"/>
          <w:headerReference w:type="first" r:id="rId39"/>
          <w:footerReference w:type="first" r:id="rId40"/>
          <w:pgSz w:w="16840" w:h="11907" w:orient="landscape" w:code="9"/>
          <w:pgMar w:top="907" w:right="992" w:bottom="1418" w:left="1418" w:header="539" w:footer="975" w:gutter="0"/>
          <w:cols w:space="539"/>
          <w:docGrid w:linePitch="360"/>
        </w:sectPr>
      </w:pPr>
    </w:p>
    <w:p w14:paraId="067A48CE" w14:textId="79C12235" w:rsidR="00FB690D" w:rsidRPr="003F3120" w:rsidRDefault="00122965" w:rsidP="006E3E64">
      <w:pPr>
        <w:pStyle w:val="Normalnumber"/>
        <w:numPr>
          <w:ilvl w:val="0"/>
          <w:numId w:val="12"/>
        </w:numPr>
        <w:rPr>
          <w:rFonts w:eastAsia="MS Mincho"/>
          <w:bCs/>
          <w:sz w:val="18"/>
        </w:rPr>
      </w:pPr>
      <w:r w:rsidRPr="003F3120">
        <w:lastRenderedPageBreak/>
        <w:t>En 2018,</w:t>
      </w:r>
      <w:r w:rsidR="007031E0">
        <w:t xml:space="preserve"> la </w:t>
      </w:r>
      <w:r w:rsidRPr="003F3120">
        <w:t>Plateforme a continué à stimuler</w:t>
      </w:r>
      <w:r w:rsidR="007031E0">
        <w:t xml:space="preserve"> des </w:t>
      </w:r>
      <w:r w:rsidRPr="003F3120">
        <w:t>activités à l</w:t>
      </w:r>
      <w:r w:rsidR="00FA5ADB">
        <w:t>’</w:t>
      </w:r>
      <w:r w:rsidRPr="003F3120">
        <w:t>app</w:t>
      </w:r>
      <w:r w:rsidR="008D32CA">
        <w:t>ui de ses buts et objectifs, en </w:t>
      </w:r>
      <w:r w:rsidRPr="003F3120">
        <w:t>particulier concernant</w:t>
      </w:r>
      <w:r w:rsidR="007031E0">
        <w:t xml:space="preserve"> la </w:t>
      </w:r>
      <w:r w:rsidRPr="003F3120">
        <w:t>production de nouveaux savoirs et</w:t>
      </w:r>
      <w:r w:rsidR="007031E0">
        <w:t xml:space="preserve"> le </w:t>
      </w:r>
      <w:r w:rsidRPr="003F3120">
        <w:t>renforcement</w:t>
      </w:r>
      <w:r w:rsidR="007031E0">
        <w:t xml:space="preserve"> des </w:t>
      </w:r>
      <w:r w:rsidRPr="003F3120">
        <w:t>capacités.</w:t>
      </w:r>
      <w:r w:rsidR="007031E0">
        <w:t xml:space="preserve"> Le </w:t>
      </w:r>
      <w:r w:rsidRPr="003F3120">
        <w:t>tableau 4 présente</w:t>
      </w:r>
      <w:r w:rsidR="007031E0">
        <w:t xml:space="preserve"> des </w:t>
      </w:r>
      <w:r w:rsidRPr="003F3120">
        <w:t>exemples de projets ou d</w:t>
      </w:r>
      <w:r w:rsidR="00FA5ADB">
        <w:t>’</w:t>
      </w:r>
      <w:r w:rsidRPr="003F3120">
        <w:t>ateliers internationaux dont</w:t>
      </w:r>
      <w:r w:rsidR="007031E0">
        <w:t xml:space="preserve"> le </w:t>
      </w:r>
      <w:r w:rsidRPr="003F3120">
        <w:t>secrétariat a</w:t>
      </w:r>
      <w:r w:rsidR="003938E6">
        <w:t> </w:t>
      </w:r>
      <w:r w:rsidRPr="003F3120">
        <w:t>connaissance, cor</w:t>
      </w:r>
      <w:r w:rsidR="00234E35">
        <w:t>respondant à un montant de 63,6 </w:t>
      </w:r>
      <w:r w:rsidRPr="003F3120">
        <w:t>millions de dollars pour 2018.</w:t>
      </w:r>
    </w:p>
    <w:p w14:paraId="1C47BD76" w14:textId="5D217852" w:rsidR="00FB690D" w:rsidRPr="003F3120" w:rsidRDefault="00FB690D" w:rsidP="00471052">
      <w:pPr>
        <w:pStyle w:val="Titletable"/>
      </w:pPr>
      <w:r w:rsidRPr="00471052">
        <w:rPr>
          <w:b w:val="0"/>
        </w:rPr>
        <w:t>Table</w:t>
      </w:r>
      <w:r w:rsidR="00122965" w:rsidRPr="00471052">
        <w:rPr>
          <w:b w:val="0"/>
        </w:rPr>
        <w:t>au</w:t>
      </w:r>
      <w:r w:rsidR="00234E35" w:rsidRPr="00471052">
        <w:rPr>
          <w:b w:val="0"/>
        </w:rPr>
        <w:t> </w:t>
      </w:r>
      <w:r w:rsidRPr="00471052">
        <w:rPr>
          <w:b w:val="0"/>
        </w:rPr>
        <w:t xml:space="preserve">4 </w:t>
      </w:r>
      <w:r w:rsidRPr="00471052">
        <w:rPr>
          <w:b w:val="0"/>
        </w:rPr>
        <w:br/>
      </w:r>
      <w:r w:rsidR="00122965" w:rsidRPr="003F3120">
        <w:t>Exemples d</w:t>
      </w:r>
      <w:r w:rsidR="00FA5ADB">
        <w:t>’</w:t>
      </w:r>
      <w:r w:rsidR="00122965" w:rsidRPr="003F3120">
        <w:t>activités entreprises sous l</w:t>
      </w:r>
      <w:r w:rsidR="00FA5ADB">
        <w:t>’</w:t>
      </w:r>
      <w:r w:rsidR="00122965" w:rsidRPr="003F3120">
        <w:t>impulsion de</w:t>
      </w:r>
      <w:r w:rsidR="007031E0">
        <w:t xml:space="preserve"> la </w:t>
      </w:r>
      <w:r w:rsidR="00122965" w:rsidRPr="003F3120">
        <w:t>Plateforme en 2018</w:t>
      </w:r>
    </w:p>
    <w:p w14:paraId="073C1B4E" w14:textId="18470DF7" w:rsidR="00FB690D" w:rsidRPr="00471052" w:rsidRDefault="00FB690D" w:rsidP="00471052">
      <w:pPr>
        <w:pStyle w:val="NormalNonumber"/>
        <w:rPr>
          <w:bCs/>
          <w:sz w:val="18"/>
          <w:szCs w:val="18"/>
        </w:rPr>
      </w:pPr>
      <w:r w:rsidRPr="00471052">
        <w:rPr>
          <w:bCs/>
          <w:sz w:val="18"/>
          <w:szCs w:val="18"/>
        </w:rPr>
        <w:t>(</w:t>
      </w:r>
      <w:r w:rsidR="00FA5ADB">
        <w:rPr>
          <w:bCs/>
          <w:sz w:val="18"/>
          <w:szCs w:val="18"/>
        </w:rPr>
        <w:t>e</w:t>
      </w:r>
      <w:r w:rsidR="00122965" w:rsidRPr="00471052">
        <w:rPr>
          <w:sz w:val="18"/>
          <w:szCs w:val="18"/>
        </w:rPr>
        <w:t>n millions de dollars</w:t>
      </w:r>
      <w:r w:rsidR="007031E0">
        <w:rPr>
          <w:sz w:val="18"/>
          <w:szCs w:val="18"/>
        </w:rPr>
        <w:t xml:space="preserve"> des </w:t>
      </w:r>
      <w:r w:rsidR="00122965" w:rsidRPr="00471052">
        <w:rPr>
          <w:sz w:val="18"/>
          <w:szCs w:val="18"/>
        </w:rPr>
        <w:t>États-Unis</w:t>
      </w:r>
      <w:r w:rsidRPr="00471052">
        <w:rPr>
          <w:bCs/>
          <w:sz w:val="18"/>
          <w:szCs w:val="18"/>
        </w:rPr>
        <w:t>)</w:t>
      </w:r>
    </w:p>
    <w:tbl>
      <w:tblPr>
        <w:tblW w:w="8363" w:type="dxa"/>
        <w:jc w:val="right"/>
        <w:tblLayout w:type="fixed"/>
        <w:tblLook w:val="04A0" w:firstRow="1" w:lastRow="0" w:firstColumn="1" w:lastColumn="0" w:noHBand="0" w:noVBand="1"/>
      </w:tblPr>
      <w:tblGrid>
        <w:gridCol w:w="2230"/>
        <w:gridCol w:w="1673"/>
        <w:gridCol w:w="3482"/>
        <w:gridCol w:w="978"/>
      </w:tblGrid>
      <w:tr w:rsidR="00FB690D" w:rsidRPr="003F3120" w14:paraId="732CC08B" w14:textId="77777777" w:rsidTr="00471052">
        <w:trPr>
          <w:trHeight w:val="57"/>
          <w:tblHeader/>
          <w:jc w:val="right"/>
        </w:trPr>
        <w:tc>
          <w:tcPr>
            <w:tcW w:w="22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7F04519" w14:textId="7C0AFEA8" w:rsidR="00FB690D" w:rsidRPr="003F3120" w:rsidRDefault="00122965" w:rsidP="00471052">
            <w:pPr>
              <w:spacing w:before="40" w:after="40"/>
              <w:rPr>
                <w:i/>
                <w:iCs/>
                <w:color w:val="000000"/>
                <w:sz w:val="18"/>
                <w:szCs w:val="18"/>
              </w:rPr>
            </w:pPr>
            <w:r w:rsidRPr="003F3120">
              <w:rPr>
                <w:i/>
                <w:iCs/>
                <w:sz w:val="18"/>
                <w:szCs w:val="18"/>
              </w:rPr>
              <w:t>Gouvernement donateur/institution donatrice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79787AE" w14:textId="4D5DB9E4" w:rsidR="00FB690D" w:rsidRPr="003F3120" w:rsidRDefault="00122965" w:rsidP="00471052">
            <w:pPr>
              <w:spacing w:before="40" w:after="40"/>
              <w:rPr>
                <w:i/>
                <w:iCs/>
                <w:color w:val="000000"/>
                <w:sz w:val="18"/>
                <w:szCs w:val="18"/>
              </w:rPr>
            </w:pPr>
            <w:r w:rsidRPr="003F3120">
              <w:rPr>
                <w:i/>
                <w:iCs/>
                <w:sz w:val="18"/>
                <w:szCs w:val="18"/>
              </w:rPr>
              <w:t>Chef de projet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CEF83" w14:textId="233AA1EB" w:rsidR="00FB690D" w:rsidRPr="003F3120" w:rsidRDefault="00122965" w:rsidP="00471052">
            <w:pPr>
              <w:spacing w:before="40" w:after="40"/>
              <w:rPr>
                <w:i/>
                <w:iCs/>
                <w:color w:val="000000"/>
                <w:sz w:val="18"/>
                <w:szCs w:val="18"/>
              </w:rPr>
            </w:pPr>
            <w:r w:rsidRPr="003F3120">
              <w:rPr>
                <w:i/>
                <w:iCs/>
                <w:sz w:val="18"/>
                <w:szCs w:val="18"/>
              </w:rPr>
              <w:t>Activité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BBD2B24" w14:textId="0C05622B" w:rsidR="00FB690D" w:rsidRPr="003F3120" w:rsidRDefault="00122965" w:rsidP="00471052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F3120">
              <w:rPr>
                <w:i/>
                <w:iCs/>
                <w:sz w:val="18"/>
                <w:szCs w:val="18"/>
              </w:rPr>
              <w:t>Valeur estimée</w:t>
            </w:r>
          </w:p>
        </w:tc>
      </w:tr>
      <w:tr w:rsidR="003938E6" w:rsidRPr="003F3120" w14:paraId="1B9A28A6" w14:textId="77777777" w:rsidTr="004641EB">
        <w:trPr>
          <w:trHeight w:val="57"/>
          <w:jc w:val="right"/>
        </w:trPr>
        <w:tc>
          <w:tcPr>
            <w:tcW w:w="39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82466" w14:textId="094AEE67" w:rsidR="003938E6" w:rsidRPr="003F3120" w:rsidRDefault="003938E6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b/>
                <w:bCs/>
                <w:sz w:val="18"/>
                <w:szCs w:val="18"/>
              </w:rPr>
              <w:t>Production de connaissances</w:t>
            </w:r>
          </w:p>
        </w:tc>
        <w:tc>
          <w:tcPr>
            <w:tcW w:w="34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91973" w14:textId="77777777" w:rsidR="003938E6" w:rsidRPr="003F3120" w:rsidRDefault="003938E6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213B1" w14:textId="77777777" w:rsidR="003938E6" w:rsidRPr="003F3120" w:rsidRDefault="003938E6" w:rsidP="0047105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71052" w:rsidRPr="003F3120" w14:paraId="6BCAA71A" w14:textId="77777777" w:rsidTr="004641EB">
        <w:trPr>
          <w:trHeight w:val="57"/>
          <w:jc w:val="right"/>
        </w:trPr>
        <w:tc>
          <w:tcPr>
            <w:tcW w:w="22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4162D64" w14:textId="533CD1EC" w:rsidR="00471052" w:rsidRPr="003F3120" w:rsidRDefault="00471052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Union européenne (Horizon 2020)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1D81AEF" w14:textId="3027894F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Union européenne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vAlign w:val="bottom"/>
          </w:tcPr>
          <w:p w14:paraId="539E1E53" w14:textId="0FCB9DD9" w:rsidR="00471052" w:rsidRPr="003F3120" w:rsidRDefault="00471052" w:rsidP="00471052">
            <w:pPr>
              <w:spacing w:before="40" w:after="40"/>
              <w:rPr>
                <w:rFonts w:eastAsia="MS Mincho"/>
                <w:i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Deux </w:t>
            </w:r>
            <w:r w:rsidRPr="003F3120">
              <w:rPr>
                <w:sz w:val="18"/>
                <w:szCs w:val="18"/>
              </w:rPr>
              <w:t>appels à propositions à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appui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Plateforme</w:t>
            </w:r>
            <w:r>
              <w:rPr>
                <w:sz w:val="18"/>
                <w:szCs w:val="18"/>
              </w:rPr>
              <w:t> :</w:t>
            </w:r>
          </w:p>
          <w:p w14:paraId="0E3428B2" w14:textId="201B1222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iCs/>
                <w:color w:val="000000"/>
                <w:sz w:val="18"/>
                <w:szCs w:val="18"/>
              </w:rPr>
              <w:t>-</w:t>
            </w:r>
            <w:r w:rsidRPr="003F3120">
              <w:rPr>
                <w:sz w:val="18"/>
                <w:szCs w:val="18"/>
              </w:rPr>
              <w:t xml:space="preserve"> Valorisation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nature</w:t>
            </w:r>
            <w:r>
              <w:rPr>
                <w:sz w:val="18"/>
                <w:szCs w:val="18"/>
              </w:rPr>
              <w:t> :</w:t>
            </w:r>
            <w:r w:rsidRPr="003F3120">
              <w:rPr>
                <w:sz w:val="18"/>
                <w:szCs w:val="18"/>
              </w:rPr>
              <w:t xml:space="preserve"> prise en compte du capital naturel dans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politiques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6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14:paraId="3243BD87" w14:textId="202F295F" w:rsidR="00471052" w:rsidRPr="003F3120" w:rsidRDefault="00471052" w:rsidP="00471052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3,3</w:t>
            </w:r>
          </w:p>
        </w:tc>
      </w:tr>
      <w:tr w:rsidR="00471052" w:rsidRPr="003F3120" w14:paraId="25D86C89" w14:textId="77777777" w:rsidTr="003938E6">
        <w:trPr>
          <w:trHeight w:val="57"/>
          <w:jc w:val="right"/>
        </w:trPr>
        <w:tc>
          <w:tcPr>
            <w:tcW w:w="22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E1FF4" w14:textId="58B5D86E" w:rsidR="00471052" w:rsidRPr="003F3120" w:rsidRDefault="00471052" w:rsidP="0047105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CC143" w14:textId="4D4D78FE" w:rsidR="00471052" w:rsidRPr="003F3120" w:rsidRDefault="00471052" w:rsidP="0047105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6" w:space="0" w:color="FFFFFF" w:themeColor="background1"/>
              <w:left w:val="nil"/>
              <w:right w:val="nil"/>
            </w:tcBorders>
            <w:shd w:val="clear" w:color="auto" w:fill="auto"/>
            <w:vAlign w:val="bottom"/>
          </w:tcPr>
          <w:p w14:paraId="66AEF736" w14:textId="61EA5D08" w:rsidR="00471052" w:rsidRDefault="00471052" w:rsidP="00471052">
            <w:pPr>
              <w:spacing w:before="40" w:after="40"/>
              <w:rPr>
                <w:sz w:val="18"/>
                <w:szCs w:val="18"/>
              </w:rPr>
            </w:pPr>
            <w:r w:rsidRPr="003F3120">
              <w:rPr>
                <w:rFonts w:eastAsia="MS Mincho"/>
                <w:iCs/>
                <w:color w:val="000000"/>
                <w:sz w:val="18"/>
                <w:szCs w:val="18"/>
              </w:rPr>
              <w:t>-</w:t>
            </w:r>
            <w:r w:rsidRPr="003F3120">
              <w:rPr>
                <w:sz w:val="18"/>
                <w:szCs w:val="18"/>
              </w:rPr>
              <w:t xml:space="preserve"> Valorisation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nature</w:t>
            </w:r>
            <w:r>
              <w:rPr>
                <w:sz w:val="18"/>
                <w:szCs w:val="18"/>
              </w:rPr>
              <w:t> :</w:t>
            </w:r>
            <w:r w:rsidRPr="003F3120">
              <w:rPr>
                <w:sz w:val="18"/>
                <w:szCs w:val="18"/>
              </w:rPr>
              <w:t xml:space="preserve"> prise en compte du capital naturel dans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prise de décisions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entreprises</w:t>
            </w:r>
          </w:p>
        </w:tc>
        <w:tc>
          <w:tcPr>
            <w:tcW w:w="978" w:type="dxa"/>
            <w:tcBorders>
              <w:top w:val="single" w:sz="6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EC495" w14:textId="36D4DD19" w:rsidR="00471052" w:rsidRPr="003F3120" w:rsidRDefault="00471052" w:rsidP="00471052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2,2</w:t>
            </w:r>
          </w:p>
        </w:tc>
      </w:tr>
      <w:tr w:rsidR="00471052" w:rsidRPr="003F3120" w14:paraId="2219DE9E" w14:textId="77777777" w:rsidTr="003938E6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98016" w14:textId="77777777" w:rsidR="00471052" w:rsidRPr="003F3120" w:rsidRDefault="00471052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3BEB5" w14:textId="77777777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8031E" w14:textId="431119C6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Quatre appels à propositions visant à appuyer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évaluations scientifiques internationales majeures, telles que celles du Groupe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experts intergouvernemental sur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évolution du climat et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Plateforme</w:t>
            </w:r>
            <w:r>
              <w:rPr>
                <w:sz w:val="18"/>
                <w:szCs w:val="18"/>
              </w:rPr>
              <w:t> :</w:t>
            </w:r>
            <w:r w:rsidRPr="003F3120">
              <w:rPr>
                <w:color w:val="000000"/>
                <w:sz w:val="18"/>
                <w:szCs w:val="18"/>
              </w:rPr>
              <w:t xml:space="preserve"> </w:t>
            </w:r>
          </w:p>
          <w:p w14:paraId="5359AC22" w14:textId="54C557DC" w:rsidR="00471052" w:rsidRPr="003F3120" w:rsidRDefault="00471052" w:rsidP="003938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iCs/>
                <w:color w:val="000000"/>
                <w:sz w:val="18"/>
                <w:szCs w:val="18"/>
              </w:rPr>
              <w:t>-</w:t>
            </w:r>
            <w:r w:rsidRPr="003F3120">
              <w:rPr>
                <w:sz w:val="18"/>
                <w:szCs w:val="18"/>
              </w:rPr>
              <w:t xml:space="preserve"> Impact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changements climatiques sur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santé en Europe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08A63" w14:textId="7E25213F" w:rsidR="00471052" w:rsidRPr="003F3120" w:rsidRDefault="00471052" w:rsidP="003938E6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22,3</w:t>
            </w:r>
          </w:p>
        </w:tc>
      </w:tr>
      <w:tr w:rsidR="003938E6" w:rsidRPr="003F3120" w14:paraId="482D3D7A" w14:textId="77777777" w:rsidTr="003938E6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43D0C" w14:textId="77777777" w:rsidR="003938E6" w:rsidRPr="003F3120" w:rsidRDefault="003938E6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6B0DB" w14:textId="77777777" w:rsidR="003938E6" w:rsidRPr="003F3120" w:rsidRDefault="003938E6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B7D93" w14:textId="659960E4" w:rsidR="003938E6" w:rsidRPr="003938E6" w:rsidRDefault="003938E6" w:rsidP="003938E6">
            <w:pPr>
              <w:spacing w:before="40" w:after="40"/>
              <w:rPr>
                <w:rFonts w:eastAsia="MS Mincho"/>
                <w:iCs/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color w:val="000000"/>
                <w:sz w:val="18"/>
                <w:szCs w:val="18"/>
              </w:rPr>
              <w:t>-</w:t>
            </w:r>
            <w:r w:rsidRPr="003F3120">
              <w:rPr>
                <w:sz w:val="18"/>
                <w:szCs w:val="18"/>
              </w:rPr>
              <w:t xml:space="preserve"> Impact de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évolution du climat mondial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un point de vue européen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5D33" w14:textId="07D3962E" w:rsidR="003938E6" w:rsidRPr="003F3120" w:rsidRDefault="003938E6" w:rsidP="003938E6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</w:p>
        </w:tc>
      </w:tr>
      <w:tr w:rsidR="003938E6" w:rsidRPr="003F3120" w14:paraId="1AF47E23" w14:textId="77777777" w:rsidTr="003938E6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AC7A6" w14:textId="77777777" w:rsidR="003938E6" w:rsidRPr="003F3120" w:rsidRDefault="003938E6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A0571" w14:textId="77777777" w:rsidR="003938E6" w:rsidRPr="003F3120" w:rsidRDefault="003938E6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FAD99" w14:textId="754A914A" w:rsidR="003938E6" w:rsidRPr="003F3120" w:rsidRDefault="003938E6" w:rsidP="003938E6">
            <w:pPr>
              <w:spacing w:before="40" w:after="40"/>
              <w:rPr>
                <w:rFonts w:eastAsia="MS Mincho"/>
                <w:color w:val="000000"/>
                <w:sz w:val="18"/>
                <w:szCs w:val="18"/>
              </w:rPr>
            </w:pPr>
            <w:r w:rsidRPr="003F3120">
              <w:rPr>
                <w:color w:val="000000"/>
                <w:sz w:val="18"/>
                <w:szCs w:val="18"/>
              </w:rPr>
              <w:t>-</w:t>
            </w:r>
            <w:r w:rsidRPr="003F3120">
              <w:rPr>
                <w:sz w:val="18"/>
                <w:szCs w:val="18"/>
              </w:rPr>
              <w:t xml:space="preserve"> Relations entre changements climatiques, biodiversité et services écosystémiques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8F7D" w14:textId="40BB8783" w:rsidR="003938E6" w:rsidRPr="003F3120" w:rsidRDefault="003938E6" w:rsidP="003938E6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27,9</w:t>
            </w:r>
          </w:p>
        </w:tc>
      </w:tr>
      <w:tr w:rsidR="003938E6" w:rsidRPr="003F3120" w14:paraId="30D314AD" w14:textId="77777777" w:rsidTr="003938E6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77DC5" w14:textId="77777777" w:rsidR="003938E6" w:rsidRPr="003F3120" w:rsidRDefault="003938E6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70D9CA" w14:textId="77777777" w:rsidR="003938E6" w:rsidRPr="003F3120" w:rsidRDefault="003938E6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48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FF173" w14:textId="4BBC048B" w:rsidR="003938E6" w:rsidRPr="003F3120" w:rsidRDefault="003938E6" w:rsidP="003938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color w:val="000000"/>
                <w:sz w:val="18"/>
                <w:szCs w:val="18"/>
              </w:rPr>
              <w:t>-</w:t>
            </w:r>
            <w:r w:rsidRPr="003F3120">
              <w:rPr>
                <w:sz w:val="18"/>
                <w:szCs w:val="18"/>
              </w:rPr>
              <w:t>Action ERA-NET Cofund sur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changements climatiques</w:t>
            </w:r>
            <w:r>
              <w:rPr>
                <w:sz w:val="18"/>
                <w:szCs w:val="18"/>
              </w:rPr>
              <w:t> :</w:t>
            </w:r>
            <w:r w:rsidRPr="003F3120">
              <w:rPr>
                <w:sz w:val="18"/>
                <w:szCs w:val="18"/>
              </w:rPr>
              <w:t xml:space="preserve"> impacts, rétroactions et solutions reposant sur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nature pour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atténuation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changements climatiques et</w:t>
            </w:r>
            <w:r>
              <w:rPr>
                <w:sz w:val="18"/>
                <w:szCs w:val="18"/>
              </w:rPr>
              <w:t> </w:t>
            </w:r>
            <w:r w:rsidRPr="003F3120">
              <w:rPr>
                <w:sz w:val="18"/>
                <w:szCs w:val="18"/>
              </w:rPr>
              <w:t>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adaptation à ces changements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A52A" w14:textId="34D2D325" w:rsidR="003938E6" w:rsidRPr="003F3120" w:rsidRDefault="003938E6" w:rsidP="003938E6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5,6</w:t>
            </w:r>
          </w:p>
        </w:tc>
      </w:tr>
      <w:tr w:rsidR="00471052" w:rsidRPr="003F3120" w14:paraId="36EAD875" w14:textId="77777777" w:rsidTr="00471052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E278B" w14:textId="40F1B138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Programme scientifique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Fondation Gordon et Betty Moore et Fondation NOMIS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FD8A9" w14:textId="4B757988" w:rsidR="00471052" w:rsidRPr="003F3120" w:rsidRDefault="00471052" w:rsidP="00471052">
            <w:pPr>
              <w:spacing w:before="40" w:after="40"/>
              <w:rPr>
                <w:i/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Initiative Future Earth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7AB14" w14:textId="39861A5A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Programme de subventions de démarrage pour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avancement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sciences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durabilité (programme «</w:t>
            </w:r>
            <w:r w:rsidR="00FA5ADB">
              <w:rPr>
                <w:sz w:val="18"/>
                <w:szCs w:val="18"/>
              </w:rPr>
              <w:t> </w:t>
            </w:r>
            <w:r w:rsidRPr="003F3120">
              <w:rPr>
                <w:sz w:val="18"/>
                <w:szCs w:val="18"/>
              </w:rPr>
              <w:t>PEGASuS</w:t>
            </w:r>
            <w:r w:rsidR="00FA5ADB">
              <w:rPr>
                <w:sz w:val="18"/>
                <w:szCs w:val="18"/>
              </w:rPr>
              <w:t> </w:t>
            </w:r>
            <w:r w:rsidRPr="003F3120">
              <w:rPr>
                <w:sz w:val="18"/>
                <w:szCs w:val="18"/>
              </w:rPr>
              <w:t>»)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F662" w14:textId="69DB36C0" w:rsidR="00471052" w:rsidRPr="003F3120" w:rsidRDefault="00471052" w:rsidP="0047105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0,6</w:t>
            </w:r>
          </w:p>
        </w:tc>
      </w:tr>
      <w:tr w:rsidR="00471052" w:rsidRPr="003F3120" w14:paraId="26B4EF55" w14:textId="77777777" w:rsidTr="00471052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7EC596" w14:textId="1799B3BD" w:rsidR="00471052" w:rsidRPr="003F3120" w:rsidRDefault="00471052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PEGASuS de Future Earth. Financé par</w:t>
            </w:r>
            <w:r w:rsidR="007031E0">
              <w:rPr>
                <w:sz w:val="18"/>
                <w:szCs w:val="18"/>
              </w:rPr>
              <w:t xml:space="preserve"> le </w:t>
            </w:r>
            <w:r w:rsidRPr="003F3120">
              <w:rPr>
                <w:sz w:val="18"/>
                <w:szCs w:val="18"/>
              </w:rPr>
              <w:t>Programme scientifique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Fondation Gordon et Betty Moore et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Fondation NOMIS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EF777" w14:textId="6A57D927" w:rsidR="00471052" w:rsidRPr="003F3120" w:rsidRDefault="00471052" w:rsidP="00471052">
            <w:pPr>
              <w:spacing w:before="40" w:after="40"/>
              <w:rPr>
                <w:rFonts w:eastAsia="MS Mincho"/>
                <w:iCs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Patricia Balvanera et Unai Pascual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86040" w14:textId="75D6D1AC" w:rsidR="00471052" w:rsidRPr="003F3120" w:rsidRDefault="00471052" w:rsidP="00471052">
            <w:pPr>
              <w:spacing w:before="40" w:after="40"/>
              <w:rPr>
                <w:rFonts w:eastAsia="MS Mincho"/>
                <w:iCs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Projet EQUIVAL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17728" w14:textId="7505AB8B" w:rsidR="00471052" w:rsidRPr="003F3120" w:rsidRDefault="00471052" w:rsidP="00471052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0,1</w:t>
            </w:r>
          </w:p>
        </w:tc>
      </w:tr>
      <w:tr w:rsidR="003938E6" w:rsidRPr="003F3120" w14:paraId="6EA6F1F4" w14:textId="77777777" w:rsidTr="004641EB">
        <w:trPr>
          <w:trHeight w:val="57"/>
          <w:jc w:val="right"/>
        </w:trPr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E1F00F" w14:textId="6637085C" w:rsidR="003938E6" w:rsidRPr="003F3120" w:rsidRDefault="003938E6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Renforcement</w:t>
            </w:r>
            <w:r w:rsidR="007031E0">
              <w:rPr>
                <w:rFonts w:eastAsia="MS Mincho"/>
                <w:b/>
                <w:sz w:val="18"/>
                <w:szCs w:val="18"/>
              </w:rPr>
              <w:t xml:space="preserve"> des </w:t>
            </w:r>
            <w:r>
              <w:rPr>
                <w:rFonts w:eastAsia="MS Mincho"/>
                <w:b/>
                <w:sz w:val="18"/>
                <w:szCs w:val="18"/>
              </w:rPr>
              <w:t>capacités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C322ED" w14:textId="77777777" w:rsidR="003938E6" w:rsidRPr="003F3120" w:rsidRDefault="003938E6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FAFC6" w14:textId="77777777" w:rsidR="003938E6" w:rsidRPr="003F3120" w:rsidRDefault="003938E6" w:rsidP="00471052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</w:p>
        </w:tc>
      </w:tr>
      <w:tr w:rsidR="00471052" w:rsidRPr="003F3120" w14:paraId="60392DD8" w14:textId="77777777" w:rsidTr="00471052">
        <w:trPr>
          <w:trHeight w:val="57"/>
          <w:jc w:val="right"/>
        </w:trPr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D123B" w14:textId="6D6BE784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Ministère fédéral de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environnement,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sécurité nucléaire et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conservation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 xml:space="preserve">nature </w:t>
            </w:r>
            <w:r>
              <w:rPr>
                <w:sz w:val="18"/>
                <w:szCs w:val="18"/>
              </w:rPr>
              <w:t xml:space="preserve">(Allemagne) </w:t>
            </w:r>
            <w:r w:rsidRPr="003F3120">
              <w:rPr>
                <w:sz w:val="18"/>
                <w:szCs w:val="18"/>
              </w:rPr>
              <w:t>Initiative internationale pour</w:t>
            </w:r>
            <w:r w:rsidR="007031E0">
              <w:rPr>
                <w:sz w:val="18"/>
                <w:szCs w:val="18"/>
              </w:rPr>
              <w:t xml:space="preserve"> le </w:t>
            </w:r>
            <w:r w:rsidRPr="003F3120">
              <w:rPr>
                <w:sz w:val="18"/>
                <w:szCs w:val="18"/>
              </w:rPr>
              <w:t>climat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12D30" w14:textId="2AD55F0F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Centre mondial de surveillance pour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conservation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F566B" w14:textId="0BF7B6DF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Renforcement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capacités et appui à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Azerbaïdjan,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Bosnie-Herzégovine,</w:t>
            </w:r>
            <w:r w:rsidR="007031E0">
              <w:rPr>
                <w:sz w:val="18"/>
                <w:szCs w:val="18"/>
              </w:rPr>
              <w:t xml:space="preserve"> le </w:t>
            </w:r>
            <w:r w:rsidRPr="003F3120">
              <w:rPr>
                <w:sz w:val="18"/>
                <w:szCs w:val="18"/>
              </w:rPr>
              <w:t>Cambodge,</w:t>
            </w:r>
            <w:r w:rsidR="007031E0">
              <w:rPr>
                <w:sz w:val="18"/>
                <w:szCs w:val="18"/>
              </w:rPr>
              <w:t xml:space="preserve"> le </w:t>
            </w:r>
            <w:r w:rsidRPr="003F3120">
              <w:rPr>
                <w:sz w:val="18"/>
                <w:szCs w:val="18"/>
              </w:rPr>
              <w:t>Cameroun,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Colombie,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Éthiopie,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Grenade et</w:t>
            </w:r>
            <w:r w:rsidR="007031E0">
              <w:rPr>
                <w:sz w:val="18"/>
                <w:szCs w:val="18"/>
              </w:rPr>
              <w:t xml:space="preserve"> le </w:t>
            </w:r>
            <w:r w:rsidRPr="003F3120">
              <w:rPr>
                <w:sz w:val="18"/>
                <w:szCs w:val="18"/>
              </w:rPr>
              <w:t>Viet Nam pour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mise en œuvre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évaluations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écosystèmes nationaux et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création de</w:t>
            </w:r>
            <w:r w:rsidR="003938E6">
              <w:rPr>
                <w:sz w:val="18"/>
                <w:szCs w:val="18"/>
              </w:rPr>
              <w:t> </w:t>
            </w:r>
            <w:r w:rsidRPr="003F3120">
              <w:rPr>
                <w:sz w:val="18"/>
                <w:szCs w:val="18"/>
              </w:rPr>
              <w:t>plateformes scientifiques et politiques nationales sur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services écosystémiques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0164" w14:textId="50AAFE9D" w:rsidR="00471052" w:rsidRPr="003F3120" w:rsidRDefault="00471052" w:rsidP="0047105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0,4</w:t>
            </w:r>
          </w:p>
        </w:tc>
      </w:tr>
      <w:tr w:rsidR="00471052" w:rsidRPr="003F3120" w14:paraId="11C15976" w14:textId="77777777" w:rsidTr="00471052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0B37B" w14:textId="63C8DDBC" w:rsidR="00471052" w:rsidRPr="003F3120" w:rsidRDefault="00471052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Ministère fédéral de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environnement,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sécurité nucléaire et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conservation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 xml:space="preserve">nature </w:t>
            </w:r>
            <w:r>
              <w:rPr>
                <w:sz w:val="18"/>
                <w:szCs w:val="18"/>
              </w:rPr>
              <w:t xml:space="preserve">(Allemagne) </w:t>
            </w:r>
            <w:r w:rsidRPr="003F3120">
              <w:rPr>
                <w:sz w:val="18"/>
                <w:szCs w:val="18"/>
              </w:rPr>
              <w:t>Initiative internationale pour</w:t>
            </w:r>
            <w:r w:rsidR="007031E0">
              <w:rPr>
                <w:sz w:val="18"/>
                <w:szCs w:val="18"/>
              </w:rPr>
              <w:t xml:space="preserve"> le </w:t>
            </w:r>
            <w:r w:rsidRPr="003F3120">
              <w:rPr>
                <w:sz w:val="18"/>
                <w:szCs w:val="18"/>
              </w:rPr>
              <w:t>climat et SwedBio (Suède)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21A67" w14:textId="1BA6CABF" w:rsidR="00471052" w:rsidRPr="003F3120" w:rsidRDefault="00471052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Ministère de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environnement et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 xml:space="preserve">ressources naturelles (République dominicaine) et PNUD/BES-Net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B950C" w14:textId="2A175819" w:rsidR="00471052" w:rsidRPr="003F3120" w:rsidRDefault="00471052" w:rsidP="00471052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Trilogue régional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Caraïbes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pollinisateurs,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sécurité alimentaire et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résilience aux changements climatiques (République dominicaine) en vue de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évaluation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pollinisation menée par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Plateforme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1A69A" w14:textId="6FC9B885" w:rsidR="00471052" w:rsidRPr="003F3120" w:rsidRDefault="00471052" w:rsidP="00471052">
            <w:pPr>
              <w:spacing w:before="40" w:after="40"/>
              <w:jc w:val="right"/>
              <w:rPr>
                <w:rFonts w:eastAsia="MS Mincho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0,1</w:t>
            </w:r>
          </w:p>
        </w:tc>
      </w:tr>
      <w:tr w:rsidR="00471052" w:rsidRPr="003F3120" w14:paraId="5EF5691C" w14:textId="77777777" w:rsidTr="00471052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1AC7B" w14:textId="77777777" w:rsidR="00471052" w:rsidRPr="003F3120" w:rsidRDefault="00471052" w:rsidP="003938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lastRenderedPageBreak/>
              <w:t>APN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2AF65" w14:textId="77777777" w:rsidR="00471052" w:rsidRPr="003F3120" w:rsidRDefault="00471052" w:rsidP="003938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APN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F7ED2" w14:textId="045F9ABE" w:rsidR="00471052" w:rsidRPr="003F3120" w:rsidRDefault="00471052" w:rsidP="003938E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Projets ayant trait à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Plateforme dans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région Asie-Pacifique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22EB" w14:textId="73AD86BF" w:rsidR="00471052" w:rsidRPr="003F3120" w:rsidRDefault="00471052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 xml:space="preserve">0,6 </w:t>
            </w:r>
          </w:p>
        </w:tc>
      </w:tr>
      <w:tr w:rsidR="00471052" w:rsidRPr="003F3120" w14:paraId="2AD08CB1" w14:textId="77777777" w:rsidTr="00471052">
        <w:trPr>
          <w:trHeight w:val="57"/>
          <w:jc w:val="right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E4BEA" w14:textId="53C6656D" w:rsidR="00471052" w:rsidRPr="003F3120" w:rsidRDefault="00471052" w:rsidP="00471052">
            <w:pPr>
              <w:keepNext/>
              <w:keepLines/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Ministère de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environnement (Japon) (Fonds japonais pour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biodiversité)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30356" w14:textId="041572CE" w:rsidR="00471052" w:rsidRPr="003F3120" w:rsidRDefault="00471052" w:rsidP="00471052">
            <w:pPr>
              <w:keepNext/>
              <w:keepLines/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APN et Institut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stratégies environnementales mondiales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3BDF9" w14:textId="1ECB58BD" w:rsidR="00471052" w:rsidRPr="003F3120" w:rsidRDefault="00471052" w:rsidP="00471052">
            <w:pPr>
              <w:keepNext/>
              <w:keepLines/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Dialogues science-politiques faisant suite à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évaluation régionale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Plateforme pour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Asie et</w:t>
            </w:r>
            <w:r w:rsidR="007031E0">
              <w:rPr>
                <w:sz w:val="18"/>
                <w:szCs w:val="18"/>
              </w:rPr>
              <w:t xml:space="preserve"> le </w:t>
            </w:r>
            <w:r w:rsidRPr="003F3120">
              <w:rPr>
                <w:sz w:val="18"/>
                <w:szCs w:val="18"/>
              </w:rPr>
              <w:t>Pacifique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C0174" w14:textId="1B44F05D" w:rsidR="00471052" w:rsidRPr="003F3120" w:rsidRDefault="00471052" w:rsidP="00471052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sz w:val="18"/>
                <w:szCs w:val="18"/>
              </w:rPr>
              <w:t>0</w:t>
            </w:r>
            <w:r>
              <w:rPr>
                <w:rFonts w:eastAsia="MS Mincho"/>
                <w:sz w:val="18"/>
                <w:szCs w:val="18"/>
              </w:rPr>
              <w:t>,</w:t>
            </w:r>
            <w:r w:rsidRPr="003F3120">
              <w:rPr>
                <w:rFonts w:eastAsia="MS Mincho"/>
                <w:sz w:val="18"/>
                <w:szCs w:val="18"/>
              </w:rPr>
              <w:t xml:space="preserve">5 </w:t>
            </w:r>
          </w:p>
        </w:tc>
      </w:tr>
      <w:tr w:rsidR="00471052" w:rsidRPr="003F3120" w14:paraId="04E90CB9" w14:textId="77777777" w:rsidTr="00471052">
        <w:trPr>
          <w:trHeight w:val="57"/>
          <w:jc w:val="right"/>
        </w:trPr>
        <w:tc>
          <w:tcPr>
            <w:tcW w:w="22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23C11" w14:textId="77777777" w:rsidR="00471052" w:rsidRPr="003F3120" w:rsidRDefault="00471052" w:rsidP="0047105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722E1" w14:textId="77777777" w:rsidR="00471052" w:rsidRPr="003F3120" w:rsidRDefault="00471052" w:rsidP="0047105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1EF3F" w14:textId="77777777" w:rsidR="00471052" w:rsidRPr="003F3120" w:rsidRDefault="00471052" w:rsidP="0047105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43819" w14:textId="22203154" w:rsidR="00471052" w:rsidRPr="003F3120" w:rsidRDefault="00471052" w:rsidP="00471052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3F3120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63,6</w:t>
            </w:r>
          </w:p>
        </w:tc>
      </w:tr>
    </w:tbl>
    <w:p w14:paraId="56B7679B" w14:textId="095A1D95" w:rsidR="00FB690D" w:rsidRPr="003F3120" w:rsidRDefault="00EB1CF6" w:rsidP="00B25DF3">
      <w:pPr>
        <w:spacing w:before="40"/>
        <w:ind w:left="1247"/>
        <w:rPr>
          <w:rFonts w:eastAsia="MS Mincho"/>
          <w:sz w:val="16"/>
          <w:szCs w:val="16"/>
        </w:rPr>
      </w:pPr>
      <w:r w:rsidRPr="003F3120">
        <w:rPr>
          <w:i/>
          <w:iCs/>
          <w:sz w:val="16"/>
          <w:szCs w:val="16"/>
        </w:rPr>
        <w:t>Abréviations</w:t>
      </w:r>
      <w:r w:rsidR="00FD5D6A">
        <w:rPr>
          <w:sz w:val="16"/>
          <w:szCs w:val="16"/>
        </w:rPr>
        <w:t> :</w:t>
      </w:r>
      <w:r w:rsidRPr="003F3120">
        <w:rPr>
          <w:sz w:val="16"/>
          <w:szCs w:val="16"/>
        </w:rPr>
        <w:t xml:space="preserve"> APN, Réseau Asie-Pacifique de recherche sur</w:t>
      </w:r>
      <w:r w:rsidR="007031E0">
        <w:rPr>
          <w:sz w:val="16"/>
          <w:szCs w:val="16"/>
        </w:rPr>
        <w:t xml:space="preserve"> les </w:t>
      </w:r>
      <w:r w:rsidRPr="003F3120">
        <w:rPr>
          <w:sz w:val="16"/>
          <w:szCs w:val="16"/>
        </w:rPr>
        <w:t>changements planétaires</w:t>
      </w:r>
      <w:r w:rsidR="00FD5D6A">
        <w:rPr>
          <w:sz w:val="16"/>
          <w:szCs w:val="16"/>
        </w:rPr>
        <w:t> ;</w:t>
      </w:r>
      <w:r w:rsidRPr="003F3120">
        <w:rPr>
          <w:sz w:val="16"/>
          <w:szCs w:val="16"/>
        </w:rPr>
        <w:t xml:space="preserve"> BES-Net, Réseau sur</w:t>
      </w:r>
      <w:r w:rsidR="007031E0">
        <w:rPr>
          <w:sz w:val="16"/>
          <w:szCs w:val="16"/>
        </w:rPr>
        <w:t xml:space="preserve"> la </w:t>
      </w:r>
      <w:r w:rsidRPr="003F3120">
        <w:rPr>
          <w:sz w:val="16"/>
          <w:szCs w:val="16"/>
        </w:rPr>
        <w:t>biodiversité et</w:t>
      </w:r>
      <w:r w:rsidR="007031E0">
        <w:rPr>
          <w:sz w:val="16"/>
          <w:szCs w:val="16"/>
        </w:rPr>
        <w:t xml:space="preserve"> les </w:t>
      </w:r>
      <w:r w:rsidRPr="003F3120">
        <w:rPr>
          <w:sz w:val="16"/>
          <w:szCs w:val="16"/>
        </w:rPr>
        <w:t>services écosystémiques</w:t>
      </w:r>
      <w:r w:rsidR="00FD5D6A">
        <w:rPr>
          <w:sz w:val="16"/>
          <w:szCs w:val="16"/>
        </w:rPr>
        <w:t> ;</w:t>
      </w:r>
      <w:r w:rsidRPr="003F3120">
        <w:rPr>
          <w:sz w:val="16"/>
          <w:szCs w:val="16"/>
        </w:rPr>
        <w:t xml:space="preserve"> PNUD, Programme</w:t>
      </w:r>
      <w:r w:rsidR="007031E0">
        <w:rPr>
          <w:sz w:val="16"/>
          <w:szCs w:val="16"/>
        </w:rPr>
        <w:t xml:space="preserve"> des </w:t>
      </w:r>
      <w:r w:rsidRPr="003F3120">
        <w:rPr>
          <w:sz w:val="16"/>
          <w:szCs w:val="16"/>
        </w:rPr>
        <w:t>Nations Unies pour</w:t>
      </w:r>
      <w:r w:rsidR="007031E0">
        <w:rPr>
          <w:sz w:val="16"/>
          <w:szCs w:val="16"/>
        </w:rPr>
        <w:t xml:space="preserve"> le </w:t>
      </w:r>
      <w:r w:rsidRPr="003F3120">
        <w:rPr>
          <w:sz w:val="16"/>
          <w:szCs w:val="16"/>
        </w:rPr>
        <w:t>développement</w:t>
      </w:r>
      <w:r w:rsidR="00FB690D" w:rsidRPr="003F3120">
        <w:rPr>
          <w:rFonts w:eastAsia="MS Mincho"/>
          <w:sz w:val="16"/>
          <w:szCs w:val="16"/>
        </w:rPr>
        <w:t>.</w:t>
      </w:r>
    </w:p>
    <w:p w14:paraId="550E8B6F" w14:textId="3A76707A" w:rsidR="00FB690D" w:rsidRPr="003F3120" w:rsidRDefault="00FB690D" w:rsidP="003938E6">
      <w:pPr>
        <w:pStyle w:val="CH1"/>
      </w:pPr>
      <w:r w:rsidRPr="003F3120">
        <w:tab/>
        <w:t>II.</w:t>
      </w:r>
      <w:r w:rsidRPr="003F3120">
        <w:tab/>
      </w:r>
      <w:r w:rsidR="00DD5DAE" w:rsidRPr="003F3120">
        <w:t>Dépenses finales de 2017</w:t>
      </w:r>
    </w:p>
    <w:p w14:paraId="2A081145" w14:textId="097A5EC4" w:rsidR="00FB690D" w:rsidRPr="003F3120" w:rsidRDefault="00DD5DAE" w:rsidP="00FA5ADB">
      <w:pPr>
        <w:pStyle w:val="Normalnumber"/>
        <w:numPr>
          <w:ilvl w:val="0"/>
          <w:numId w:val="12"/>
        </w:numPr>
        <w:rPr>
          <w:rFonts w:eastAsia="Gulim"/>
        </w:rPr>
      </w:pPr>
      <w:r w:rsidRPr="003F3120">
        <w:t>Le tableau 5 indique</w:t>
      </w:r>
      <w:r w:rsidR="007031E0">
        <w:t xml:space="preserve"> les </w:t>
      </w:r>
      <w:r w:rsidRPr="003F3120">
        <w:t>dépenses finales de 2017, au 31 décembre 2017, par rapport au budget de 2017, qui s</w:t>
      </w:r>
      <w:r w:rsidR="00FA5ADB">
        <w:t>’</w:t>
      </w:r>
      <w:r w:rsidR="00D026C5">
        <w:t>élevait à 8 732 </w:t>
      </w:r>
      <w:r w:rsidRPr="003F3120">
        <w:t>772 dollars, approuvé par</w:t>
      </w:r>
      <w:r w:rsidR="007031E0">
        <w:t xml:space="preserve"> la </w:t>
      </w:r>
      <w:r w:rsidRPr="003F3120">
        <w:t>Plénière à sa cinquième session (décision IPBES-5/6)</w:t>
      </w:r>
      <w:r w:rsidR="00FB690D" w:rsidRPr="003F3120">
        <w:t xml:space="preserve">. </w:t>
      </w:r>
    </w:p>
    <w:p w14:paraId="128B45C8" w14:textId="1E2A19BF" w:rsidR="00FB690D" w:rsidRPr="003F3120" w:rsidRDefault="00FB690D" w:rsidP="003938E6">
      <w:pPr>
        <w:pStyle w:val="Titletable"/>
      </w:pPr>
      <w:r w:rsidRPr="003938E6">
        <w:rPr>
          <w:b w:val="0"/>
        </w:rPr>
        <w:t>Table</w:t>
      </w:r>
      <w:r w:rsidR="00DD5DAE" w:rsidRPr="003938E6">
        <w:rPr>
          <w:b w:val="0"/>
        </w:rPr>
        <w:t>au</w:t>
      </w:r>
      <w:r w:rsidR="00032F1F">
        <w:rPr>
          <w:b w:val="0"/>
        </w:rPr>
        <w:t> </w:t>
      </w:r>
      <w:r w:rsidRPr="003938E6">
        <w:rPr>
          <w:b w:val="0"/>
        </w:rPr>
        <w:t xml:space="preserve">5 </w:t>
      </w:r>
      <w:r w:rsidRPr="003938E6">
        <w:rPr>
          <w:b w:val="0"/>
        </w:rPr>
        <w:br/>
      </w:r>
      <w:r w:rsidR="00DD5DAE" w:rsidRPr="003F3120">
        <w:t>Dépenses finales de 2017</w:t>
      </w:r>
    </w:p>
    <w:p w14:paraId="0400C89A" w14:textId="7BDA8A78" w:rsidR="00FB690D" w:rsidRPr="003938E6" w:rsidRDefault="00FB690D" w:rsidP="003938E6">
      <w:pPr>
        <w:pStyle w:val="NormalNonumber"/>
        <w:rPr>
          <w:sz w:val="18"/>
          <w:szCs w:val="18"/>
        </w:rPr>
      </w:pPr>
      <w:r w:rsidRPr="003938E6">
        <w:rPr>
          <w:sz w:val="18"/>
          <w:szCs w:val="18"/>
        </w:rPr>
        <w:t>(</w:t>
      </w:r>
      <w:r w:rsidR="00FA5ADB">
        <w:rPr>
          <w:sz w:val="18"/>
          <w:szCs w:val="18"/>
        </w:rPr>
        <w:t>e</w:t>
      </w:r>
      <w:r w:rsidR="00DD5DAE" w:rsidRPr="003938E6">
        <w:rPr>
          <w:sz w:val="18"/>
          <w:szCs w:val="18"/>
        </w:rPr>
        <w:t>n dollars</w:t>
      </w:r>
      <w:r w:rsidR="007031E0">
        <w:rPr>
          <w:sz w:val="18"/>
          <w:szCs w:val="18"/>
        </w:rPr>
        <w:t xml:space="preserve"> des </w:t>
      </w:r>
      <w:r w:rsidR="00DD5DAE" w:rsidRPr="003938E6">
        <w:rPr>
          <w:sz w:val="18"/>
          <w:szCs w:val="18"/>
        </w:rPr>
        <w:t>États-Unis</w:t>
      </w:r>
      <w:r w:rsidRPr="003938E6">
        <w:rPr>
          <w:sz w:val="18"/>
          <w:szCs w:val="18"/>
        </w:rPr>
        <w:t xml:space="preserve">) </w:t>
      </w:r>
    </w:p>
    <w:tbl>
      <w:tblPr>
        <w:tblW w:w="8363" w:type="dxa"/>
        <w:jc w:val="right"/>
        <w:tblLayout w:type="fixed"/>
        <w:tblLook w:val="04A0" w:firstRow="1" w:lastRow="0" w:firstColumn="1" w:lastColumn="0" w:noHBand="0" w:noVBand="1"/>
      </w:tblPr>
      <w:tblGrid>
        <w:gridCol w:w="4671"/>
        <w:gridCol w:w="1274"/>
        <w:gridCol w:w="1099"/>
        <w:gridCol w:w="1319"/>
      </w:tblGrid>
      <w:tr w:rsidR="00B155DC" w:rsidRPr="003F3120" w14:paraId="112A022B" w14:textId="77777777" w:rsidTr="00B155DC">
        <w:trPr>
          <w:trHeight w:val="20"/>
          <w:tblHeader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5F3D" w14:textId="32A3D331" w:rsidR="00B155DC" w:rsidRPr="003F3120" w:rsidRDefault="00B155DC" w:rsidP="003938E6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bookmarkStart w:id="98" w:name="RANGE!A1:D50"/>
            <w:r w:rsidRPr="003F3120">
              <w:rPr>
                <w:i/>
                <w:iCs/>
                <w:sz w:val="18"/>
                <w:szCs w:val="18"/>
              </w:rPr>
              <w:t>Poste budgétaire</w:t>
            </w:r>
            <w:bookmarkEnd w:id="98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47E6FD7" w14:textId="13BB76A8" w:rsidR="00B155DC" w:rsidRPr="003F3120" w:rsidRDefault="00B155DC" w:rsidP="00032F1F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i/>
                <w:iCs/>
                <w:sz w:val="18"/>
                <w:szCs w:val="18"/>
              </w:rPr>
              <w:t>Budget approuvé pour 2017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1956C49" w14:textId="085E9126" w:rsidR="00B155DC" w:rsidRPr="003F3120" w:rsidRDefault="00B155DC" w:rsidP="00032F1F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i/>
                <w:iCs/>
                <w:sz w:val="18"/>
                <w:szCs w:val="18"/>
              </w:rPr>
              <w:t>Dépenses de 2017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C681CEA" w14:textId="3DC94910" w:rsidR="00B155DC" w:rsidRPr="003F3120" w:rsidRDefault="00B155DC" w:rsidP="00032F1F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i/>
                <w:iCs/>
                <w:sz w:val="18"/>
                <w:szCs w:val="18"/>
              </w:rPr>
              <w:t>Solde</w:t>
            </w:r>
          </w:p>
        </w:tc>
      </w:tr>
      <w:tr w:rsidR="00FB690D" w:rsidRPr="000C25F6" w14:paraId="3C5855B9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F833" w14:textId="1A738B21" w:rsidR="00FB690D" w:rsidRPr="003F3120" w:rsidRDefault="00FB690D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 </w:t>
            </w:r>
            <w:r w:rsidR="00B155DC" w:rsidRPr="003F3120">
              <w:rPr>
                <w:b/>
                <w:bCs/>
                <w:sz w:val="18"/>
                <w:szCs w:val="18"/>
              </w:rPr>
              <w:t>Réunions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155DC" w:rsidRPr="003F3120">
              <w:rPr>
                <w:b/>
                <w:bCs/>
                <w:sz w:val="18"/>
                <w:szCs w:val="18"/>
              </w:rPr>
              <w:t>organes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155DC" w:rsidRPr="003F312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886E" w14:textId="77777777" w:rsidR="00FB690D" w:rsidRPr="003F3120" w:rsidRDefault="00FB690D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BDE1" w14:textId="77777777" w:rsidR="00FB690D" w:rsidRPr="003F3120" w:rsidRDefault="00FB690D" w:rsidP="003938E6">
            <w:pPr>
              <w:spacing w:before="40" w:after="4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1305" w14:textId="77777777" w:rsidR="00FB690D" w:rsidRPr="003F3120" w:rsidRDefault="00FB690D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FB690D" w:rsidRPr="003F3120" w14:paraId="022A1165" w14:textId="77777777" w:rsidTr="00B155DC">
        <w:trPr>
          <w:trHeight w:val="20"/>
          <w:jc w:val="right"/>
        </w:trPr>
        <w:tc>
          <w:tcPr>
            <w:tcW w:w="46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744F" w14:textId="49B86948" w:rsidR="00FB690D" w:rsidRPr="003F3120" w:rsidRDefault="00FB690D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1.1 </w:t>
            </w:r>
            <w:r w:rsidR="00B155DC" w:rsidRPr="003F3120">
              <w:rPr>
                <w:b/>
                <w:bCs/>
                <w:sz w:val="18"/>
                <w:szCs w:val="18"/>
              </w:rPr>
              <w:t>Sessions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155DC" w:rsidRPr="003F3120">
              <w:rPr>
                <w:b/>
                <w:bCs/>
                <w:sz w:val="18"/>
                <w:szCs w:val="18"/>
              </w:rPr>
              <w:t>Plénière</w:t>
            </w: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D19F" w14:textId="77777777" w:rsidR="00FB690D" w:rsidRPr="003F3120" w:rsidRDefault="00FB690D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68D9" w14:textId="77777777" w:rsidR="00FB690D" w:rsidRPr="003F3120" w:rsidRDefault="00FB690D" w:rsidP="003938E6">
            <w:pPr>
              <w:spacing w:before="40" w:after="4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2D7E" w14:textId="77777777" w:rsidR="00FB690D" w:rsidRPr="003F3120" w:rsidRDefault="00FB690D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FB690D" w:rsidRPr="003F3120" w14:paraId="3A6E15CF" w14:textId="77777777" w:rsidTr="00B155DC">
        <w:trPr>
          <w:trHeight w:val="20"/>
          <w:jc w:val="right"/>
        </w:trPr>
        <w:tc>
          <w:tcPr>
            <w:tcW w:w="46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0245" w14:textId="56FDB3A9" w:rsidR="00FB690D" w:rsidRPr="003F3120" w:rsidRDefault="00B155DC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Frais de voyage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participants à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cinquième session (frais de voyage et indemnité journalière de subsistance)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DBDA" w14:textId="78766B5A" w:rsidR="00FB690D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500 </w:t>
            </w:r>
            <w:r w:rsidR="00FB690D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E8F4" w14:textId="77E98B99" w:rsidR="00FB690D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276 </w:t>
            </w:r>
            <w:r w:rsidR="00FB690D" w:rsidRPr="003F3120">
              <w:rPr>
                <w:color w:val="000000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994E" w14:textId="1005E045" w:rsidR="00FB690D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223 </w:t>
            </w:r>
            <w:r w:rsidR="00FB690D" w:rsidRPr="003F3120">
              <w:rPr>
                <w:color w:val="000000"/>
                <w:sz w:val="18"/>
                <w:szCs w:val="18"/>
                <w:lang w:eastAsia="en-GB"/>
              </w:rPr>
              <w:t>482</w:t>
            </w:r>
          </w:p>
        </w:tc>
      </w:tr>
      <w:tr w:rsidR="00B155DC" w:rsidRPr="003F3120" w14:paraId="17DB325D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8330" w14:textId="01B85F04" w:rsidR="00B155DC" w:rsidRPr="003F3120" w:rsidRDefault="00B155DC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Services de conférence (traduction, édition et interprétation)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8BDF" w14:textId="536FA0D1" w:rsidR="00B155DC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830 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D622" w14:textId="55393006" w:rsidR="00B155DC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514 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B450" w14:textId="5D2F1EE6" w:rsidR="00B155DC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315 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727</w:t>
            </w:r>
          </w:p>
        </w:tc>
      </w:tr>
      <w:tr w:rsidR="00B155DC" w:rsidRPr="003F3120" w14:paraId="650B5599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D055" w14:textId="1DA3E9F4" w:rsidR="00B155DC" w:rsidRPr="003F3120" w:rsidRDefault="00B155DC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Services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établissement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rapports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2FB6" w14:textId="1E05465B" w:rsidR="00B155DC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65 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22FE" w14:textId="26BC91F8" w:rsidR="00B155DC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37 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747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E39" w14:textId="5BE9354F" w:rsidR="00B155DC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27 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253</w:t>
            </w:r>
          </w:p>
        </w:tc>
      </w:tr>
      <w:tr w:rsidR="00B155DC" w:rsidRPr="003F3120" w14:paraId="1A6EC2AF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C710" w14:textId="55D52F8F" w:rsidR="00B155DC" w:rsidRPr="003F3120" w:rsidRDefault="00B155DC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Sécurité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B402" w14:textId="2BFAB0CA" w:rsidR="00B155DC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100 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B308" w14:textId="4ABD8B22" w:rsidR="00B155DC" w:rsidRPr="003F3120" w:rsidRDefault="0036379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33 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855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E883" w14:textId="5814D866" w:rsidR="00B155DC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66 </w:t>
            </w:r>
            <w:r w:rsidR="00B155DC" w:rsidRPr="003F3120">
              <w:rPr>
                <w:color w:val="000000"/>
                <w:sz w:val="18"/>
                <w:szCs w:val="18"/>
                <w:lang w:eastAsia="en-GB"/>
              </w:rPr>
              <w:t>145</w:t>
            </w:r>
          </w:p>
        </w:tc>
      </w:tr>
      <w:tr w:rsidR="00BF625F" w:rsidRPr="003F3120" w14:paraId="1C310CDB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F65EE" w14:textId="111EE235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sz w:val="18"/>
                <w:szCs w:val="18"/>
              </w:rPr>
              <w:t>Total partiel 1.1, Sessions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F3120">
              <w:rPr>
                <w:b/>
                <w:bCs/>
                <w:sz w:val="18"/>
                <w:szCs w:val="18"/>
              </w:rPr>
              <w:t>Plénière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61157" w14:textId="6F7DE092" w:rsidR="00BF625F" w:rsidRPr="003F3120" w:rsidRDefault="0036379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1 495 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3DAB8" w14:textId="27CF01F7" w:rsidR="00BF625F" w:rsidRPr="003F3120" w:rsidRDefault="0036379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862 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AB3CF" w14:textId="480088E5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632 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608</w:t>
            </w:r>
          </w:p>
        </w:tc>
      </w:tr>
      <w:tr w:rsidR="00BF625F" w:rsidRPr="000C25F6" w14:paraId="49E87D2B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6DC64" w14:textId="7071BFC5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1.2 </w:t>
            </w:r>
            <w:r w:rsidRPr="003F3120">
              <w:rPr>
                <w:b/>
                <w:bCs/>
                <w:sz w:val="18"/>
                <w:szCs w:val="18"/>
              </w:rPr>
              <w:t>Sessions du Bureau et du Groupe</w:t>
            </w:r>
            <w:r w:rsidR="008D32CA">
              <w:rPr>
                <w:b/>
                <w:bCs/>
                <w:sz w:val="18"/>
                <w:szCs w:val="18"/>
              </w:rPr>
              <w:t xml:space="preserve"> </w:t>
            </w:r>
            <w:r w:rsidR="008D32CA" w:rsidRPr="003F3120">
              <w:rPr>
                <w:b/>
                <w:bCs/>
                <w:sz w:val="18"/>
                <w:szCs w:val="18"/>
              </w:rPr>
              <w:t>d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8D32CA" w:rsidRPr="003F3120">
              <w:rPr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1AFF7" w14:textId="77777777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83CB8" w14:textId="77777777" w:rsidR="00BF625F" w:rsidRPr="003F3120" w:rsidRDefault="00BF625F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E3C34" w14:textId="77777777" w:rsidR="00BF625F" w:rsidRPr="003F3120" w:rsidRDefault="00BF625F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F625F" w:rsidRPr="003F3120" w14:paraId="0F5FDFF8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B236" w14:textId="13AEBDF0" w:rsidR="00BF625F" w:rsidRPr="003F3120" w:rsidRDefault="00BF625F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Frais de voyage et coût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réunions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participants à deux sessions du Bureau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A86B" w14:textId="5E76F508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70 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F2CE" w14:textId="718AD87C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43 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791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8BD2" w14:textId="38ED72D7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27 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109</w:t>
            </w:r>
          </w:p>
        </w:tc>
      </w:tr>
      <w:tr w:rsidR="00BF625F" w:rsidRPr="003F3120" w14:paraId="6970F612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D70D" w14:textId="09A78D9E" w:rsidR="00BF625F" w:rsidRPr="003F3120" w:rsidRDefault="00BF625F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Frais de voyage et coût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réunions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participants à deux sessions du Groupe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experts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0323" w14:textId="50665B8D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170 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2177" w14:textId="5A177C44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160 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C493" w14:textId="2FF64C0C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9 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132</w:t>
            </w:r>
          </w:p>
        </w:tc>
      </w:tr>
      <w:tr w:rsidR="00BF625F" w:rsidRPr="003F3120" w14:paraId="0E9D6E54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CF2FF" w14:textId="5626F0BF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sz w:val="18"/>
                <w:szCs w:val="18"/>
              </w:rPr>
              <w:t>Total partiel 1.2, Sessions du Bureau et du Groupe d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Pr="003F3120">
              <w:rPr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2EE09" w14:textId="655A4D57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240 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2C176" w14:textId="70C4D916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204 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659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49ED1" w14:textId="4CF16736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36 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241</w:t>
            </w:r>
          </w:p>
        </w:tc>
      </w:tr>
      <w:tr w:rsidR="00BF625F" w:rsidRPr="003F3120" w14:paraId="2E9118A9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3B0C" w14:textId="5D846454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1.3 </w:t>
            </w:r>
            <w:r w:rsidRPr="003F3120">
              <w:rPr>
                <w:b/>
                <w:bCs/>
                <w:sz w:val="18"/>
                <w:szCs w:val="18"/>
              </w:rPr>
              <w:t>Frais de voyage du Président pour représenter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F312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0D7A" w14:textId="0FD408A2" w:rsidR="00BF625F" w:rsidRPr="003F3120" w:rsidRDefault="005A0C8B" w:rsidP="003938E6">
            <w:pPr>
              <w:spacing w:before="40" w:after="40"/>
              <w:jc w:val="right"/>
              <w:rPr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Cs/>
                <w:color w:val="000000"/>
                <w:sz w:val="18"/>
                <w:szCs w:val="18"/>
                <w:lang w:eastAsia="en-GB"/>
              </w:rPr>
              <w:t>25 </w:t>
            </w:r>
            <w:r w:rsidR="00BF625F" w:rsidRPr="003F3120">
              <w:rPr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0484" w14:textId="77777777" w:rsidR="00BF625F" w:rsidRPr="003F3120" w:rsidRDefault="00BF625F" w:rsidP="003938E6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color w:val="000000"/>
                <w:sz w:val="18"/>
                <w:szCs w:val="18"/>
                <w:lang w:eastAsia="en-GB"/>
              </w:rPr>
              <w:t>–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3E41" w14:textId="20228F1A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25 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BF625F" w:rsidRPr="003F3120" w14:paraId="6A9CAF62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BC518" w14:textId="7AC18567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sz w:val="18"/>
                <w:szCs w:val="18"/>
              </w:rPr>
              <w:t>Total partiel 1, Réunions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Pr="003F3120">
              <w:rPr>
                <w:b/>
                <w:bCs/>
                <w:sz w:val="18"/>
                <w:szCs w:val="18"/>
              </w:rPr>
              <w:t>organes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F312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D7F3" w14:textId="38BD0672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1 760 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D61E5" w14:textId="2320EC75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1 067 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051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12EC9" w14:textId="3C23FA6B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693 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849</w:t>
            </w:r>
          </w:p>
        </w:tc>
      </w:tr>
      <w:tr w:rsidR="00BF625F" w:rsidRPr="000C25F6" w14:paraId="0C416637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12A31" w14:textId="40A7FF8F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2. </w:t>
            </w:r>
            <w:r w:rsidRPr="003F3120">
              <w:rPr>
                <w:b/>
                <w:bCs/>
                <w:sz w:val="18"/>
                <w:szCs w:val="18"/>
              </w:rPr>
              <w:t>Mise en œuvre du programme de travail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C6506" w14:textId="77777777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CA577" w14:textId="77777777" w:rsidR="00BF625F" w:rsidRPr="003F3120" w:rsidRDefault="00BF625F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4C409" w14:textId="77777777" w:rsidR="00BF625F" w:rsidRPr="003F3120" w:rsidRDefault="00BF625F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F625F" w:rsidRPr="003F3120" w14:paraId="09DDD70E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FAF065" w14:textId="415B4E74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2.1 </w:t>
            </w:r>
            <w:r w:rsidRPr="003F3120">
              <w:rPr>
                <w:b/>
                <w:bCs/>
                <w:sz w:val="18"/>
                <w:szCs w:val="18"/>
              </w:rPr>
              <w:t>Objectif 1</w:t>
            </w:r>
            <w:r w:rsidR="00FD5D6A">
              <w:rPr>
                <w:b/>
                <w:bCs/>
                <w:sz w:val="18"/>
                <w:szCs w:val="18"/>
              </w:rPr>
              <w:t> :</w:t>
            </w:r>
            <w:r w:rsidR="00234E35">
              <w:rPr>
                <w:b/>
                <w:bCs/>
                <w:sz w:val="18"/>
                <w:szCs w:val="18"/>
              </w:rPr>
              <w:t xml:space="preserve"> R</w:t>
            </w:r>
            <w:r w:rsidRPr="003F3120">
              <w:rPr>
                <w:b/>
                <w:bCs/>
                <w:sz w:val="18"/>
                <w:szCs w:val="18"/>
              </w:rPr>
              <w:t>enforcer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Pr="003F3120">
              <w:rPr>
                <w:b/>
                <w:bCs/>
                <w:sz w:val="18"/>
                <w:szCs w:val="18"/>
              </w:rPr>
              <w:t>capacités et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Pr="003F3120">
              <w:rPr>
                <w:b/>
                <w:bCs/>
                <w:sz w:val="18"/>
                <w:szCs w:val="18"/>
              </w:rPr>
              <w:t>connaissances concernant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Pr="003F3120">
              <w:rPr>
                <w:b/>
                <w:bCs/>
                <w:sz w:val="18"/>
                <w:szCs w:val="18"/>
              </w:rPr>
              <w:t>interface science-politique</w:t>
            </w:r>
            <w:r w:rsidR="00234E35">
              <w:rPr>
                <w:b/>
                <w:bCs/>
                <w:sz w:val="18"/>
                <w:szCs w:val="18"/>
              </w:rPr>
              <w:t>s</w:t>
            </w:r>
            <w:r w:rsidRPr="003F3120">
              <w:rPr>
                <w:b/>
                <w:bCs/>
                <w:sz w:val="18"/>
                <w:szCs w:val="18"/>
              </w:rPr>
              <w:t xml:space="preserve"> pour que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F3120">
              <w:rPr>
                <w:b/>
                <w:bCs/>
                <w:sz w:val="18"/>
                <w:szCs w:val="18"/>
              </w:rPr>
              <w:t>Plateforme puisse s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Pr="003F3120">
              <w:rPr>
                <w:b/>
                <w:bCs/>
                <w:sz w:val="18"/>
                <w:szCs w:val="18"/>
              </w:rPr>
              <w:t>acquitter de ses principales fonctions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5372C" w14:textId="2D629108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798 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25CB7" w14:textId="77E40BB7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592 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BA821" w14:textId="72B65548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205 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680</w:t>
            </w:r>
          </w:p>
        </w:tc>
      </w:tr>
      <w:tr w:rsidR="00BF625F" w:rsidRPr="003F3120" w14:paraId="5E8DFD3F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FD821" w14:textId="26244765" w:rsidR="00BF625F" w:rsidRPr="003F3120" w:rsidRDefault="00BF625F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 1 a) Besoins en matière de renforcement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capacités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2BA1" w14:textId="18FBC129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133 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7775" w14:textId="38FA53C7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87 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B7A4" w14:textId="7D004330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46 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456</w:t>
            </w:r>
          </w:p>
        </w:tc>
      </w:tr>
      <w:tr w:rsidR="00BF625F" w:rsidRPr="003F3120" w14:paraId="60315C0D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93E98" w14:textId="4BAC6B57" w:rsidR="00BF625F" w:rsidRPr="003F3120" w:rsidRDefault="00BF625F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 1 b) Activités de renforcement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capacités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057E" w14:textId="6AD43F9F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375 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760F" w14:textId="19397770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289 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593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FBA2" w14:textId="72E947E8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85 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907</w:t>
            </w:r>
          </w:p>
        </w:tc>
      </w:tr>
      <w:tr w:rsidR="00BF625F" w:rsidRPr="003F3120" w14:paraId="66BFD76E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555A2" w14:textId="3AED571A" w:rsidR="00BF625F" w:rsidRPr="003F3120" w:rsidRDefault="00BF625F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1 c) Savoirs autochtones et locaux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0BCE" w14:textId="236208AD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225 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C383" w14:textId="0194D75C" w:rsidR="00BF625F" w:rsidRPr="003F3120" w:rsidRDefault="005F314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192 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6516" w14:textId="362FF1CA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32 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764</w:t>
            </w:r>
          </w:p>
        </w:tc>
      </w:tr>
      <w:tr w:rsidR="00BF625F" w:rsidRPr="003F3120" w14:paraId="3BB25B73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87A04" w14:textId="15D3C996" w:rsidR="00BF625F" w:rsidRPr="003F3120" w:rsidRDefault="00BF625F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1 d) Connaissances et données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DCA3E" w14:textId="5150BC9F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63 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45761" w14:textId="20FCAF20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23 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9208C" w14:textId="0C325DE2" w:rsidR="00BF625F" w:rsidRPr="003F3120" w:rsidRDefault="005A0C8B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40 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553</w:t>
            </w:r>
          </w:p>
        </w:tc>
      </w:tr>
      <w:tr w:rsidR="00BF625F" w:rsidRPr="003F3120" w14:paraId="25515F40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6B1448" w14:textId="5BDD2B60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2.2 </w:t>
            </w:r>
            <w:r w:rsidR="001404D9" w:rsidRPr="003F3120">
              <w:rPr>
                <w:b/>
                <w:bCs/>
                <w:sz w:val="18"/>
                <w:szCs w:val="18"/>
              </w:rPr>
              <w:t>Objectif 2</w:t>
            </w:r>
            <w:r w:rsidR="00FD5D6A">
              <w:rPr>
                <w:b/>
                <w:bCs/>
                <w:sz w:val="18"/>
                <w:szCs w:val="18"/>
              </w:rPr>
              <w:t> :</w:t>
            </w:r>
            <w:r w:rsidR="009B3241" w:rsidRPr="003F3120">
              <w:rPr>
                <w:b/>
                <w:bCs/>
                <w:sz w:val="18"/>
                <w:szCs w:val="18"/>
              </w:rPr>
              <w:t xml:space="preserve"> Renforcer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9B3241" w:rsidRPr="003F3120">
              <w:rPr>
                <w:b/>
                <w:bCs/>
                <w:sz w:val="18"/>
                <w:szCs w:val="18"/>
              </w:rPr>
              <w:t>interface science-politique</w:t>
            </w:r>
            <w:r w:rsidR="00234E35">
              <w:rPr>
                <w:b/>
                <w:bCs/>
                <w:sz w:val="18"/>
                <w:szCs w:val="18"/>
              </w:rPr>
              <w:t>s</w:t>
            </w:r>
            <w:r w:rsidR="009B3241" w:rsidRPr="003F3120">
              <w:rPr>
                <w:b/>
                <w:bCs/>
                <w:sz w:val="18"/>
                <w:szCs w:val="18"/>
              </w:rPr>
              <w:t xml:space="preserve"> dans</w:t>
            </w:r>
            <w:r w:rsidR="007031E0">
              <w:rPr>
                <w:b/>
                <w:bCs/>
                <w:sz w:val="18"/>
                <w:szCs w:val="18"/>
              </w:rPr>
              <w:t xml:space="preserve"> le </w:t>
            </w:r>
            <w:r w:rsidR="009B3241" w:rsidRPr="003F3120">
              <w:rPr>
                <w:b/>
                <w:bCs/>
                <w:sz w:val="18"/>
                <w:szCs w:val="18"/>
              </w:rPr>
              <w:t>domaine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9B3241" w:rsidRPr="003F3120">
              <w:rPr>
                <w:b/>
                <w:bCs/>
                <w:sz w:val="18"/>
                <w:szCs w:val="18"/>
              </w:rPr>
              <w:t>biodiversité et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9B3241" w:rsidRPr="003F3120">
              <w:rPr>
                <w:b/>
                <w:bCs/>
                <w:sz w:val="18"/>
                <w:szCs w:val="18"/>
              </w:rPr>
              <w:t xml:space="preserve">services </w:t>
            </w:r>
            <w:r w:rsidR="009B3241" w:rsidRPr="003F3120">
              <w:rPr>
                <w:b/>
                <w:bCs/>
                <w:sz w:val="18"/>
                <w:szCs w:val="18"/>
              </w:rPr>
              <w:lastRenderedPageBreak/>
              <w:t>écosystémiques aux niveaux sous-régional, régional et mondial ainsi que de manière transversale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5EF43" w14:textId="6B5DAEE8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2 635 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8C6C4" w14:textId="64C7F9DF" w:rsidR="00BF625F" w:rsidRPr="003F3120" w:rsidRDefault="005A0C8B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1 974 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573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E167C" w14:textId="54052BC0" w:rsidR="00BF625F" w:rsidRPr="003F3120" w:rsidRDefault="001A0EB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661 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177</w:t>
            </w:r>
          </w:p>
        </w:tc>
      </w:tr>
      <w:tr w:rsidR="009B3241" w:rsidRPr="003F3120" w14:paraId="624AE62F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E9AD" w14:textId="7CA8952B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2 a) Guide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évaluation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5A02" w14:textId="77777777" w:rsidR="009B3241" w:rsidRPr="003F3120" w:rsidRDefault="009B324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–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AF22" w14:textId="77777777" w:rsidR="009B3241" w:rsidRPr="003F3120" w:rsidRDefault="009B324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–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6BDD" w14:textId="77777777" w:rsidR="009B3241" w:rsidRPr="003F3120" w:rsidRDefault="009B324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–</w:t>
            </w:r>
          </w:p>
        </w:tc>
      </w:tr>
      <w:tr w:rsidR="009B3241" w:rsidRPr="003F3120" w14:paraId="5F3AD97A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7E4D" w14:textId="03236BE4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2 b) Évaluations régionales et sous-régionales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3905" w14:textId="1905FC41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2 050 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822" w14:textId="2C42C47D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1 661 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016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A8CF" w14:textId="2E9E030A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388 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984</w:t>
            </w:r>
          </w:p>
        </w:tc>
      </w:tr>
      <w:tr w:rsidR="009B3241" w:rsidRPr="003F3120" w14:paraId="2B0DE333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5F3B6" w14:textId="6176CFCB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2 c) Évaluation mondiale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37784" w14:textId="032ABFED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585 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CDA18" w14:textId="35A8C34C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313 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7AE13" w14:textId="1FA7B5A7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272 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193</w:t>
            </w:r>
          </w:p>
        </w:tc>
      </w:tr>
      <w:tr w:rsidR="00BF625F" w:rsidRPr="003F3120" w14:paraId="71BC9DD3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1DC44" w14:textId="1996F71E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2.3 </w:t>
            </w:r>
            <w:r w:rsidR="001404D9" w:rsidRPr="003F3120">
              <w:rPr>
                <w:b/>
                <w:bCs/>
                <w:sz w:val="18"/>
                <w:szCs w:val="18"/>
              </w:rPr>
              <w:t>Objectif 3</w:t>
            </w:r>
            <w:r w:rsidR="00FD5D6A">
              <w:rPr>
                <w:b/>
                <w:bCs/>
                <w:sz w:val="18"/>
                <w:szCs w:val="18"/>
              </w:rPr>
              <w:t> :</w:t>
            </w:r>
            <w:r w:rsidR="009B3241" w:rsidRPr="003F3120">
              <w:rPr>
                <w:b/>
                <w:bCs/>
                <w:sz w:val="18"/>
                <w:szCs w:val="18"/>
              </w:rPr>
              <w:t xml:space="preserve"> Renforcer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9B3241" w:rsidRPr="003F3120">
              <w:rPr>
                <w:b/>
                <w:bCs/>
                <w:sz w:val="18"/>
                <w:szCs w:val="18"/>
              </w:rPr>
              <w:t>interface science-politique</w:t>
            </w:r>
            <w:r w:rsidR="00234E35">
              <w:rPr>
                <w:b/>
                <w:bCs/>
                <w:sz w:val="18"/>
                <w:szCs w:val="18"/>
              </w:rPr>
              <w:t>s</w:t>
            </w:r>
            <w:r w:rsidR="009B3241" w:rsidRPr="003F3120">
              <w:rPr>
                <w:b/>
                <w:bCs/>
                <w:sz w:val="18"/>
                <w:szCs w:val="18"/>
              </w:rPr>
              <w:t xml:space="preserve"> sur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9B3241" w:rsidRPr="003F3120">
              <w:rPr>
                <w:b/>
                <w:bCs/>
                <w:sz w:val="18"/>
                <w:szCs w:val="18"/>
              </w:rPr>
              <w:t>biodiversité et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="009B3241" w:rsidRPr="003F3120">
              <w:rPr>
                <w:b/>
                <w:bCs/>
                <w:sz w:val="18"/>
                <w:szCs w:val="18"/>
              </w:rPr>
              <w:t>services écosystémiques s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9B3241" w:rsidRPr="003F3120">
              <w:rPr>
                <w:b/>
                <w:bCs/>
                <w:sz w:val="18"/>
                <w:szCs w:val="18"/>
              </w:rPr>
              <w:t>agissant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9B3241" w:rsidRPr="003F3120">
              <w:rPr>
                <w:b/>
                <w:bCs/>
                <w:sz w:val="18"/>
                <w:szCs w:val="18"/>
              </w:rPr>
              <w:t>questions thématiques et méthodologiques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BF424" w14:textId="3D329108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490 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2084E" w14:textId="75386329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446 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58283" w14:textId="14667079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43 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811</w:t>
            </w:r>
          </w:p>
        </w:tc>
      </w:tr>
      <w:tr w:rsidR="009B3241" w:rsidRPr="003F3120" w14:paraId="58CF1A67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F975E" w14:textId="6A741879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3 b) i) Évaluation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dégradation et de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restauration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terres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EAC2" w14:textId="31D9A7A9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340 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E6D3" w14:textId="1A0A6CD6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289 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809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807" w14:textId="605422BC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50 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191</w:t>
            </w:r>
          </w:p>
        </w:tc>
      </w:tr>
      <w:tr w:rsidR="009B3241" w:rsidRPr="003F3120" w14:paraId="25CF2CBE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4D6E8" w14:textId="6BF57FB5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3 c) Outils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appui à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élaboration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politiques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scénarios et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>modélisation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54EE" w14:textId="319439F8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100 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EF59" w14:textId="46C2F4BF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134 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0EB6" w14:textId="0F6F9500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(34 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494)</w:t>
            </w:r>
          </w:p>
        </w:tc>
      </w:tr>
      <w:tr w:rsidR="009B3241" w:rsidRPr="003F3120" w14:paraId="2234AF55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43996" w14:textId="3472B0BF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3 d) Outils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appui à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élaboration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politiques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valeurs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1EAB0" w14:textId="35E0CE46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50 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52872" w14:textId="320FD992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21 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886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D7454" w14:textId="69529095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28 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114</w:t>
            </w:r>
          </w:p>
        </w:tc>
      </w:tr>
      <w:tr w:rsidR="00BF625F" w:rsidRPr="003F3120" w14:paraId="65A43791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70A2C" w14:textId="37C1445F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2.4 </w:t>
            </w:r>
            <w:r w:rsidR="001404D9" w:rsidRPr="003F3120">
              <w:rPr>
                <w:b/>
                <w:bCs/>
                <w:sz w:val="18"/>
                <w:szCs w:val="18"/>
              </w:rPr>
              <w:t>Objectif 4</w:t>
            </w:r>
            <w:r w:rsidR="00FD5D6A">
              <w:rPr>
                <w:b/>
                <w:bCs/>
                <w:sz w:val="18"/>
                <w:szCs w:val="18"/>
              </w:rPr>
              <w:t> :</w:t>
            </w:r>
            <w:r w:rsidR="009B3241" w:rsidRPr="003F3120">
              <w:rPr>
                <w:b/>
                <w:bCs/>
                <w:sz w:val="18"/>
                <w:szCs w:val="18"/>
              </w:rPr>
              <w:t xml:space="preserve"> Faire connaître et évaluer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="009B3241" w:rsidRPr="003F3120">
              <w:rPr>
                <w:b/>
                <w:bCs/>
                <w:sz w:val="18"/>
                <w:szCs w:val="18"/>
              </w:rPr>
              <w:t>activités, produits et conclusions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9B3241" w:rsidRPr="003F312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E1FF7" w14:textId="7F2E46E8" w:rsidR="00BF625F" w:rsidRPr="003F3120" w:rsidRDefault="00BF625F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235</w:t>
            </w:r>
            <w:r w:rsidR="00E7643E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D0260" w14:textId="5DC657D3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207 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0E6D4" w14:textId="42C52E5D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27 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788</w:t>
            </w:r>
          </w:p>
        </w:tc>
      </w:tr>
      <w:tr w:rsidR="009B3241" w:rsidRPr="003F3120" w14:paraId="1043AF60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ACBC" w14:textId="140F8B72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4 a) Catalogue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évaluations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9A30" w14:textId="02DE5F39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30 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0E0" w14:textId="77777777" w:rsidR="009B3241" w:rsidRPr="003F3120" w:rsidRDefault="009B324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30 000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5841" w14:textId="77777777" w:rsidR="009B3241" w:rsidRPr="003F3120" w:rsidRDefault="009B324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–</w:t>
            </w:r>
          </w:p>
        </w:tc>
      </w:tr>
      <w:tr w:rsidR="009B3241" w:rsidRPr="003F3120" w14:paraId="7EE520E8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BAFCC" w14:textId="2264473A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4 c) Catalogue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outils et de méthodes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appui à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élaboration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politiques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E83F" w14:textId="26F044C1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30 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8924" w14:textId="2C276882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31 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057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CBCC" w14:textId="783D2B75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(1 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057)</w:t>
            </w:r>
          </w:p>
        </w:tc>
      </w:tr>
      <w:tr w:rsidR="009B3241" w:rsidRPr="003F3120" w14:paraId="21B22682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C4F48" w14:textId="4A8EF13A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Produit 4 d) Communication et participation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 xml:space="preserve">parties prenantes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3F52" w14:textId="181C3B27" w:rsidR="009B3241" w:rsidRPr="003F3120" w:rsidRDefault="009B324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175</w:t>
            </w:r>
            <w:r w:rsidR="00E7643E">
              <w:rPr>
                <w:color w:val="000000"/>
                <w:sz w:val="18"/>
                <w:szCs w:val="18"/>
                <w:lang w:eastAsia="en-GB"/>
              </w:rPr>
              <w:t> </w:t>
            </w:r>
            <w:r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EF2C" w14:textId="6481E25E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146 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68A4" w14:textId="4E736D67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28 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845</w:t>
            </w:r>
          </w:p>
        </w:tc>
      </w:tr>
      <w:tr w:rsidR="00BF625F" w:rsidRPr="003F3120" w14:paraId="20CDFAAF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C1547" w14:textId="47C3AB19" w:rsidR="00BF625F" w:rsidRPr="003F3120" w:rsidRDefault="009B3241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sz w:val="18"/>
                <w:szCs w:val="18"/>
              </w:rPr>
              <w:t>Total partiel 2, Mise en œuvre du programme de travail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92CA6" w14:textId="1B6529AE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4 158 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28657" w14:textId="68514821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3 220 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88DA0" w14:textId="630C6F8E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938 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456</w:t>
            </w:r>
          </w:p>
        </w:tc>
      </w:tr>
      <w:tr w:rsidR="00BF625F" w:rsidRPr="003F3120" w14:paraId="130D9481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6D0F6" w14:textId="25AF5CF4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3. </w:t>
            </w:r>
            <w:r w:rsidR="009B3241" w:rsidRPr="003F3120">
              <w:rPr>
                <w:b/>
                <w:bCs/>
                <w:sz w:val="18"/>
                <w:szCs w:val="18"/>
              </w:rPr>
              <w:t>Secrétariat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B287D" w14:textId="77777777" w:rsidR="00BF625F" w:rsidRPr="003F3120" w:rsidRDefault="00BF625F" w:rsidP="003938E6">
            <w:pPr>
              <w:spacing w:before="40" w:after="40"/>
              <w:ind w:firstLineChars="100" w:firstLine="18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D02F4" w14:textId="77777777" w:rsidR="00BF625F" w:rsidRPr="003F3120" w:rsidRDefault="00BF625F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6FF51" w14:textId="77777777" w:rsidR="00BF625F" w:rsidRPr="003F3120" w:rsidRDefault="00BF625F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F625F" w:rsidRPr="003F3120" w14:paraId="4E2C3BA5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6D6AF" w14:textId="22B27DFD" w:rsidR="00BF625F" w:rsidRPr="003F3120" w:rsidRDefault="00BF625F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 xml:space="preserve">3.1 </w:t>
            </w:r>
            <w:r w:rsidR="009B3241" w:rsidRPr="003F3120">
              <w:rPr>
                <w:sz w:val="18"/>
                <w:szCs w:val="18"/>
              </w:rPr>
              <w:t>Personnel du secrétariat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A56F" w14:textId="34928189" w:rsidR="00BF625F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1 917 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4D19" w14:textId="3BD6AC72" w:rsidR="00BF625F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1 216 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866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6D48" w14:textId="00663B17" w:rsidR="00BF625F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700 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134</w:t>
            </w:r>
          </w:p>
        </w:tc>
      </w:tr>
      <w:tr w:rsidR="00BF625F" w:rsidRPr="003F3120" w14:paraId="563CFCD6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916A4" w14:textId="2B7B0C9E" w:rsidR="00BF625F" w:rsidRPr="003F3120" w:rsidRDefault="00BF625F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 xml:space="preserve">3.2 </w:t>
            </w:r>
            <w:r w:rsidR="009B3241" w:rsidRPr="003F3120">
              <w:rPr>
                <w:sz w:val="18"/>
                <w:szCs w:val="18"/>
              </w:rPr>
              <w:t>Dépenses de fonctionnement (autres que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9B3241" w:rsidRPr="003F3120">
              <w:rPr>
                <w:sz w:val="18"/>
                <w:szCs w:val="18"/>
              </w:rPr>
              <w:t>dépenses de personnel)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6420F" w14:textId="41FE9C97" w:rsidR="00BF625F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249 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100EE" w14:textId="3D6C12D2" w:rsidR="00BF625F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136 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677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D8F3D" w14:textId="1F754F54" w:rsidR="00BF625F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112 </w:t>
            </w:r>
            <w:r w:rsidR="00BF625F" w:rsidRPr="003F3120">
              <w:rPr>
                <w:color w:val="000000"/>
                <w:sz w:val="18"/>
                <w:szCs w:val="18"/>
                <w:lang w:eastAsia="en-GB"/>
              </w:rPr>
              <w:t>573</w:t>
            </w:r>
          </w:p>
        </w:tc>
      </w:tr>
      <w:tr w:rsidR="00BF625F" w:rsidRPr="003F3120" w14:paraId="6026C71C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C8A3C" w14:textId="4A946BC1" w:rsidR="00BF625F" w:rsidRPr="003F3120" w:rsidRDefault="009B3241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sz w:val="18"/>
                <w:szCs w:val="18"/>
              </w:rPr>
              <w:t xml:space="preserve">Total partiel 3, </w:t>
            </w:r>
            <w:r w:rsidR="00234E35">
              <w:rPr>
                <w:b/>
                <w:bCs/>
                <w:sz w:val="18"/>
                <w:szCs w:val="18"/>
              </w:rPr>
              <w:t>S</w:t>
            </w:r>
            <w:r w:rsidRPr="003F3120">
              <w:rPr>
                <w:b/>
                <w:bCs/>
                <w:sz w:val="18"/>
                <w:szCs w:val="18"/>
              </w:rPr>
              <w:t>ecrétariat (dépenses de personnel et de fonctionnement)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02099" w14:textId="1B9C9D88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2 166 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F70B6" w14:textId="2A47A09C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1 353 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543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DBDF" w14:textId="3BE165F2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812 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707</w:t>
            </w:r>
          </w:p>
        </w:tc>
      </w:tr>
      <w:tr w:rsidR="009B3241" w:rsidRPr="003F3120" w14:paraId="2925BFBB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79DA" w14:textId="16AF25E1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Total partiel, 1+2+3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83A1" w14:textId="19CD0805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8 085 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6C64" w14:textId="678C48D0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5 640 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888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F4F2" w14:textId="2617A094" w:rsidR="009B3241" w:rsidRPr="003F3120" w:rsidRDefault="00D026C5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2 </w:t>
            </w:r>
            <w:r w:rsidR="00E7643E">
              <w:rPr>
                <w:color w:val="000000"/>
                <w:sz w:val="18"/>
                <w:szCs w:val="18"/>
                <w:lang w:eastAsia="en-GB"/>
              </w:rPr>
              <w:t>445 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012</w:t>
            </w:r>
          </w:p>
        </w:tc>
      </w:tr>
      <w:tr w:rsidR="009B3241" w:rsidRPr="003F3120" w14:paraId="3EFF0235" w14:textId="77777777" w:rsidTr="00B155DC">
        <w:trPr>
          <w:trHeight w:val="20"/>
          <w:jc w:val="right"/>
        </w:trPr>
        <w:tc>
          <w:tcPr>
            <w:tcW w:w="4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93E47" w14:textId="25527815" w:rsidR="009B3241" w:rsidRPr="003F3120" w:rsidRDefault="009B3241" w:rsidP="003938E6">
            <w:pPr>
              <w:spacing w:before="40" w:after="40"/>
              <w:ind w:left="227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sz w:val="18"/>
                <w:szCs w:val="18"/>
              </w:rPr>
              <w:t>Dépenses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appui au programme (8 %)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6FF5D" w14:textId="53733829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646 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872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F56E6" w14:textId="265BB85A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451 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56D4D" w14:textId="21BF5D0A" w:rsidR="009B3241" w:rsidRPr="003F3120" w:rsidRDefault="00E7643E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195 </w:t>
            </w:r>
            <w:r w:rsidR="009B3241" w:rsidRPr="003F3120">
              <w:rPr>
                <w:color w:val="000000"/>
                <w:sz w:val="18"/>
                <w:szCs w:val="18"/>
                <w:lang w:eastAsia="en-GB"/>
              </w:rPr>
              <w:t>601</w:t>
            </w:r>
          </w:p>
        </w:tc>
      </w:tr>
      <w:tr w:rsidR="00BF625F" w:rsidRPr="003F3120" w14:paraId="733792D4" w14:textId="77777777" w:rsidTr="00B155DC">
        <w:trPr>
          <w:trHeight w:val="20"/>
          <w:jc w:val="right"/>
        </w:trPr>
        <w:tc>
          <w:tcPr>
            <w:tcW w:w="46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47FEC" w14:textId="732D120A" w:rsidR="00BF625F" w:rsidRPr="003F3120" w:rsidRDefault="00BF625F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C6450" w14:textId="49765307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8 732 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772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13A43" w14:textId="68E5A99C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6 092 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4F715" w14:textId="7399B5B9" w:rsidR="00BF625F" w:rsidRPr="003F3120" w:rsidRDefault="00E7643E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2 640 </w:t>
            </w:r>
            <w:r w:rsidR="00BF625F" w:rsidRPr="003F3120">
              <w:rPr>
                <w:b/>
                <w:bCs/>
                <w:color w:val="000000"/>
                <w:sz w:val="18"/>
                <w:szCs w:val="18"/>
                <w:lang w:eastAsia="en-GB"/>
              </w:rPr>
              <w:t>613</w:t>
            </w:r>
          </w:p>
        </w:tc>
      </w:tr>
    </w:tbl>
    <w:p w14:paraId="3608C3AE" w14:textId="084A98EE" w:rsidR="00FB690D" w:rsidRPr="003F3120" w:rsidRDefault="00FB690D" w:rsidP="003938E6">
      <w:pPr>
        <w:pStyle w:val="CH1"/>
      </w:pPr>
      <w:bookmarkStart w:id="99" w:name="_Hlk7540484"/>
      <w:r w:rsidRPr="003F3120">
        <w:tab/>
        <w:t>III.</w:t>
      </w:r>
      <w:r w:rsidRPr="003F3120">
        <w:tab/>
      </w:r>
      <w:r w:rsidR="00961690" w:rsidRPr="003F3120">
        <w:t>Montant estimatif</w:t>
      </w:r>
      <w:r w:rsidR="007031E0">
        <w:t xml:space="preserve"> des </w:t>
      </w:r>
      <w:r w:rsidR="00961690" w:rsidRPr="003F3120">
        <w:t>dépenses de 2018</w:t>
      </w:r>
    </w:p>
    <w:bookmarkEnd w:id="99"/>
    <w:p w14:paraId="0947BD03" w14:textId="02A5E761" w:rsidR="00FB690D" w:rsidRPr="003F3120" w:rsidRDefault="00A34602" w:rsidP="00FA5ADB">
      <w:pPr>
        <w:pStyle w:val="Normalnumber"/>
        <w:numPr>
          <w:ilvl w:val="0"/>
          <w:numId w:val="12"/>
        </w:numPr>
      </w:pPr>
      <w:r w:rsidRPr="003F3120">
        <w:t>Le tableau </w:t>
      </w:r>
      <w:r w:rsidR="00961690" w:rsidRPr="003F3120">
        <w:t>6 indique</w:t>
      </w:r>
      <w:r w:rsidR="007031E0">
        <w:t xml:space="preserve"> le </w:t>
      </w:r>
      <w:r w:rsidR="00961690" w:rsidRPr="003F3120">
        <w:t>montant estimatif</w:t>
      </w:r>
      <w:r w:rsidR="007031E0">
        <w:t xml:space="preserve"> des </w:t>
      </w:r>
      <w:r w:rsidR="00961690" w:rsidRPr="003F3120">
        <w:t xml:space="preserve">dépenses de 2018, au 31 décembre 2018, par rapport au budget de 2018, qui </w:t>
      </w:r>
      <w:r w:rsidRPr="003F3120">
        <w:t>s</w:t>
      </w:r>
      <w:r w:rsidR="00FA5ADB">
        <w:t>’</w:t>
      </w:r>
      <w:r w:rsidRPr="003F3120">
        <w:t>élevait à 8 554 853 </w:t>
      </w:r>
      <w:r w:rsidR="00961690" w:rsidRPr="003F3120">
        <w:t>dollars, approuvé par</w:t>
      </w:r>
      <w:r w:rsidR="007031E0">
        <w:t xml:space="preserve"> la </w:t>
      </w:r>
      <w:r w:rsidR="00961690" w:rsidRPr="003F3120">
        <w:t>Plénière à sa sixième</w:t>
      </w:r>
      <w:r w:rsidR="00FA5ADB">
        <w:t> </w:t>
      </w:r>
      <w:r w:rsidR="00961690" w:rsidRPr="003F3120">
        <w:t>session. Ce montant estimatif</w:t>
      </w:r>
      <w:r w:rsidR="007031E0">
        <w:t xml:space="preserve"> des </w:t>
      </w:r>
      <w:r w:rsidR="00961690" w:rsidRPr="003F3120">
        <w:t>dépenses de 2018 comprend</w:t>
      </w:r>
      <w:r w:rsidR="007031E0">
        <w:t xml:space="preserve"> les </w:t>
      </w:r>
      <w:r w:rsidR="00961690" w:rsidRPr="003F3120">
        <w:t>dépenses engagées en 2018 ainsi que</w:t>
      </w:r>
      <w:r w:rsidR="007031E0">
        <w:t xml:space="preserve"> les </w:t>
      </w:r>
      <w:r w:rsidR="00961690" w:rsidRPr="003F3120">
        <w:t>engagements en suspens liés à</w:t>
      </w:r>
      <w:r w:rsidR="007031E0">
        <w:t xml:space="preserve"> des </w:t>
      </w:r>
      <w:r w:rsidR="00961690" w:rsidRPr="003F3120">
        <w:t>activités menées en 2018</w:t>
      </w:r>
      <w:r w:rsidR="00FB690D" w:rsidRPr="003F3120">
        <w:t>.</w:t>
      </w:r>
    </w:p>
    <w:p w14:paraId="05CC9C1C" w14:textId="344150A3" w:rsidR="00961690" w:rsidRPr="003F3120" w:rsidRDefault="00FB690D" w:rsidP="003938E6">
      <w:pPr>
        <w:pStyle w:val="Titletable"/>
      </w:pPr>
      <w:r w:rsidRPr="003938E6">
        <w:rPr>
          <w:b w:val="0"/>
        </w:rPr>
        <w:t>Table</w:t>
      </w:r>
      <w:r w:rsidR="00961690" w:rsidRPr="003938E6">
        <w:rPr>
          <w:b w:val="0"/>
        </w:rPr>
        <w:t>au</w:t>
      </w:r>
      <w:r w:rsidR="00A34602" w:rsidRPr="003938E6">
        <w:rPr>
          <w:b w:val="0"/>
        </w:rPr>
        <w:t> </w:t>
      </w:r>
      <w:r w:rsidRPr="003938E6">
        <w:rPr>
          <w:b w:val="0"/>
        </w:rPr>
        <w:t xml:space="preserve">6 </w:t>
      </w:r>
      <w:r w:rsidRPr="003938E6">
        <w:rPr>
          <w:b w:val="0"/>
        </w:rPr>
        <w:br/>
      </w:r>
      <w:r w:rsidR="00961690" w:rsidRPr="003F3120">
        <w:t>Montant estimatif</w:t>
      </w:r>
      <w:r w:rsidR="007031E0">
        <w:t xml:space="preserve"> des </w:t>
      </w:r>
      <w:r w:rsidR="00961690" w:rsidRPr="003F3120">
        <w:t>dépenses de 2018</w:t>
      </w:r>
    </w:p>
    <w:p w14:paraId="23C3325C" w14:textId="25752A0F" w:rsidR="00FB690D" w:rsidRPr="003938E6" w:rsidRDefault="00961690" w:rsidP="003938E6">
      <w:pPr>
        <w:pStyle w:val="NormalNonumber"/>
        <w:rPr>
          <w:b/>
          <w:bCs/>
          <w:sz w:val="18"/>
          <w:szCs w:val="18"/>
        </w:rPr>
      </w:pPr>
      <w:r w:rsidRPr="003938E6">
        <w:rPr>
          <w:sz w:val="18"/>
          <w:szCs w:val="18"/>
        </w:rPr>
        <w:t>(</w:t>
      </w:r>
      <w:r w:rsidR="00FA5ADB">
        <w:rPr>
          <w:sz w:val="18"/>
          <w:szCs w:val="18"/>
        </w:rPr>
        <w:t>e</w:t>
      </w:r>
      <w:r w:rsidRPr="003938E6">
        <w:rPr>
          <w:sz w:val="18"/>
          <w:szCs w:val="18"/>
        </w:rPr>
        <w:t>n dollars</w:t>
      </w:r>
      <w:r w:rsidR="007031E0">
        <w:rPr>
          <w:sz w:val="18"/>
          <w:szCs w:val="18"/>
        </w:rPr>
        <w:t xml:space="preserve"> des </w:t>
      </w:r>
      <w:r w:rsidRPr="003938E6">
        <w:rPr>
          <w:sz w:val="18"/>
          <w:szCs w:val="18"/>
        </w:rPr>
        <w:t>États-Unis)</w:t>
      </w:r>
    </w:p>
    <w:tbl>
      <w:tblPr>
        <w:tblW w:w="8363" w:type="dxa"/>
        <w:jc w:val="right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410"/>
        <w:gridCol w:w="999"/>
      </w:tblGrid>
      <w:tr w:rsidR="00BD52BA" w:rsidRPr="003F3120" w14:paraId="4E11C6B3" w14:textId="77777777" w:rsidTr="00B25DF3">
        <w:trPr>
          <w:trHeight w:val="20"/>
          <w:tblHeader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FC4CC" w14:textId="5C1F0ECC" w:rsidR="00BD52BA" w:rsidRPr="003F3120" w:rsidRDefault="00BD52BA" w:rsidP="003938E6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bookmarkStart w:id="100" w:name="RANGE!B1:E50"/>
            <w:r w:rsidRPr="003F3120">
              <w:rPr>
                <w:i/>
                <w:iCs/>
                <w:sz w:val="18"/>
                <w:szCs w:val="18"/>
              </w:rPr>
              <w:t>Poste budgétaire</w:t>
            </w:r>
            <w:bookmarkEnd w:id="100"/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4DD83A0" w14:textId="7463EAC5" w:rsidR="00BD52BA" w:rsidRPr="003F3120" w:rsidRDefault="00BD52BA" w:rsidP="00FA5ADB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i/>
                <w:iCs/>
                <w:sz w:val="18"/>
                <w:szCs w:val="18"/>
              </w:rPr>
              <w:t>Budget approuvé pour</w:t>
            </w:r>
            <w:r w:rsidR="003938E6">
              <w:rPr>
                <w:i/>
                <w:iCs/>
                <w:sz w:val="18"/>
                <w:szCs w:val="18"/>
              </w:rPr>
              <w:t> </w:t>
            </w:r>
            <w:r w:rsidRPr="003F3120">
              <w:rPr>
                <w:i/>
                <w:iCs/>
                <w:sz w:val="18"/>
                <w:szCs w:val="18"/>
              </w:rPr>
              <w:t>2018</w:t>
            </w:r>
            <w:r w:rsidRPr="003F31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10F6FD6" w14:textId="0A5EEE58" w:rsidR="00BD52BA" w:rsidRPr="003F3120" w:rsidRDefault="00BD52BA" w:rsidP="00FA5ADB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i/>
                <w:iCs/>
                <w:sz w:val="18"/>
                <w:szCs w:val="18"/>
              </w:rPr>
              <w:t>Montant estimatif</w:t>
            </w:r>
            <w:r w:rsidR="007031E0">
              <w:rPr>
                <w:i/>
                <w:iCs/>
                <w:sz w:val="18"/>
                <w:szCs w:val="18"/>
              </w:rPr>
              <w:t xml:space="preserve"> des </w:t>
            </w:r>
            <w:r w:rsidRPr="003F3120">
              <w:rPr>
                <w:i/>
                <w:iCs/>
                <w:sz w:val="18"/>
                <w:szCs w:val="18"/>
              </w:rPr>
              <w:t>dépenses de</w:t>
            </w:r>
            <w:r w:rsidR="003938E6">
              <w:rPr>
                <w:i/>
                <w:iCs/>
                <w:sz w:val="18"/>
                <w:szCs w:val="18"/>
              </w:rPr>
              <w:t> </w:t>
            </w:r>
            <w:r w:rsidRPr="003F3120">
              <w:rPr>
                <w:i/>
                <w:iCs/>
                <w:sz w:val="18"/>
                <w:szCs w:val="18"/>
              </w:rPr>
              <w:t>2018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8422EFE" w14:textId="42A19BF0" w:rsidR="00BD52BA" w:rsidRPr="003F3120" w:rsidRDefault="00BD52BA" w:rsidP="00FA5ADB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i/>
                <w:iCs/>
                <w:sz w:val="18"/>
                <w:szCs w:val="18"/>
              </w:rPr>
              <w:t>Solde estimatif</w:t>
            </w:r>
            <w:r w:rsidRPr="003F3120">
              <w:rPr>
                <w:sz w:val="18"/>
                <w:szCs w:val="18"/>
              </w:rPr>
              <w:t xml:space="preserve"> </w:t>
            </w:r>
          </w:p>
        </w:tc>
      </w:tr>
      <w:tr w:rsidR="00BD52BA" w:rsidRPr="000C25F6" w14:paraId="1E856D84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329D" w14:textId="19114998" w:rsidR="00BD52BA" w:rsidRPr="003938E6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1. Réunions</w:t>
            </w:r>
            <w:r w:rsidR="007031E0">
              <w:rPr>
                <w:b/>
                <w:sz w:val="18"/>
                <w:szCs w:val="18"/>
              </w:rPr>
              <w:t xml:space="preserve"> des </w:t>
            </w:r>
            <w:r w:rsidRPr="003938E6">
              <w:rPr>
                <w:b/>
                <w:sz w:val="18"/>
                <w:szCs w:val="18"/>
              </w:rPr>
              <w:t>organes de</w:t>
            </w:r>
            <w:r w:rsidR="007031E0">
              <w:rPr>
                <w:b/>
                <w:sz w:val="18"/>
                <w:szCs w:val="18"/>
              </w:rPr>
              <w:t xml:space="preserve"> la </w:t>
            </w:r>
            <w:r w:rsidRPr="003938E6">
              <w:rPr>
                <w:b/>
                <w:sz w:val="18"/>
                <w:szCs w:val="18"/>
              </w:rPr>
              <w:t>Plateforme</w:t>
            </w:r>
          </w:p>
        </w:tc>
        <w:tc>
          <w:tcPr>
            <w:tcW w:w="848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5A05" w14:textId="77777777" w:rsidR="00BD52BA" w:rsidRPr="003938E6" w:rsidRDefault="00BD52BA" w:rsidP="003938E6">
            <w:pPr>
              <w:spacing w:before="40" w:after="40"/>
              <w:rPr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595E" w14:textId="77777777" w:rsidR="00BD52BA" w:rsidRPr="003938E6" w:rsidRDefault="00BD52BA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462F" w14:textId="77777777" w:rsidR="00BD52BA" w:rsidRPr="003938E6" w:rsidRDefault="00BD52BA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D52BA" w:rsidRPr="003F3120" w14:paraId="32885793" w14:textId="77777777" w:rsidTr="00BD52BA">
        <w:trPr>
          <w:trHeight w:val="20"/>
          <w:jc w:val="right"/>
        </w:trPr>
        <w:tc>
          <w:tcPr>
            <w:tcW w:w="271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1EC4" w14:textId="5895EB66" w:rsidR="00BD52BA" w:rsidRPr="003938E6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 xml:space="preserve">1.1 </w:t>
            </w:r>
            <w:r w:rsidRPr="003938E6">
              <w:rPr>
                <w:b/>
                <w:bCs/>
                <w:sz w:val="18"/>
                <w:szCs w:val="18"/>
              </w:rPr>
              <w:t>Sessions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938E6">
              <w:rPr>
                <w:b/>
                <w:bCs/>
                <w:sz w:val="18"/>
                <w:szCs w:val="18"/>
              </w:rPr>
              <w:t>Plénière</w:t>
            </w:r>
            <w:r w:rsidRPr="003938E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3FCA" w14:textId="77777777" w:rsidR="00BD52BA" w:rsidRPr="003938E6" w:rsidRDefault="00BD52BA" w:rsidP="003938E6">
            <w:pPr>
              <w:spacing w:before="40" w:after="40"/>
              <w:rPr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E226" w14:textId="77777777" w:rsidR="00BD52BA" w:rsidRPr="003938E6" w:rsidRDefault="00BD52BA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9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CDBC" w14:textId="77777777" w:rsidR="00BD52BA" w:rsidRPr="003938E6" w:rsidRDefault="00BD52BA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D52BA" w:rsidRPr="003F3120" w14:paraId="5CF75DCE" w14:textId="77777777" w:rsidTr="00BD52BA">
        <w:trPr>
          <w:trHeight w:val="20"/>
          <w:jc w:val="right"/>
        </w:trPr>
        <w:tc>
          <w:tcPr>
            <w:tcW w:w="27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77AC" w14:textId="273BB7B2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participants à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 xml:space="preserve">sixième session (frais de voyage et indemnité journalière de subsistance) </w:t>
            </w:r>
          </w:p>
        </w:tc>
        <w:tc>
          <w:tcPr>
            <w:tcW w:w="8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D015" w14:textId="05086639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A43A" w14:textId="011CF167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  <w:r w:rsidR="00BD52BA" w:rsidRPr="003F3120">
              <w:rPr>
                <w:sz w:val="18"/>
                <w:szCs w:val="18"/>
              </w:rPr>
              <w:t>552</w:t>
            </w:r>
          </w:p>
        </w:tc>
        <w:tc>
          <w:tcPr>
            <w:tcW w:w="5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FC71" w14:textId="6136D544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  <w:r w:rsidR="00BD52BA" w:rsidRPr="003F3120">
              <w:rPr>
                <w:sz w:val="18"/>
                <w:szCs w:val="18"/>
              </w:rPr>
              <w:t>448</w:t>
            </w:r>
          </w:p>
        </w:tc>
      </w:tr>
      <w:tr w:rsidR="00BD52BA" w:rsidRPr="003F3120" w14:paraId="4F30F5D2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911D" w14:textId="77777777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Services de conférence (traduction, édition et interprétation)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C0E0" w14:textId="12468AD1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1 065 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4C30" w14:textId="5B47989C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1 115 </w:t>
            </w:r>
            <w:r w:rsidR="00BD52BA" w:rsidRPr="003F3120">
              <w:rPr>
                <w:sz w:val="18"/>
                <w:szCs w:val="18"/>
              </w:rPr>
              <w:t>604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75D4" w14:textId="1D2343FD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(50 </w:t>
            </w:r>
            <w:r w:rsidR="00BD52BA" w:rsidRPr="003F3120">
              <w:rPr>
                <w:sz w:val="18"/>
                <w:szCs w:val="18"/>
              </w:rPr>
              <w:t>604)</w:t>
            </w:r>
          </w:p>
        </w:tc>
      </w:tr>
      <w:tr w:rsidR="00BD52BA" w:rsidRPr="003F3120" w14:paraId="5AFCA83C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4EC9" w14:textId="6A1E0DFE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Services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établissement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rapports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322A" w14:textId="47DA652A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3121" w14:textId="194BE790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  <w:r w:rsidR="00BD52BA" w:rsidRPr="003F3120">
              <w:rPr>
                <w:sz w:val="18"/>
                <w:szCs w:val="18"/>
              </w:rPr>
              <w:t>894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777B" w14:textId="27E7535D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  <w:r w:rsidR="00BD52BA" w:rsidRPr="003F3120">
              <w:rPr>
                <w:sz w:val="18"/>
                <w:szCs w:val="18"/>
              </w:rPr>
              <w:t>106</w:t>
            </w:r>
          </w:p>
        </w:tc>
      </w:tr>
      <w:tr w:rsidR="00BD52BA" w:rsidRPr="003F3120" w14:paraId="0F290796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FE0F" w14:textId="77777777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 xml:space="preserve">Sécurité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4D62" w14:textId="2B352036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6A76" w14:textId="07888589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  <w:r w:rsidR="00BD52BA" w:rsidRPr="003F3120">
              <w:rPr>
                <w:sz w:val="18"/>
                <w:szCs w:val="18"/>
              </w:rPr>
              <w:t>036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241B" w14:textId="175887B0" w:rsidR="00BD52BA" w:rsidRPr="003F3120" w:rsidRDefault="00DC4991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  <w:r w:rsidR="00BD52BA" w:rsidRPr="003F3120">
              <w:rPr>
                <w:sz w:val="18"/>
                <w:szCs w:val="18"/>
              </w:rPr>
              <w:t>964</w:t>
            </w:r>
          </w:p>
        </w:tc>
      </w:tr>
      <w:tr w:rsidR="00BD52BA" w:rsidRPr="003F3120" w14:paraId="73626FA6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4CEFF" w14:textId="562A43D2" w:rsidR="00BD52BA" w:rsidRPr="003F3120" w:rsidRDefault="00A34602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b/>
                <w:bCs/>
                <w:sz w:val="18"/>
                <w:szCs w:val="18"/>
              </w:rPr>
              <w:lastRenderedPageBreak/>
              <w:t>Total partiel </w:t>
            </w:r>
            <w:r w:rsidR="00BD52BA" w:rsidRPr="003F3120">
              <w:rPr>
                <w:b/>
                <w:bCs/>
                <w:sz w:val="18"/>
                <w:szCs w:val="18"/>
              </w:rPr>
              <w:t>1.1, Sessions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F3120">
              <w:rPr>
                <w:b/>
                <w:bCs/>
                <w:sz w:val="18"/>
                <w:szCs w:val="18"/>
              </w:rPr>
              <w:t>Plénière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5EDBF" w14:textId="0C28DE4D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1 730 </w:t>
            </w:r>
            <w:r w:rsidR="00BD52BA" w:rsidRPr="003938E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E7B74" w14:textId="430AE868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1 550 </w:t>
            </w:r>
            <w:r w:rsidR="00BD52BA" w:rsidRPr="003938E6">
              <w:rPr>
                <w:b/>
                <w:sz w:val="18"/>
                <w:szCs w:val="18"/>
              </w:rPr>
              <w:t>086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2B40E" w14:textId="77F0F13D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179 </w:t>
            </w:r>
            <w:r w:rsidR="00BD52BA" w:rsidRPr="003938E6">
              <w:rPr>
                <w:b/>
                <w:sz w:val="18"/>
                <w:szCs w:val="18"/>
              </w:rPr>
              <w:t>914</w:t>
            </w:r>
          </w:p>
        </w:tc>
      </w:tr>
      <w:tr w:rsidR="00BD52BA" w:rsidRPr="000C25F6" w14:paraId="7D24B99D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22918" w14:textId="45683D0D" w:rsidR="00BD52BA" w:rsidRPr="003F3120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 xml:space="preserve">1.2 </w:t>
            </w:r>
            <w:r w:rsidRPr="003938E6">
              <w:rPr>
                <w:b/>
                <w:bCs/>
                <w:sz w:val="18"/>
                <w:szCs w:val="18"/>
              </w:rPr>
              <w:t>Sessions du Bureau et du Groupe d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Pr="003938E6">
              <w:rPr>
                <w:b/>
                <w:bCs/>
                <w:sz w:val="18"/>
                <w:szCs w:val="18"/>
              </w:rPr>
              <w:t xml:space="preserve">experts </w:t>
            </w:r>
            <w:r w:rsidRPr="003F3120">
              <w:rPr>
                <w:b/>
                <w:bCs/>
                <w:sz w:val="18"/>
                <w:szCs w:val="18"/>
              </w:rPr>
              <w:t>multidisciplinaire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45E0" w14:textId="77777777" w:rsidR="00BD52BA" w:rsidRPr="003938E6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87924" w14:textId="77777777" w:rsidR="00BD52BA" w:rsidRPr="003938E6" w:rsidRDefault="00BD52BA" w:rsidP="003938E6">
            <w:pPr>
              <w:spacing w:before="4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C40F4" w14:textId="77777777" w:rsidR="00BD52BA" w:rsidRPr="003938E6" w:rsidRDefault="00BD52BA" w:rsidP="003938E6">
            <w:pPr>
              <w:spacing w:before="4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BD52BA" w:rsidRPr="003F3120" w14:paraId="6AB80F8C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A84F" w14:textId="1DEB8CAC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 et coût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réunions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participants à deux sessions du Bureau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A44F" w14:textId="56999316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  <w:r w:rsidR="00BD52BA" w:rsidRPr="003F3120">
              <w:rPr>
                <w:sz w:val="18"/>
                <w:szCs w:val="18"/>
              </w:rPr>
              <w:t>900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3AB9" w14:textId="7E18AE74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  <w:r w:rsidR="00BD52BA" w:rsidRPr="003F3120">
              <w:rPr>
                <w:sz w:val="18"/>
                <w:szCs w:val="18"/>
              </w:rPr>
              <w:t>029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A4BF" w14:textId="4F2C7959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  <w:r w:rsidR="00BD52BA" w:rsidRPr="003F3120">
              <w:rPr>
                <w:sz w:val="18"/>
                <w:szCs w:val="18"/>
              </w:rPr>
              <w:t>871</w:t>
            </w:r>
          </w:p>
        </w:tc>
      </w:tr>
      <w:tr w:rsidR="00BD52BA" w:rsidRPr="003F3120" w14:paraId="4F44E5CD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57BC" w14:textId="1AD62E07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 et coût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réunions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participants à deux sessions du Groupe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experts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9406" w14:textId="45A97C5B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8405" w14:textId="6136DCC1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  <w:r w:rsidR="00BD52BA" w:rsidRPr="003F3120">
              <w:rPr>
                <w:sz w:val="18"/>
                <w:szCs w:val="18"/>
              </w:rPr>
              <w:t>200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857D" w14:textId="2E4E18E6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  <w:r w:rsidR="00BD52BA" w:rsidRPr="003F3120">
              <w:rPr>
                <w:sz w:val="18"/>
                <w:szCs w:val="18"/>
              </w:rPr>
              <w:t>800</w:t>
            </w:r>
          </w:p>
        </w:tc>
      </w:tr>
      <w:tr w:rsidR="00BD52BA" w:rsidRPr="003F3120" w14:paraId="66568CD0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B7B3" w14:textId="7F24FE8B" w:rsidR="00BD52BA" w:rsidRPr="003F3120" w:rsidRDefault="00A34602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b/>
                <w:bCs/>
                <w:sz w:val="18"/>
                <w:szCs w:val="18"/>
              </w:rPr>
              <w:t>Total partiel </w:t>
            </w:r>
            <w:r w:rsidR="00BD52BA" w:rsidRPr="003F3120">
              <w:rPr>
                <w:b/>
                <w:bCs/>
                <w:sz w:val="18"/>
                <w:szCs w:val="18"/>
              </w:rPr>
              <w:t>1.2, Sessions du Bureau et du Groupe d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F3120">
              <w:rPr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19C7" w14:textId="36869D14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240 </w:t>
            </w:r>
            <w:r w:rsidR="00BD52BA" w:rsidRPr="003938E6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DD9A2" w14:textId="5468CD72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185 </w:t>
            </w:r>
            <w:r w:rsidR="00BD52BA" w:rsidRPr="003938E6">
              <w:rPr>
                <w:b/>
                <w:sz w:val="18"/>
                <w:szCs w:val="18"/>
              </w:rPr>
              <w:t>229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2FCBC" w14:textId="17458EAD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55 </w:t>
            </w:r>
            <w:r w:rsidR="00BD52BA" w:rsidRPr="003938E6">
              <w:rPr>
                <w:b/>
                <w:sz w:val="18"/>
                <w:szCs w:val="18"/>
              </w:rPr>
              <w:t>671</w:t>
            </w:r>
          </w:p>
        </w:tc>
      </w:tr>
      <w:tr w:rsidR="00BD52BA" w:rsidRPr="003F3120" w14:paraId="5140650D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0392" w14:textId="651CF2BF" w:rsidR="00BD52BA" w:rsidRPr="003F3120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 xml:space="preserve">1.3 </w:t>
            </w:r>
            <w:r w:rsidRPr="003938E6">
              <w:rPr>
                <w:b/>
                <w:bCs/>
                <w:sz w:val="18"/>
                <w:szCs w:val="18"/>
              </w:rPr>
              <w:t>Frais de voyage du Président pour représenter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F312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C31E" w14:textId="392D2A5D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30 </w:t>
            </w:r>
            <w:r w:rsidR="00BD52BA" w:rsidRPr="003938E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FE4" w14:textId="77777777" w:rsidR="00BD52BA" w:rsidRPr="003938E6" w:rsidRDefault="00BD52BA" w:rsidP="003938E6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F713" w14:textId="32BDDFA4" w:rsidR="00BD52BA" w:rsidRPr="003938E6" w:rsidRDefault="00A57827" w:rsidP="003938E6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30 </w:t>
            </w:r>
            <w:r w:rsidR="00BD52BA" w:rsidRPr="003938E6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6D66C4C1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172B3" w14:textId="0F4FCF6B" w:rsidR="00BD52BA" w:rsidRPr="003F3120" w:rsidRDefault="00A34602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b/>
                <w:bCs/>
                <w:sz w:val="18"/>
                <w:szCs w:val="18"/>
              </w:rPr>
              <w:t>Total partiel </w:t>
            </w:r>
            <w:r w:rsidR="00BD52BA" w:rsidRPr="003F3120">
              <w:rPr>
                <w:b/>
                <w:bCs/>
                <w:sz w:val="18"/>
                <w:szCs w:val="18"/>
              </w:rPr>
              <w:t>1, Réunions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F3120">
              <w:rPr>
                <w:b/>
                <w:bCs/>
                <w:sz w:val="18"/>
                <w:szCs w:val="18"/>
              </w:rPr>
              <w:t>organes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F312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A01BC" w14:textId="4BBBF69D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2 000 </w:t>
            </w:r>
            <w:r w:rsidR="00BD52BA" w:rsidRPr="003938E6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178CB" w14:textId="23652DC3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1 735 </w:t>
            </w:r>
            <w:r w:rsidR="00BD52BA" w:rsidRPr="003938E6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3C203" w14:textId="79FB36D3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265 </w:t>
            </w:r>
            <w:r w:rsidR="00BD52BA" w:rsidRPr="003938E6">
              <w:rPr>
                <w:b/>
                <w:sz w:val="18"/>
                <w:szCs w:val="18"/>
              </w:rPr>
              <w:t>585</w:t>
            </w:r>
          </w:p>
        </w:tc>
      </w:tr>
      <w:tr w:rsidR="00BD52BA" w:rsidRPr="000C25F6" w14:paraId="1313A343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70DE3" w14:textId="77777777" w:rsidR="00BD52BA" w:rsidRPr="003938E6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 xml:space="preserve">2. </w:t>
            </w:r>
            <w:r w:rsidRPr="003938E6">
              <w:rPr>
                <w:b/>
                <w:bCs/>
                <w:sz w:val="18"/>
                <w:szCs w:val="18"/>
              </w:rPr>
              <w:t>Mise en œuvre du programme de travail</w:t>
            </w:r>
            <w:r w:rsidRPr="003938E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C74FD" w14:textId="77777777" w:rsidR="00BD52BA" w:rsidRPr="003938E6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0D83E" w14:textId="77777777" w:rsidR="00BD52BA" w:rsidRPr="003938E6" w:rsidRDefault="00BD52BA" w:rsidP="003938E6">
            <w:pPr>
              <w:spacing w:before="4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47D32" w14:textId="77777777" w:rsidR="00BD52BA" w:rsidRPr="003938E6" w:rsidRDefault="00BD52BA" w:rsidP="003938E6">
            <w:pPr>
              <w:spacing w:before="4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BD52BA" w:rsidRPr="003F3120" w14:paraId="12A62D1F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AFF61" w14:textId="611F2060" w:rsidR="00BD52BA" w:rsidRPr="003938E6" w:rsidRDefault="00A34602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2.1 Objectif </w:t>
            </w:r>
            <w:r w:rsidR="00BD52BA" w:rsidRPr="003938E6">
              <w:rPr>
                <w:b/>
                <w:sz w:val="18"/>
                <w:szCs w:val="18"/>
              </w:rPr>
              <w:t>1</w:t>
            </w:r>
            <w:r w:rsidR="00FD5D6A" w:rsidRPr="003938E6">
              <w:rPr>
                <w:b/>
                <w:sz w:val="18"/>
                <w:szCs w:val="18"/>
              </w:rPr>
              <w:t> :</w:t>
            </w:r>
            <w:r w:rsidR="00BD52BA" w:rsidRPr="003938E6">
              <w:rPr>
                <w:b/>
                <w:sz w:val="18"/>
                <w:szCs w:val="18"/>
              </w:rPr>
              <w:t xml:space="preserve"> </w:t>
            </w:r>
            <w:r w:rsidR="00ED5F61" w:rsidRPr="003938E6">
              <w:rPr>
                <w:b/>
                <w:sz w:val="18"/>
                <w:szCs w:val="18"/>
              </w:rPr>
              <w:t>R</w:t>
            </w:r>
            <w:r w:rsidR="00BD52BA" w:rsidRPr="003938E6">
              <w:rPr>
                <w:b/>
                <w:sz w:val="18"/>
                <w:szCs w:val="18"/>
              </w:rPr>
              <w:t>enforcer</w:t>
            </w:r>
            <w:r w:rsidR="007031E0">
              <w:rPr>
                <w:b/>
                <w:sz w:val="18"/>
                <w:szCs w:val="18"/>
              </w:rPr>
              <w:t xml:space="preserve"> les </w:t>
            </w:r>
            <w:r w:rsidR="00BD52BA" w:rsidRPr="003938E6">
              <w:rPr>
                <w:b/>
                <w:sz w:val="18"/>
                <w:szCs w:val="18"/>
              </w:rPr>
              <w:t>capacités et</w:t>
            </w:r>
            <w:r w:rsidR="007031E0">
              <w:rPr>
                <w:b/>
                <w:sz w:val="18"/>
                <w:szCs w:val="18"/>
              </w:rPr>
              <w:t xml:space="preserve"> les </w:t>
            </w:r>
            <w:r w:rsidR="00BD52BA" w:rsidRPr="003938E6">
              <w:rPr>
                <w:b/>
                <w:sz w:val="18"/>
                <w:szCs w:val="18"/>
              </w:rPr>
              <w:t>connaissances concernant l</w:t>
            </w:r>
            <w:r w:rsidR="00FA5ADB">
              <w:rPr>
                <w:b/>
                <w:sz w:val="18"/>
                <w:szCs w:val="18"/>
              </w:rPr>
              <w:t>’</w:t>
            </w:r>
            <w:r w:rsidR="00BD52BA" w:rsidRPr="003938E6">
              <w:rPr>
                <w:b/>
                <w:sz w:val="18"/>
                <w:szCs w:val="18"/>
              </w:rPr>
              <w:t>interface science-politique</w:t>
            </w:r>
            <w:r w:rsidR="00ED5F61" w:rsidRPr="003938E6">
              <w:rPr>
                <w:b/>
                <w:sz w:val="18"/>
                <w:szCs w:val="18"/>
              </w:rPr>
              <w:t>s</w:t>
            </w:r>
            <w:r w:rsidR="00BD52BA" w:rsidRPr="003938E6">
              <w:rPr>
                <w:b/>
                <w:sz w:val="18"/>
                <w:szCs w:val="18"/>
              </w:rPr>
              <w:t xml:space="preserve"> pour que</w:t>
            </w:r>
            <w:r w:rsidR="007031E0">
              <w:rPr>
                <w:b/>
                <w:sz w:val="18"/>
                <w:szCs w:val="18"/>
              </w:rPr>
              <w:t xml:space="preserve"> la </w:t>
            </w:r>
            <w:r w:rsidR="00BD52BA" w:rsidRPr="003938E6">
              <w:rPr>
                <w:b/>
                <w:sz w:val="18"/>
                <w:szCs w:val="18"/>
              </w:rPr>
              <w:t>Plateforme puisse s</w:t>
            </w:r>
            <w:r w:rsidR="00FA5ADB">
              <w:rPr>
                <w:b/>
                <w:sz w:val="18"/>
                <w:szCs w:val="18"/>
              </w:rPr>
              <w:t>’</w:t>
            </w:r>
            <w:r w:rsidR="00BD52BA" w:rsidRPr="003938E6">
              <w:rPr>
                <w:b/>
                <w:sz w:val="18"/>
                <w:szCs w:val="18"/>
              </w:rPr>
              <w:t>acquitter de ses</w:t>
            </w:r>
            <w:r w:rsidR="003938E6">
              <w:rPr>
                <w:b/>
                <w:sz w:val="18"/>
                <w:szCs w:val="18"/>
              </w:rPr>
              <w:t> </w:t>
            </w:r>
            <w:r w:rsidR="00BD52BA" w:rsidRPr="003938E6">
              <w:rPr>
                <w:b/>
                <w:sz w:val="18"/>
                <w:szCs w:val="18"/>
              </w:rPr>
              <w:t>principales fonctions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4155C" w14:textId="57A4FFB0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861 </w:t>
            </w:r>
            <w:r w:rsidR="00BD52BA" w:rsidRPr="003938E6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464A1" w14:textId="22D0743C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698 </w:t>
            </w:r>
            <w:r w:rsidR="00BD52BA" w:rsidRPr="003938E6">
              <w:rPr>
                <w:b/>
                <w:sz w:val="18"/>
                <w:szCs w:val="18"/>
              </w:rPr>
              <w:t>233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55839" w14:textId="38D96A9A" w:rsidR="00BD52BA" w:rsidRPr="003938E6" w:rsidRDefault="00A57827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163 </w:t>
            </w:r>
            <w:r w:rsidR="00BD52BA" w:rsidRPr="003938E6">
              <w:rPr>
                <w:b/>
                <w:sz w:val="18"/>
                <w:szCs w:val="18"/>
              </w:rPr>
              <w:t>017</w:t>
            </w:r>
          </w:p>
        </w:tc>
      </w:tr>
      <w:tr w:rsidR="00BD52BA" w:rsidRPr="003F3120" w14:paraId="3BA302D6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DAA66" w14:textId="19EC46A5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a) Besoins en matière de renforcement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capacités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BE01" w14:textId="0BA1246A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  <w:r w:rsidR="00BD52BA" w:rsidRPr="003F3120">
              <w:rPr>
                <w:sz w:val="18"/>
                <w:szCs w:val="18"/>
              </w:rPr>
              <w:t>750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19FB" w14:textId="574389FA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  <w:r w:rsidR="00BD52BA" w:rsidRPr="003F3120">
              <w:rPr>
                <w:sz w:val="18"/>
                <w:szCs w:val="18"/>
              </w:rPr>
              <w:t>143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A86B" w14:textId="6C1B12B1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  <w:r w:rsidR="00BD52BA" w:rsidRPr="003F3120">
              <w:rPr>
                <w:sz w:val="18"/>
                <w:szCs w:val="18"/>
              </w:rPr>
              <w:t>607</w:t>
            </w:r>
          </w:p>
        </w:tc>
      </w:tr>
      <w:tr w:rsidR="00BD52BA" w:rsidRPr="003F3120" w14:paraId="74277942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0B025" w14:textId="0DDA3E18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b) Activités de renforcement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capacités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6491" w14:textId="5489ED3E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E285" w14:textId="0E7B78E1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  <w:r w:rsidR="00BD52BA" w:rsidRPr="003F3120">
              <w:rPr>
                <w:sz w:val="18"/>
                <w:szCs w:val="18"/>
              </w:rPr>
              <w:t>025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EBF8" w14:textId="6DB5A11A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  <w:r w:rsidR="00BD52BA" w:rsidRPr="003F3120">
              <w:rPr>
                <w:sz w:val="18"/>
                <w:szCs w:val="18"/>
              </w:rPr>
              <w:t>975</w:t>
            </w:r>
          </w:p>
        </w:tc>
      </w:tr>
      <w:tr w:rsidR="00BD52BA" w:rsidRPr="003F3120" w14:paraId="10E319F6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3D609" w14:textId="38EEEAC6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</w:t>
            </w:r>
            <w:r w:rsidR="00BD52BA" w:rsidRPr="003F3120">
              <w:rPr>
                <w:sz w:val="18"/>
                <w:szCs w:val="18"/>
              </w:rPr>
              <w:t>1 c) Savoirs autochtones et locaux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D0E3" w14:textId="76CECD35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  <w:r w:rsidR="00BD52BA" w:rsidRPr="003F3120">
              <w:rPr>
                <w:sz w:val="18"/>
                <w:szCs w:val="18"/>
              </w:rPr>
              <w:t>750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8874" w14:textId="508F846B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  <w:r w:rsidR="00BD52BA" w:rsidRPr="003F3120">
              <w:rPr>
                <w:sz w:val="18"/>
                <w:szCs w:val="18"/>
              </w:rPr>
              <w:t>065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AAE0" w14:textId="0697EBA4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  <w:r w:rsidR="00BD52BA" w:rsidRPr="003F3120">
              <w:rPr>
                <w:sz w:val="18"/>
                <w:szCs w:val="18"/>
              </w:rPr>
              <w:t>685</w:t>
            </w:r>
          </w:p>
        </w:tc>
      </w:tr>
      <w:tr w:rsidR="00BD52BA" w:rsidRPr="003F3120" w14:paraId="589CE9D6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7A9E3" w14:textId="0928817A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</w:t>
            </w:r>
            <w:r w:rsidR="00BD52BA" w:rsidRPr="003F3120">
              <w:rPr>
                <w:sz w:val="18"/>
                <w:szCs w:val="18"/>
              </w:rPr>
              <w:t>1 d) Connaissances et données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D5A28" w14:textId="04876531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  <w:r w:rsidR="00BD52BA" w:rsidRPr="003F3120">
              <w:rPr>
                <w:sz w:val="18"/>
                <w:szCs w:val="18"/>
              </w:rPr>
              <w:t>750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89191" w14:textId="77777777" w:rsidR="00BD52BA" w:rsidRPr="003F3120" w:rsidRDefault="00BD52BA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–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23D9" w14:textId="58A7C675" w:rsidR="00BD52BA" w:rsidRPr="003F3120" w:rsidRDefault="00A57827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  <w:r w:rsidR="00BD52BA" w:rsidRPr="003F3120">
              <w:rPr>
                <w:sz w:val="18"/>
                <w:szCs w:val="18"/>
              </w:rPr>
              <w:t>750</w:t>
            </w:r>
          </w:p>
        </w:tc>
      </w:tr>
      <w:tr w:rsidR="00BD52BA" w:rsidRPr="003F3120" w14:paraId="37EC70F9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C3A4D1" w14:textId="1E5AE3BF" w:rsidR="00BD52BA" w:rsidRPr="003938E6" w:rsidRDefault="00A34602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2.2 Objectif 2</w:t>
            </w:r>
            <w:r w:rsidR="00FD5D6A" w:rsidRPr="003938E6">
              <w:rPr>
                <w:b/>
                <w:sz w:val="18"/>
                <w:szCs w:val="18"/>
              </w:rPr>
              <w:t> :</w:t>
            </w:r>
            <w:r w:rsidR="00BD52BA" w:rsidRPr="003938E6">
              <w:rPr>
                <w:b/>
                <w:sz w:val="18"/>
                <w:szCs w:val="18"/>
              </w:rPr>
              <w:t xml:space="preserve"> Renforcer l</w:t>
            </w:r>
            <w:r w:rsidR="00FA5ADB">
              <w:rPr>
                <w:b/>
                <w:sz w:val="18"/>
                <w:szCs w:val="18"/>
              </w:rPr>
              <w:t>’</w:t>
            </w:r>
            <w:r w:rsidR="00BD52BA" w:rsidRPr="003938E6">
              <w:rPr>
                <w:b/>
                <w:sz w:val="18"/>
                <w:szCs w:val="18"/>
              </w:rPr>
              <w:t>interface science-politique</w:t>
            </w:r>
            <w:r w:rsidR="00ED5F61" w:rsidRPr="003938E6">
              <w:rPr>
                <w:b/>
                <w:sz w:val="18"/>
                <w:szCs w:val="18"/>
              </w:rPr>
              <w:t>s</w:t>
            </w:r>
            <w:r w:rsidR="00BD52BA" w:rsidRPr="003938E6">
              <w:rPr>
                <w:b/>
                <w:sz w:val="18"/>
                <w:szCs w:val="18"/>
              </w:rPr>
              <w:t xml:space="preserve"> dans</w:t>
            </w:r>
            <w:r w:rsidR="007031E0">
              <w:rPr>
                <w:b/>
                <w:sz w:val="18"/>
                <w:szCs w:val="18"/>
              </w:rPr>
              <w:t xml:space="preserve"> le </w:t>
            </w:r>
            <w:r w:rsidR="00BD52BA" w:rsidRPr="003938E6">
              <w:rPr>
                <w:b/>
                <w:sz w:val="18"/>
                <w:szCs w:val="18"/>
              </w:rPr>
              <w:t>domaine de</w:t>
            </w:r>
            <w:r w:rsidR="007031E0">
              <w:rPr>
                <w:b/>
                <w:sz w:val="18"/>
                <w:szCs w:val="18"/>
              </w:rPr>
              <w:t xml:space="preserve"> la </w:t>
            </w:r>
            <w:r w:rsidR="00BD52BA" w:rsidRPr="003938E6">
              <w:rPr>
                <w:b/>
                <w:sz w:val="18"/>
                <w:szCs w:val="18"/>
              </w:rPr>
              <w:t>biodiversité et</w:t>
            </w:r>
            <w:r w:rsidR="007031E0">
              <w:rPr>
                <w:b/>
                <w:sz w:val="18"/>
                <w:szCs w:val="18"/>
              </w:rPr>
              <w:t xml:space="preserve"> des </w:t>
            </w:r>
            <w:r w:rsidR="00BD52BA" w:rsidRPr="003938E6">
              <w:rPr>
                <w:b/>
                <w:sz w:val="18"/>
                <w:szCs w:val="18"/>
              </w:rPr>
              <w:t>services écosystémiques aux niveaux sous-régional, régional et mondial ainsi que de manière transversale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692E1" w14:textId="22818B9A" w:rsidR="00BD52BA" w:rsidRPr="003938E6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1 310 </w:t>
            </w:r>
            <w:r w:rsidR="00BD52BA" w:rsidRPr="003938E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DC158" w14:textId="2859FE08" w:rsidR="00BD52BA" w:rsidRPr="003938E6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911 </w:t>
            </w:r>
            <w:r w:rsidR="00BD52BA" w:rsidRPr="003938E6">
              <w:rPr>
                <w:b/>
                <w:sz w:val="18"/>
                <w:szCs w:val="18"/>
              </w:rPr>
              <w:t>936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F0D42" w14:textId="6BD1F3A2" w:rsidR="00BD52BA" w:rsidRPr="003938E6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398 </w:t>
            </w:r>
            <w:r w:rsidR="00BD52BA" w:rsidRPr="003938E6">
              <w:rPr>
                <w:b/>
                <w:sz w:val="18"/>
                <w:szCs w:val="18"/>
              </w:rPr>
              <w:t>064</w:t>
            </w:r>
          </w:p>
        </w:tc>
      </w:tr>
      <w:tr w:rsidR="00BD52BA" w:rsidRPr="003F3120" w14:paraId="0E72CD89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CBB0" w14:textId="1A31F56F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2 </w:t>
            </w:r>
            <w:r w:rsidR="00BD52BA" w:rsidRPr="003F3120">
              <w:rPr>
                <w:sz w:val="18"/>
                <w:szCs w:val="18"/>
              </w:rPr>
              <w:t>b) Évaluations régionales et sous-régionales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E07F" w14:textId="478F45F4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65DD" w14:textId="7A121B74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  <w:r w:rsidR="00BD52BA" w:rsidRPr="003F3120">
              <w:rPr>
                <w:sz w:val="18"/>
                <w:szCs w:val="18"/>
              </w:rPr>
              <w:t>510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C7B2" w14:textId="6FD8DBAD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  <w:r w:rsidR="00BD52BA" w:rsidRPr="003F3120">
              <w:rPr>
                <w:sz w:val="18"/>
                <w:szCs w:val="18"/>
              </w:rPr>
              <w:t>490</w:t>
            </w:r>
          </w:p>
        </w:tc>
      </w:tr>
      <w:tr w:rsidR="00BD52BA" w:rsidRPr="003F3120" w14:paraId="3907AB43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3BA63" w14:textId="76BE66E9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2 </w:t>
            </w:r>
            <w:r w:rsidR="00BD52BA" w:rsidRPr="003F3120">
              <w:rPr>
                <w:sz w:val="18"/>
                <w:szCs w:val="18"/>
              </w:rPr>
              <w:t>c) Évaluation mondiale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25BF3" w14:textId="0A92D900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1 025 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E805F" w14:textId="1BFF7623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752 </w:t>
            </w:r>
            <w:r w:rsidR="00BD52BA" w:rsidRPr="003F3120">
              <w:rPr>
                <w:sz w:val="18"/>
                <w:szCs w:val="18"/>
              </w:rPr>
              <w:t>426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FA988" w14:textId="6EA058A6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  <w:r w:rsidR="00BD52BA" w:rsidRPr="003F3120">
              <w:rPr>
                <w:sz w:val="18"/>
                <w:szCs w:val="18"/>
              </w:rPr>
              <w:t>574</w:t>
            </w:r>
          </w:p>
        </w:tc>
      </w:tr>
      <w:tr w:rsidR="00BD52BA" w:rsidRPr="003F3120" w14:paraId="3FA3FE93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41EF8B" w14:textId="54AA4A11" w:rsidR="00BD52BA" w:rsidRPr="003938E6" w:rsidRDefault="00A34602" w:rsidP="003938E6">
            <w:pPr>
              <w:keepNext/>
              <w:keepLines/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2.3 Objectif 3</w:t>
            </w:r>
            <w:r w:rsidR="00FD5D6A" w:rsidRPr="003938E6">
              <w:rPr>
                <w:b/>
                <w:sz w:val="18"/>
                <w:szCs w:val="18"/>
              </w:rPr>
              <w:t> :</w:t>
            </w:r>
            <w:r w:rsidR="00BD52BA" w:rsidRPr="003938E6">
              <w:rPr>
                <w:b/>
                <w:sz w:val="18"/>
                <w:szCs w:val="18"/>
              </w:rPr>
              <w:t xml:space="preserve"> Renforcer l</w:t>
            </w:r>
            <w:r w:rsidR="00FA5ADB">
              <w:rPr>
                <w:b/>
                <w:sz w:val="18"/>
                <w:szCs w:val="18"/>
              </w:rPr>
              <w:t>’</w:t>
            </w:r>
            <w:r w:rsidR="00BD52BA" w:rsidRPr="003938E6">
              <w:rPr>
                <w:b/>
                <w:sz w:val="18"/>
                <w:szCs w:val="18"/>
              </w:rPr>
              <w:t>interface science-politique</w:t>
            </w:r>
            <w:r w:rsidR="00ED5F61" w:rsidRPr="003938E6">
              <w:rPr>
                <w:b/>
                <w:sz w:val="18"/>
                <w:szCs w:val="18"/>
              </w:rPr>
              <w:t>s</w:t>
            </w:r>
            <w:r w:rsidR="00BD52BA" w:rsidRPr="003938E6">
              <w:rPr>
                <w:b/>
                <w:sz w:val="18"/>
                <w:szCs w:val="18"/>
              </w:rPr>
              <w:t xml:space="preserve"> sur</w:t>
            </w:r>
            <w:r w:rsidR="007031E0">
              <w:rPr>
                <w:b/>
                <w:sz w:val="18"/>
                <w:szCs w:val="18"/>
              </w:rPr>
              <w:t xml:space="preserve"> la </w:t>
            </w:r>
            <w:r w:rsidR="00BD52BA" w:rsidRPr="003938E6">
              <w:rPr>
                <w:b/>
                <w:sz w:val="18"/>
                <w:szCs w:val="18"/>
              </w:rPr>
              <w:t>biodiversité et</w:t>
            </w:r>
            <w:r w:rsidR="007031E0">
              <w:rPr>
                <w:b/>
                <w:sz w:val="18"/>
                <w:szCs w:val="18"/>
              </w:rPr>
              <w:t xml:space="preserve"> les </w:t>
            </w:r>
            <w:r w:rsidR="00BD52BA" w:rsidRPr="003938E6">
              <w:rPr>
                <w:b/>
                <w:sz w:val="18"/>
                <w:szCs w:val="18"/>
              </w:rPr>
              <w:t>services écosystémiques s</w:t>
            </w:r>
            <w:r w:rsidR="00FA5ADB">
              <w:rPr>
                <w:b/>
                <w:sz w:val="18"/>
                <w:szCs w:val="18"/>
              </w:rPr>
              <w:t>’</w:t>
            </w:r>
            <w:r w:rsidR="00BD52BA" w:rsidRPr="003938E6">
              <w:rPr>
                <w:b/>
                <w:sz w:val="18"/>
                <w:szCs w:val="18"/>
              </w:rPr>
              <w:t>agissant</w:t>
            </w:r>
            <w:r w:rsidR="007031E0">
              <w:rPr>
                <w:b/>
                <w:sz w:val="18"/>
                <w:szCs w:val="18"/>
              </w:rPr>
              <w:t xml:space="preserve"> des </w:t>
            </w:r>
            <w:r w:rsidR="00BD52BA" w:rsidRPr="003938E6">
              <w:rPr>
                <w:b/>
                <w:sz w:val="18"/>
                <w:szCs w:val="18"/>
              </w:rPr>
              <w:t>questions thématiques et méthodologiques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FAF44" w14:textId="43C9131E" w:rsidR="00BD52BA" w:rsidRPr="003938E6" w:rsidRDefault="00AD3794" w:rsidP="003938E6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921 </w:t>
            </w:r>
            <w:r w:rsidR="00BD52BA" w:rsidRPr="003938E6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3A2A3" w14:textId="3B608629" w:rsidR="00BD52BA" w:rsidRPr="003938E6" w:rsidRDefault="00AD3794" w:rsidP="003938E6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963 </w:t>
            </w:r>
            <w:r w:rsidR="00BD52BA" w:rsidRPr="003938E6">
              <w:rPr>
                <w:b/>
                <w:sz w:val="18"/>
                <w:szCs w:val="18"/>
              </w:rPr>
              <w:t>228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32660" w14:textId="40AECAEB" w:rsidR="00BD52BA" w:rsidRPr="003938E6" w:rsidRDefault="00AD3794" w:rsidP="003938E6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(41 </w:t>
            </w:r>
            <w:r w:rsidR="00BD52BA" w:rsidRPr="003938E6">
              <w:rPr>
                <w:b/>
                <w:sz w:val="18"/>
                <w:szCs w:val="18"/>
              </w:rPr>
              <w:t>978)</w:t>
            </w:r>
          </w:p>
        </w:tc>
      </w:tr>
      <w:tr w:rsidR="00BD52BA" w:rsidRPr="003F3120" w14:paraId="2EC3ED95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A351B" w14:textId="7C812858" w:rsidR="00BD52BA" w:rsidRPr="003F3120" w:rsidRDefault="00A34602" w:rsidP="003938E6">
            <w:pPr>
              <w:keepNext/>
              <w:keepLines/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 3 b) </w:t>
            </w:r>
            <w:r w:rsidR="00BD52BA" w:rsidRPr="003F3120">
              <w:rPr>
                <w:sz w:val="18"/>
                <w:szCs w:val="18"/>
              </w:rPr>
              <w:t>i) Évaluation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dégradation et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restauration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terres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0F45" w14:textId="09956939" w:rsidR="00BD52BA" w:rsidRPr="003F3120" w:rsidRDefault="00AD3794" w:rsidP="003938E6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  <w:r w:rsidR="00BD52BA" w:rsidRPr="003F3120">
              <w:rPr>
                <w:sz w:val="18"/>
                <w:szCs w:val="18"/>
              </w:rPr>
              <w:t>250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A854" w14:textId="4C21207B" w:rsidR="00BD52BA" w:rsidRPr="003F3120" w:rsidRDefault="00AD3794" w:rsidP="003938E6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  <w:r w:rsidR="00BD52BA" w:rsidRPr="003F3120">
              <w:rPr>
                <w:sz w:val="18"/>
                <w:szCs w:val="18"/>
              </w:rPr>
              <w:t>268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6553" w14:textId="415C77A6" w:rsidR="00BD52BA" w:rsidRPr="003F3120" w:rsidRDefault="00AD3794" w:rsidP="003938E6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(2 </w:t>
            </w:r>
            <w:r w:rsidR="00BD52BA" w:rsidRPr="003F3120">
              <w:rPr>
                <w:sz w:val="18"/>
                <w:szCs w:val="18"/>
              </w:rPr>
              <w:t>018)</w:t>
            </w:r>
          </w:p>
        </w:tc>
      </w:tr>
      <w:tr w:rsidR="00BD52BA" w:rsidRPr="003F3120" w14:paraId="0C4111E7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2B19" w14:textId="250DA5DD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3 b) </w:t>
            </w:r>
            <w:r w:rsidR="00BD52BA" w:rsidRPr="003F3120">
              <w:rPr>
                <w:sz w:val="18"/>
                <w:szCs w:val="18"/>
              </w:rPr>
              <w:t>iii) Évaluation de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usage durable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espèces sauvages (première année)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19E0" w14:textId="190BDB96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7E44" w14:textId="01CEBB14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D304" w14:textId="77777777" w:rsidR="00BD52BA" w:rsidRPr="003F3120" w:rsidRDefault="00BD52BA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–</w:t>
            </w:r>
          </w:p>
        </w:tc>
      </w:tr>
      <w:tr w:rsidR="00BD52BA" w:rsidRPr="003F3120" w14:paraId="422D1AEB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88F67" w14:textId="77777777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3 c) Scénarios et modélisation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D01" w14:textId="1C361B6E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405B" w14:textId="6731C68C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  <w:r w:rsidR="00BD52BA" w:rsidRPr="003F3120">
              <w:rPr>
                <w:sz w:val="18"/>
                <w:szCs w:val="18"/>
              </w:rPr>
              <w:t>468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B999" w14:textId="665B1762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(12 </w:t>
            </w:r>
            <w:r w:rsidR="00BD52BA" w:rsidRPr="003F3120">
              <w:rPr>
                <w:sz w:val="18"/>
                <w:szCs w:val="18"/>
              </w:rPr>
              <w:t>468)</w:t>
            </w:r>
          </w:p>
        </w:tc>
      </w:tr>
      <w:tr w:rsidR="00BD52BA" w:rsidRPr="003F3120" w14:paraId="425D53E9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E7845" w14:textId="253E0650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3 d) Évaluation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valeurs (première année)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8D32C" w14:textId="70AA01B6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A0C3D" w14:textId="5302CB0E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  <w:r w:rsidR="00BD52BA" w:rsidRPr="003F3120">
              <w:rPr>
                <w:sz w:val="18"/>
                <w:szCs w:val="18"/>
              </w:rPr>
              <w:t>492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43E0D" w14:textId="6A6526A8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(27 </w:t>
            </w:r>
            <w:r w:rsidR="00BD52BA" w:rsidRPr="003F3120">
              <w:rPr>
                <w:sz w:val="18"/>
                <w:szCs w:val="18"/>
              </w:rPr>
              <w:t>492)</w:t>
            </w:r>
          </w:p>
        </w:tc>
      </w:tr>
      <w:tr w:rsidR="00BD52BA" w:rsidRPr="003F3120" w14:paraId="1B73E423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8EDA9" w14:textId="7A64ABAF" w:rsidR="00BD52BA" w:rsidRPr="003938E6" w:rsidRDefault="00BD52BA" w:rsidP="003938E6">
            <w:pPr>
              <w:keepNext/>
              <w:keepLines/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2.4 Objectif 4</w:t>
            </w:r>
            <w:r w:rsidR="00FD5D6A" w:rsidRPr="003938E6">
              <w:rPr>
                <w:b/>
                <w:sz w:val="18"/>
                <w:szCs w:val="18"/>
              </w:rPr>
              <w:t> :</w:t>
            </w:r>
            <w:r w:rsidRPr="003938E6">
              <w:rPr>
                <w:b/>
                <w:sz w:val="18"/>
                <w:szCs w:val="18"/>
              </w:rPr>
              <w:t xml:space="preserve"> Faire connaître et évaluer</w:t>
            </w:r>
            <w:r w:rsidR="007031E0">
              <w:rPr>
                <w:b/>
                <w:sz w:val="18"/>
                <w:szCs w:val="18"/>
              </w:rPr>
              <w:t xml:space="preserve"> les </w:t>
            </w:r>
            <w:r w:rsidRPr="003938E6">
              <w:rPr>
                <w:b/>
                <w:sz w:val="18"/>
                <w:szCs w:val="18"/>
              </w:rPr>
              <w:t>activités, produits et conclusions de</w:t>
            </w:r>
            <w:r w:rsidR="007031E0">
              <w:rPr>
                <w:b/>
                <w:sz w:val="18"/>
                <w:szCs w:val="18"/>
              </w:rPr>
              <w:t xml:space="preserve"> la </w:t>
            </w:r>
            <w:r w:rsidRPr="003938E6">
              <w:rPr>
                <w:b/>
                <w:sz w:val="18"/>
                <w:szCs w:val="18"/>
              </w:rPr>
              <w:t>Plateforme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221F9" w14:textId="7E6F4F8E" w:rsidR="00BD52BA" w:rsidRPr="003938E6" w:rsidRDefault="00AD3794" w:rsidP="003938E6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559 </w:t>
            </w:r>
            <w:r w:rsidR="00BD52BA" w:rsidRPr="003938E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DFC11" w14:textId="7BD8FA8D" w:rsidR="00BD52BA" w:rsidRPr="003938E6" w:rsidRDefault="00AD3794" w:rsidP="003938E6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554 </w:t>
            </w:r>
            <w:r w:rsidR="00BD52BA" w:rsidRPr="003938E6">
              <w:rPr>
                <w:b/>
                <w:sz w:val="18"/>
                <w:szCs w:val="18"/>
              </w:rPr>
              <w:t>539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BCAE7" w14:textId="0B543143" w:rsidR="00BD52BA" w:rsidRPr="003938E6" w:rsidRDefault="00AD3794" w:rsidP="003938E6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4 </w:t>
            </w:r>
            <w:r w:rsidR="00BD52BA" w:rsidRPr="003938E6">
              <w:rPr>
                <w:b/>
                <w:sz w:val="18"/>
                <w:szCs w:val="18"/>
              </w:rPr>
              <w:t>621</w:t>
            </w:r>
          </w:p>
        </w:tc>
      </w:tr>
      <w:tr w:rsidR="00BD52BA" w:rsidRPr="003F3120" w14:paraId="4E06A3D5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3D746" w14:textId="2364F740" w:rsidR="00BD52BA" w:rsidRPr="003F3120" w:rsidRDefault="00A34602" w:rsidP="003938E6">
            <w:pPr>
              <w:keepNext/>
              <w:keepLines/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4 </w:t>
            </w:r>
            <w:r w:rsidR="00BD52BA" w:rsidRPr="003F3120">
              <w:rPr>
                <w:sz w:val="18"/>
                <w:szCs w:val="18"/>
              </w:rPr>
              <w:t>a) Catalogue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évaluations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79FC" w14:textId="180460E7" w:rsidR="00BD52BA" w:rsidRPr="003F3120" w:rsidRDefault="00AD3794" w:rsidP="003938E6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56B" w14:textId="4D40D098" w:rsidR="00BD52BA" w:rsidRPr="003F3120" w:rsidRDefault="00AD3794" w:rsidP="003938E6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  <w:r w:rsidR="00BD52BA" w:rsidRPr="003F3120">
              <w:rPr>
                <w:sz w:val="18"/>
                <w:szCs w:val="18"/>
              </w:rPr>
              <w:t>991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D0CA" w14:textId="77777777" w:rsidR="00BD52BA" w:rsidRPr="003F3120" w:rsidRDefault="00BD52BA" w:rsidP="003938E6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(991)</w:t>
            </w:r>
          </w:p>
        </w:tc>
      </w:tr>
      <w:tr w:rsidR="00BD52BA" w:rsidRPr="003F3120" w14:paraId="0586B8E4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80309" w14:textId="3FA5BCD2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4 </w:t>
            </w:r>
            <w:r w:rsidR="00BD52BA" w:rsidRPr="003F3120">
              <w:rPr>
                <w:sz w:val="18"/>
                <w:szCs w:val="18"/>
              </w:rPr>
              <w:t>c) Catalogue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outils et de méthodes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appui à</w:t>
            </w:r>
            <w:r w:rsidR="003938E6">
              <w:rPr>
                <w:sz w:val="18"/>
                <w:szCs w:val="18"/>
              </w:rPr>
              <w:t> </w:t>
            </w:r>
            <w:r w:rsidR="00BD52BA" w:rsidRPr="003F3120">
              <w:rPr>
                <w:sz w:val="18"/>
                <w:szCs w:val="18"/>
              </w:rPr>
              <w:t>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élaboration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politiques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563F" w14:textId="7146140C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90F8" w14:textId="4B3EC94F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  <w:r w:rsidR="00BD52BA" w:rsidRPr="003F3120">
              <w:rPr>
                <w:sz w:val="18"/>
                <w:szCs w:val="18"/>
              </w:rPr>
              <w:t>515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4B04" w14:textId="465811A9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  <w:r w:rsidR="00BD52BA" w:rsidRPr="003F3120">
              <w:rPr>
                <w:sz w:val="18"/>
                <w:szCs w:val="18"/>
              </w:rPr>
              <w:t>485</w:t>
            </w:r>
          </w:p>
        </w:tc>
      </w:tr>
      <w:tr w:rsidR="00BD52BA" w:rsidRPr="003F3120" w14:paraId="09BFEF94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FAD9D" w14:textId="12656916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4 </w:t>
            </w:r>
            <w:r w:rsidR="00BD52BA" w:rsidRPr="003F3120">
              <w:rPr>
                <w:sz w:val="18"/>
                <w:szCs w:val="18"/>
              </w:rPr>
              <w:t>d) Communication et participation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parties prenantes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2F03" w14:textId="2A956F8A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4ACD" w14:textId="599B593F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  <w:r w:rsidR="00BD52BA" w:rsidRPr="003F3120">
              <w:rPr>
                <w:sz w:val="18"/>
                <w:szCs w:val="18"/>
              </w:rPr>
              <w:t>664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639B" w14:textId="77777777" w:rsidR="00BD52BA" w:rsidRPr="003F3120" w:rsidRDefault="00BD52BA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(664)</w:t>
            </w:r>
          </w:p>
        </w:tc>
      </w:tr>
      <w:tr w:rsidR="00BD52BA" w:rsidRPr="003F3120" w14:paraId="132A019E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56B212" w14:textId="7793CF9B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</w:t>
            </w:r>
            <w:r w:rsidR="00BD52BA" w:rsidRPr="003F3120">
              <w:rPr>
                <w:sz w:val="18"/>
                <w:szCs w:val="18"/>
              </w:rPr>
              <w:t>e) Examen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Plateforme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A23F2" w14:textId="16F1AB83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  <w:r w:rsidR="00BD52BA" w:rsidRPr="003F3120">
              <w:rPr>
                <w:sz w:val="18"/>
                <w:szCs w:val="18"/>
              </w:rPr>
              <w:t>160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1D8B9" w14:textId="27651529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  <w:r w:rsidR="00BD52BA" w:rsidRPr="003F3120">
              <w:rPr>
                <w:sz w:val="18"/>
                <w:szCs w:val="18"/>
              </w:rPr>
              <w:t>369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1AEE" w14:textId="4A70CE8F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BD52BA" w:rsidRPr="003F3120">
              <w:rPr>
                <w:sz w:val="18"/>
                <w:szCs w:val="18"/>
              </w:rPr>
              <w:t>791</w:t>
            </w:r>
          </w:p>
        </w:tc>
      </w:tr>
      <w:tr w:rsidR="00BD52BA" w:rsidRPr="003F3120" w14:paraId="15BCFD2A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CC61E" w14:textId="75F17CDB" w:rsidR="00BD52BA" w:rsidRPr="003F3120" w:rsidRDefault="00A34602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b/>
                <w:bCs/>
                <w:sz w:val="18"/>
                <w:szCs w:val="18"/>
              </w:rPr>
              <w:t>Total partiel </w:t>
            </w:r>
            <w:r w:rsidR="00BD52BA" w:rsidRPr="003F3120">
              <w:rPr>
                <w:b/>
                <w:bCs/>
                <w:sz w:val="18"/>
                <w:szCs w:val="18"/>
              </w:rPr>
              <w:t>2, Mise en œuvre du programme de travail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93DD3" w14:textId="3D85DA0B" w:rsidR="00BD52BA" w:rsidRPr="003938E6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3 </w:t>
            </w:r>
            <w:r w:rsidR="00BD52BA" w:rsidRPr="003938E6">
              <w:rPr>
                <w:b/>
                <w:sz w:val="18"/>
                <w:szCs w:val="18"/>
              </w:rPr>
              <w:t>651</w:t>
            </w:r>
            <w:r w:rsidRPr="003938E6">
              <w:rPr>
                <w:b/>
                <w:sz w:val="18"/>
                <w:szCs w:val="18"/>
              </w:rPr>
              <w:t> </w:t>
            </w:r>
            <w:r w:rsidR="00BD52BA" w:rsidRPr="003938E6"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581BA" w14:textId="02A5D20F" w:rsidR="00BD52BA" w:rsidRPr="003938E6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3 </w:t>
            </w:r>
            <w:r w:rsidR="00BD52BA" w:rsidRPr="003938E6">
              <w:rPr>
                <w:b/>
                <w:sz w:val="18"/>
                <w:szCs w:val="18"/>
              </w:rPr>
              <w:t>1</w:t>
            </w:r>
            <w:r w:rsidRPr="003938E6">
              <w:rPr>
                <w:b/>
                <w:sz w:val="18"/>
                <w:szCs w:val="18"/>
              </w:rPr>
              <w:t>27 </w:t>
            </w:r>
            <w:r w:rsidR="00BD52BA" w:rsidRPr="003938E6">
              <w:rPr>
                <w:b/>
                <w:sz w:val="18"/>
                <w:szCs w:val="18"/>
              </w:rPr>
              <w:t>936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E6748" w14:textId="3C1C9AA1" w:rsidR="00BD52BA" w:rsidRPr="003938E6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>523 </w:t>
            </w:r>
            <w:r w:rsidR="00BD52BA" w:rsidRPr="003938E6">
              <w:rPr>
                <w:b/>
                <w:sz w:val="18"/>
                <w:szCs w:val="18"/>
              </w:rPr>
              <w:t>724</w:t>
            </w:r>
          </w:p>
        </w:tc>
      </w:tr>
      <w:tr w:rsidR="00BD52BA" w:rsidRPr="003F3120" w14:paraId="75A5E758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8FD17" w14:textId="77777777" w:rsidR="00BD52BA" w:rsidRPr="003938E6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938E6">
              <w:rPr>
                <w:b/>
                <w:sz w:val="18"/>
                <w:szCs w:val="18"/>
              </w:rPr>
              <w:t xml:space="preserve">3. </w:t>
            </w:r>
            <w:r w:rsidRPr="003938E6">
              <w:rPr>
                <w:b/>
                <w:bCs/>
                <w:sz w:val="18"/>
                <w:szCs w:val="18"/>
              </w:rPr>
              <w:t>Secrétariat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2241D" w14:textId="77777777" w:rsidR="00BD52BA" w:rsidRPr="003F3120" w:rsidRDefault="00BD52BA" w:rsidP="003938E6">
            <w:pPr>
              <w:spacing w:before="40" w:after="40"/>
              <w:ind w:firstLineChars="100" w:firstLine="18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02E53" w14:textId="77777777" w:rsidR="00BD52BA" w:rsidRPr="003F3120" w:rsidRDefault="00BD52BA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DEC10" w14:textId="77777777" w:rsidR="00BD52BA" w:rsidRPr="003F3120" w:rsidRDefault="00BD52BA" w:rsidP="003938E6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D52BA" w:rsidRPr="003F3120" w14:paraId="6CA8790E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90A62" w14:textId="77777777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3.1 Personnel du secrétariat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55B4" w14:textId="34B38B4E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2 017 </w:t>
            </w:r>
            <w:r w:rsidR="00BD52BA" w:rsidRPr="003F3120">
              <w:rPr>
                <w:sz w:val="18"/>
                <w:szCs w:val="18"/>
              </w:rPr>
              <w:t>600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96DC" w14:textId="4EC66B70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1 289 </w:t>
            </w:r>
            <w:r w:rsidR="00BD52BA" w:rsidRPr="003F3120">
              <w:rPr>
                <w:sz w:val="18"/>
                <w:szCs w:val="18"/>
              </w:rPr>
              <w:t>611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3FCD" w14:textId="70AA8663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727 </w:t>
            </w:r>
            <w:r w:rsidR="00BD52BA" w:rsidRPr="003F3120">
              <w:rPr>
                <w:sz w:val="18"/>
                <w:szCs w:val="18"/>
              </w:rPr>
              <w:t>989</w:t>
            </w:r>
          </w:p>
        </w:tc>
      </w:tr>
      <w:tr w:rsidR="00BD52BA" w:rsidRPr="003F3120" w14:paraId="5BD06163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90945" w14:textId="4874DB48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3.2 Dépenses de fonctionnement (autres que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dépenses de personnel)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56739" w14:textId="7A0E4541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5B04E" w14:textId="6B321734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  <w:r w:rsidR="00BD52BA" w:rsidRPr="003F3120">
              <w:rPr>
                <w:sz w:val="18"/>
                <w:szCs w:val="18"/>
              </w:rPr>
              <w:t>811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95576" w14:textId="616C5624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  <w:r w:rsidR="00BD52BA" w:rsidRPr="003F3120">
              <w:rPr>
                <w:sz w:val="18"/>
                <w:szCs w:val="18"/>
              </w:rPr>
              <w:t>189</w:t>
            </w:r>
          </w:p>
        </w:tc>
      </w:tr>
      <w:tr w:rsidR="00BD52BA" w:rsidRPr="003F3120" w14:paraId="549DBAF5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504C7" w14:textId="36BE6BB5" w:rsidR="00BD52BA" w:rsidRPr="003124FC" w:rsidRDefault="00A34602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lastRenderedPageBreak/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3, </w:t>
            </w:r>
            <w:r w:rsidR="00ED5F61" w:rsidRPr="003124FC">
              <w:rPr>
                <w:b/>
                <w:bCs/>
                <w:sz w:val="18"/>
                <w:szCs w:val="18"/>
              </w:rPr>
              <w:t>S</w:t>
            </w:r>
            <w:r w:rsidR="00BD52BA" w:rsidRPr="003124FC">
              <w:rPr>
                <w:b/>
                <w:bCs/>
                <w:sz w:val="18"/>
                <w:szCs w:val="18"/>
              </w:rPr>
              <w:t>ecrétariat (dépenses de personnel et de fonctionnement)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5431F" w14:textId="4EFBEB93" w:rsidR="00BD52BA" w:rsidRPr="003124FC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2 268 </w:t>
            </w:r>
            <w:r w:rsidR="00BD52BA" w:rsidRPr="003124FC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CEDA1" w14:textId="572A5385" w:rsidR="00BD52BA" w:rsidRPr="003124FC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1 513 </w:t>
            </w:r>
            <w:r w:rsidR="00BD52BA" w:rsidRPr="003124FC">
              <w:rPr>
                <w:b/>
                <w:sz w:val="18"/>
                <w:szCs w:val="18"/>
              </w:rPr>
              <w:t>422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50C83" w14:textId="2076A592" w:rsidR="00BD52BA" w:rsidRPr="003124FC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755 </w:t>
            </w:r>
            <w:r w:rsidR="00BD52BA" w:rsidRPr="003124FC">
              <w:rPr>
                <w:b/>
                <w:sz w:val="18"/>
                <w:szCs w:val="18"/>
              </w:rPr>
              <w:t>178</w:t>
            </w:r>
          </w:p>
        </w:tc>
      </w:tr>
      <w:tr w:rsidR="00BD52BA" w:rsidRPr="003F3120" w14:paraId="00A9DD66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19C7" w14:textId="38605C13" w:rsidR="00BD52BA" w:rsidRPr="003F3120" w:rsidRDefault="00A34602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Total partiel, </w:t>
            </w:r>
            <w:r w:rsidR="00BD52BA" w:rsidRPr="003F3120">
              <w:rPr>
                <w:sz w:val="18"/>
                <w:szCs w:val="18"/>
              </w:rPr>
              <w:t>1+2+3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B9C9" w14:textId="0AB139D8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7 921 </w:t>
            </w:r>
            <w:r w:rsidR="00BD52BA" w:rsidRPr="003F3120">
              <w:rPr>
                <w:sz w:val="18"/>
                <w:szCs w:val="18"/>
              </w:rPr>
              <w:t>160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3B3" w14:textId="2B5EE64D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6 376 </w:t>
            </w:r>
            <w:r w:rsidR="00BD52BA" w:rsidRPr="003F3120">
              <w:rPr>
                <w:sz w:val="18"/>
                <w:szCs w:val="18"/>
              </w:rPr>
              <w:t>673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C149" w14:textId="28D9FE96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1 544 </w:t>
            </w:r>
            <w:r w:rsidR="00BD52BA" w:rsidRPr="003F3120">
              <w:rPr>
                <w:sz w:val="18"/>
                <w:szCs w:val="18"/>
              </w:rPr>
              <w:t>487</w:t>
            </w:r>
          </w:p>
        </w:tc>
      </w:tr>
      <w:tr w:rsidR="00BD52BA" w:rsidRPr="003F3120" w14:paraId="5F2FE0C5" w14:textId="77777777" w:rsidTr="00BD52BA">
        <w:trPr>
          <w:trHeight w:val="20"/>
          <w:jc w:val="right"/>
        </w:trPr>
        <w:tc>
          <w:tcPr>
            <w:tcW w:w="27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F374C" w14:textId="26F96D06" w:rsidR="00BD52BA" w:rsidRPr="003F3120" w:rsidRDefault="00BD52BA" w:rsidP="003938E6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Dépenses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 xml:space="preserve">appui au </w:t>
            </w:r>
            <w:r w:rsidR="00A34602" w:rsidRPr="003F3120">
              <w:rPr>
                <w:sz w:val="18"/>
                <w:szCs w:val="18"/>
              </w:rPr>
              <w:t>programme (8 </w:t>
            </w:r>
            <w:r w:rsidRPr="003F3120">
              <w:rPr>
                <w:sz w:val="18"/>
                <w:szCs w:val="18"/>
              </w:rPr>
              <w:t>%)</w:t>
            </w: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91CA6" w14:textId="32CED842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  <w:r w:rsidR="00BD52BA" w:rsidRPr="003F3120">
              <w:rPr>
                <w:sz w:val="18"/>
                <w:szCs w:val="18"/>
              </w:rPr>
              <w:t>693</w:t>
            </w:r>
          </w:p>
        </w:tc>
        <w:tc>
          <w:tcPr>
            <w:tcW w:w="8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D00EE" w14:textId="30FED010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  <w:r w:rsidR="00BD52BA" w:rsidRPr="003F3120">
              <w:rPr>
                <w:sz w:val="18"/>
                <w:szCs w:val="18"/>
              </w:rPr>
              <w:t>134</w:t>
            </w:r>
          </w:p>
        </w:tc>
        <w:tc>
          <w:tcPr>
            <w:tcW w:w="5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98CEA" w14:textId="086DA7AF" w:rsidR="00BD52BA" w:rsidRPr="003F3120" w:rsidRDefault="00AD3794" w:rsidP="003938E6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  <w:r w:rsidR="00BD52BA" w:rsidRPr="003F3120">
              <w:rPr>
                <w:sz w:val="18"/>
                <w:szCs w:val="18"/>
              </w:rPr>
              <w:t>559</w:t>
            </w:r>
          </w:p>
        </w:tc>
      </w:tr>
      <w:tr w:rsidR="00BD52BA" w:rsidRPr="003F3120" w14:paraId="2D589545" w14:textId="77777777" w:rsidTr="00BD52BA">
        <w:trPr>
          <w:trHeight w:val="20"/>
          <w:jc w:val="right"/>
        </w:trPr>
        <w:tc>
          <w:tcPr>
            <w:tcW w:w="271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ED7C2" w14:textId="77777777" w:rsidR="00BD52BA" w:rsidRPr="00FA5ADB" w:rsidRDefault="00BD52BA" w:rsidP="003938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FA5ADB">
              <w:rPr>
                <w:b/>
                <w:bCs/>
                <w:sz w:val="18"/>
                <w:szCs w:val="18"/>
              </w:rPr>
              <w:t>Total</w:t>
            </w:r>
            <w:r w:rsidRPr="00FA5AD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8006B" w14:textId="45FD750F" w:rsidR="00BD52BA" w:rsidRPr="00FA5ADB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5ADB">
              <w:rPr>
                <w:b/>
                <w:sz w:val="18"/>
                <w:szCs w:val="18"/>
              </w:rPr>
              <w:t>8 554 </w:t>
            </w:r>
            <w:r w:rsidR="00BD52BA" w:rsidRPr="00FA5ADB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50C00" w14:textId="2A266511" w:rsidR="00BD52BA" w:rsidRPr="00FA5ADB" w:rsidRDefault="00D026C5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6 886 </w:t>
            </w:r>
            <w:r w:rsidR="00BD52BA" w:rsidRPr="00FA5ADB">
              <w:rPr>
                <w:b/>
                <w:sz w:val="18"/>
                <w:szCs w:val="18"/>
              </w:rPr>
              <w:t>807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A0AAF" w14:textId="09BB602A" w:rsidR="00BD52BA" w:rsidRPr="00FA5ADB" w:rsidRDefault="00AD3794" w:rsidP="003938E6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A5ADB">
              <w:rPr>
                <w:b/>
                <w:sz w:val="18"/>
                <w:szCs w:val="18"/>
              </w:rPr>
              <w:t>1 668 </w:t>
            </w:r>
            <w:r w:rsidR="00BD52BA" w:rsidRPr="00FA5ADB">
              <w:rPr>
                <w:b/>
                <w:sz w:val="18"/>
                <w:szCs w:val="18"/>
              </w:rPr>
              <w:t>046</w:t>
            </w:r>
          </w:p>
        </w:tc>
      </w:tr>
    </w:tbl>
    <w:p w14:paraId="3A634CA9" w14:textId="0A99F4FA" w:rsidR="00BD52BA" w:rsidRPr="003F3120" w:rsidRDefault="00BD52BA" w:rsidP="003124FC">
      <w:pPr>
        <w:pStyle w:val="CH1"/>
      </w:pPr>
      <w:r w:rsidRPr="003F3120">
        <w:tab/>
        <w:t>IV.</w:t>
      </w:r>
      <w:r w:rsidRPr="003F3120">
        <w:tab/>
        <w:t>Budget pour l</w:t>
      </w:r>
      <w:r w:rsidR="00FA5ADB">
        <w:t>’</w:t>
      </w:r>
      <w:r w:rsidRPr="003F3120">
        <w:t>exercice biennal 2019–2020</w:t>
      </w:r>
    </w:p>
    <w:p w14:paraId="0E80CC02" w14:textId="0A72F357" w:rsidR="00BD52BA" w:rsidRPr="003F3120" w:rsidRDefault="00BD52BA" w:rsidP="003124FC">
      <w:pPr>
        <w:pStyle w:val="Titletable"/>
      </w:pPr>
      <w:r w:rsidRPr="003124FC">
        <w:rPr>
          <w:b w:val="0"/>
        </w:rPr>
        <w:t xml:space="preserve">Tableau 7 </w:t>
      </w:r>
      <w:r w:rsidR="003124FC" w:rsidRPr="003124FC">
        <w:rPr>
          <w:b w:val="0"/>
        </w:rPr>
        <w:br/>
      </w:r>
      <w:r w:rsidRPr="003F3120">
        <w:t>Budget révisé pour 2019 et 2020</w:t>
      </w:r>
    </w:p>
    <w:p w14:paraId="7E1F2FAE" w14:textId="66C3B72E" w:rsidR="00BD52BA" w:rsidRPr="003124FC" w:rsidRDefault="00BD52BA" w:rsidP="003124FC">
      <w:pPr>
        <w:pStyle w:val="NormalNonumber"/>
        <w:rPr>
          <w:bCs/>
          <w:sz w:val="18"/>
          <w:szCs w:val="18"/>
        </w:rPr>
      </w:pPr>
      <w:r w:rsidRPr="003124FC">
        <w:rPr>
          <w:sz w:val="18"/>
          <w:szCs w:val="18"/>
        </w:rPr>
        <w:t>(</w:t>
      </w:r>
      <w:r w:rsidR="00FA5ADB">
        <w:rPr>
          <w:sz w:val="18"/>
          <w:szCs w:val="18"/>
        </w:rPr>
        <w:t>e</w:t>
      </w:r>
      <w:r w:rsidRPr="003124FC">
        <w:rPr>
          <w:sz w:val="18"/>
          <w:szCs w:val="18"/>
        </w:rPr>
        <w:t>n dollars</w:t>
      </w:r>
      <w:r w:rsidR="007031E0">
        <w:rPr>
          <w:sz w:val="18"/>
          <w:szCs w:val="18"/>
        </w:rPr>
        <w:t xml:space="preserve"> des </w:t>
      </w:r>
      <w:r w:rsidRPr="003124FC">
        <w:rPr>
          <w:sz w:val="18"/>
          <w:szCs w:val="18"/>
        </w:rPr>
        <w:t>États-Unis)</w:t>
      </w:r>
    </w:p>
    <w:tbl>
      <w:tblPr>
        <w:tblW w:w="8364" w:type="dxa"/>
        <w:jc w:val="right"/>
        <w:tblLayout w:type="fixed"/>
        <w:tblLook w:val="04A0" w:firstRow="1" w:lastRow="0" w:firstColumn="1" w:lastColumn="0" w:noHBand="0" w:noVBand="1"/>
      </w:tblPr>
      <w:tblGrid>
        <w:gridCol w:w="5895"/>
        <w:gridCol w:w="1193"/>
        <w:gridCol w:w="45"/>
        <w:gridCol w:w="8"/>
        <w:gridCol w:w="1223"/>
      </w:tblGrid>
      <w:tr w:rsidR="00BD52BA" w:rsidRPr="003F3120" w14:paraId="347AD0DF" w14:textId="77777777" w:rsidTr="003124FC">
        <w:trPr>
          <w:trHeight w:val="18"/>
          <w:tblHeader/>
          <w:jc w:val="right"/>
        </w:trPr>
        <w:tc>
          <w:tcPr>
            <w:tcW w:w="58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D7526F1" w14:textId="77777777" w:rsidR="00BD52BA" w:rsidRPr="003F3120" w:rsidRDefault="00BD52BA" w:rsidP="003124FC">
            <w:pPr>
              <w:spacing w:before="40" w:after="40"/>
              <w:rPr>
                <w:bCs/>
                <w:i/>
                <w:color w:val="000000"/>
                <w:sz w:val="18"/>
                <w:szCs w:val="18"/>
              </w:rPr>
            </w:pPr>
            <w:bookmarkStart w:id="101" w:name="_Hlk7620757"/>
            <w:r w:rsidRPr="003F3120">
              <w:rPr>
                <w:i/>
                <w:iCs/>
                <w:sz w:val="18"/>
                <w:szCs w:val="18"/>
              </w:rPr>
              <w:t>Poste budgétaire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263A16C" w14:textId="3011EA0F" w:rsidR="00BD52BA" w:rsidRPr="003F3120" w:rsidRDefault="00BD52BA" w:rsidP="00FA5ADB">
            <w:pPr>
              <w:spacing w:before="40" w:after="40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3F3120">
              <w:rPr>
                <w:i/>
                <w:iCs/>
                <w:sz w:val="18"/>
                <w:szCs w:val="18"/>
              </w:rPr>
              <w:t>Budget pour</w:t>
            </w:r>
            <w:r w:rsidR="003124FC">
              <w:rPr>
                <w:i/>
                <w:iCs/>
                <w:sz w:val="18"/>
                <w:szCs w:val="18"/>
              </w:rPr>
              <w:t> </w:t>
            </w:r>
            <w:r w:rsidRPr="003F3120">
              <w:rPr>
                <w:i/>
                <w:iCs/>
                <w:sz w:val="18"/>
                <w:szCs w:val="18"/>
              </w:rPr>
              <w:t>2019</w:t>
            </w:r>
            <w:r w:rsidRPr="003F31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349D14" w14:textId="3AA9BCBA" w:rsidR="00BD52BA" w:rsidRPr="003F3120" w:rsidRDefault="00BD52BA" w:rsidP="00FA5ADB">
            <w:pPr>
              <w:spacing w:before="40" w:after="40"/>
              <w:jc w:val="right"/>
              <w:rPr>
                <w:bCs/>
                <w:i/>
                <w:color w:val="000000"/>
                <w:sz w:val="18"/>
                <w:szCs w:val="18"/>
              </w:rPr>
            </w:pPr>
            <w:r w:rsidRPr="003F3120">
              <w:rPr>
                <w:i/>
                <w:iCs/>
                <w:sz w:val="18"/>
                <w:szCs w:val="18"/>
              </w:rPr>
              <w:t>Budget pour</w:t>
            </w:r>
            <w:r w:rsidR="003124FC">
              <w:rPr>
                <w:i/>
                <w:iCs/>
                <w:sz w:val="18"/>
                <w:szCs w:val="18"/>
              </w:rPr>
              <w:t> </w:t>
            </w:r>
            <w:r w:rsidRPr="003F3120">
              <w:rPr>
                <w:i/>
                <w:iCs/>
                <w:sz w:val="18"/>
                <w:szCs w:val="18"/>
              </w:rPr>
              <w:t>2020</w:t>
            </w:r>
          </w:p>
        </w:tc>
      </w:tr>
      <w:tr w:rsidR="00BD52BA" w:rsidRPr="000C25F6" w14:paraId="4DFE44DF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ABD539" w14:textId="6CA67947" w:rsidR="00BD52BA" w:rsidRPr="003F3120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1. </w:t>
            </w:r>
            <w:r w:rsidRPr="003124FC">
              <w:rPr>
                <w:b/>
                <w:bCs/>
                <w:sz w:val="18"/>
                <w:szCs w:val="18"/>
              </w:rPr>
              <w:t>Réunion</w:t>
            </w:r>
            <w:r w:rsidRPr="003F3120">
              <w:rPr>
                <w:b/>
                <w:bCs/>
                <w:sz w:val="18"/>
                <w:szCs w:val="18"/>
              </w:rPr>
              <w:t>s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Pr="003F3120">
              <w:rPr>
                <w:b/>
                <w:bCs/>
                <w:sz w:val="18"/>
                <w:szCs w:val="18"/>
              </w:rPr>
              <w:t>organes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F312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24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E038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E9AF7F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1B0649E8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A4FF85" w14:textId="1CC05EAA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1.1 </w:t>
            </w:r>
            <w:r w:rsidRPr="003124FC">
              <w:rPr>
                <w:b/>
                <w:bCs/>
                <w:sz w:val="18"/>
                <w:szCs w:val="18"/>
              </w:rPr>
              <w:t>Sessions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124FC">
              <w:rPr>
                <w:b/>
                <w:bCs/>
                <w:sz w:val="18"/>
                <w:szCs w:val="18"/>
              </w:rPr>
              <w:t>Plénière</w:t>
            </w:r>
            <w:r w:rsidRPr="003124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695C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35B250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05B6FB73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B4E0E83" w14:textId="721C3F59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participants à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 xml:space="preserve">septième session (frais de voyage et indemnité journalière de subsistance)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17F" w14:textId="611FC189" w:rsidR="00BD52BA" w:rsidRPr="003F3120" w:rsidRDefault="006504E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F994349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58D8DE18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57D91988" w14:textId="77777777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Services de conférence (traduction, édition et interprétation)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3EB55D6F" w14:textId="0B4563B1" w:rsidR="00BD52BA" w:rsidRPr="003F3120" w:rsidRDefault="006504E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830 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4ECE3BCC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1FBA2996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12CD2885" w14:textId="76AEC9FC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Services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établissement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rapports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63983C13" w14:textId="5F29B9F3" w:rsidR="00BD52BA" w:rsidRPr="003F3120" w:rsidRDefault="006504E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624582DC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51E232C2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DA160A" w14:textId="77777777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 xml:space="preserve">Sécurité et autres dépenses 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6077" w14:textId="66BAC63B" w:rsidR="00BD52BA" w:rsidRPr="003F3120" w:rsidRDefault="006504E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5D7F1C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7033D577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C2114B" w14:textId="30CE2EE8" w:rsidR="00BD52BA" w:rsidRPr="00032F1F" w:rsidRDefault="00A132F1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032F1F">
              <w:rPr>
                <w:b/>
                <w:bCs/>
                <w:sz w:val="18"/>
                <w:szCs w:val="18"/>
              </w:rPr>
              <w:t>Total partiel </w:t>
            </w:r>
            <w:r w:rsidR="00BD52BA" w:rsidRPr="00032F1F">
              <w:rPr>
                <w:b/>
                <w:bCs/>
                <w:sz w:val="18"/>
                <w:szCs w:val="18"/>
              </w:rPr>
              <w:t>1.1, Sessions de</w:t>
            </w:r>
            <w:r w:rsidR="007031E0" w:rsidRPr="00032F1F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032F1F">
              <w:rPr>
                <w:b/>
                <w:bCs/>
                <w:sz w:val="18"/>
                <w:szCs w:val="18"/>
              </w:rPr>
              <w:t>Plénière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5BC3" w14:textId="50C06BDF" w:rsidR="00BD52BA" w:rsidRPr="00032F1F" w:rsidRDefault="006504E0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F1F">
              <w:rPr>
                <w:b/>
                <w:sz w:val="18"/>
                <w:szCs w:val="18"/>
              </w:rPr>
              <w:t>1 495 </w:t>
            </w:r>
            <w:r w:rsidR="00BD52BA" w:rsidRPr="00032F1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B328E0" w14:textId="77777777" w:rsidR="00BD52BA" w:rsidRPr="003124FC" w:rsidRDefault="00BD52BA" w:rsidP="003124F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3124FC">
              <w:rPr>
                <w:bCs/>
                <w:sz w:val="18"/>
                <w:szCs w:val="18"/>
              </w:rPr>
              <w:t>-</w:t>
            </w:r>
          </w:p>
        </w:tc>
      </w:tr>
      <w:tr w:rsidR="00BD52BA" w:rsidRPr="000C25F6" w14:paraId="72D16BFF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F9129FF" w14:textId="35AEC530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1.2 </w:t>
            </w:r>
            <w:r w:rsidRPr="003124FC">
              <w:rPr>
                <w:b/>
                <w:bCs/>
                <w:sz w:val="18"/>
                <w:szCs w:val="18"/>
              </w:rPr>
              <w:t>Sessions du Bureau et du Groupe d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Pr="003124FC">
              <w:rPr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E78A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33730D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1A9D5837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7291144" w14:textId="66F19F7B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 et coût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réunions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participants aux sessions du</w:t>
            </w:r>
            <w:r w:rsidR="003124FC">
              <w:rPr>
                <w:sz w:val="18"/>
                <w:szCs w:val="18"/>
              </w:rPr>
              <w:t> </w:t>
            </w:r>
            <w:r w:rsidRPr="003F3120">
              <w:rPr>
                <w:sz w:val="18"/>
                <w:szCs w:val="18"/>
              </w:rPr>
              <w:t>Bureau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52D1" w14:textId="61EA94A5" w:rsidR="00BD52BA" w:rsidRPr="003F3120" w:rsidRDefault="00BA4FD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  <w:r w:rsidR="00BD52BA" w:rsidRPr="003F3120">
              <w:rPr>
                <w:sz w:val="18"/>
                <w:szCs w:val="18"/>
              </w:rPr>
              <w:t>450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DDF217" w14:textId="3FD213B3" w:rsidR="00BD52BA" w:rsidRPr="003F3120" w:rsidRDefault="00BA4FD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70 </w:t>
            </w:r>
            <w:r w:rsidR="00BD52BA" w:rsidRPr="003F3120">
              <w:rPr>
                <w:sz w:val="18"/>
                <w:szCs w:val="18"/>
              </w:rPr>
              <w:t>900</w:t>
            </w:r>
          </w:p>
        </w:tc>
      </w:tr>
      <w:tr w:rsidR="00BD52BA" w:rsidRPr="003F3120" w14:paraId="6BF99D0A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4DF320" w14:textId="1312C852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 et coût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réunions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participants aux sessions du</w:t>
            </w:r>
            <w:r w:rsidR="003124FC">
              <w:rPr>
                <w:sz w:val="18"/>
                <w:szCs w:val="18"/>
              </w:rPr>
              <w:t> </w:t>
            </w:r>
            <w:r w:rsidRPr="003F3120">
              <w:rPr>
                <w:sz w:val="18"/>
                <w:szCs w:val="18"/>
              </w:rPr>
              <w:t>Groupe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experts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CE7E" w14:textId="66978396" w:rsidR="00BD52BA" w:rsidRPr="003F3120" w:rsidRDefault="00BA4FD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2296A3" w14:textId="73AB2616" w:rsidR="00BD52BA" w:rsidRPr="003F3120" w:rsidRDefault="00BA4FD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6AC59215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0A80D1" w14:textId="3C0B263E" w:rsidR="00BD52BA" w:rsidRPr="003124FC" w:rsidRDefault="00A132F1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>1.2, Sessions du Bureau et du Groupe d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B940" w14:textId="17D253B9" w:rsidR="00BD52BA" w:rsidRPr="003124FC" w:rsidRDefault="00BA4FD0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120 </w:t>
            </w:r>
            <w:r w:rsidR="00BD52BA" w:rsidRPr="003124FC"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5BB899" w14:textId="05B115E7" w:rsidR="00BD52BA" w:rsidRPr="003124FC" w:rsidRDefault="00BA4FD0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 240 </w:t>
            </w:r>
            <w:r w:rsidR="00BD52BA" w:rsidRPr="003124FC">
              <w:rPr>
                <w:b/>
                <w:sz w:val="18"/>
                <w:szCs w:val="18"/>
              </w:rPr>
              <w:t>900</w:t>
            </w:r>
          </w:p>
        </w:tc>
      </w:tr>
      <w:tr w:rsidR="00BD52BA" w:rsidRPr="003F3120" w14:paraId="767A2A56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821AED" w14:textId="68A43B31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1.3 </w:t>
            </w:r>
            <w:r w:rsidRPr="003124FC">
              <w:rPr>
                <w:b/>
                <w:bCs/>
                <w:sz w:val="18"/>
                <w:szCs w:val="18"/>
              </w:rPr>
              <w:t>Frais de voyage du Président pour représenter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124FC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D421" w14:textId="19081DC3" w:rsidR="00BD52BA" w:rsidRPr="003124FC" w:rsidRDefault="00BA4FD0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25 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89F49D" w14:textId="27D33C72" w:rsidR="00BD52BA" w:rsidRPr="003124FC" w:rsidRDefault="00BA4FD0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 25 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619FC82A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675" w14:textId="62118B60" w:rsidR="00BD52BA" w:rsidRPr="003F3120" w:rsidRDefault="00A132F1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b/>
                <w:bCs/>
                <w:sz w:val="18"/>
                <w:szCs w:val="18"/>
              </w:rPr>
              <w:t>Total partiel </w:t>
            </w:r>
            <w:r w:rsidR="00BD52BA" w:rsidRPr="003F3120">
              <w:rPr>
                <w:b/>
                <w:bCs/>
                <w:sz w:val="18"/>
                <w:szCs w:val="18"/>
              </w:rPr>
              <w:t>1, Réunions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F3120">
              <w:rPr>
                <w:b/>
                <w:bCs/>
                <w:sz w:val="18"/>
                <w:szCs w:val="18"/>
              </w:rPr>
              <w:t>organes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F312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7206" w14:textId="7B2B5003" w:rsidR="00BD52BA" w:rsidRPr="00032F1F" w:rsidRDefault="00BA4FD0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F1F">
              <w:rPr>
                <w:b/>
                <w:sz w:val="18"/>
                <w:szCs w:val="18"/>
              </w:rPr>
              <w:t>1 640 </w:t>
            </w:r>
            <w:r w:rsidR="00BD52BA" w:rsidRPr="00032F1F"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54431E" w14:textId="2739E7FB" w:rsidR="00BD52BA" w:rsidRPr="00032F1F" w:rsidRDefault="00BA4FD0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F1F">
              <w:rPr>
                <w:b/>
                <w:sz w:val="18"/>
                <w:szCs w:val="18"/>
              </w:rPr>
              <w:t>265 </w:t>
            </w:r>
            <w:r w:rsidR="00BD52BA" w:rsidRPr="00032F1F">
              <w:rPr>
                <w:b/>
                <w:sz w:val="18"/>
                <w:szCs w:val="18"/>
              </w:rPr>
              <w:t>900</w:t>
            </w:r>
          </w:p>
        </w:tc>
      </w:tr>
      <w:tr w:rsidR="00BD52BA" w:rsidRPr="000C25F6" w14:paraId="125A154B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CECD2C" w14:textId="77777777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bookmarkStart w:id="102" w:name="_Hlk358199"/>
            <w:r w:rsidRPr="003124FC">
              <w:rPr>
                <w:b/>
                <w:sz w:val="18"/>
                <w:szCs w:val="18"/>
              </w:rPr>
              <w:t xml:space="preserve">2. </w:t>
            </w:r>
            <w:r w:rsidRPr="003124FC">
              <w:rPr>
                <w:b/>
                <w:bCs/>
                <w:sz w:val="18"/>
                <w:szCs w:val="18"/>
              </w:rPr>
              <w:t>Mise en œuvre du programme de travail</w:t>
            </w:r>
            <w:r w:rsidRPr="003124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E9A1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8C7464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0C25F6" w14:paraId="11C16462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EFA67B" w14:textId="5EF0048E" w:rsidR="00BD52BA" w:rsidRPr="003124FC" w:rsidRDefault="00A132F1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Partie A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Premier programme de travail (pt1)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740F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BB1FD7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05055449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34BEF2" w14:textId="70731B4E" w:rsidR="00BD52BA" w:rsidRPr="003F3120" w:rsidRDefault="00A132F1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b/>
                <w:bCs/>
                <w:sz w:val="18"/>
                <w:szCs w:val="18"/>
              </w:rPr>
              <w:t>pt1-Objectif 1</w:t>
            </w:r>
            <w:r w:rsidR="00FD5D6A">
              <w:rPr>
                <w:b/>
                <w:bCs/>
                <w:sz w:val="18"/>
                <w:szCs w:val="18"/>
              </w:rPr>
              <w:t> :</w:t>
            </w:r>
            <w:r w:rsidR="00BD52BA" w:rsidRPr="003F3120">
              <w:rPr>
                <w:b/>
                <w:bCs/>
                <w:sz w:val="18"/>
                <w:szCs w:val="18"/>
              </w:rPr>
              <w:t xml:space="preserve"> Renforcer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="00BD52BA" w:rsidRPr="003F3120">
              <w:rPr>
                <w:b/>
                <w:bCs/>
                <w:sz w:val="18"/>
                <w:szCs w:val="18"/>
              </w:rPr>
              <w:t>capacités et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="00BD52BA" w:rsidRPr="003F3120">
              <w:rPr>
                <w:b/>
                <w:bCs/>
                <w:sz w:val="18"/>
                <w:szCs w:val="18"/>
              </w:rPr>
              <w:t>connaissances concernant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F3120">
              <w:rPr>
                <w:b/>
                <w:bCs/>
                <w:sz w:val="18"/>
                <w:szCs w:val="18"/>
              </w:rPr>
              <w:t>interface science-politique</w:t>
            </w:r>
            <w:r w:rsidR="00C01F28">
              <w:rPr>
                <w:b/>
                <w:bCs/>
                <w:sz w:val="18"/>
                <w:szCs w:val="18"/>
              </w:rPr>
              <w:t>s</w:t>
            </w:r>
            <w:r w:rsidR="00BD52BA" w:rsidRPr="003F3120">
              <w:rPr>
                <w:b/>
                <w:bCs/>
                <w:sz w:val="18"/>
                <w:szCs w:val="18"/>
              </w:rPr>
              <w:t xml:space="preserve"> pour que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F3120">
              <w:rPr>
                <w:b/>
                <w:bCs/>
                <w:sz w:val="18"/>
                <w:szCs w:val="18"/>
              </w:rPr>
              <w:t>Plateforme puisse s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F3120">
              <w:rPr>
                <w:b/>
                <w:bCs/>
                <w:sz w:val="18"/>
                <w:szCs w:val="18"/>
              </w:rPr>
              <w:t>acquitter de</w:t>
            </w:r>
            <w:r w:rsidR="003124FC">
              <w:rPr>
                <w:b/>
                <w:bCs/>
                <w:sz w:val="18"/>
                <w:szCs w:val="18"/>
              </w:rPr>
              <w:t> </w:t>
            </w:r>
            <w:r w:rsidR="00BD52BA" w:rsidRPr="003F3120">
              <w:rPr>
                <w:b/>
                <w:bCs/>
                <w:sz w:val="18"/>
                <w:szCs w:val="18"/>
              </w:rPr>
              <w:t>ses principales fonctions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1E5B" w14:textId="37B1231A" w:rsidR="00BD52BA" w:rsidRPr="003B6C78" w:rsidRDefault="00BA4FD0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6C78">
              <w:rPr>
                <w:b/>
                <w:sz w:val="18"/>
                <w:szCs w:val="18"/>
              </w:rPr>
              <w:t>145 </w:t>
            </w:r>
            <w:r w:rsidR="00BD52BA" w:rsidRPr="003B6C78">
              <w:rPr>
                <w:b/>
                <w:sz w:val="18"/>
                <w:szCs w:val="18"/>
              </w:rPr>
              <w:t>417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2F7E19" w14:textId="77777777" w:rsidR="00BD52BA" w:rsidRPr="003124FC" w:rsidRDefault="00BD52BA" w:rsidP="003124FC">
            <w:pPr>
              <w:spacing w:before="40" w:after="40"/>
              <w:jc w:val="right"/>
              <w:rPr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29304AFA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87F27C5" w14:textId="27B34925" w:rsidR="00BD52BA" w:rsidRPr="003F3120" w:rsidRDefault="00A132F1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pt1-Produits 1 a) et 1 </w:t>
            </w:r>
            <w:r w:rsidR="00BD52BA" w:rsidRPr="003F3120">
              <w:rPr>
                <w:sz w:val="18"/>
                <w:szCs w:val="18"/>
              </w:rPr>
              <w:t>b) Renforcement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 xml:space="preserve">capacités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93B3" w14:textId="38E53483" w:rsidR="00BD52BA" w:rsidRPr="003F3120" w:rsidRDefault="00BA4FD0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  <w:r w:rsidR="00BD52BA" w:rsidRPr="003F3120">
              <w:rPr>
                <w:sz w:val="18"/>
                <w:szCs w:val="18"/>
              </w:rPr>
              <w:t>167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9FF96B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694AA69D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3CB91447" w14:textId="77777777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 xml:space="preserve">pt1-Produit 1 c) Savoirs autochtones et locaux 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234BB383" w14:textId="7694668C" w:rsidR="00BD52BA" w:rsidRPr="003F3120" w:rsidRDefault="00BA4FD0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  <w:r w:rsidR="00BD52BA" w:rsidRPr="003F3120">
              <w:rPr>
                <w:sz w:val="18"/>
                <w:szCs w:val="18"/>
              </w:rPr>
              <w:t>500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2A325DF1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60251546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E6BA7C" w14:textId="77777777" w:rsidR="00BD52BA" w:rsidRPr="003F3120" w:rsidRDefault="00BD52BA" w:rsidP="003124FC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pt1-Produit 1 d) Connaissances et données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501" w14:textId="713ACA6F" w:rsidR="00BD52BA" w:rsidRPr="003F3120" w:rsidRDefault="00BA4FD0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  <w:r w:rsidR="00BD52BA" w:rsidRPr="003F3120">
              <w:rPr>
                <w:sz w:val="18"/>
                <w:szCs w:val="18"/>
              </w:rPr>
              <w:t>750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D157E1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341CE7EA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AE0F2A" w14:textId="0313764D" w:rsidR="00BD52BA" w:rsidRPr="003F3120" w:rsidRDefault="00A132F1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b/>
                <w:bCs/>
                <w:sz w:val="18"/>
                <w:szCs w:val="18"/>
              </w:rPr>
              <w:t>pt1-Objectif 2</w:t>
            </w:r>
            <w:r w:rsidR="00FD5D6A">
              <w:rPr>
                <w:b/>
                <w:bCs/>
                <w:sz w:val="18"/>
                <w:szCs w:val="18"/>
              </w:rPr>
              <w:t> :</w:t>
            </w:r>
            <w:r w:rsidR="00BD52BA" w:rsidRPr="003F3120">
              <w:rPr>
                <w:b/>
                <w:bCs/>
                <w:sz w:val="18"/>
                <w:szCs w:val="18"/>
              </w:rPr>
              <w:t xml:space="preserve"> Renforcer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F3120">
              <w:rPr>
                <w:b/>
                <w:bCs/>
                <w:sz w:val="18"/>
                <w:szCs w:val="18"/>
              </w:rPr>
              <w:t>interface science-politique</w:t>
            </w:r>
            <w:r w:rsidR="00C01F28">
              <w:rPr>
                <w:b/>
                <w:bCs/>
                <w:sz w:val="18"/>
                <w:szCs w:val="18"/>
              </w:rPr>
              <w:t>s</w:t>
            </w:r>
            <w:r w:rsidR="00BD52BA" w:rsidRPr="003F3120">
              <w:rPr>
                <w:b/>
                <w:bCs/>
                <w:sz w:val="18"/>
                <w:szCs w:val="18"/>
              </w:rPr>
              <w:t xml:space="preserve"> dans</w:t>
            </w:r>
            <w:r w:rsidR="007031E0">
              <w:rPr>
                <w:b/>
                <w:bCs/>
                <w:sz w:val="18"/>
                <w:szCs w:val="18"/>
              </w:rPr>
              <w:t xml:space="preserve"> le </w:t>
            </w:r>
            <w:r w:rsidR="00BD52BA" w:rsidRPr="003F3120">
              <w:rPr>
                <w:b/>
                <w:bCs/>
                <w:sz w:val="18"/>
                <w:szCs w:val="18"/>
              </w:rPr>
              <w:t>domaine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F3120">
              <w:rPr>
                <w:b/>
                <w:bCs/>
                <w:sz w:val="18"/>
                <w:szCs w:val="18"/>
              </w:rPr>
              <w:t>biodiversité et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F3120">
              <w:rPr>
                <w:b/>
                <w:bCs/>
                <w:sz w:val="18"/>
                <w:szCs w:val="18"/>
              </w:rPr>
              <w:t xml:space="preserve">services écosystémiques aux niveaux </w:t>
            </w:r>
            <w:r w:rsidR="003124FC">
              <w:rPr>
                <w:b/>
                <w:bCs/>
                <w:sz w:val="18"/>
                <w:szCs w:val="18"/>
              </w:rPr>
              <w:br/>
            </w:r>
            <w:r w:rsidR="00BD52BA" w:rsidRPr="003F3120">
              <w:rPr>
                <w:b/>
                <w:bCs/>
                <w:sz w:val="18"/>
                <w:szCs w:val="18"/>
              </w:rPr>
              <w:t>sous-régional, régional et mondial ainsi que de manière transversale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6944" w14:textId="4F8F095C" w:rsidR="00BD52BA" w:rsidRPr="003B6C78" w:rsidRDefault="00BA4FD0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B6C78">
              <w:rPr>
                <w:b/>
                <w:sz w:val="18"/>
                <w:szCs w:val="18"/>
              </w:rPr>
              <w:t>153 </w:t>
            </w:r>
            <w:r w:rsidR="00BD52BA" w:rsidRPr="003B6C78"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3B3996" w14:textId="77777777" w:rsidR="00BD52BA" w:rsidRPr="003B6C78" w:rsidRDefault="00BD52BA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1BB2E986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F9CD3B" w14:textId="2339C43C" w:rsidR="00BD52BA" w:rsidRPr="003F3120" w:rsidRDefault="00A132F1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pt1-Produit 2 </w:t>
            </w:r>
            <w:r w:rsidR="00BD52BA" w:rsidRPr="003F3120">
              <w:rPr>
                <w:sz w:val="18"/>
                <w:szCs w:val="18"/>
              </w:rPr>
              <w:t xml:space="preserve">c) Évaluation mondiale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2661" w14:textId="6C936B32" w:rsidR="00BD52BA" w:rsidRPr="003F3120" w:rsidRDefault="00BA4FD0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  <w:r w:rsidR="00BD52BA" w:rsidRPr="003F3120">
              <w:rPr>
                <w:sz w:val="18"/>
                <w:szCs w:val="18"/>
              </w:rPr>
              <w:t>750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2417D3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4F2E5141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B57480" w14:textId="6EF4C4F0" w:rsidR="00BD52BA" w:rsidRPr="003124FC" w:rsidRDefault="00A132F1" w:rsidP="003124FC">
            <w:pPr>
              <w:keepNext/>
              <w:keepLines/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pt1-Objectif 3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Renforcer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interface science-politique</w:t>
            </w:r>
            <w:r w:rsidR="00C01F28" w:rsidRPr="003124FC">
              <w:rPr>
                <w:b/>
                <w:bCs/>
                <w:sz w:val="18"/>
                <w:szCs w:val="18"/>
              </w:rPr>
              <w:t>s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sur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124FC">
              <w:rPr>
                <w:b/>
                <w:bCs/>
                <w:sz w:val="18"/>
                <w:szCs w:val="18"/>
              </w:rPr>
              <w:t>biodiversité et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="00BD52BA" w:rsidRPr="003124FC">
              <w:rPr>
                <w:b/>
                <w:bCs/>
                <w:sz w:val="18"/>
                <w:szCs w:val="18"/>
              </w:rPr>
              <w:t>services écosystémiques s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agissant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124FC">
              <w:rPr>
                <w:b/>
                <w:bCs/>
                <w:sz w:val="18"/>
                <w:szCs w:val="18"/>
              </w:rPr>
              <w:t>questions thématiques et méthodologiques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1C89" w14:textId="38ED398E" w:rsidR="00BD52BA" w:rsidRPr="003124FC" w:rsidRDefault="00BA4FD0" w:rsidP="003124FC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1 415 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AA5292" w14:textId="3E1A764F" w:rsidR="00BD52BA" w:rsidRPr="003124FC" w:rsidRDefault="00BD44C1" w:rsidP="003124FC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1 995 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3F04FF5B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EF00203" w14:textId="099EFD0A" w:rsidR="00BD52BA" w:rsidRPr="003F3120" w:rsidRDefault="00A132F1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pt1-Produit 3 b) </w:t>
            </w:r>
            <w:r w:rsidR="00BD52BA" w:rsidRPr="003F3120">
              <w:rPr>
                <w:sz w:val="18"/>
                <w:szCs w:val="18"/>
              </w:rPr>
              <w:t>ii) Évaluation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espèces ex</w:t>
            </w:r>
            <w:r w:rsidR="008D32CA">
              <w:rPr>
                <w:sz w:val="18"/>
                <w:szCs w:val="18"/>
              </w:rPr>
              <w:t>otiques envahissantes (première </w:t>
            </w:r>
            <w:r w:rsidR="00BD52BA" w:rsidRPr="003F3120">
              <w:rPr>
                <w:sz w:val="18"/>
                <w:szCs w:val="18"/>
              </w:rPr>
              <w:t>année)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0E0D" w14:textId="064B86F6" w:rsidR="00BD52BA" w:rsidRPr="003F3120" w:rsidRDefault="00BA4FD0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49BDDA" w14:textId="67B2F82F" w:rsidR="00BD52BA" w:rsidRPr="003F3120" w:rsidRDefault="00BA4FD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63B96098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3DC51184" w14:textId="4DFBBDE3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pt1-Produit 3 b) iii) Évaluation de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utilisation durable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 xml:space="preserve">espèces sauvages (deuxième année) 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4C3DBC0F" w14:textId="7B4E5DE7" w:rsidR="00BD52BA" w:rsidRPr="003F3120" w:rsidRDefault="00BA4FD0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776473BF" w14:textId="0D287C48" w:rsidR="00BD52BA" w:rsidRPr="003F3120" w:rsidRDefault="00BA4FD0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775 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5A60D3A8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59BB8AF2" w14:textId="77777777" w:rsidR="00BD52BA" w:rsidRPr="003F3120" w:rsidRDefault="00BD52BA" w:rsidP="003124FC">
            <w:pPr>
              <w:keepNext/>
              <w:keepLines/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lastRenderedPageBreak/>
              <w:t xml:space="preserve">pt1-Produit 3 c) Scénarios et modélisation 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0ACE5D0E" w14:textId="1129FEE5" w:rsidR="00BD52BA" w:rsidRPr="003F3120" w:rsidRDefault="00BA4FD0" w:rsidP="003124FC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29D48E38" w14:textId="2D54D05B" w:rsidR="00BD52BA" w:rsidRPr="003F3120" w:rsidRDefault="00BA4FD0" w:rsidP="003124FC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775 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35BA8E90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A4C1A7" w14:textId="3029C9B9" w:rsidR="00BD52BA" w:rsidRPr="003F3120" w:rsidRDefault="00BD52BA" w:rsidP="003124FC">
            <w:pPr>
              <w:keepNext/>
              <w:keepLines/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pt1-Produit 3 d) Évaluation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valeurs (deuxième année)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38A" w14:textId="6BF676AE" w:rsidR="00BD52BA" w:rsidRPr="003F3120" w:rsidRDefault="00BA4FD0" w:rsidP="003124FC">
            <w:pPr>
              <w:keepNext/>
              <w:keepLines/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445 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7CE719" w14:textId="77777777" w:rsidR="00BD52BA" w:rsidRPr="003F3120" w:rsidRDefault="00BD52BA" w:rsidP="003124FC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49656CEB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FBF40B" w14:textId="7752BE1D" w:rsidR="00BD52BA" w:rsidRPr="003124FC" w:rsidRDefault="00BD52BA" w:rsidP="003124FC">
            <w:pPr>
              <w:keepNext/>
              <w:keepLines/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pt1-Objectif</w:t>
            </w:r>
            <w:r w:rsidR="00A132F1" w:rsidRPr="003124FC">
              <w:rPr>
                <w:b/>
                <w:bCs/>
                <w:sz w:val="18"/>
                <w:szCs w:val="18"/>
              </w:rPr>
              <w:t> 4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Pr="003124FC">
              <w:rPr>
                <w:b/>
                <w:bCs/>
                <w:sz w:val="18"/>
                <w:szCs w:val="18"/>
              </w:rPr>
              <w:t xml:space="preserve"> Faire connaître et évaluer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Pr="003124FC">
              <w:rPr>
                <w:b/>
                <w:bCs/>
                <w:sz w:val="18"/>
                <w:szCs w:val="18"/>
              </w:rPr>
              <w:t>activités, produits et conclusions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124FC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9A4" w14:textId="163D3D44" w:rsidR="00BD52BA" w:rsidRPr="003124FC" w:rsidRDefault="00BA4FD0" w:rsidP="003124FC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130 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BAAC01" w14:textId="77777777" w:rsidR="00BD52BA" w:rsidRPr="003124FC" w:rsidRDefault="00BD52BA" w:rsidP="003124FC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bookmarkEnd w:id="102"/>
      <w:tr w:rsidR="00BD52BA" w:rsidRPr="003F3120" w14:paraId="197C01E1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</w:tcPr>
          <w:p w14:paraId="531042F2" w14:textId="1F701A6E" w:rsidR="00BD52BA" w:rsidRPr="003F3120" w:rsidRDefault="00A132F1" w:rsidP="003124FC">
            <w:pPr>
              <w:keepNext/>
              <w:keepLines/>
              <w:spacing w:before="40" w:after="40"/>
              <w:ind w:left="17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pt1-Produit 4 </w:t>
            </w:r>
            <w:r w:rsidR="00BD52BA" w:rsidRPr="003F3120">
              <w:rPr>
                <w:sz w:val="18"/>
                <w:szCs w:val="18"/>
              </w:rPr>
              <w:t>a) Catalogue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évaluations pertinentes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1E51402" w14:textId="2DD0F99D" w:rsidR="00BD52BA" w:rsidRPr="003F3120" w:rsidRDefault="00BA4FD0" w:rsidP="003124FC">
            <w:pPr>
              <w:spacing w:before="40" w:after="40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14:paraId="3C3D5F41" w14:textId="77777777" w:rsidR="00BD52BA" w:rsidRPr="003F3120" w:rsidRDefault="00BD52BA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47B6A25F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4560D03B" w14:textId="2596ECF1" w:rsidR="00BD52BA" w:rsidRPr="003F3120" w:rsidRDefault="00A132F1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pt1-Produit 4 </w:t>
            </w:r>
            <w:r w:rsidR="00BD52BA" w:rsidRPr="003F3120">
              <w:rPr>
                <w:sz w:val="18"/>
                <w:szCs w:val="18"/>
              </w:rPr>
              <w:t>d) Communication et participation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parties prenantes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2E2149D1" w14:textId="3D2FCFB7" w:rsidR="00BD52BA" w:rsidRPr="003F3120" w:rsidRDefault="00BA4FD0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  <w:r w:rsidR="00BD52BA" w:rsidRPr="003F3120">
              <w:rPr>
                <w:sz w:val="18"/>
                <w:szCs w:val="18"/>
              </w:rPr>
              <w:t>500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4E199D5C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32B6D9B1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7FE915" w14:textId="72A65927" w:rsidR="00BD52BA" w:rsidRPr="003F3120" w:rsidRDefault="00A132F1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 xml:space="preserve">pt1-Produit 4 </w:t>
            </w:r>
            <w:r w:rsidR="00BD52BA" w:rsidRPr="003F3120">
              <w:rPr>
                <w:sz w:val="18"/>
                <w:szCs w:val="18"/>
              </w:rPr>
              <w:t>e) Examen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 xml:space="preserve">Plateforme 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AE9" w14:textId="17295724" w:rsidR="00BD52BA" w:rsidRPr="003F3120" w:rsidRDefault="00BA4FD0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7 </w:t>
            </w:r>
            <w:r w:rsidR="00BD52BA" w:rsidRPr="003F3120">
              <w:rPr>
                <w:sz w:val="18"/>
                <w:szCs w:val="18"/>
              </w:rPr>
              <w:t>500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29624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19AA2540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CA2362" w14:textId="0389FF51" w:rsidR="00BD52BA" w:rsidRPr="003124FC" w:rsidRDefault="00A132F1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 xml:space="preserve">Total partiel, </w:t>
            </w:r>
            <w:r w:rsidR="00C01F28" w:rsidRPr="003124FC">
              <w:rPr>
                <w:b/>
                <w:bCs/>
                <w:sz w:val="18"/>
                <w:szCs w:val="18"/>
              </w:rPr>
              <w:t>P</w:t>
            </w:r>
            <w:r w:rsidRPr="003124FC">
              <w:rPr>
                <w:b/>
                <w:bCs/>
                <w:sz w:val="18"/>
                <w:szCs w:val="18"/>
              </w:rPr>
              <w:t>artie </w:t>
            </w:r>
            <w:r w:rsidR="00BD52BA" w:rsidRPr="003124FC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3667" w14:textId="65B40AC5" w:rsidR="00BD52BA" w:rsidRPr="003124FC" w:rsidRDefault="00D51CA4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1 844 </w:t>
            </w:r>
            <w:r w:rsidR="00BD52BA" w:rsidRPr="003124FC">
              <w:rPr>
                <w:b/>
                <w:sz w:val="18"/>
                <w:szCs w:val="18"/>
              </w:rPr>
              <w:t>167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7FD20D" w14:textId="300F2A14" w:rsidR="00BD52BA" w:rsidRPr="003124FC" w:rsidRDefault="00BD44C1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</w:t>
            </w:r>
            <w:bookmarkStart w:id="103" w:name="_GoBack"/>
            <w:bookmarkEnd w:id="103"/>
            <w:r w:rsidR="00D51CA4" w:rsidRPr="003124FC">
              <w:rPr>
                <w:b/>
                <w:sz w:val="18"/>
                <w:szCs w:val="18"/>
              </w:rPr>
              <w:t>995 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3124FC" w:rsidRPr="000C25F6" w14:paraId="173D9428" w14:textId="77777777" w:rsidTr="004641EB">
        <w:trPr>
          <w:gridAfter w:val="2"/>
          <w:wAfter w:w="1231" w:type="dxa"/>
          <w:trHeight w:val="18"/>
          <w:jc w:val="right"/>
        </w:trPr>
        <w:tc>
          <w:tcPr>
            <w:tcW w:w="71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261A682" w14:textId="0909E417" w:rsidR="003124FC" w:rsidRPr="003F3120" w:rsidRDefault="003124FC" w:rsidP="003124FC">
            <w:pPr>
              <w:spacing w:before="40" w:after="40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F3120">
              <w:rPr>
                <w:b/>
                <w:sz w:val="18"/>
                <w:szCs w:val="18"/>
              </w:rPr>
              <w:t>Partie B</w:t>
            </w:r>
            <w:r>
              <w:rPr>
                <w:b/>
                <w:sz w:val="18"/>
                <w:szCs w:val="18"/>
              </w:rPr>
              <w:t> :</w:t>
            </w:r>
            <w:r w:rsidRPr="003F3120">
              <w:rPr>
                <w:b/>
                <w:sz w:val="18"/>
                <w:szCs w:val="18"/>
              </w:rPr>
              <w:t xml:space="preserve"> Programme de travail glissant pour</w:t>
            </w:r>
            <w:r w:rsidR="007031E0">
              <w:rPr>
                <w:b/>
                <w:sz w:val="18"/>
                <w:szCs w:val="18"/>
              </w:rPr>
              <w:t xml:space="preserve"> la </w:t>
            </w:r>
            <w:r w:rsidRPr="003F3120">
              <w:rPr>
                <w:b/>
                <w:sz w:val="18"/>
                <w:szCs w:val="18"/>
              </w:rPr>
              <w:t>période allant jusqu</w:t>
            </w:r>
            <w:r w:rsidR="00FA5ADB">
              <w:rPr>
                <w:b/>
                <w:sz w:val="18"/>
                <w:szCs w:val="18"/>
              </w:rPr>
              <w:t>’</w:t>
            </w:r>
            <w:r w:rsidRPr="003F3120">
              <w:rPr>
                <w:b/>
                <w:sz w:val="18"/>
                <w:szCs w:val="18"/>
              </w:rPr>
              <w:t xml:space="preserve">en 2030 </w:t>
            </w:r>
          </w:p>
        </w:tc>
      </w:tr>
      <w:tr w:rsidR="00BD52BA" w:rsidRPr="003F3120" w14:paraId="41DADC26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30698E96" w14:textId="42E0A54C" w:rsidR="00BD52BA" w:rsidRPr="003124FC" w:rsidRDefault="00A132F1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 1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Évaluation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124FC">
              <w:rPr>
                <w:b/>
                <w:bCs/>
                <w:sz w:val="18"/>
                <w:szCs w:val="18"/>
              </w:rPr>
              <w:t>connaissances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5C8FD1FA" w14:textId="56E54995" w:rsidR="00BD52BA" w:rsidRPr="003124FC" w:rsidRDefault="00D51CA4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411 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14775A96" w14:textId="5579D3DC" w:rsidR="00BD52BA" w:rsidRPr="003124FC" w:rsidRDefault="00D51CA4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170 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5D170859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043C655D" w14:textId="1365F480" w:rsidR="00BD52BA" w:rsidRPr="003F3120" w:rsidRDefault="00A132F1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</w:t>
            </w:r>
            <w:r w:rsidR="00BD52BA" w:rsidRPr="003F3120">
              <w:rPr>
                <w:sz w:val="18"/>
                <w:szCs w:val="18"/>
              </w:rPr>
              <w:t>a) Évaluation thématique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liens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interdépendance entre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biodiversité,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eau,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alimentation et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 xml:space="preserve">santé 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1C09662C" w14:textId="7842E619" w:rsidR="00BD52BA" w:rsidRPr="003F3120" w:rsidRDefault="00D51CA4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2FA1611B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106117B5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  <w:hideMark/>
          </w:tcPr>
          <w:p w14:paraId="57A8195E" w14:textId="40BED291" w:rsidR="00BD52BA" w:rsidRPr="003F3120" w:rsidRDefault="00A132F1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</w:t>
            </w:r>
            <w:r w:rsidR="00BD52BA" w:rsidRPr="003F3120">
              <w:rPr>
                <w:sz w:val="18"/>
                <w:szCs w:val="18"/>
              </w:rPr>
              <w:t>b) Document technique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liens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interdépendance entre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changements climatiques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  <w:hideMark/>
          </w:tcPr>
          <w:p w14:paraId="66E21F96" w14:textId="12EE26A7" w:rsidR="00BD52BA" w:rsidRPr="003F3120" w:rsidRDefault="00D51CA4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0BE2A1AD" w14:textId="3A3E5F20" w:rsidR="00BD52BA" w:rsidRPr="003F3120" w:rsidRDefault="00D51CA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3D304B87" w14:textId="77777777" w:rsidTr="003124FC">
        <w:trPr>
          <w:trHeight w:val="18"/>
          <w:jc w:val="right"/>
        </w:trPr>
        <w:tc>
          <w:tcPr>
            <w:tcW w:w="5895" w:type="dxa"/>
            <w:shd w:val="clear" w:color="auto" w:fill="auto"/>
            <w:vAlign w:val="bottom"/>
          </w:tcPr>
          <w:p w14:paraId="77D73485" w14:textId="7B887683" w:rsidR="00BD52BA" w:rsidRPr="003F3120" w:rsidRDefault="00A132F1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</w:t>
            </w:r>
            <w:r w:rsidR="00BD52BA" w:rsidRPr="003F3120">
              <w:rPr>
                <w:sz w:val="18"/>
                <w:szCs w:val="18"/>
              </w:rPr>
              <w:t>c) Évaluation thématique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causes profondes de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érosion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déterminants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changements transformateurs et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solutions pour réalis</w:t>
            </w:r>
            <w:r w:rsidR="00C01F28">
              <w:rPr>
                <w:sz w:val="18"/>
                <w:szCs w:val="18"/>
              </w:rPr>
              <w:t>er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Vision 2050 pour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 xml:space="preserve">biodiversité </w:t>
            </w:r>
          </w:p>
        </w:tc>
        <w:tc>
          <w:tcPr>
            <w:tcW w:w="1246" w:type="dxa"/>
            <w:gridSpan w:val="3"/>
            <w:shd w:val="clear" w:color="auto" w:fill="auto"/>
            <w:noWrap/>
            <w:vAlign w:val="bottom"/>
          </w:tcPr>
          <w:p w14:paraId="1606D43F" w14:textId="712B64F4" w:rsidR="00BD52BA" w:rsidRPr="003F3120" w:rsidRDefault="00D51CA4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14:paraId="1F09272A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0C25F6" w14:paraId="584C7C18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CE48A6" w14:textId="6815F7FB" w:rsidR="00BD52BA" w:rsidRPr="003F3120" w:rsidRDefault="00D026C5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Produit </w:t>
            </w:r>
            <w:r w:rsidR="00BD52BA" w:rsidRPr="003F3120">
              <w:rPr>
                <w:sz w:val="18"/>
                <w:szCs w:val="18"/>
              </w:rPr>
              <w:t>1 d) Évaluation méthodologique de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impact et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dépendance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entreprises à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égard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contributions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nature aux populations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C5AA2D" w14:textId="77777777" w:rsidR="00BD52BA" w:rsidRPr="003F3120" w:rsidRDefault="00BD52BA" w:rsidP="003124FC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1E37B9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061C7612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9419501" w14:textId="6C8A082E" w:rsidR="00BD52BA" w:rsidRPr="003124FC" w:rsidRDefault="00F410F3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 2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Renforcement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124FC">
              <w:rPr>
                <w:b/>
                <w:bCs/>
                <w:sz w:val="18"/>
                <w:szCs w:val="18"/>
              </w:rPr>
              <w:t>capacités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EED" w14:textId="60521CF7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680 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C3D057" w14:textId="59F7D5DF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680 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4F3EDEAF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EA4990" w14:textId="79A1680E" w:rsidR="00BD52BA" w:rsidRPr="003F3120" w:rsidRDefault="00F410F3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 </w:t>
            </w:r>
            <w:r w:rsidR="00BD52BA" w:rsidRPr="003F3120">
              <w:rPr>
                <w:sz w:val="18"/>
                <w:szCs w:val="18"/>
              </w:rPr>
              <w:t xml:space="preserve">2 a) Apprentissage et participation améliorés, </w:t>
            </w:r>
            <w:r w:rsidR="003124FC">
              <w:rPr>
                <w:sz w:val="18"/>
                <w:szCs w:val="18"/>
              </w:rPr>
              <w:br/>
            </w:r>
            <w:r w:rsidR="00BD52BA" w:rsidRPr="003F3120">
              <w:rPr>
                <w:sz w:val="18"/>
                <w:szCs w:val="18"/>
              </w:rPr>
              <w:t>Objectif 2 b) Accès facilité aux compétences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experts et à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information et</w:t>
            </w:r>
            <w:r w:rsidR="003124FC">
              <w:rPr>
                <w:sz w:val="18"/>
                <w:szCs w:val="18"/>
              </w:rPr>
              <w:t xml:space="preserve"> </w:t>
            </w:r>
            <w:r w:rsidR="003124FC">
              <w:rPr>
                <w:sz w:val="18"/>
                <w:szCs w:val="18"/>
              </w:rPr>
              <w:br/>
            </w:r>
            <w:r w:rsidR="00BD52BA" w:rsidRPr="003F3120">
              <w:rPr>
                <w:sz w:val="18"/>
                <w:szCs w:val="18"/>
              </w:rPr>
              <w:t xml:space="preserve">Objectif 2 c) Capacités nationales et régionales renforcées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D58F" w14:textId="7C5FCA4C" w:rsidR="00BD52BA" w:rsidRPr="003F3120" w:rsidRDefault="00CB2243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5183ED" w14:textId="02B4E357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0CACFA0C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F1B345" w14:textId="17974AE5" w:rsidR="00BD52BA" w:rsidRPr="003124FC" w:rsidRDefault="00F410F3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 3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</w:t>
            </w:r>
            <w:r w:rsidR="00C01F28" w:rsidRPr="003124FC">
              <w:rPr>
                <w:b/>
                <w:bCs/>
                <w:sz w:val="18"/>
                <w:szCs w:val="18"/>
              </w:rPr>
              <w:t>C</w:t>
            </w:r>
            <w:r w:rsidR="00BD52BA" w:rsidRPr="003124FC">
              <w:rPr>
                <w:b/>
                <w:bCs/>
                <w:sz w:val="18"/>
                <w:szCs w:val="18"/>
              </w:rPr>
              <w:t>onsolidation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124FC">
              <w:rPr>
                <w:b/>
                <w:bCs/>
                <w:sz w:val="18"/>
                <w:szCs w:val="18"/>
              </w:rPr>
              <w:t>base de connaissances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33CA" w14:textId="78094700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395 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0A7810" w14:textId="7D39F8C9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395 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56F6B568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30157FA" w14:textId="42944A75" w:rsidR="00BD52BA" w:rsidRPr="003F3120" w:rsidRDefault="00F410F3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 </w:t>
            </w:r>
            <w:r w:rsidR="00BD52BA" w:rsidRPr="003F3120">
              <w:rPr>
                <w:sz w:val="18"/>
                <w:szCs w:val="18"/>
              </w:rPr>
              <w:t>3 a) Progrès dans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travaux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connaissances et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données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05CF" w14:textId="113D8713" w:rsidR="00BD52BA" w:rsidRPr="003F3120" w:rsidRDefault="00CB2243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 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80B6EF" w14:textId="2DC900CF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1D5251A8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9A34AA" w14:textId="79796D91" w:rsidR="00BD52BA" w:rsidRPr="003F3120" w:rsidRDefault="00F410F3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 3 </w:t>
            </w:r>
            <w:r w:rsidR="00BD52BA" w:rsidRPr="003F3120">
              <w:rPr>
                <w:sz w:val="18"/>
                <w:szCs w:val="18"/>
              </w:rPr>
              <w:t>b) Reconnaissance et utilisation améliorées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systèmes de savoirs autochtones et locaux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4E74" w14:textId="69F5C3F5" w:rsidR="00BD52BA" w:rsidRPr="003F3120" w:rsidRDefault="00CB2243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4572CF" w14:textId="0DED907D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3C65B54C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13676E" w14:textId="6F25C1B1" w:rsidR="00BD52BA" w:rsidRPr="003124FC" w:rsidRDefault="00F410F3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 4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</w:t>
            </w:r>
            <w:r w:rsidR="00C01F28" w:rsidRPr="003124FC">
              <w:rPr>
                <w:b/>
                <w:bCs/>
                <w:sz w:val="18"/>
                <w:szCs w:val="18"/>
              </w:rPr>
              <w:t>A</w:t>
            </w:r>
            <w:r w:rsidR="00BD52BA" w:rsidRPr="003124FC">
              <w:rPr>
                <w:b/>
                <w:bCs/>
                <w:sz w:val="18"/>
                <w:szCs w:val="18"/>
              </w:rPr>
              <w:t>ppui à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élaboration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124FC">
              <w:rPr>
                <w:b/>
                <w:bCs/>
                <w:sz w:val="18"/>
                <w:szCs w:val="18"/>
              </w:rPr>
              <w:t>politiques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927" w14:textId="1C48A24A" w:rsidR="00BD52BA" w:rsidRPr="003124FC" w:rsidRDefault="00D220E9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504 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5E801D" w14:textId="1EEB6531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504 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58A05E76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4E8F981" w14:textId="1426344C" w:rsidR="00BD52BA" w:rsidRPr="003F3120" w:rsidRDefault="00D026C5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Objectif </w:t>
            </w:r>
            <w:r w:rsidR="00BD52BA" w:rsidRPr="003F3120">
              <w:rPr>
                <w:sz w:val="18"/>
                <w:szCs w:val="18"/>
              </w:rPr>
              <w:t>4 a) Travaux avancés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moyens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actions et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outils et méthodes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a</w:t>
            </w:r>
            <w:r w:rsidR="00C01F28">
              <w:rPr>
                <w:sz w:val="18"/>
                <w:szCs w:val="18"/>
              </w:rPr>
              <w:t>ppui</w:t>
            </w:r>
            <w:r w:rsidR="00BD52BA" w:rsidRPr="003F3120">
              <w:rPr>
                <w:sz w:val="18"/>
                <w:szCs w:val="18"/>
              </w:rPr>
              <w:t xml:space="preserve"> à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élaboration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politiques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BFD" w14:textId="2DA8805F" w:rsidR="00BD52BA" w:rsidRPr="003F3120" w:rsidRDefault="00CB2243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44EF61" w14:textId="4CCAAF75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18A09553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54C962" w14:textId="37E2C109" w:rsidR="00BD52BA" w:rsidRPr="003F3120" w:rsidRDefault="00D026C5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Objectif 4 </w:t>
            </w:r>
            <w:r w:rsidR="00BD52BA" w:rsidRPr="003F3120">
              <w:rPr>
                <w:sz w:val="18"/>
                <w:szCs w:val="18"/>
              </w:rPr>
              <w:t>b) Travaux avancés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scénarios et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modélisation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fonctions et services écosystémiques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7963" w14:textId="7AB476ED" w:rsidR="00BD52BA" w:rsidRPr="003F3120" w:rsidRDefault="00CB2243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439B11" w14:textId="5C7F9A29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7318D5E0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38D42D4" w14:textId="185DDE9B" w:rsidR="00BD52BA" w:rsidRPr="003124FC" w:rsidRDefault="00F410F3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 5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</w:t>
            </w:r>
            <w:r w:rsidR="00C01F28" w:rsidRPr="003124FC">
              <w:rPr>
                <w:b/>
                <w:bCs/>
                <w:sz w:val="18"/>
                <w:szCs w:val="18"/>
              </w:rPr>
              <w:t>C</w:t>
            </w:r>
            <w:r w:rsidR="00BD52BA" w:rsidRPr="003124FC">
              <w:rPr>
                <w:b/>
                <w:bCs/>
                <w:sz w:val="18"/>
                <w:szCs w:val="18"/>
              </w:rPr>
              <w:t>ommunication et participation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A944" w14:textId="701D25D5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300 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EF5EE8" w14:textId="09D8ACB5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300 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1B02B15B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AD1EC49" w14:textId="77777777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 5 a) Communication renforcée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7461" w14:textId="638C4918" w:rsidR="00BD52BA" w:rsidRPr="003F3120" w:rsidRDefault="00CB2243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176823" w14:textId="138C394F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2378F069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5AA1BC" w14:textId="3379346A" w:rsidR="00BD52BA" w:rsidRPr="003F3120" w:rsidRDefault="00D026C5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Objectif 5 </w:t>
            </w:r>
            <w:r w:rsidR="00BD52BA" w:rsidRPr="003F3120">
              <w:rPr>
                <w:sz w:val="18"/>
                <w:szCs w:val="18"/>
              </w:rPr>
              <w:t xml:space="preserve">b) </w:t>
            </w:r>
            <w:r w:rsidR="00C01F28">
              <w:rPr>
                <w:sz w:val="18"/>
                <w:szCs w:val="18"/>
              </w:rPr>
              <w:t xml:space="preserve">Participation </w:t>
            </w:r>
            <w:r w:rsidR="00BD52BA" w:rsidRPr="003F3120">
              <w:rPr>
                <w:sz w:val="18"/>
                <w:szCs w:val="18"/>
              </w:rPr>
              <w:t>renforcé</w:t>
            </w:r>
            <w:r w:rsidR="00C01F28">
              <w:rPr>
                <w:sz w:val="18"/>
                <w:szCs w:val="18"/>
              </w:rPr>
              <w:t>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 xml:space="preserve">gouvernements, </w:t>
            </w:r>
            <w:r w:rsidR="003124F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Objectif 5 </w:t>
            </w:r>
            <w:r w:rsidR="00BD52BA" w:rsidRPr="003F3120">
              <w:rPr>
                <w:sz w:val="18"/>
                <w:szCs w:val="18"/>
              </w:rPr>
              <w:t xml:space="preserve">c) </w:t>
            </w:r>
            <w:r w:rsidR="00852E9D">
              <w:rPr>
                <w:sz w:val="18"/>
                <w:szCs w:val="18"/>
              </w:rPr>
              <w:t>P</w:t>
            </w:r>
            <w:r w:rsidR="00C01F28">
              <w:rPr>
                <w:sz w:val="18"/>
                <w:szCs w:val="18"/>
              </w:rPr>
              <w:t>articipation</w:t>
            </w:r>
            <w:r w:rsidR="00BD52BA" w:rsidRPr="003F3120">
              <w:rPr>
                <w:sz w:val="18"/>
                <w:szCs w:val="18"/>
              </w:rPr>
              <w:t xml:space="preserve"> renforcé</w:t>
            </w:r>
            <w:r w:rsidR="00C01F28">
              <w:rPr>
                <w:sz w:val="18"/>
                <w:szCs w:val="18"/>
              </w:rPr>
              <w:t>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parties prenantes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938C" w14:textId="0199C78E" w:rsidR="00BD52BA" w:rsidRPr="003F3120" w:rsidRDefault="00CB2243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582B10" w14:textId="622099EB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2AE4683C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ABBFB0" w14:textId="76C7F8CC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 xml:space="preserve">Total partiel, </w:t>
            </w:r>
            <w:r w:rsidR="00C01F28" w:rsidRPr="003124FC">
              <w:rPr>
                <w:b/>
                <w:bCs/>
                <w:sz w:val="18"/>
                <w:szCs w:val="18"/>
              </w:rPr>
              <w:t>P</w:t>
            </w:r>
            <w:r w:rsidRPr="003124FC">
              <w:rPr>
                <w:b/>
                <w:bCs/>
                <w:sz w:val="18"/>
                <w:szCs w:val="18"/>
              </w:rPr>
              <w:t>artie B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115" w14:textId="482AF925" w:rsidR="00BD52BA" w:rsidRPr="003124FC" w:rsidRDefault="00D220E9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2 </w:t>
            </w:r>
            <w:r w:rsidR="00CB2243" w:rsidRPr="003124FC">
              <w:rPr>
                <w:b/>
                <w:sz w:val="18"/>
                <w:szCs w:val="18"/>
              </w:rPr>
              <w:t>290 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C74D11" w14:textId="17A6F991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2 049 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78C7F759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7E38" w14:textId="0BB229D7" w:rsidR="00BD52BA" w:rsidRPr="003124FC" w:rsidRDefault="00F410F3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>2, Mise en œuvre du programme de travail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FB92" w14:textId="2C122D9A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4 134 </w:t>
            </w:r>
            <w:r w:rsidR="00BD52BA" w:rsidRPr="003124FC">
              <w:rPr>
                <w:b/>
                <w:sz w:val="18"/>
                <w:szCs w:val="18"/>
              </w:rPr>
              <w:t>167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D4BF9F" w14:textId="173CE283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4 044 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3F22B8F7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690134" w14:textId="77777777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3. </w:t>
            </w:r>
            <w:r w:rsidRPr="003124FC">
              <w:rPr>
                <w:b/>
                <w:bCs/>
                <w:sz w:val="18"/>
                <w:szCs w:val="18"/>
              </w:rPr>
              <w:t>Secrétariat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2B6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892A26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BD52BA" w:rsidRPr="003F3120" w14:paraId="06336391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21EA84F" w14:textId="77777777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3.1 Personnel du secrétariat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BAA9A" w14:textId="49405E65" w:rsidR="00BD52BA" w:rsidRPr="00032F1F" w:rsidRDefault="00CB2243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F1F">
              <w:rPr>
                <w:b/>
                <w:sz w:val="18"/>
                <w:szCs w:val="18"/>
              </w:rPr>
              <w:t>1 631 </w:t>
            </w:r>
            <w:r w:rsidR="00BD52BA" w:rsidRPr="00032F1F"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3CAFDB" w14:textId="5D2ABD6B" w:rsidR="00BD52BA" w:rsidRPr="00032F1F" w:rsidRDefault="00CB2243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032F1F">
              <w:rPr>
                <w:b/>
                <w:sz w:val="18"/>
                <w:szCs w:val="18"/>
              </w:rPr>
              <w:t>2 056 </w:t>
            </w:r>
            <w:r w:rsidR="00BD52BA" w:rsidRPr="00032F1F">
              <w:rPr>
                <w:b/>
                <w:sz w:val="18"/>
                <w:szCs w:val="18"/>
              </w:rPr>
              <w:t>100</w:t>
            </w:r>
          </w:p>
        </w:tc>
      </w:tr>
      <w:tr w:rsidR="00BD52BA" w:rsidRPr="003F3120" w14:paraId="38F8A0F0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7F60A7" w14:textId="5EA035BB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3.2 Dépenses de fonctionnement (autres que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dépenses de personnel)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E29A" w14:textId="00ADB4BD" w:rsidR="00BD52BA" w:rsidRPr="00032F1F" w:rsidRDefault="00CB2243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32F1F">
              <w:rPr>
                <w:b/>
                <w:sz w:val="18"/>
                <w:szCs w:val="18"/>
              </w:rPr>
              <w:t xml:space="preserve"> 251 </w:t>
            </w:r>
            <w:r w:rsidR="00BD52BA" w:rsidRPr="00032F1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20F235" w14:textId="1C3F1D80" w:rsidR="00BD52BA" w:rsidRPr="00032F1F" w:rsidRDefault="00CB2243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032F1F">
              <w:rPr>
                <w:b/>
                <w:sz w:val="18"/>
                <w:szCs w:val="18"/>
              </w:rPr>
              <w:t>251 </w:t>
            </w:r>
            <w:r w:rsidR="00BD52BA" w:rsidRPr="00032F1F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2C3A8109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EE2E" w14:textId="645275CC" w:rsidR="00BD52BA" w:rsidRPr="003124FC" w:rsidRDefault="00F410F3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3, </w:t>
            </w:r>
            <w:r w:rsidR="00C01F28" w:rsidRPr="003124FC">
              <w:rPr>
                <w:b/>
                <w:bCs/>
                <w:sz w:val="18"/>
                <w:szCs w:val="18"/>
              </w:rPr>
              <w:t>S</w:t>
            </w:r>
            <w:r w:rsidR="00BD52BA" w:rsidRPr="003124FC">
              <w:rPr>
                <w:b/>
                <w:bCs/>
                <w:sz w:val="18"/>
                <w:szCs w:val="18"/>
              </w:rPr>
              <w:t>ecrétariat (dépenses de personnel et de fonctionnement)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3021" w14:textId="1743852A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1 882 </w:t>
            </w:r>
            <w:r w:rsidR="00BD52BA" w:rsidRPr="003124FC"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1B3E87" w14:textId="77D912F5" w:rsidR="00BD52BA" w:rsidRPr="003124FC" w:rsidRDefault="00D220E9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2 </w:t>
            </w:r>
            <w:r w:rsidR="00FF3514" w:rsidRPr="003124FC">
              <w:rPr>
                <w:b/>
                <w:sz w:val="18"/>
                <w:szCs w:val="18"/>
              </w:rPr>
              <w:t>307 </w:t>
            </w:r>
            <w:r w:rsidR="00BD52BA" w:rsidRPr="003124FC">
              <w:rPr>
                <w:b/>
                <w:sz w:val="18"/>
                <w:szCs w:val="18"/>
              </w:rPr>
              <w:t>100</w:t>
            </w:r>
          </w:p>
        </w:tc>
      </w:tr>
      <w:tr w:rsidR="00BD52BA" w:rsidRPr="003F3120" w14:paraId="5EFB70E7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B74EE64" w14:textId="77777777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Total partiel, 1+2+3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4E0B" w14:textId="499E791E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7 657 </w:t>
            </w:r>
            <w:r w:rsidR="00BD52BA" w:rsidRPr="003F3120">
              <w:rPr>
                <w:sz w:val="18"/>
                <w:szCs w:val="18"/>
              </w:rPr>
              <w:t>042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C0BC0F" w14:textId="19387C01" w:rsidR="00BD52BA" w:rsidRPr="003F3120" w:rsidRDefault="00FF351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6 617 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12F52C4F" w14:textId="77777777" w:rsidTr="003124FC">
        <w:trPr>
          <w:trHeight w:val="18"/>
          <w:jc w:val="right"/>
        </w:trPr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272582" w14:textId="339D7D46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Dépenses d</w:t>
            </w:r>
            <w:r w:rsidR="00FA5ADB">
              <w:rPr>
                <w:sz w:val="18"/>
                <w:szCs w:val="18"/>
              </w:rPr>
              <w:t>’</w:t>
            </w:r>
            <w:r w:rsidR="00D026C5">
              <w:rPr>
                <w:sz w:val="18"/>
                <w:szCs w:val="18"/>
              </w:rPr>
              <w:t>appui au programme (8 </w:t>
            </w:r>
            <w:r w:rsidRPr="003F3120">
              <w:rPr>
                <w:sz w:val="18"/>
                <w:szCs w:val="18"/>
              </w:rPr>
              <w:t>%)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D307" w14:textId="7A000B2F" w:rsidR="00BD52BA" w:rsidRPr="003F3120" w:rsidRDefault="00CB2243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612 </w:t>
            </w:r>
            <w:r w:rsidR="00BD52BA" w:rsidRPr="003F3120">
              <w:rPr>
                <w:sz w:val="18"/>
                <w:szCs w:val="18"/>
              </w:rPr>
              <w:t>563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6A957A" w14:textId="0B4F29D3" w:rsidR="00BD52BA" w:rsidRPr="003F3120" w:rsidRDefault="00D220E9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  <w:r w:rsidR="00BD52BA" w:rsidRPr="003F3120">
              <w:rPr>
                <w:sz w:val="18"/>
                <w:szCs w:val="18"/>
              </w:rPr>
              <w:t>360</w:t>
            </w:r>
          </w:p>
        </w:tc>
      </w:tr>
      <w:tr w:rsidR="00BD52BA" w:rsidRPr="003F3120" w14:paraId="34950AA1" w14:textId="77777777" w:rsidTr="003124FC">
        <w:trPr>
          <w:trHeight w:val="18"/>
          <w:jc w:val="right"/>
        </w:trPr>
        <w:tc>
          <w:tcPr>
            <w:tcW w:w="58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B19502" w14:textId="77777777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</w:t>
            </w:r>
            <w:r w:rsidRPr="003124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AE646A" w14:textId="3B0BA848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8 269 </w:t>
            </w:r>
            <w:r w:rsidR="00BD52BA" w:rsidRPr="003124FC">
              <w:rPr>
                <w:b/>
                <w:sz w:val="18"/>
                <w:szCs w:val="18"/>
              </w:rPr>
              <w:t>605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A4F058F" w14:textId="24559121" w:rsidR="00BD52BA" w:rsidRPr="003124FC" w:rsidRDefault="00FF351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7 146 </w:t>
            </w:r>
            <w:r w:rsidR="00BD52BA" w:rsidRPr="003124FC">
              <w:rPr>
                <w:b/>
                <w:sz w:val="18"/>
                <w:szCs w:val="18"/>
              </w:rPr>
              <w:t>360</w:t>
            </w:r>
          </w:p>
        </w:tc>
      </w:tr>
    </w:tbl>
    <w:bookmarkEnd w:id="101"/>
    <w:p w14:paraId="54C5877F" w14:textId="381135E5" w:rsidR="00BD52BA" w:rsidRPr="003F3120" w:rsidRDefault="00BD52BA" w:rsidP="003124FC">
      <w:pPr>
        <w:pStyle w:val="CH1"/>
        <w:spacing w:before="0"/>
      </w:pPr>
      <w:r w:rsidRPr="003F3120">
        <w:lastRenderedPageBreak/>
        <w:tab/>
        <w:t>V.</w:t>
      </w:r>
      <w:r w:rsidRPr="003F3120">
        <w:tab/>
        <w:t>Projet de budget pour 2021</w:t>
      </w:r>
    </w:p>
    <w:p w14:paraId="38EBF824" w14:textId="2169C400" w:rsidR="00BD52BA" w:rsidRPr="003F3120" w:rsidRDefault="00C3125D" w:rsidP="003124FC">
      <w:pPr>
        <w:pStyle w:val="Titletable"/>
      </w:pPr>
      <w:r w:rsidRPr="003124FC">
        <w:rPr>
          <w:b w:val="0"/>
        </w:rPr>
        <w:t>Tableau </w:t>
      </w:r>
      <w:r w:rsidR="00BD52BA" w:rsidRPr="003124FC">
        <w:rPr>
          <w:b w:val="0"/>
        </w:rPr>
        <w:t xml:space="preserve">8 </w:t>
      </w:r>
      <w:r w:rsidR="003124FC" w:rsidRPr="003124FC">
        <w:rPr>
          <w:b w:val="0"/>
        </w:rPr>
        <w:br/>
      </w:r>
      <w:r w:rsidR="00BD52BA" w:rsidRPr="003F3120">
        <w:t>Projet de budget pour 2021</w:t>
      </w:r>
    </w:p>
    <w:p w14:paraId="4F9B5139" w14:textId="1B1BB049" w:rsidR="00BD52BA" w:rsidRPr="003124FC" w:rsidRDefault="00BD52BA" w:rsidP="003124FC">
      <w:pPr>
        <w:pStyle w:val="NormalNonumber"/>
        <w:keepNext/>
        <w:keepLines/>
        <w:rPr>
          <w:bCs/>
          <w:sz w:val="18"/>
          <w:szCs w:val="18"/>
        </w:rPr>
      </w:pPr>
      <w:r w:rsidRPr="003124FC">
        <w:rPr>
          <w:sz w:val="18"/>
          <w:szCs w:val="18"/>
        </w:rPr>
        <w:t>(</w:t>
      </w:r>
      <w:r w:rsidR="00FA5ADB">
        <w:rPr>
          <w:sz w:val="18"/>
          <w:szCs w:val="18"/>
        </w:rPr>
        <w:t>e</w:t>
      </w:r>
      <w:r w:rsidRPr="003124FC">
        <w:rPr>
          <w:sz w:val="18"/>
          <w:szCs w:val="18"/>
        </w:rPr>
        <w:t>n dollars</w:t>
      </w:r>
      <w:r w:rsidR="007031E0">
        <w:rPr>
          <w:sz w:val="18"/>
          <w:szCs w:val="18"/>
        </w:rPr>
        <w:t xml:space="preserve"> des </w:t>
      </w:r>
      <w:r w:rsidRPr="003124FC">
        <w:rPr>
          <w:sz w:val="18"/>
          <w:szCs w:val="18"/>
        </w:rPr>
        <w:t>États-Unis)</w:t>
      </w:r>
    </w:p>
    <w:tbl>
      <w:tblPr>
        <w:tblW w:w="8363" w:type="dxa"/>
        <w:jc w:val="right"/>
        <w:tblLayout w:type="fixed"/>
        <w:tblLook w:val="04A0" w:firstRow="1" w:lastRow="0" w:firstColumn="1" w:lastColumn="0" w:noHBand="0" w:noVBand="1"/>
      </w:tblPr>
      <w:tblGrid>
        <w:gridCol w:w="6824"/>
        <w:gridCol w:w="1539"/>
      </w:tblGrid>
      <w:tr w:rsidR="00BD52BA" w:rsidRPr="003F3120" w14:paraId="6D26B6C7" w14:textId="77777777" w:rsidTr="00BD52BA">
        <w:trPr>
          <w:trHeight w:val="20"/>
          <w:tblHeader/>
          <w:jc w:val="right"/>
        </w:trPr>
        <w:tc>
          <w:tcPr>
            <w:tcW w:w="40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487D0E0" w14:textId="77777777" w:rsidR="00BD52BA" w:rsidRPr="003F3120" w:rsidRDefault="00BD52BA" w:rsidP="003124FC">
            <w:pPr>
              <w:keepNext/>
              <w:keepLines/>
              <w:spacing w:before="40" w:after="40"/>
              <w:rPr>
                <w:bCs/>
                <w:i/>
                <w:color w:val="000000"/>
                <w:sz w:val="18"/>
                <w:szCs w:val="18"/>
              </w:rPr>
            </w:pPr>
            <w:r w:rsidRPr="003F3120">
              <w:rPr>
                <w:i/>
                <w:iCs/>
                <w:sz w:val="18"/>
                <w:szCs w:val="18"/>
              </w:rPr>
              <w:t>Poste budgétaire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964DAB2" w14:textId="77777777" w:rsidR="00BD52BA" w:rsidRPr="003F3120" w:rsidRDefault="00BD52BA" w:rsidP="003124FC">
            <w:pPr>
              <w:keepNext/>
              <w:keepLines/>
              <w:spacing w:before="40" w:after="4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F3120">
              <w:rPr>
                <w:i/>
                <w:iCs/>
                <w:sz w:val="18"/>
                <w:szCs w:val="18"/>
              </w:rPr>
              <w:t>Budget pour 2021</w:t>
            </w:r>
            <w:r w:rsidRPr="003F3120">
              <w:rPr>
                <w:sz w:val="18"/>
                <w:szCs w:val="18"/>
              </w:rPr>
              <w:t xml:space="preserve"> </w:t>
            </w:r>
          </w:p>
        </w:tc>
      </w:tr>
      <w:tr w:rsidR="00BD52BA" w:rsidRPr="000C25F6" w14:paraId="0A8E4955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013EE184" w14:textId="7040C82F" w:rsidR="00BD52BA" w:rsidRPr="003124FC" w:rsidRDefault="00BD52BA" w:rsidP="003124FC">
            <w:pPr>
              <w:keepNext/>
              <w:keepLines/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1. </w:t>
            </w:r>
            <w:r w:rsidRPr="003124FC">
              <w:rPr>
                <w:b/>
                <w:bCs/>
                <w:sz w:val="18"/>
                <w:szCs w:val="18"/>
              </w:rPr>
              <w:t>Réunions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Pr="003124FC">
              <w:rPr>
                <w:b/>
                <w:bCs/>
                <w:sz w:val="18"/>
                <w:szCs w:val="18"/>
              </w:rPr>
              <w:t>organes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124FC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92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E23BF" w14:textId="77777777" w:rsidR="00BD52BA" w:rsidRPr="003124FC" w:rsidRDefault="00BD52BA" w:rsidP="003124FC">
            <w:pPr>
              <w:keepNext/>
              <w:keepLines/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D52BA" w:rsidRPr="003F3120" w14:paraId="5161B9EE" w14:textId="77777777" w:rsidTr="00BD52BA">
        <w:trPr>
          <w:trHeight w:val="20"/>
          <w:jc w:val="right"/>
        </w:trPr>
        <w:tc>
          <w:tcPr>
            <w:tcW w:w="4080" w:type="pct"/>
            <w:shd w:val="clear" w:color="auto" w:fill="auto"/>
            <w:vAlign w:val="bottom"/>
            <w:hideMark/>
          </w:tcPr>
          <w:p w14:paraId="0F9FF2E3" w14:textId="7231B30D" w:rsidR="00BD52BA" w:rsidRPr="003124FC" w:rsidRDefault="00BD52BA" w:rsidP="003124FC">
            <w:pPr>
              <w:keepNext/>
              <w:keepLines/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1.1 </w:t>
            </w:r>
            <w:r w:rsidRPr="003124FC">
              <w:rPr>
                <w:b/>
                <w:bCs/>
                <w:sz w:val="18"/>
                <w:szCs w:val="18"/>
              </w:rPr>
              <w:t>Sessions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124FC">
              <w:rPr>
                <w:b/>
                <w:bCs/>
                <w:sz w:val="18"/>
                <w:szCs w:val="18"/>
              </w:rPr>
              <w:t>Plénière</w:t>
            </w:r>
          </w:p>
        </w:tc>
        <w:tc>
          <w:tcPr>
            <w:tcW w:w="920" w:type="pct"/>
            <w:shd w:val="clear" w:color="auto" w:fill="auto"/>
            <w:noWrap/>
            <w:vAlign w:val="bottom"/>
            <w:hideMark/>
          </w:tcPr>
          <w:p w14:paraId="06359A01" w14:textId="77777777" w:rsidR="00BD52BA" w:rsidRPr="003124FC" w:rsidRDefault="00BD52BA" w:rsidP="003124FC">
            <w:pPr>
              <w:keepNext/>
              <w:keepLines/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D52BA" w:rsidRPr="003F3120" w14:paraId="564C4E56" w14:textId="77777777" w:rsidTr="00BD52BA">
        <w:trPr>
          <w:trHeight w:val="20"/>
          <w:jc w:val="right"/>
        </w:trPr>
        <w:tc>
          <w:tcPr>
            <w:tcW w:w="4080" w:type="pct"/>
            <w:shd w:val="clear" w:color="auto" w:fill="auto"/>
            <w:vAlign w:val="bottom"/>
            <w:hideMark/>
          </w:tcPr>
          <w:p w14:paraId="2D26C7B0" w14:textId="16FCD9C5" w:rsidR="00BD52BA" w:rsidRPr="003F3120" w:rsidRDefault="00BD52BA" w:rsidP="003124FC">
            <w:pPr>
              <w:keepNext/>
              <w:keepLines/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participants à</w:t>
            </w:r>
            <w:r w:rsidR="007031E0">
              <w:rPr>
                <w:sz w:val="18"/>
                <w:szCs w:val="18"/>
              </w:rPr>
              <w:t xml:space="preserve"> la </w:t>
            </w:r>
            <w:r w:rsidRPr="003F3120">
              <w:rPr>
                <w:sz w:val="18"/>
                <w:szCs w:val="18"/>
              </w:rPr>
              <w:t xml:space="preserve">huitième session (frais de voyage et indemnité journalière de subsistance) </w:t>
            </w:r>
          </w:p>
        </w:tc>
        <w:tc>
          <w:tcPr>
            <w:tcW w:w="920" w:type="pct"/>
            <w:shd w:val="clear" w:color="auto" w:fill="auto"/>
            <w:noWrap/>
            <w:vAlign w:val="bottom"/>
          </w:tcPr>
          <w:p w14:paraId="43C777D0" w14:textId="31470CE8" w:rsidR="00BD52BA" w:rsidRPr="003F3120" w:rsidRDefault="00FF3514" w:rsidP="003124FC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66523B53" w14:textId="77777777" w:rsidTr="00BD52BA">
        <w:trPr>
          <w:trHeight w:val="20"/>
          <w:jc w:val="right"/>
        </w:trPr>
        <w:tc>
          <w:tcPr>
            <w:tcW w:w="4080" w:type="pct"/>
            <w:shd w:val="clear" w:color="auto" w:fill="auto"/>
            <w:vAlign w:val="bottom"/>
            <w:hideMark/>
          </w:tcPr>
          <w:p w14:paraId="48662909" w14:textId="77777777" w:rsidR="00BD52BA" w:rsidRPr="003F3120" w:rsidRDefault="00BD52BA" w:rsidP="003124FC">
            <w:pPr>
              <w:keepNext/>
              <w:keepLines/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Services de conférence (traduction, édition et interprétation)</w:t>
            </w:r>
          </w:p>
        </w:tc>
        <w:tc>
          <w:tcPr>
            <w:tcW w:w="920" w:type="pct"/>
            <w:shd w:val="clear" w:color="auto" w:fill="auto"/>
            <w:noWrap/>
            <w:vAlign w:val="bottom"/>
          </w:tcPr>
          <w:p w14:paraId="12411869" w14:textId="00FE63DA" w:rsidR="00BD52BA" w:rsidRPr="003F3120" w:rsidRDefault="00CB2243" w:rsidP="003124FC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830 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042F9F0A" w14:textId="77777777" w:rsidTr="00BD52BA">
        <w:trPr>
          <w:trHeight w:val="20"/>
          <w:jc w:val="right"/>
        </w:trPr>
        <w:tc>
          <w:tcPr>
            <w:tcW w:w="4080" w:type="pct"/>
            <w:shd w:val="clear" w:color="auto" w:fill="auto"/>
            <w:vAlign w:val="bottom"/>
            <w:hideMark/>
          </w:tcPr>
          <w:p w14:paraId="7BBACE6B" w14:textId="2AAA4BD4" w:rsidR="00BD52BA" w:rsidRPr="003F3120" w:rsidRDefault="00BD52BA" w:rsidP="003124FC">
            <w:pPr>
              <w:keepNext/>
              <w:keepLines/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Services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établissement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rapports</w:t>
            </w:r>
          </w:p>
        </w:tc>
        <w:tc>
          <w:tcPr>
            <w:tcW w:w="920" w:type="pct"/>
            <w:shd w:val="clear" w:color="auto" w:fill="auto"/>
            <w:noWrap/>
            <w:vAlign w:val="bottom"/>
          </w:tcPr>
          <w:p w14:paraId="488DD4F5" w14:textId="57962529" w:rsidR="00BD52BA" w:rsidRPr="003F3120" w:rsidRDefault="00FF3514" w:rsidP="003124FC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25F67F66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1F4E28E" w14:textId="77777777" w:rsidR="00BD52BA" w:rsidRPr="003F3120" w:rsidRDefault="00BD52BA" w:rsidP="003124FC">
            <w:pPr>
              <w:keepNext/>
              <w:keepLines/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 xml:space="preserve">Sécurité et autres dépenses 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A4239A" w14:textId="3E5E83E9" w:rsidR="00BD52BA" w:rsidRPr="003F3120" w:rsidRDefault="00FF3514" w:rsidP="003124FC">
            <w:pPr>
              <w:keepNext/>
              <w:keepLines/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14A62680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822539" w14:textId="5DF46679" w:rsidR="00BD52BA" w:rsidRPr="003124FC" w:rsidRDefault="00C3125D" w:rsidP="003124FC">
            <w:pPr>
              <w:keepNext/>
              <w:keepLines/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>1.1, Sessions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124FC">
              <w:rPr>
                <w:b/>
                <w:bCs/>
                <w:sz w:val="18"/>
                <w:szCs w:val="18"/>
              </w:rPr>
              <w:t>Plénière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EC40" w14:textId="5351243F" w:rsidR="00BD52BA" w:rsidRPr="003124FC" w:rsidRDefault="00FF3514" w:rsidP="003124FC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1 495 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0C25F6" w14:paraId="2C5F8335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51FA868" w14:textId="46E27821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1.2 </w:t>
            </w:r>
            <w:r w:rsidRPr="003124FC">
              <w:rPr>
                <w:b/>
                <w:bCs/>
                <w:sz w:val="18"/>
                <w:szCs w:val="18"/>
              </w:rPr>
              <w:t>Sessions du Bureau et du Groupe d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Pr="003124FC">
              <w:rPr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888D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D52BA" w:rsidRPr="003F3120" w14:paraId="268111E7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7395700" w14:textId="0EE060C1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 et coût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réunions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participants à deux sessions du Bureau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789" w14:textId="0E325482" w:rsidR="00BD52BA" w:rsidRPr="003F3120" w:rsidRDefault="00FF351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  <w:r w:rsidR="00BD52BA" w:rsidRPr="003F3120">
              <w:rPr>
                <w:sz w:val="18"/>
                <w:szCs w:val="18"/>
              </w:rPr>
              <w:t>900</w:t>
            </w:r>
          </w:p>
        </w:tc>
      </w:tr>
      <w:tr w:rsidR="00BD52BA" w:rsidRPr="003F3120" w14:paraId="7AB6B711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98880F" w14:textId="766FD638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Frais de voyage et coût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réunions pour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participants à deux sessions du Groupe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experts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89AE" w14:textId="1F170F3D" w:rsidR="00BD52BA" w:rsidRPr="003F3120" w:rsidRDefault="00FF351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308BBB50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9A05BB" w14:textId="57FF216F" w:rsidR="00BD52BA" w:rsidRPr="003124FC" w:rsidRDefault="00C3125D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>1.2, Sessions du Bureau et du Groupe d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A8D6" w14:textId="56C1E0F8" w:rsidR="00BD52BA" w:rsidRPr="003124FC" w:rsidRDefault="00CB2243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240 </w:t>
            </w:r>
            <w:r w:rsidR="00BD52BA" w:rsidRPr="003124FC">
              <w:rPr>
                <w:b/>
                <w:sz w:val="18"/>
                <w:szCs w:val="18"/>
              </w:rPr>
              <w:t>900</w:t>
            </w:r>
          </w:p>
        </w:tc>
      </w:tr>
      <w:tr w:rsidR="00BD52BA" w:rsidRPr="003F3120" w14:paraId="32251D62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9DADEC" w14:textId="5F1F8EEA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1.3 </w:t>
            </w:r>
            <w:r w:rsidRPr="003124FC">
              <w:rPr>
                <w:b/>
                <w:bCs/>
                <w:sz w:val="18"/>
                <w:szCs w:val="18"/>
              </w:rPr>
              <w:t>Frais de voyage du Président pour représenter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Pr="003124FC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29F9" w14:textId="51DE3DA6" w:rsidR="00BD52BA" w:rsidRPr="003124FC" w:rsidRDefault="00FF351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25 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4ACF3818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100B" w14:textId="4987E70B" w:rsidR="00BD52BA" w:rsidRPr="003124FC" w:rsidRDefault="00C3125D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>1, Réunions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124FC">
              <w:rPr>
                <w:b/>
                <w:bCs/>
                <w:sz w:val="18"/>
                <w:szCs w:val="18"/>
              </w:rPr>
              <w:t>organes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124FC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4EDC" w14:textId="2F30376D" w:rsidR="00BD52BA" w:rsidRPr="003124FC" w:rsidRDefault="00FF351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1 760 </w:t>
            </w:r>
            <w:r w:rsidR="00BD52BA" w:rsidRPr="003124FC">
              <w:rPr>
                <w:b/>
                <w:sz w:val="18"/>
                <w:szCs w:val="18"/>
              </w:rPr>
              <w:t>900</w:t>
            </w:r>
          </w:p>
        </w:tc>
      </w:tr>
      <w:tr w:rsidR="00BD52BA" w:rsidRPr="000C25F6" w14:paraId="4A451081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A7D966" w14:textId="77777777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2. </w:t>
            </w:r>
            <w:r w:rsidRPr="003124FC">
              <w:rPr>
                <w:b/>
                <w:bCs/>
                <w:sz w:val="18"/>
                <w:szCs w:val="18"/>
              </w:rPr>
              <w:t>Mise en œuvre du programme de travail</w:t>
            </w:r>
            <w:r w:rsidRPr="003124F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C803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D52BA" w:rsidRPr="000C25F6" w14:paraId="6EBD3EDD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96F08A" w14:textId="509B6E0D" w:rsidR="00BD52BA" w:rsidRPr="003124FC" w:rsidRDefault="00C3125D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Partie A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Premier programme de travail (pt1)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C981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D52BA" w:rsidRPr="003F3120" w14:paraId="490D6C46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219ECA" w14:textId="7C92EC1C" w:rsidR="00BD52BA" w:rsidRPr="003124FC" w:rsidRDefault="00C3125D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pt1-Objectif 3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Renforcer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interface science-politique</w:t>
            </w:r>
            <w:r w:rsidR="003C17B5" w:rsidRPr="003124FC">
              <w:rPr>
                <w:b/>
                <w:bCs/>
                <w:sz w:val="18"/>
                <w:szCs w:val="18"/>
              </w:rPr>
              <w:t>s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sur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124FC">
              <w:rPr>
                <w:b/>
                <w:bCs/>
                <w:sz w:val="18"/>
                <w:szCs w:val="18"/>
              </w:rPr>
              <w:t>biodiversité et</w:t>
            </w:r>
            <w:r w:rsidR="007031E0">
              <w:rPr>
                <w:b/>
                <w:bCs/>
                <w:sz w:val="18"/>
                <w:szCs w:val="18"/>
              </w:rPr>
              <w:t xml:space="preserve"> les </w:t>
            </w:r>
            <w:r w:rsidR="00BD52BA" w:rsidRPr="003124FC">
              <w:rPr>
                <w:b/>
                <w:bCs/>
                <w:sz w:val="18"/>
                <w:szCs w:val="18"/>
              </w:rPr>
              <w:t>services écosystémiques s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agissant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124FC">
              <w:rPr>
                <w:b/>
                <w:bCs/>
                <w:sz w:val="18"/>
                <w:szCs w:val="18"/>
              </w:rPr>
              <w:t>questions thématiques et méthodologiques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AAFC" w14:textId="63129F0B" w:rsidR="00BD52BA" w:rsidRPr="003124FC" w:rsidRDefault="00FF351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775 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2FD45369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2FF9465" w14:textId="07B3D7B8" w:rsidR="00BD52BA" w:rsidRPr="003F3120" w:rsidRDefault="00C3125D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pt1-Produit 3 </w:t>
            </w:r>
            <w:r w:rsidR="00BD52BA" w:rsidRPr="003F3120">
              <w:rPr>
                <w:sz w:val="18"/>
                <w:szCs w:val="18"/>
              </w:rPr>
              <w:t>b) ii) Évaluation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 xml:space="preserve">espèces exotiques envahissantes 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ADCC" w14:textId="5ACCF99F" w:rsidR="00BD52BA" w:rsidRPr="003F3120" w:rsidRDefault="00FF3514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0C25F6" w14:paraId="5001E3A1" w14:textId="77777777" w:rsidTr="00BD52BA">
        <w:trPr>
          <w:trHeight w:val="20"/>
          <w:jc w:val="right"/>
        </w:trPr>
        <w:tc>
          <w:tcPr>
            <w:tcW w:w="4080" w:type="pct"/>
            <w:shd w:val="clear" w:color="auto" w:fill="auto"/>
            <w:vAlign w:val="bottom"/>
            <w:hideMark/>
          </w:tcPr>
          <w:p w14:paraId="7F90B6FC" w14:textId="56724C3F" w:rsidR="00BD52BA" w:rsidRPr="003F3120" w:rsidRDefault="00C3125D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pt1-Produit 3 </w:t>
            </w:r>
            <w:r w:rsidR="00BD52BA" w:rsidRPr="003F3120">
              <w:rPr>
                <w:sz w:val="18"/>
                <w:szCs w:val="18"/>
              </w:rPr>
              <w:t>b) iii) Évaluation de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utilisation durable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 xml:space="preserve">espèces sauvages </w:t>
            </w:r>
          </w:p>
        </w:tc>
        <w:tc>
          <w:tcPr>
            <w:tcW w:w="920" w:type="pct"/>
            <w:shd w:val="clear" w:color="auto" w:fill="auto"/>
            <w:noWrap/>
            <w:vAlign w:val="bottom"/>
            <w:hideMark/>
          </w:tcPr>
          <w:p w14:paraId="6DC8EB90" w14:textId="77777777" w:rsidR="00BD52BA" w:rsidRPr="003F3120" w:rsidRDefault="00BD52BA" w:rsidP="003124FC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D52BA" w:rsidRPr="000C25F6" w14:paraId="05561C3C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3867C1D" w14:textId="52850C2C" w:rsidR="00BD52BA" w:rsidRPr="003F3120" w:rsidRDefault="00C3125D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pt1-Produit </w:t>
            </w:r>
            <w:r w:rsidR="00BD52BA" w:rsidRPr="003F3120">
              <w:rPr>
                <w:sz w:val="18"/>
                <w:szCs w:val="18"/>
              </w:rPr>
              <w:t>3 d) Évaluation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 xml:space="preserve">valeurs 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6291" w14:textId="77777777" w:rsidR="00BD52BA" w:rsidRPr="003F3120" w:rsidRDefault="00BD52BA" w:rsidP="003124FC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D52BA" w:rsidRPr="003F3120" w14:paraId="2742D2B5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85EF2E" w14:textId="49A044D6" w:rsidR="00BD52BA" w:rsidRPr="003124FC" w:rsidRDefault="00C3125D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 xml:space="preserve">Total partiel, </w:t>
            </w:r>
            <w:r w:rsidR="00852E9D" w:rsidRPr="003124FC">
              <w:rPr>
                <w:b/>
                <w:bCs/>
                <w:sz w:val="18"/>
                <w:szCs w:val="18"/>
              </w:rPr>
              <w:t>P</w:t>
            </w:r>
            <w:r w:rsidRPr="003124FC">
              <w:rPr>
                <w:b/>
                <w:bCs/>
                <w:sz w:val="18"/>
                <w:szCs w:val="18"/>
              </w:rPr>
              <w:t>artie </w:t>
            </w:r>
            <w:r w:rsidR="00BD52BA" w:rsidRPr="003124FC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9931" w14:textId="0F9E81BA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775 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0C25F6" w14:paraId="41D5AD73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9A1E6E" w14:textId="37A9D8A6" w:rsidR="00BD52BA" w:rsidRPr="003124FC" w:rsidRDefault="001404D9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Partie B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Programme de travail glissant pour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124FC">
              <w:rPr>
                <w:b/>
                <w:bCs/>
                <w:sz w:val="18"/>
                <w:szCs w:val="18"/>
              </w:rPr>
              <w:t>période allant jusqu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en 2030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3009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BD52BA" w:rsidRPr="003F3120" w14:paraId="0DFE8722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6BE8FF" w14:textId="4FF83F6C" w:rsidR="00BD52BA" w:rsidRPr="003124FC" w:rsidRDefault="00F51EC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 </w:t>
            </w:r>
            <w:r w:rsidR="001404D9" w:rsidRPr="003124FC">
              <w:rPr>
                <w:b/>
                <w:bCs/>
                <w:sz w:val="18"/>
                <w:szCs w:val="18"/>
              </w:rPr>
              <w:t>1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Évaluation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124FC">
              <w:rPr>
                <w:b/>
                <w:bCs/>
                <w:sz w:val="18"/>
                <w:szCs w:val="18"/>
              </w:rPr>
              <w:t>connaissances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EC4" w14:textId="377FFC6D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1 118 </w:t>
            </w:r>
            <w:r w:rsidR="00BD52BA" w:rsidRPr="003124FC">
              <w:rPr>
                <w:b/>
                <w:sz w:val="18"/>
                <w:szCs w:val="18"/>
              </w:rPr>
              <w:t>750</w:t>
            </w:r>
          </w:p>
        </w:tc>
      </w:tr>
      <w:tr w:rsidR="00BD52BA" w:rsidRPr="003F3120" w14:paraId="717F1F39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892D5A0" w14:textId="115B36A7" w:rsidR="00BD52BA" w:rsidRPr="003F3120" w:rsidRDefault="00F51EC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</w:t>
            </w:r>
            <w:r w:rsidR="00BD52BA" w:rsidRPr="003F3120">
              <w:rPr>
                <w:sz w:val="18"/>
                <w:szCs w:val="18"/>
              </w:rPr>
              <w:t>a) Évaluation thématique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liens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interdépendance entre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biodiversité,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eau,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alimentation et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 xml:space="preserve">santé 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56C2" w14:textId="4F22371A" w:rsidR="00BD52BA" w:rsidRPr="003F3120" w:rsidRDefault="0012317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  <w:r w:rsidR="00BD52BA" w:rsidRPr="003F3120">
              <w:rPr>
                <w:sz w:val="18"/>
                <w:szCs w:val="18"/>
              </w:rPr>
              <w:t>250</w:t>
            </w:r>
          </w:p>
        </w:tc>
      </w:tr>
      <w:tr w:rsidR="00BD52BA" w:rsidRPr="003F3120" w14:paraId="2B62B8EA" w14:textId="77777777" w:rsidTr="00BD52BA">
        <w:trPr>
          <w:trHeight w:val="20"/>
          <w:jc w:val="right"/>
        </w:trPr>
        <w:tc>
          <w:tcPr>
            <w:tcW w:w="4080" w:type="pct"/>
            <w:shd w:val="clear" w:color="auto" w:fill="auto"/>
            <w:vAlign w:val="bottom"/>
            <w:hideMark/>
          </w:tcPr>
          <w:p w14:paraId="34DDCA3D" w14:textId="52BBD6AA" w:rsidR="00BD52BA" w:rsidRPr="003F3120" w:rsidRDefault="00F51EC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</w:t>
            </w:r>
            <w:r w:rsidR="00BD52BA" w:rsidRPr="003F3120">
              <w:rPr>
                <w:sz w:val="18"/>
                <w:szCs w:val="18"/>
              </w:rPr>
              <w:t>b) Document technique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liens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interdépendance entre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changements climatiques</w:t>
            </w:r>
          </w:p>
        </w:tc>
        <w:tc>
          <w:tcPr>
            <w:tcW w:w="920" w:type="pct"/>
            <w:shd w:val="clear" w:color="auto" w:fill="auto"/>
            <w:noWrap/>
            <w:vAlign w:val="bottom"/>
            <w:hideMark/>
          </w:tcPr>
          <w:p w14:paraId="3BA45BCE" w14:textId="77777777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 xml:space="preserve"> -</w:t>
            </w:r>
          </w:p>
        </w:tc>
      </w:tr>
      <w:tr w:rsidR="00BD52BA" w:rsidRPr="003F3120" w14:paraId="00F7920A" w14:textId="77777777" w:rsidTr="00BD52BA">
        <w:trPr>
          <w:trHeight w:val="20"/>
          <w:jc w:val="right"/>
        </w:trPr>
        <w:tc>
          <w:tcPr>
            <w:tcW w:w="4080" w:type="pct"/>
            <w:shd w:val="clear" w:color="auto" w:fill="auto"/>
            <w:vAlign w:val="bottom"/>
            <w:hideMark/>
          </w:tcPr>
          <w:p w14:paraId="055CC300" w14:textId="7678D9A1" w:rsidR="00BD52BA" w:rsidRPr="003F3120" w:rsidRDefault="00F51EC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</w:t>
            </w:r>
            <w:r w:rsidR="00BD52BA" w:rsidRPr="003F3120">
              <w:rPr>
                <w:sz w:val="18"/>
                <w:szCs w:val="18"/>
              </w:rPr>
              <w:t>c) Évaluation thématique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causes profondes de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érosion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déterminants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changements transformateurs et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solutions pour réalis</w:t>
            </w:r>
            <w:r w:rsidR="00852E9D">
              <w:rPr>
                <w:sz w:val="18"/>
                <w:szCs w:val="18"/>
              </w:rPr>
              <w:t>er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Vision 2050 pour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 xml:space="preserve">biodiversité </w:t>
            </w:r>
          </w:p>
        </w:tc>
        <w:tc>
          <w:tcPr>
            <w:tcW w:w="920" w:type="pct"/>
            <w:shd w:val="clear" w:color="auto" w:fill="auto"/>
            <w:noWrap/>
            <w:vAlign w:val="bottom"/>
            <w:hideMark/>
          </w:tcPr>
          <w:p w14:paraId="52B1903F" w14:textId="52223810" w:rsidR="00BD52BA" w:rsidRPr="003F3120" w:rsidRDefault="00FF351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  <w:r w:rsidR="00BD52BA" w:rsidRPr="003F3120">
              <w:rPr>
                <w:sz w:val="18"/>
                <w:szCs w:val="18"/>
              </w:rPr>
              <w:t>500</w:t>
            </w:r>
          </w:p>
        </w:tc>
      </w:tr>
      <w:tr w:rsidR="00BD52BA" w:rsidRPr="003F3120" w14:paraId="0C9E4538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AA323F" w14:textId="583DA811" w:rsidR="00BD52BA" w:rsidRPr="003F3120" w:rsidRDefault="00F51EC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Produit 1 </w:t>
            </w:r>
            <w:r w:rsidR="00BD52BA" w:rsidRPr="003F3120">
              <w:rPr>
                <w:sz w:val="18"/>
                <w:szCs w:val="18"/>
              </w:rPr>
              <w:t>d) Évaluation méthodologique de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impact et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dépendance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entreprises à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égard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contributions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nature aux populations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565F9A" w14:textId="7DA7835B" w:rsidR="00BD52BA" w:rsidRPr="003F3120" w:rsidRDefault="0012317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035CD4D1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ED21BE6" w14:textId="7976553A" w:rsidR="00BD52BA" w:rsidRPr="003F3120" w:rsidRDefault="00F51EC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F3120">
              <w:rPr>
                <w:b/>
                <w:sz w:val="18"/>
                <w:szCs w:val="18"/>
              </w:rPr>
              <w:t>Objectif </w:t>
            </w:r>
            <w:r w:rsidR="001404D9" w:rsidRPr="003F3120">
              <w:rPr>
                <w:b/>
                <w:sz w:val="18"/>
                <w:szCs w:val="18"/>
              </w:rPr>
              <w:t>2</w:t>
            </w:r>
            <w:r w:rsidR="00FD5D6A">
              <w:rPr>
                <w:b/>
                <w:sz w:val="18"/>
                <w:szCs w:val="18"/>
              </w:rPr>
              <w:t> :</w:t>
            </w:r>
            <w:r w:rsidR="00BD52BA" w:rsidRPr="003F3120">
              <w:rPr>
                <w:b/>
                <w:sz w:val="18"/>
                <w:szCs w:val="18"/>
              </w:rPr>
              <w:t xml:space="preserve"> Renforcement</w:t>
            </w:r>
            <w:r w:rsidR="007031E0">
              <w:rPr>
                <w:b/>
                <w:sz w:val="18"/>
                <w:szCs w:val="18"/>
              </w:rPr>
              <w:t xml:space="preserve"> des </w:t>
            </w:r>
            <w:r w:rsidR="00BD52BA" w:rsidRPr="003F3120">
              <w:rPr>
                <w:b/>
                <w:sz w:val="18"/>
                <w:szCs w:val="18"/>
              </w:rPr>
              <w:t>capacités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06A5" w14:textId="3175101D" w:rsidR="00BD52BA" w:rsidRPr="003F3120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680 </w:t>
            </w:r>
            <w:r w:rsidR="00BD52BA" w:rsidRPr="003F3120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3BF0D802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5D067B" w14:textId="7EAF88FE" w:rsidR="00BD52BA" w:rsidRPr="003F3120" w:rsidRDefault="00F51ECA" w:rsidP="003124FC">
            <w:pPr>
              <w:spacing w:before="40" w:after="40"/>
              <w:ind w:firstLineChars="100" w:firstLine="18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 </w:t>
            </w:r>
            <w:r w:rsidR="00BD52BA" w:rsidRPr="003F3120">
              <w:rPr>
                <w:sz w:val="18"/>
                <w:szCs w:val="18"/>
              </w:rPr>
              <w:t>2 a) Apprentissage et participation améliorés, Objectif 2 b) Accès facilité aux compétences d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experts et à l</w:t>
            </w:r>
            <w:r w:rsidR="00FA5ADB">
              <w:rPr>
                <w:sz w:val="18"/>
                <w:szCs w:val="18"/>
              </w:rPr>
              <w:t>’</w:t>
            </w:r>
            <w:r w:rsidR="00BD52BA" w:rsidRPr="003F3120">
              <w:rPr>
                <w:sz w:val="18"/>
                <w:szCs w:val="18"/>
              </w:rPr>
              <w:t>information et Objectif 2 c) Capacités nationales et régionales renforcées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6B22" w14:textId="1A7830BD" w:rsidR="00BD52BA" w:rsidRPr="003F3120" w:rsidRDefault="0012317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08D31C03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9BAAB5" w14:textId="45CC9C51" w:rsidR="00BD52BA" w:rsidRPr="003124FC" w:rsidRDefault="001404D9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 3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</w:t>
            </w:r>
            <w:r w:rsidR="00852E9D" w:rsidRPr="003124FC">
              <w:rPr>
                <w:b/>
                <w:bCs/>
                <w:sz w:val="18"/>
                <w:szCs w:val="18"/>
              </w:rPr>
              <w:t>C</w:t>
            </w:r>
            <w:r w:rsidR="00BD52BA" w:rsidRPr="003124FC">
              <w:rPr>
                <w:b/>
                <w:bCs/>
                <w:sz w:val="18"/>
                <w:szCs w:val="18"/>
              </w:rPr>
              <w:t>onsolidation de</w:t>
            </w:r>
            <w:r w:rsidR="007031E0">
              <w:rPr>
                <w:b/>
                <w:bCs/>
                <w:sz w:val="18"/>
                <w:szCs w:val="18"/>
              </w:rPr>
              <w:t xml:space="preserve"> la </w:t>
            </w:r>
            <w:r w:rsidR="00BD52BA" w:rsidRPr="003124FC">
              <w:rPr>
                <w:b/>
                <w:bCs/>
                <w:sz w:val="18"/>
                <w:szCs w:val="18"/>
              </w:rPr>
              <w:t>base de connaissances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D65" w14:textId="0707353D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395 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196AFDFB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5E65D5B" w14:textId="69F450B4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 3 a) Progrès dans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travaux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connaissances et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données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43BA" w14:textId="70456F77" w:rsidR="00BD52BA" w:rsidRPr="003F3120" w:rsidRDefault="0012317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414C83C5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9E3DA2" w14:textId="50F68D05" w:rsidR="00BD52BA" w:rsidRPr="003F3120" w:rsidRDefault="00F51EC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 3 </w:t>
            </w:r>
            <w:r w:rsidR="00BD52BA" w:rsidRPr="003F3120">
              <w:rPr>
                <w:sz w:val="18"/>
                <w:szCs w:val="18"/>
              </w:rPr>
              <w:t>b) Reconnaissance et utilisation améliorées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systèmes de savoirs autochtones et locaux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337" w14:textId="64EF36A1" w:rsidR="00BD52BA" w:rsidRPr="003F3120" w:rsidRDefault="0012317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11394C82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67FEA6" w14:textId="18B5CD1A" w:rsidR="00BD52BA" w:rsidRPr="003124FC" w:rsidRDefault="001404D9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 4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Appui à l</w:t>
            </w:r>
            <w:r w:rsidR="00FA5ADB">
              <w:rPr>
                <w:b/>
                <w:bCs/>
                <w:sz w:val="18"/>
                <w:szCs w:val="18"/>
              </w:rPr>
              <w:t>’</w:t>
            </w:r>
            <w:r w:rsidR="00BD52BA" w:rsidRPr="003124FC">
              <w:rPr>
                <w:b/>
                <w:bCs/>
                <w:sz w:val="18"/>
                <w:szCs w:val="18"/>
              </w:rPr>
              <w:t>élaboration</w:t>
            </w:r>
            <w:r w:rsidR="007031E0">
              <w:rPr>
                <w:b/>
                <w:bCs/>
                <w:sz w:val="18"/>
                <w:szCs w:val="18"/>
              </w:rPr>
              <w:t xml:space="preserve"> des </w:t>
            </w:r>
            <w:r w:rsidR="00BD52BA" w:rsidRPr="003124FC">
              <w:rPr>
                <w:b/>
                <w:bCs/>
                <w:sz w:val="18"/>
                <w:szCs w:val="18"/>
              </w:rPr>
              <w:t>politiques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F73A" w14:textId="17BCB604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739 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183032FF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E38C1EF" w14:textId="12E78DE0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 4 a) Travaux avancés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moyens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actions et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outils et méthodes d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a</w:t>
            </w:r>
            <w:r w:rsidR="00852E9D">
              <w:rPr>
                <w:sz w:val="18"/>
                <w:szCs w:val="18"/>
              </w:rPr>
              <w:t>ppui</w:t>
            </w:r>
            <w:r w:rsidRPr="003F3120">
              <w:rPr>
                <w:sz w:val="18"/>
                <w:szCs w:val="18"/>
              </w:rPr>
              <w:t xml:space="preserve"> à l</w:t>
            </w:r>
            <w:r w:rsidR="00FA5ADB">
              <w:rPr>
                <w:sz w:val="18"/>
                <w:szCs w:val="18"/>
              </w:rPr>
              <w:t>’</w:t>
            </w:r>
            <w:r w:rsidRPr="003F3120">
              <w:rPr>
                <w:sz w:val="18"/>
                <w:szCs w:val="18"/>
              </w:rPr>
              <w:t>élaboration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politiques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DC32" w14:textId="6A3E1085" w:rsidR="00BD52BA" w:rsidRPr="003F3120" w:rsidRDefault="0012317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031941D5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C212965" w14:textId="70660612" w:rsidR="00BD52BA" w:rsidRPr="003F3120" w:rsidRDefault="00F51EC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 4 </w:t>
            </w:r>
            <w:r w:rsidR="00BD52BA" w:rsidRPr="003F3120">
              <w:rPr>
                <w:sz w:val="18"/>
                <w:szCs w:val="18"/>
              </w:rPr>
              <w:t>b) Travaux avancés sur</w:t>
            </w:r>
            <w:r w:rsidR="007031E0">
              <w:rPr>
                <w:sz w:val="18"/>
                <w:szCs w:val="18"/>
              </w:rPr>
              <w:t xml:space="preserve"> les </w:t>
            </w:r>
            <w:r w:rsidR="00BD52BA" w:rsidRPr="003F3120">
              <w:rPr>
                <w:sz w:val="18"/>
                <w:szCs w:val="18"/>
              </w:rPr>
              <w:t>scénarios et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modélisation de</w:t>
            </w:r>
            <w:r w:rsidR="007031E0">
              <w:rPr>
                <w:sz w:val="18"/>
                <w:szCs w:val="18"/>
              </w:rPr>
              <w:t xml:space="preserve"> la </w:t>
            </w:r>
            <w:r w:rsidR="00BD52BA" w:rsidRPr="003F3120">
              <w:rPr>
                <w:sz w:val="18"/>
                <w:szCs w:val="18"/>
              </w:rPr>
              <w:t>biodiversité et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fonctions et services écosystémiques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C97A" w14:textId="251BEF6F" w:rsidR="00BD52BA" w:rsidRPr="003F3120" w:rsidRDefault="0012317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  <w:r w:rsidR="00BD52BA" w:rsidRPr="003F3120">
              <w:rPr>
                <w:sz w:val="18"/>
                <w:szCs w:val="18"/>
              </w:rPr>
              <w:t>000</w:t>
            </w:r>
          </w:p>
          <w:p w14:paraId="30673998" w14:textId="7048142E" w:rsidR="00BD52BA" w:rsidRPr="003F3120" w:rsidRDefault="00BD52BA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41C5E" w:rsidRPr="003F3120" w14:paraId="237412B2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89A269" w14:textId="65FDA062" w:rsidR="00A41C5E" w:rsidRPr="00E32804" w:rsidRDefault="00A41C5E" w:rsidP="003124FC">
            <w:pPr>
              <w:spacing w:before="40" w:after="40"/>
              <w:ind w:left="170"/>
              <w:rPr>
                <w:sz w:val="18"/>
                <w:szCs w:val="18"/>
              </w:rPr>
            </w:pPr>
            <w:r w:rsidRPr="00E32804">
              <w:rPr>
                <w:sz w:val="18"/>
                <w:szCs w:val="18"/>
                <w:lang w:eastAsia="en-GB"/>
              </w:rPr>
              <w:lastRenderedPageBreak/>
              <w:t>Objecti</w:t>
            </w:r>
            <w:r w:rsidR="00E32804" w:rsidRPr="00E32804">
              <w:rPr>
                <w:sz w:val="18"/>
                <w:szCs w:val="18"/>
                <w:lang w:eastAsia="en-GB"/>
              </w:rPr>
              <w:t xml:space="preserve">f 4 </w:t>
            </w:r>
            <w:r w:rsidRPr="00E32804">
              <w:rPr>
                <w:sz w:val="18"/>
                <w:szCs w:val="18"/>
                <w:lang w:eastAsia="en-GB"/>
              </w:rPr>
              <w:t>c)</w:t>
            </w:r>
            <w:r w:rsidRPr="00E32804">
              <w:rPr>
                <w:rFonts w:eastAsia="Arial"/>
                <w:sz w:val="18"/>
                <w:szCs w:val="18"/>
              </w:rPr>
              <w:t xml:space="preserve"> </w:t>
            </w:r>
            <w:r w:rsidR="00E32804" w:rsidRPr="00E32804">
              <w:rPr>
                <w:rFonts w:eastAsia="Arial"/>
                <w:sz w:val="18"/>
                <w:szCs w:val="18"/>
              </w:rPr>
              <w:t>Travaux avancés sur les valeurs multiples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2869EA" w14:textId="394A0944" w:rsidR="00A41C5E" w:rsidRDefault="00A41C5E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  <w:r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58C82226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FF3209" w14:textId="58B5F47E" w:rsidR="00BD52BA" w:rsidRPr="003124FC" w:rsidRDefault="00F51EC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Objectif </w:t>
            </w:r>
            <w:r w:rsidR="001404D9" w:rsidRPr="003124FC">
              <w:rPr>
                <w:b/>
                <w:bCs/>
                <w:sz w:val="18"/>
                <w:szCs w:val="18"/>
              </w:rPr>
              <w:t>5</w:t>
            </w:r>
            <w:r w:rsidR="00FD5D6A" w:rsidRPr="003124FC">
              <w:rPr>
                <w:b/>
                <w:bCs/>
                <w:sz w:val="18"/>
                <w:szCs w:val="18"/>
              </w:rPr>
              <w:t> :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 Communication et participation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832D" w14:textId="176A6818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300 </w:t>
            </w:r>
            <w:r w:rsidR="00BD52BA" w:rsidRPr="003124FC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5DA52441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0D2EC9E" w14:textId="77777777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 5 a) Communication renforcée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1097" w14:textId="734397AA" w:rsidR="00BD52BA" w:rsidRPr="003F3120" w:rsidRDefault="00123174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198C090F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36CC2AF" w14:textId="377E5214" w:rsidR="00BD52BA" w:rsidRPr="003F3120" w:rsidRDefault="00F51EC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Objectif 5 </w:t>
            </w:r>
            <w:r w:rsidR="00BD52BA" w:rsidRPr="003F3120">
              <w:rPr>
                <w:sz w:val="18"/>
                <w:szCs w:val="18"/>
              </w:rPr>
              <w:t xml:space="preserve">b) </w:t>
            </w:r>
            <w:r w:rsidR="00852E9D">
              <w:rPr>
                <w:sz w:val="18"/>
                <w:szCs w:val="18"/>
              </w:rPr>
              <w:t>Participation</w:t>
            </w:r>
            <w:r w:rsidR="00BD52BA" w:rsidRPr="003F3120">
              <w:rPr>
                <w:sz w:val="18"/>
                <w:szCs w:val="18"/>
              </w:rPr>
              <w:t xml:space="preserve"> renfo</w:t>
            </w:r>
            <w:r w:rsidRPr="003F3120">
              <w:rPr>
                <w:sz w:val="18"/>
                <w:szCs w:val="18"/>
              </w:rPr>
              <w:t>rcé</w:t>
            </w:r>
            <w:r w:rsidR="00852E9D">
              <w:rPr>
                <w:sz w:val="18"/>
                <w:szCs w:val="18"/>
              </w:rPr>
              <w:t>e</w:t>
            </w:r>
            <w:r w:rsidR="007031E0">
              <w:rPr>
                <w:sz w:val="18"/>
                <w:szCs w:val="18"/>
              </w:rPr>
              <w:t xml:space="preserve"> des </w:t>
            </w:r>
            <w:r w:rsidRPr="003F3120">
              <w:rPr>
                <w:sz w:val="18"/>
                <w:szCs w:val="18"/>
              </w:rPr>
              <w:t>gouvernements, Objectif 5 </w:t>
            </w:r>
            <w:r w:rsidR="00BD52BA" w:rsidRPr="003F3120">
              <w:rPr>
                <w:sz w:val="18"/>
                <w:szCs w:val="18"/>
              </w:rPr>
              <w:t xml:space="preserve">c) </w:t>
            </w:r>
            <w:r w:rsidR="00852E9D">
              <w:rPr>
                <w:sz w:val="18"/>
                <w:szCs w:val="18"/>
              </w:rPr>
              <w:t xml:space="preserve">Participation </w:t>
            </w:r>
            <w:r w:rsidR="00BD52BA" w:rsidRPr="003F3120">
              <w:rPr>
                <w:sz w:val="18"/>
                <w:szCs w:val="18"/>
              </w:rPr>
              <w:t>renforcé</w:t>
            </w:r>
            <w:r w:rsidR="00852E9D">
              <w:rPr>
                <w:sz w:val="18"/>
                <w:szCs w:val="18"/>
              </w:rPr>
              <w:t>e</w:t>
            </w:r>
            <w:r w:rsidR="007031E0">
              <w:rPr>
                <w:sz w:val="18"/>
                <w:szCs w:val="18"/>
              </w:rPr>
              <w:t xml:space="preserve"> des </w:t>
            </w:r>
            <w:r w:rsidR="00BD52BA" w:rsidRPr="003F3120">
              <w:rPr>
                <w:sz w:val="18"/>
                <w:szCs w:val="18"/>
              </w:rPr>
              <w:t>parties prenantes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AB9" w14:textId="3F68C956" w:rsidR="00BD52BA" w:rsidRPr="003F3120" w:rsidRDefault="00123174" w:rsidP="003124F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50 </w:t>
            </w:r>
            <w:r w:rsidR="00BD52BA" w:rsidRPr="003F3120">
              <w:rPr>
                <w:sz w:val="18"/>
                <w:szCs w:val="18"/>
              </w:rPr>
              <w:t>000</w:t>
            </w:r>
          </w:p>
        </w:tc>
      </w:tr>
      <w:tr w:rsidR="00BD52BA" w:rsidRPr="003F3120" w14:paraId="1F8CE465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4453BA" w14:textId="6919DCBB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 xml:space="preserve">Total partiel, </w:t>
            </w:r>
            <w:r w:rsidR="00CE1E09" w:rsidRPr="003124FC">
              <w:rPr>
                <w:b/>
                <w:bCs/>
                <w:sz w:val="18"/>
                <w:szCs w:val="18"/>
              </w:rPr>
              <w:t>P</w:t>
            </w:r>
            <w:r w:rsidRPr="003124FC">
              <w:rPr>
                <w:b/>
                <w:bCs/>
                <w:sz w:val="18"/>
                <w:szCs w:val="18"/>
              </w:rPr>
              <w:t>artie B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C0CA" w14:textId="6D1C379F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3 232 </w:t>
            </w:r>
            <w:r w:rsidR="00BD52BA" w:rsidRPr="003124FC">
              <w:rPr>
                <w:b/>
                <w:sz w:val="18"/>
                <w:szCs w:val="18"/>
              </w:rPr>
              <w:t>750</w:t>
            </w:r>
          </w:p>
        </w:tc>
      </w:tr>
      <w:tr w:rsidR="00BD52BA" w:rsidRPr="003F3120" w14:paraId="0DDEBDDC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674" w14:textId="737E5F7A" w:rsidR="00BD52BA" w:rsidRPr="003124FC" w:rsidRDefault="00F51EC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>2, Mise en œuvre du programme de travail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7014" w14:textId="4B0C8DBB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4 007 </w:t>
            </w:r>
            <w:r w:rsidR="00BD52BA" w:rsidRPr="003124FC">
              <w:rPr>
                <w:b/>
                <w:sz w:val="18"/>
                <w:szCs w:val="18"/>
              </w:rPr>
              <w:t>750</w:t>
            </w:r>
          </w:p>
        </w:tc>
      </w:tr>
      <w:tr w:rsidR="00BD52BA" w:rsidRPr="003F3120" w14:paraId="3C06F9C4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5264783" w14:textId="77777777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 xml:space="preserve">3. </w:t>
            </w:r>
            <w:r w:rsidRPr="003124FC">
              <w:rPr>
                <w:b/>
                <w:bCs/>
                <w:sz w:val="18"/>
                <w:szCs w:val="18"/>
              </w:rPr>
              <w:t>Secrétariat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4F9" w14:textId="77777777" w:rsidR="00BD52BA" w:rsidRPr="003124FC" w:rsidRDefault="00BD52BA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3124FC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D52BA" w:rsidRPr="003F3120" w14:paraId="56720B9A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2A8AEB7" w14:textId="77777777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3.1 Personnel du secrétariat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C81" w14:textId="250AED9A" w:rsidR="00BD52BA" w:rsidRPr="0053704B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704B">
              <w:rPr>
                <w:b/>
                <w:sz w:val="18"/>
                <w:szCs w:val="18"/>
              </w:rPr>
              <w:t>2 056 </w:t>
            </w:r>
            <w:r w:rsidR="00BD52BA" w:rsidRPr="0053704B">
              <w:rPr>
                <w:b/>
                <w:sz w:val="18"/>
                <w:szCs w:val="18"/>
              </w:rPr>
              <w:t>100</w:t>
            </w:r>
          </w:p>
        </w:tc>
      </w:tr>
      <w:tr w:rsidR="00BD52BA" w:rsidRPr="003F3120" w14:paraId="08B3D3A1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33EB82" w14:textId="68A6B969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3.2 Dépenses de fonctionnement (autres que</w:t>
            </w:r>
            <w:r w:rsidR="007031E0">
              <w:rPr>
                <w:sz w:val="18"/>
                <w:szCs w:val="18"/>
              </w:rPr>
              <w:t xml:space="preserve"> les </w:t>
            </w:r>
            <w:r w:rsidRPr="003F3120">
              <w:rPr>
                <w:sz w:val="18"/>
                <w:szCs w:val="18"/>
              </w:rPr>
              <w:t>dépenses de personnel)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CEE5" w14:textId="1A2EBDF6" w:rsidR="00BD52BA" w:rsidRPr="0053704B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704B">
              <w:rPr>
                <w:b/>
                <w:sz w:val="18"/>
                <w:szCs w:val="18"/>
              </w:rPr>
              <w:t>251 </w:t>
            </w:r>
            <w:r w:rsidR="00BD52BA" w:rsidRPr="0053704B">
              <w:rPr>
                <w:b/>
                <w:sz w:val="18"/>
                <w:szCs w:val="18"/>
              </w:rPr>
              <w:t>000</w:t>
            </w:r>
          </w:p>
        </w:tc>
      </w:tr>
      <w:tr w:rsidR="00BD52BA" w:rsidRPr="003F3120" w14:paraId="0D71A5F5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6FF2" w14:textId="4FEA9320" w:rsidR="00BD52BA" w:rsidRPr="003124FC" w:rsidRDefault="00F51EC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 partiel </w:t>
            </w:r>
            <w:r w:rsidR="00BD52BA" w:rsidRPr="003124FC">
              <w:rPr>
                <w:b/>
                <w:bCs/>
                <w:sz w:val="18"/>
                <w:szCs w:val="18"/>
              </w:rPr>
              <w:t xml:space="preserve">3, </w:t>
            </w:r>
            <w:r w:rsidR="00CE1E09" w:rsidRPr="003124FC">
              <w:rPr>
                <w:b/>
                <w:bCs/>
                <w:sz w:val="18"/>
                <w:szCs w:val="18"/>
              </w:rPr>
              <w:t>S</w:t>
            </w:r>
            <w:r w:rsidR="00BD52BA" w:rsidRPr="003124FC">
              <w:rPr>
                <w:b/>
                <w:bCs/>
                <w:sz w:val="18"/>
                <w:szCs w:val="18"/>
              </w:rPr>
              <w:t>ecrétariat (dépenses de personnel et de fonctionnement)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9A69" w14:textId="002695A9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2 307 </w:t>
            </w:r>
            <w:r w:rsidR="00BD52BA" w:rsidRPr="003124FC">
              <w:rPr>
                <w:b/>
                <w:sz w:val="18"/>
                <w:szCs w:val="18"/>
              </w:rPr>
              <w:t>100</w:t>
            </w:r>
          </w:p>
        </w:tc>
      </w:tr>
      <w:tr w:rsidR="00BD52BA" w:rsidRPr="003F3120" w14:paraId="45D97E85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BF86C90" w14:textId="41E2AC7C" w:rsidR="00BD52BA" w:rsidRPr="003F3120" w:rsidRDefault="00F51EC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Total partiel, </w:t>
            </w:r>
            <w:r w:rsidR="00BD52BA" w:rsidRPr="003F3120">
              <w:rPr>
                <w:sz w:val="18"/>
                <w:szCs w:val="18"/>
              </w:rPr>
              <w:t>1+2+3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B1DE" w14:textId="4B1BA5AC" w:rsidR="00BD52BA" w:rsidRPr="0053704B" w:rsidRDefault="00123174" w:rsidP="003124F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53704B">
              <w:rPr>
                <w:b/>
                <w:sz w:val="18"/>
                <w:szCs w:val="18"/>
              </w:rPr>
              <w:t>8 075 </w:t>
            </w:r>
            <w:r w:rsidR="00BD52BA" w:rsidRPr="0053704B">
              <w:rPr>
                <w:b/>
                <w:sz w:val="18"/>
                <w:szCs w:val="18"/>
              </w:rPr>
              <w:t>750</w:t>
            </w:r>
          </w:p>
        </w:tc>
      </w:tr>
      <w:tr w:rsidR="00BD52BA" w:rsidRPr="003F3120" w14:paraId="4924908B" w14:textId="77777777" w:rsidTr="00BD52BA">
        <w:trPr>
          <w:trHeight w:val="20"/>
          <w:jc w:val="right"/>
        </w:trPr>
        <w:tc>
          <w:tcPr>
            <w:tcW w:w="408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D78B3C" w14:textId="5A703E09" w:rsidR="00BD52BA" w:rsidRPr="003F3120" w:rsidRDefault="00BD52BA" w:rsidP="003124FC">
            <w:pPr>
              <w:spacing w:before="40" w:after="40"/>
              <w:ind w:left="170"/>
              <w:rPr>
                <w:color w:val="000000"/>
                <w:sz w:val="18"/>
                <w:szCs w:val="18"/>
              </w:rPr>
            </w:pPr>
            <w:r w:rsidRPr="003F3120">
              <w:rPr>
                <w:sz w:val="18"/>
                <w:szCs w:val="18"/>
              </w:rPr>
              <w:t>D</w:t>
            </w:r>
            <w:r w:rsidR="00F51ECA" w:rsidRPr="003F3120">
              <w:rPr>
                <w:sz w:val="18"/>
                <w:szCs w:val="18"/>
              </w:rPr>
              <w:t>épenses d</w:t>
            </w:r>
            <w:r w:rsidR="00FA5ADB">
              <w:rPr>
                <w:sz w:val="18"/>
                <w:szCs w:val="18"/>
              </w:rPr>
              <w:t>’</w:t>
            </w:r>
            <w:r w:rsidR="00F51ECA" w:rsidRPr="003F3120">
              <w:rPr>
                <w:sz w:val="18"/>
                <w:szCs w:val="18"/>
              </w:rPr>
              <w:t>appui au programme (8 </w:t>
            </w:r>
            <w:r w:rsidRPr="003F3120">
              <w:rPr>
                <w:sz w:val="18"/>
                <w:szCs w:val="18"/>
              </w:rPr>
              <w:t>%)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B3F" w14:textId="7860D044" w:rsidR="00BD52BA" w:rsidRPr="003F3120" w:rsidRDefault="00123174" w:rsidP="003124FC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646 </w:t>
            </w:r>
            <w:r w:rsidR="00BD52BA" w:rsidRPr="003F3120">
              <w:rPr>
                <w:sz w:val="18"/>
                <w:szCs w:val="18"/>
              </w:rPr>
              <w:t>060</w:t>
            </w:r>
          </w:p>
        </w:tc>
      </w:tr>
      <w:tr w:rsidR="00BD52BA" w:rsidRPr="003F3120" w14:paraId="37EBBEAF" w14:textId="77777777" w:rsidTr="00BD52BA">
        <w:trPr>
          <w:trHeight w:val="20"/>
          <w:jc w:val="right"/>
        </w:trPr>
        <w:tc>
          <w:tcPr>
            <w:tcW w:w="40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CA0A7A" w14:textId="77777777" w:rsidR="00BD52BA" w:rsidRPr="003124FC" w:rsidRDefault="00BD52BA" w:rsidP="003124FC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00A5F6" w14:textId="76DCCC17" w:rsidR="00BD52BA" w:rsidRPr="003124FC" w:rsidRDefault="00123174" w:rsidP="003124FC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24FC">
              <w:rPr>
                <w:b/>
                <w:sz w:val="18"/>
                <w:szCs w:val="18"/>
              </w:rPr>
              <w:t>8 721 </w:t>
            </w:r>
            <w:r w:rsidR="00BD52BA" w:rsidRPr="003124FC">
              <w:rPr>
                <w:b/>
                <w:sz w:val="18"/>
                <w:szCs w:val="18"/>
              </w:rPr>
              <w:t>810</w:t>
            </w:r>
          </w:p>
        </w:tc>
      </w:tr>
    </w:tbl>
    <w:p w14:paraId="3B31C4D3" w14:textId="77777777" w:rsidR="00DF44F0" w:rsidRPr="003F3120" w:rsidRDefault="00DF44F0" w:rsidP="00FB690D">
      <w:pPr>
        <w:pStyle w:val="Normal-pool"/>
        <w:rPr>
          <w:sz w:val="18"/>
          <w:szCs w:val="18"/>
          <w:lang w:val="fr-FR"/>
        </w:rPr>
      </w:pP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5F06C5" w:rsidRPr="003F3120" w14:paraId="78E998AD" w14:textId="77777777" w:rsidTr="005F06C5">
        <w:tc>
          <w:tcPr>
            <w:tcW w:w="1897" w:type="dxa"/>
          </w:tcPr>
          <w:p w14:paraId="536F2DF2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</w:tcPr>
          <w:p w14:paraId="6B427374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F542179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7" w:type="dxa"/>
          </w:tcPr>
          <w:p w14:paraId="09951460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898" w:type="dxa"/>
          </w:tcPr>
          <w:p w14:paraId="373B4C44" w14:textId="77777777" w:rsidR="005F06C5" w:rsidRPr="003F3120" w:rsidRDefault="005F06C5" w:rsidP="008C04E7">
            <w:pPr>
              <w:pStyle w:val="Normal-pool"/>
              <w:spacing w:before="520"/>
              <w:rPr>
                <w:lang w:val="fr-FR"/>
              </w:rPr>
            </w:pPr>
          </w:p>
        </w:tc>
      </w:tr>
    </w:tbl>
    <w:p w14:paraId="2347FEAD" w14:textId="77777777" w:rsidR="00396929" w:rsidRPr="003F3120" w:rsidRDefault="00396929" w:rsidP="005F06C5">
      <w:pPr>
        <w:pStyle w:val="Normal-pool"/>
        <w:rPr>
          <w:lang w:val="fr-FR"/>
        </w:rPr>
      </w:pPr>
    </w:p>
    <w:sectPr w:rsidR="00396929" w:rsidRPr="003F3120" w:rsidSect="00471052"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footnotePr>
        <w:numRestart w:val="eachSect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F029C" w14:textId="77777777" w:rsidR="00D026C5" w:rsidRDefault="00D026C5">
      <w:r>
        <w:separator/>
      </w:r>
    </w:p>
  </w:endnote>
  <w:endnote w:type="continuationSeparator" w:id="0">
    <w:p w14:paraId="08851C70" w14:textId="77777777" w:rsidR="00D026C5" w:rsidRDefault="00D0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AB0F" w14:textId="56ECDDD7" w:rsidR="00D026C5" w:rsidRPr="00905D1D" w:rsidRDefault="00D026C5" w:rsidP="007E024D">
    <w:pPr>
      <w:pStyle w:val="Footer-pool"/>
    </w:pPr>
    <w:r w:rsidRPr="00905D1D">
      <w:fldChar w:fldCharType="begin"/>
    </w:r>
    <w:r w:rsidRPr="00905D1D">
      <w:instrText xml:space="preserve"> PAGE   \* MERGEFORMAT </w:instrText>
    </w:r>
    <w:r w:rsidRPr="00905D1D">
      <w:fldChar w:fldCharType="separate"/>
    </w:r>
    <w:r w:rsidR="00950900">
      <w:rPr>
        <w:noProof/>
      </w:rPr>
      <w:t>38</w:t>
    </w:r>
    <w:r w:rsidRPr="00905D1D"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560D9" w14:textId="26D0FCF5" w:rsidR="00D026C5" w:rsidRPr="008D2C44" w:rsidRDefault="00D026C5" w:rsidP="008D2C44">
    <w:pPr>
      <w:pStyle w:val="Normal-pool"/>
      <w:rPr>
        <w:sz w:val="18"/>
        <w:szCs w:val="18"/>
      </w:rPr>
    </w:pPr>
    <w:r w:rsidRPr="008D2C44">
      <w:rPr>
        <w:rStyle w:val="PageNumber"/>
        <w:szCs w:val="18"/>
      </w:rPr>
      <w:fldChar w:fldCharType="begin"/>
    </w:r>
    <w:r w:rsidRPr="008D2C44">
      <w:rPr>
        <w:rStyle w:val="PageNumber"/>
        <w:szCs w:val="18"/>
      </w:rPr>
      <w:instrText xml:space="preserve"> PAGE </w:instrText>
    </w:r>
    <w:r w:rsidRPr="008D2C44">
      <w:rPr>
        <w:rStyle w:val="PageNumber"/>
        <w:szCs w:val="18"/>
      </w:rPr>
      <w:fldChar w:fldCharType="separate"/>
    </w:r>
    <w:r w:rsidR="00950900">
      <w:rPr>
        <w:rStyle w:val="PageNumber"/>
        <w:noProof/>
        <w:szCs w:val="18"/>
      </w:rPr>
      <w:t>52</w:t>
    </w:r>
    <w:r w:rsidRPr="008D2C44">
      <w:rPr>
        <w:rStyle w:val="PageNumber"/>
        <w:szCs w:val="18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6185" w14:textId="1A9476FD" w:rsidR="00D026C5" w:rsidRPr="008D2C44" w:rsidRDefault="00D026C5" w:rsidP="008D2C44">
    <w:pPr>
      <w:pStyle w:val="Normal-pool"/>
      <w:jc w:val="right"/>
      <w:rPr>
        <w:rStyle w:val="PageNumber"/>
        <w:noProof/>
        <w:szCs w:val="18"/>
      </w:rPr>
    </w:pPr>
    <w:r w:rsidRPr="008D2C44">
      <w:rPr>
        <w:rStyle w:val="PageNumber"/>
        <w:noProof/>
        <w:szCs w:val="18"/>
      </w:rPr>
      <w:fldChar w:fldCharType="begin"/>
    </w:r>
    <w:r w:rsidRPr="008D2C44">
      <w:rPr>
        <w:rStyle w:val="PageNumber"/>
        <w:noProof/>
        <w:szCs w:val="18"/>
      </w:rPr>
      <w:instrText xml:space="preserve"> PAGE </w:instrText>
    </w:r>
    <w:r w:rsidRPr="008D2C44">
      <w:rPr>
        <w:rStyle w:val="PageNumber"/>
        <w:noProof/>
        <w:szCs w:val="18"/>
      </w:rPr>
      <w:fldChar w:fldCharType="separate"/>
    </w:r>
    <w:r w:rsidR="00950900">
      <w:rPr>
        <w:rStyle w:val="PageNumber"/>
        <w:noProof/>
        <w:szCs w:val="18"/>
      </w:rPr>
      <w:t>53</w:t>
    </w:r>
    <w:r w:rsidRPr="008D2C44">
      <w:rPr>
        <w:rStyle w:val="PageNumber"/>
        <w:noProof/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AFB0" w14:textId="7247E458" w:rsidR="00D026C5" w:rsidRPr="002539D7" w:rsidRDefault="00D026C5" w:rsidP="00B25DF3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before="60" w:after="120"/>
      <w:jc w:val="right"/>
      <w:rPr>
        <w:b/>
        <w:sz w:val="18"/>
        <w:szCs w:val="18"/>
      </w:rPr>
    </w:pPr>
    <w:r w:rsidRPr="002539D7">
      <w:rPr>
        <w:b/>
        <w:sz w:val="18"/>
        <w:szCs w:val="18"/>
      </w:rPr>
      <w:fldChar w:fldCharType="begin"/>
    </w:r>
    <w:r w:rsidRPr="002539D7">
      <w:rPr>
        <w:b/>
        <w:sz w:val="18"/>
        <w:szCs w:val="18"/>
      </w:rPr>
      <w:instrText xml:space="preserve"> PAGE   \* MERGEFORMAT </w:instrText>
    </w:r>
    <w:r w:rsidRPr="002539D7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45</w:t>
    </w:r>
    <w:r w:rsidRPr="002539D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4196" w14:textId="0AC11191" w:rsidR="00D026C5" w:rsidRPr="00905D1D" w:rsidRDefault="00D026C5" w:rsidP="006C0085">
    <w:pPr>
      <w:pStyle w:val="Footer-pool"/>
      <w:jc w:val="right"/>
    </w:pPr>
    <w:r w:rsidRPr="00905D1D">
      <w:fldChar w:fldCharType="begin"/>
    </w:r>
    <w:r w:rsidRPr="00905D1D">
      <w:instrText xml:space="preserve"> PAGE   \* MERGEFORMAT </w:instrText>
    </w:r>
    <w:r w:rsidRPr="00905D1D">
      <w:fldChar w:fldCharType="separate"/>
    </w:r>
    <w:r w:rsidR="00950900">
      <w:rPr>
        <w:noProof/>
      </w:rPr>
      <w:t>45</w:t>
    </w:r>
    <w:r w:rsidRPr="00905D1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E7AE" w14:textId="62B7D3A7" w:rsidR="00D026C5" w:rsidRPr="00543F5D" w:rsidRDefault="00D026C5" w:rsidP="00543F5D">
    <w:pPr>
      <w:pStyle w:val="Footer"/>
      <w:tabs>
        <w:tab w:val="clear" w:pos="4320"/>
        <w:tab w:val="clear" w:pos="8640"/>
        <w:tab w:val="left" w:pos="624"/>
      </w:tabs>
      <w:spacing w:before="0" w:after="0"/>
      <w:rPr>
        <w:sz w:val="20"/>
      </w:rPr>
    </w:pPr>
    <w:r w:rsidRPr="00543F5D">
      <w:rPr>
        <w:rStyle w:val="job-value"/>
        <w:sz w:val="20"/>
      </w:rPr>
      <w:t>K190227</w:t>
    </w:r>
    <w:r>
      <w:rPr>
        <w:rStyle w:val="job-value"/>
        <w:sz w:val="20"/>
      </w:rPr>
      <w:t>2</w:t>
    </w:r>
    <w:r w:rsidRPr="00543F5D">
      <w:rPr>
        <w:rStyle w:val="job-value"/>
        <w:sz w:val="20"/>
      </w:rPr>
      <w:tab/>
    </w:r>
    <w:r>
      <w:rPr>
        <w:rStyle w:val="job-value"/>
        <w:sz w:val="20"/>
      </w:rPr>
      <w:t>2008</w:t>
    </w:r>
    <w:r w:rsidRPr="00543F5D">
      <w:rPr>
        <w:rStyle w:val="job-value"/>
        <w:sz w:val="20"/>
      </w:rPr>
      <w:t>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EFEEC" w14:textId="4984F257" w:rsidR="00D026C5" w:rsidRPr="00953349" w:rsidRDefault="00D026C5" w:rsidP="00953349">
    <w:pPr>
      <w:pStyle w:val="Footer"/>
      <w:rPr>
        <w:b/>
      </w:rPr>
    </w:pPr>
    <w:r w:rsidRPr="00953349">
      <w:rPr>
        <w:b/>
      </w:rPr>
      <w:fldChar w:fldCharType="begin"/>
    </w:r>
    <w:r w:rsidRPr="00953349">
      <w:rPr>
        <w:b/>
      </w:rPr>
      <w:instrText xml:space="preserve"> PAGE   \* MERGEFORMAT </w:instrText>
    </w:r>
    <w:r w:rsidRPr="00953349">
      <w:rPr>
        <w:b/>
      </w:rPr>
      <w:fldChar w:fldCharType="separate"/>
    </w:r>
    <w:r>
      <w:rPr>
        <w:b/>
        <w:noProof/>
      </w:rPr>
      <w:t>14</w:t>
    </w:r>
    <w:r w:rsidRPr="00953349">
      <w:rPr>
        <w:b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93F63" w14:textId="29DA8761" w:rsidR="00D026C5" w:rsidRPr="00487D02" w:rsidRDefault="00D026C5" w:rsidP="00BD399A">
    <w:pPr>
      <w:pStyle w:val="Footer"/>
      <w:tabs>
        <w:tab w:val="clear" w:pos="4320"/>
        <w:tab w:val="clear" w:pos="8640"/>
        <w:tab w:val="left" w:pos="624"/>
      </w:tabs>
      <w:jc w:val="right"/>
      <w:rPr>
        <w:b/>
      </w:rPr>
    </w:pPr>
    <w:r w:rsidRPr="00BD399A">
      <w:rPr>
        <w:b/>
      </w:rPr>
      <w:fldChar w:fldCharType="begin"/>
    </w:r>
    <w:r w:rsidRPr="00BD399A">
      <w:rPr>
        <w:b/>
      </w:rPr>
      <w:instrText xml:space="preserve"> PAGE   \* MERGEFORMAT </w:instrText>
    </w:r>
    <w:r w:rsidRPr="00BD399A">
      <w:rPr>
        <w:b/>
      </w:rPr>
      <w:fldChar w:fldCharType="separate"/>
    </w:r>
    <w:r w:rsidR="00BD44C1">
      <w:rPr>
        <w:b/>
        <w:noProof/>
      </w:rPr>
      <w:t>19</w:t>
    </w:r>
    <w:r w:rsidRPr="00BD399A">
      <w:rPr>
        <w:b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F5E01" w14:textId="5C43A09E" w:rsidR="00D026C5" w:rsidRPr="00AD1320" w:rsidRDefault="00D026C5">
    <w:pPr>
      <w:pStyle w:val="Normal-pool"/>
      <w:jc w:val="right"/>
    </w:pPr>
    <w:r w:rsidRPr="00AD1320">
      <w:rPr>
        <w:rStyle w:val="Normal-poolChar"/>
        <w:b/>
        <w:sz w:val="18"/>
        <w:szCs w:val="18"/>
      </w:rPr>
      <w:fldChar w:fldCharType="begin"/>
    </w:r>
    <w:r w:rsidRPr="00AD1320">
      <w:rPr>
        <w:rStyle w:val="Normal-poolChar"/>
        <w:b/>
        <w:sz w:val="18"/>
        <w:szCs w:val="18"/>
      </w:rPr>
      <w:instrText xml:space="preserve"> PAGE   \* MERGEFORMAT </w:instrText>
    </w:r>
    <w:r w:rsidRPr="00AD1320">
      <w:rPr>
        <w:rStyle w:val="Normal-poolChar"/>
        <w:b/>
        <w:sz w:val="18"/>
        <w:szCs w:val="18"/>
      </w:rPr>
      <w:fldChar w:fldCharType="separate"/>
    </w:r>
    <w:r>
      <w:rPr>
        <w:rStyle w:val="Normal-poolChar"/>
        <w:b/>
        <w:noProof/>
        <w:sz w:val="18"/>
        <w:szCs w:val="18"/>
      </w:rPr>
      <w:t>37</w:t>
    </w:r>
    <w:r w:rsidRPr="00AD1320">
      <w:rPr>
        <w:rStyle w:val="Normal-poolChar"/>
        <w:b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80C59" w14:textId="778F73A9" w:rsidR="00D026C5" w:rsidRPr="00AD1320" w:rsidRDefault="00D026C5" w:rsidP="00736A98">
    <w:pPr>
      <w:pStyle w:val="Normal-pool"/>
    </w:pPr>
    <w:r w:rsidRPr="00AD1320">
      <w:rPr>
        <w:rStyle w:val="Normal-poolChar"/>
        <w:b/>
        <w:sz w:val="18"/>
        <w:szCs w:val="18"/>
      </w:rPr>
      <w:fldChar w:fldCharType="begin"/>
    </w:r>
    <w:r w:rsidRPr="00AD1320">
      <w:rPr>
        <w:rStyle w:val="Normal-poolChar"/>
        <w:b/>
        <w:sz w:val="18"/>
        <w:szCs w:val="18"/>
      </w:rPr>
      <w:instrText xml:space="preserve"> PAGE   \* MERGEFORMAT </w:instrText>
    </w:r>
    <w:r w:rsidRPr="00AD1320">
      <w:rPr>
        <w:rStyle w:val="Normal-poolChar"/>
        <w:b/>
        <w:sz w:val="18"/>
        <w:szCs w:val="18"/>
      </w:rPr>
      <w:fldChar w:fldCharType="separate"/>
    </w:r>
    <w:r>
      <w:rPr>
        <w:rStyle w:val="Normal-poolChar"/>
        <w:b/>
        <w:noProof/>
        <w:sz w:val="18"/>
        <w:szCs w:val="18"/>
      </w:rPr>
      <w:t>40</w:t>
    </w:r>
    <w:r w:rsidRPr="00AD1320">
      <w:rPr>
        <w:rStyle w:val="Normal-poolChar"/>
        <w:b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FE640" w14:textId="0943E236" w:rsidR="00D026C5" w:rsidRPr="006C0085" w:rsidRDefault="00D026C5" w:rsidP="006C0085">
    <w:pPr>
      <w:pStyle w:val="Footer-pool"/>
    </w:pPr>
    <w:r w:rsidRPr="00905D1D">
      <w:fldChar w:fldCharType="begin"/>
    </w:r>
    <w:r w:rsidRPr="00905D1D">
      <w:instrText xml:space="preserve"> PAGE   \* MERGEFORMAT </w:instrText>
    </w:r>
    <w:r w:rsidRPr="00905D1D">
      <w:fldChar w:fldCharType="separate"/>
    </w:r>
    <w:r w:rsidR="00950900">
      <w:rPr>
        <w:noProof/>
      </w:rPr>
      <w:t>44</w:t>
    </w:r>
    <w:r w:rsidRPr="00905D1D"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A1390" w14:textId="62EEF8A8" w:rsidR="00D026C5" w:rsidRPr="00AD1320" w:rsidRDefault="00D026C5" w:rsidP="00B01BC9">
    <w:pPr>
      <w:pStyle w:val="Normal-pool"/>
      <w:jc w:val="right"/>
    </w:pPr>
    <w:r w:rsidRPr="00AD1320">
      <w:rPr>
        <w:rStyle w:val="Normal-poolChar"/>
        <w:b/>
        <w:sz w:val="18"/>
        <w:szCs w:val="18"/>
      </w:rPr>
      <w:fldChar w:fldCharType="begin"/>
    </w:r>
    <w:r w:rsidRPr="00AD1320">
      <w:rPr>
        <w:rStyle w:val="Normal-poolChar"/>
        <w:b/>
        <w:sz w:val="18"/>
        <w:szCs w:val="18"/>
      </w:rPr>
      <w:instrText xml:space="preserve"> PAGE   \* MERGEFORMAT </w:instrText>
    </w:r>
    <w:r w:rsidRPr="00AD1320">
      <w:rPr>
        <w:rStyle w:val="Normal-poolChar"/>
        <w:b/>
        <w:sz w:val="18"/>
        <w:szCs w:val="18"/>
      </w:rPr>
      <w:fldChar w:fldCharType="separate"/>
    </w:r>
    <w:r>
      <w:rPr>
        <w:rStyle w:val="Normal-poolChar"/>
        <w:b/>
        <w:noProof/>
        <w:sz w:val="18"/>
        <w:szCs w:val="18"/>
      </w:rPr>
      <w:t>41</w:t>
    </w:r>
    <w:r w:rsidRPr="00AD1320">
      <w:rPr>
        <w:rStyle w:val="Normal-poolChar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D9918" w14:textId="77777777" w:rsidR="00D026C5" w:rsidRPr="00543F5D" w:rsidRDefault="00D026C5" w:rsidP="00543F5D">
      <w:pPr>
        <w:spacing w:before="60"/>
        <w:ind w:left="624"/>
        <w:rPr>
          <w:sz w:val="18"/>
          <w:szCs w:val="18"/>
        </w:rPr>
      </w:pPr>
      <w:r w:rsidRPr="00543F5D">
        <w:rPr>
          <w:sz w:val="18"/>
          <w:szCs w:val="18"/>
        </w:rPr>
        <w:separator/>
      </w:r>
    </w:p>
  </w:footnote>
  <w:footnote w:type="continuationSeparator" w:id="0">
    <w:p w14:paraId="51CB81F9" w14:textId="77777777" w:rsidR="00D026C5" w:rsidRDefault="00D026C5">
      <w:r>
        <w:continuationSeparator/>
      </w:r>
    </w:p>
  </w:footnote>
  <w:footnote w:id="1">
    <w:p w14:paraId="294BA8A2" w14:textId="77777777" w:rsidR="00D026C5" w:rsidRPr="00D20031" w:rsidRDefault="00D026C5" w:rsidP="000F3FDB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IPBES/7/6/Add.1.</w:t>
      </w:r>
    </w:p>
  </w:footnote>
  <w:footnote w:id="2">
    <w:p w14:paraId="0D9CF380" w14:textId="77777777" w:rsidR="00D026C5" w:rsidRPr="00D20031" w:rsidRDefault="00D026C5" w:rsidP="004C0022">
      <w:pPr>
        <w:pStyle w:val="FootnoteText"/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IPBES/7/10/Add.1.</w:t>
      </w:r>
    </w:p>
  </w:footnote>
  <w:footnote w:id="3">
    <w:p w14:paraId="59361AF7" w14:textId="77777777" w:rsidR="00D026C5" w:rsidRPr="00D20031" w:rsidRDefault="00D026C5" w:rsidP="004C0022">
      <w:pPr>
        <w:pStyle w:val="FootnoteText"/>
        <w:tabs>
          <w:tab w:val="left" w:pos="624"/>
        </w:tabs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IPBES/7/INF/1/Rev.1.</w:t>
      </w:r>
    </w:p>
  </w:footnote>
  <w:footnote w:id="4">
    <w:p w14:paraId="0BB548AE" w14:textId="77777777" w:rsidR="00D026C5" w:rsidRPr="00D20031" w:rsidRDefault="00D026C5" w:rsidP="004C0022">
      <w:pPr>
        <w:pStyle w:val="FootnoteText"/>
        <w:rPr>
          <w:szCs w:val="18"/>
          <w:lang w:val="en-GB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Voir décision IPBES-3/3, annexe I, sect. </w:t>
      </w:r>
      <w:r w:rsidRPr="00D20031">
        <w:rPr>
          <w:szCs w:val="18"/>
          <w:lang w:val="en-GB"/>
        </w:rPr>
        <w:t>3.4.</w:t>
      </w:r>
    </w:p>
  </w:footnote>
  <w:footnote w:id="5">
    <w:p w14:paraId="44B1F19C" w14:textId="77777777" w:rsidR="00D026C5" w:rsidRPr="00D20031" w:rsidRDefault="00D026C5" w:rsidP="004C0022">
      <w:pPr>
        <w:pStyle w:val="FootnoteText"/>
        <w:rPr>
          <w:szCs w:val="18"/>
          <w:lang w:val="en-GB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  <w:lang w:val="en-GB"/>
        </w:rPr>
        <w:t xml:space="preserve"> IPBES/7/6, appendice II, sect. I.</w:t>
      </w:r>
    </w:p>
  </w:footnote>
  <w:footnote w:id="6">
    <w:p w14:paraId="164DC5F4" w14:textId="44399B29" w:rsidR="00D026C5" w:rsidRPr="009E2DCC" w:rsidRDefault="00D026C5">
      <w:pPr>
        <w:pStyle w:val="FootnoteText"/>
        <w:rPr>
          <w:lang w:val="fr-FR"/>
        </w:rPr>
      </w:pPr>
      <w:bookmarkStart w:id="68" w:name="_DV_C124"/>
      <w:r>
        <w:rPr>
          <w:rStyle w:val="FootnoteReference"/>
        </w:rPr>
        <w:footnoteRef/>
      </w:r>
      <w:r>
        <w:t xml:space="preserve"> </w:t>
      </w:r>
      <w:r w:rsidRPr="00F84840">
        <w:rPr>
          <w:rStyle w:val="DeltaViewInsertion"/>
          <w:color w:val="auto"/>
          <w:szCs w:val="18"/>
          <w:u w:val="none"/>
          <w:lang w:val="en-US"/>
        </w:rPr>
        <w:t>Ibid., sect. III.</w:t>
      </w:r>
    </w:p>
    <w:bookmarkEnd w:id="68"/>
  </w:footnote>
  <w:footnote w:id="7">
    <w:p w14:paraId="74CB06CB" w14:textId="77777777" w:rsidR="00D026C5" w:rsidRPr="000C25F6" w:rsidRDefault="00D026C5" w:rsidP="004C0022">
      <w:pPr>
        <w:pStyle w:val="FootnoteText"/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F84840">
        <w:rPr>
          <w:szCs w:val="18"/>
          <w:lang w:val="en-US"/>
        </w:rPr>
        <w:t xml:space="preserve"> Ibid., sect. </w:t>
      </w:r>
      <w:r w:rsidRPr="000C25F6">
        <w:rPr>
          <w:szCs w:val="18"/>
        </w:rPr>
        <w:t>IV.</w:t>
      </w:r>
    </w:p>
  </w:footnote>
  <w:footnote w:id="8">
    <w:p w14:paraId="2BD09CF2" w14:textId="77777777" w:rsidR="00D026C5" w:rsidRPr="00C1072D" w:rsidRDefault="00D026C5" w:rsidP="004C0022">
      <w:pPr>
        <w:pStyle w:val="FootnoteText"/>
        <w:rPr>
          <w:szCs w:val="18"/>
          <w:lang w:val="en-US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Voir décision IPBES-3/3, annexe I, sect. </w:t>
      </w:r>
      <w:r w:rsidRPr="00C1072D">
        <w:rPr>
          <w:szCs w:val="18"/>
          <w:lang w:val="en-US"/>
        </w:rPr>
        <w:t>3.2.</w:t>
      </w:r>
    </w:p>
  </w:footnote>
  <w:footnote w:id="9">
    <w:p w14:paraId="7D21CBD9" w14:textId="77777777" w:rsidR="00D026C5" w:rsidRPr="00C1072D" w:rsidRDefault="00D026C5" w:rsidP="004C0022">
      <w:pPr>
        <w:pStyle w:val="FootnoteText"/>
        <w:rPr>
          <w:szCs w:val="18"/>
          <w:lang w:val="en-US"/>
        </w:rPr>
      </w:pPr>
      <w:r w:rsidRPr="00D20031">
        <w:rPr>
          <w:rStyle w:val="FootnoteReference"/>
          <w:sz w:val="18"/>
        </w:rPr>
        <w:footnoteRef/>
      </w:r>
      <w:r w:rsidRPr="00C1072D">
        <w:rPr>
          <w:szCs w:val="18"/>
          <w:lang w:val="en-US"/>
        </w:rPr>
        <w:t xml:space="preserve"> Ibid., sect. 4.</w:t>
      </w:r>
    </w:p>
  </w:footnote>
  <w:footnote w:id="10">
    <w:p w14:paraId="14963F2B" w14:textId="77777777" w:rsidR="00D026C5" w:rsidRPr="000C25F6" w:rsidRDefault="00D026C5" w:rsidP="004C0022">
      <w:pPr>
        <w:pStyle w:val="FootnoteText"/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C1072D">
        <w:rPr>
          <w:szCs w:val="18"/>
          <w:lang w:val="en-US"/>
        </w:rPr>
        <w:t xml:space="preserve"> IPBES/7/6, appendice II, sect. </w:t>
      </w:r>
      <w:r w:rsidRPr="000C25F6">
        <w:rPr>
          <w:szCs w:val="18"/>
        </w:rPr>
        <w:t>II.</w:t>
      </w:r>
    </w:p>
  </w:footnote>
  <w:footnote w:id="11">
    <w:p w14:paraId="6302077F" w14:textId="1C0D91D2" w:rsidR="00D026C5" w:rsidRPr="00D20031" w:rsidRDefault="00D026C5" w:rsidP="004C002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Disponible à l</w:t>
      </w:r>
      <w:r>
        <w:rPr>
          <w:szCs w:val="18"/>
        </w:rPr>
        <w:t>’</w:t>
      </w:r>
      <w:r w:rsidRPr="00D20031">
        <w:rPr>
          <w:szCs w:val="18"/>
        </w:rPr>
        <w:t>adresse suivante</w:t>
      </w:r>
      <w:r>
        <w:rPr>
          <w:szCs w:val="18"/>
        </w:rPr>
        <w:t> :</w:t>
      </w:r>
      <w:r w:rsidRPr="00D20031">
        <w:rPr>
          <w:szCs w:val="18"/>
        </w:rPr>
        <w:t xml:space="preserve"> </w:t>
      </w:r>
      <w:hyperlink r:id="rId1" w:history="1">
        <w:r w:rsidRPr="00D20031">
          <w:rPr>
            <w:rStyle w:val="Hyperlink"/>
            <w:sz w:val="18"/>
            <w:szCs w:val="18"/>
            <w:lang w:val="fr-CA"/>
          </w:rPr>
          <w:t>https://www.ipbes.net/guide-production-assessments</w:t>
        </w:r>
      </w:hyperlink>
      <w:r w:rsidRPr="00D20031">
        <w:rPr>
          <w:szCs w:val="18"/>
        </w:rPr>
        <w:t>.</w:t>
      </w:r>
    </w:p>
  </w:footnote>
  <w:footnote w:id="12">
    <w:p w14:paraId="5FE679C9" w14:textId="77777777" w:rsidR="00D026C5" w:rsidRPr="00D20031" w:rsidRDefault="00D026C5" w:rsidP="004C002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IPBES/7/INF/7, annexe, sect. IV.</w:t>
      </w:r>
    </w:p>
  </w:footnote>
  <w:footnote w:id="13">
    <w:p w14:paraId="27DB0E61" w14:textId="77777777" w:rsidR="00D026C5" w:rsidRPr="00D20031" w:rsidRDefault="00D026C5" w:rsidP="004C002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IPBES/7/INF/9, annexe, sect. VI.</w:t>
      </w:r>
    </w:p>
  </w:footnote>
  <w:footnote w:id="14">
    <w:p w14:paraId="19C36A78" w14:textId="77777777" w:rsidR="00D026C5" w:rsidRPr="00D20031" w:rsidRDefault="00D026C5" w:rsidP="004C002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IPBES/7/INF/8, annexe, sect. IV.</w:t>
      </w:r>
    </w:p>
  </w:footnote>
  <w:footnote w:id="15">
    <w:p w14:paraId="78D83F27" w14:textId="77777777" w:rsidR="00D026C5" w:rsidRPr="00D20031" w:rsidRDefault="00D026C5" w:rsidP="004C0022">
      <w:pPr>
        <w:pStyle w:val="FootnoteText"/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 xml:space="preserve"> IPBES/7/INF/13, annexe, sect. V.</w:t>
      </w:r>
    </w:p>
  </w:footnote>
  <w:footnote w:id="16">
    <w:p w14:paraId="1AFBB8E6" w14:textId="77777777" w:rsidR="00D026C5" w:rsidRPr="00D20031" w:rsidRDefault="00D026C5" w:rsidP="004C0022">
      <w:pPr>
        <w:pStyle w:val="FootnoteText"/>
        <w:rPr>
          <w:szCs w:val="18"/>
        </w:rPr>
      </w:pPr>
      <w:r w:rsidRPr="00D20031">
        <w:rPr>
          <w:rStyle w:val="FootnoteReference"/>
          <w:sz w:val="18"/>
        </w:rPr>
        <w:footnoteRef/>
      </w:r>
      <w:r w:rsidRPr="00D20031">
        <w:rPr>
          <w:szCs w:val="18"/>
        </w:rPr>
        <w:t>IPBES/7/INF/11, annexe, sect. IV.</w:t>
      </w:r>
    </w:p>
  </w:footnote>
  <w:footnote w:id="17">
    <w:p w14:paraId="45F1219A" w14:textId="77777777" w:rsidR="00D026C5" w:rsidRPr="00F84840" w:rsidRDefault="00D026C5" w:rsidP="004C0022">
      <w:pPr>
        <w:pStyle w:val="FootnoteText"/>
        <w:rPr>
          <w:szCs w:val="18"/>
          <w:lang w:val="en-US"/>
        </w:rPr>
      </w:pPr>
      <w:r w:rsidRPr="00D20031">
        <w:rPr>
          <w:rStyle w:val="FootnoteReference"/>
          <w:sz w:val="18"/>
        </w:rPr>
        <w:footnoteRef/>
      </w:r>
      <w:r w:rsidRPr="00F84840">
        <w:rPr>
          <w:szCs w:val="18"/>
          <w:lang w:val="en-US"/>
        </w:rPr>
        <w:t xml:space="preserve"> Voir UNEP/IPBES.MI/2/9, annexe I, appendice I, sect. II.</w:t>
      </w:r>
    </w:p>
  </w:footnote>
  <w:footnote w:id="18">
    <w:p w14:paraId="24248603" w14:textId="77777777" w:rsidR="00D026C5" w:rsidRPr="000C25F6" w:rsidRDefault="00D026C5" w:rsidP="001609F3">
      <w:pPr>
        <w:pStyle w:val="FootnoteText"/>
        <w:tabs>
          <w:tab w:val="left" w:pos="624"/>
          <w:tab w:val="left" w:pos="6390"/>
        </w:tabs>
        <w:rPr>
          <w:szCs w:val="18"/>
        </w:rPr>
      </w:pPr>
      <w:r w:rsidRPr="003E7B8B">
        <w:rPr>
          <w:rStyle w:val="FootnoteReference"/>
        </w:rPr>
        <w:footnoteRef/>
      </w:r>
      <w:r w:rsidRPr="001D4262">
        <w:rPr>
          <w:szCs w:val="18"/>
          <w:lang w:val="en-US"/>
        </w:rPr>
        <w:t xml:space="preserve"> </w:t>
      </w:r>
      <w:r>
        <w:rPr>
          <w:szCs w:val="18"/>
          <w:lang w:val="en-GB"/>
        </w:rPr>
        <w:t>UNEP/IPBES.MI/2/9, annexe </w:t>
      </w:r>
      <w:r w:rsidRPr="00B47C69">
        <w:rPr>
          <w:szCs w:val="18"/>
          <w:lang w:val="en-GB"/>
        </w:rPr>
        <w:t>I, appendice</w:t>
      </w:r>
      <w:r>
        <w:rPr>
          <w:szCs w:val="18"/>
          <w:lang w:val="en-GB"/>
        </w:rPr>
        <w:t> I, sect. </w:t>
      </w:r>
      <w:r w:rsidRPr="000C25F6">
        <w:rPr>
          <w:szCs w:val="18"/>
        </w:rPr>
        <w:t>I.</w:t>
      </w:r>
    </w:p>
  </w:footnote>
  <w:footnote w:id="19">
    <w:p w14:paraId="39641415" w14:textId="77777777" w:rsidR="00D026C5" w:rsidRPr="000C25F6" w:rsidRDefault="00D026C5" w:rsidP="001609F3">
      <w:pPr>
        <w:pStyle w:val="FootnoteText"/>
        <w:tabs>
          <w:tab w:val="left" w:pos="624"/>
        </w:tabs>
        <w:rPr>
          <w:rStyle w:val="FootnoteReference"/>
        </w:rPr>
      </w:pPr>
      <w:r w:rsidRPr="00582A6F">
        <w:rPr>
          <w:rStyle w:val="FootnoteReference"/>
        </w:rPr>
        <w:footnoteRef/>
      </w:r>
      <w:r w:rsidRPr="000C25F6">
        <w:rPr>
          <w:rStyle w:val="FootnoteReference"/>
        </w:rPr>
        <w:t xml:space="preserve"> </w:t>
      </w:r>
      <w:r w:rsidRPr="000C25F6">
        <w:rPr>
          <w:szCs w:val="18"/>
        </w:rPr>
        <w:t>Ibid., sect. II.</w:t>
      </w:r>
    </w:p>
  </w:footnote>
  <w:footnote w:id="20">
    <w:p w14:paraId="2DB8A8EC" w14:textId="27AADF8F" w:rsidR="00D026C5" w:rsidRPr="00DD0533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582A6F">
        <w:rPr>
          <w:rStyle w:val="FootnoteReference"/>
          <w:lang w:val="en-GB"/>
        </w:rPr>
        <w:footnoteRef/>
      </w:r>
      <w:r w:rsidRPr="00DD0533">
        <w:rPr>
          <w:szCs w:val="18"/>
        </w:rPr>
        <w:t xml:space="preserve"> Par </w:t>
      </w:r>
      <w:r>
        <w:rPr>
          <w:szCs w:val="18"/>
        </w:rPr>
        <w:t>« </w:t>
      </w:r>
      <w:r w:rsidRPr="00DD0533">
        <w:rPr>
          <w:szCs w:val="18"/>
        </w:rPr>
        <w:t xml:space="preserve">changement </w:t>
      </w:r>
      <w:r>
        <w:rPr>
          <w:szCs w:val="18"/>
        </w:rPr>
        <w:t>transformateur »</w:t>
      </w:r>
      <w:r w:rsidRPr="00DD0533">
        <w:rPr>
          <w:szCs w:val="18"/>
        </w:rPr>
        <w:t xml:space="preserve"> on entend</w:t>
      </w:r>
      <w:r>
        <w:rPr>
          <w:szCs w:val="18"/>
        </w:rPr>
        <w:t xml:space="preserve"> un </w:t>
      </w:r>
      <w:r w:rsidRPr="00DD0533">
        <w:rPr>
          <w:szCs w:val="18"/>
        </w:rPr>
        <w:t xml:space="preserve">changement </w:t>
      </w:r>
      <w:r>
        <w:rPr>
          <w:szCs w:val="18"/>
        </w:rPr>
        <w:t>fondamental à l’échelle d’un </w:t>
      </w:r>
      <w:r w:rsidRPr="00DD0533">
        <w:rPr>
          <w:szCs w:val="18"/>
        </w:rPr>
        <w:t>système</w:t>
      </w:r>
      <w:r>
        <w:rPr>
          <w:szCs w:val="18"/>
        </w:rPr>
        <w:t>,</w:t>
      </w:r>
      <w:r w:rsidRPr="00DD0533">
        <w:rPr>
          <w:szCs w:val="18"/>
        </w:rPr>
        <w:t xml:space="preserve"> qui </w:t>
      </w:r>
      <w:r>
        <w:rPr>
          <w:szCs w:val="18"/>
        </w:rPr>
        <w:t>prend</w:t>
      </w:r>
      <w:r w:rsidRPr="00DD0533">
        <w:rPr>
          <w:szCs w:val="18"/>
        </w:rPr>
        <w:t xml:space="preserve"> en </w:t>
      </w:r>
      <w:r>
        <w:rPr>
          <w:rFonts w:eastAsia="Calibri"/>
          <w:bCs/>
          <w:szCs w:val="18"/>
        </w:rPr>
        <w:t>considé</w:t>
      </w:r>
      <w:r w:rsidRPr="00DD0533">
        <w:rPr>
          <w:rFonts w:eastAsia="Calibri"/>
          <w:bCs/>
          <w:szCs w:val="18"/>
        </w:rPr>
        <w:t>ration</w:t>
      </w:r>
      <w:r>
        <w:rPr>
          <w:rFonts w:eastAsia="Calibri"/>
          <w:bCs/>
          <w:szCs w:val="18"/>
        </w:rPr>
        <w:t xml:space="preserve"> les facteurs technologiques, économiques et sociaux, y compris en termes de </w:t>
      </w:r>
      <w:r w:rsidRPr="00DD0533">
        <w:rPr>
          <w:szCs w:val="18"/>
        </w:rPr>
        <w:t>paradigm</w:t>
      </w:r>
      <w:r>
        <w:rPr>
          <w:szCs w:val="18"/>
        </w:rPr>
        <w:t>e</w:t>
      </w:r>
      <w:r w:rsidRPr="00DD0533">
        <w:rPr>
          <w:szCs w:val="18"/>
        </w:rPr>
        <w:t>s,</w:t>
      </w:r>
      <w:r>
        <w:rPr>
          <w:szCs w:val="18"/>
        </w:rPr>
        <w:t xml:space="preserve"> buts et valeurs</w:t>
      </w:r>
      <w:r w:rsidRPr="00DD0533">
        <w:rPr>
          <w:szCs w:val="18"/>
        </w:rPr>
        <w:t>.</w:t>
      </w:r>
    </w:p>
  </w:footnote>
  <w:footnote w:id="21">
    <w:p w14:paraId="20353A08" w14:textId="2A7798F4" w:rsidR="00D026C5" w:rsidRPr="00DA19F5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582A6F">
        <w:rPr>
          <w:rStyle w:val="FootnoteReference"/>
        </w:rPr>
        <w:footnoteRef/>
      </w:r>
      <w:r>
        <w:rPr>
          <w:szCs w:val="18"/>
        </w:rPr>
        <w:t xml:space="preserve"> Les </w:t>
      </w:r>
      <w:r w:rsidRPr="00DA19F5">
        <w:rPr>
          <w:szCs w:val="18"/>
        </w:rPr>
        <w:t xml:space="preserve">travaux </w:t>
      </w:r>
      <w:r>
        <w:rPr>
          <w:szCs w:val="18"/>
        </w:rPr>
        <w:t>relevant</w:t>
      </w:r>
      <w:r w:rsidRPr="00DA19F5">
        <w:rPr>
          <w:szCs w:val="18"/>
        </w:rPr>
        <w:t xml:space="preserve"> de l</w:t>
      </w:r>
      <w:r>
        <w:rPr>
          <w:szCs w:val="18"/>
        </w:rPr>
        <w:t>’objectif </w:t>
      </w:r>
      <w:r w:rsidRPr="00DA19F5">
        <w:rPr>
          <w:szCs w:val="18"/>
        </w:rPr>
        <w:t xml:space="preserve">1 seront menés conformément aux procédures </w:t>
      </w:r>
      <w:r>
        <w:rPr>
          <w:szCs w:val="18"/>
        </w:rPr>
        <w:t>à suivre pour la réalisation des évaluations thématiques ou méthodologiques et des évaluations régionales, sous-régionales ou mondiales et en respectant la procédure d’approbation pour les documents techniques, énoncée dans l’annexe </w:t>
      </w:r>
      <w:r w:rsidRPr="00DA19F5">
        <w:rPr>
          <w:szCs w:val="18"/>
        </w:rPr>
        <w:t xml:space="preserve">I </w:t>
      </w:r>
      <w:r>
        <w:rPr>
          <w:szCs w:val="18"/>
        </w:rPr>
        <w:t>de la décision </w:t>
      </w:r>
      <w:r w:rsidRPr="00DA19F5">
        <w:rPr>
          <w:szCs w:val="18"/>
        </w:rPr>
        <w:t xml:space="preserve">IPBES-3/3. </w:t>
      </w:r>
    </w:p>
  </w:footnote>
  <w:footnote w:id="22">
    <w:p w14:paraId="350005A5" w14:textId="72EFB742" w:rsidR="00D026C5" w:rsidRPr="003F2734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582A6F">
        <w:rPr>
          <w:rStyle w:val="FootnoteReference"/>
        </w:rPr>
        <w:footnoteRef/>
      </w:r>
      <w:r>
        <w:rPr>
          <w:szCs w:val="18"/>
        </w:rPr>
        <w:t xml:space="preserve"> Les </w:t>
      </w:r>
      <w:r w:rsidRPr="0007460D">
        <w:rPr>
          <w:szCs w:val="18"/>
        </w:rPr>
        <w:t xml:space="preserve">activités </w:t>
      </w:r>
      <w:r>
        <w:rPr>
          <w:szCs w:val="18"/>
        </w:rPr>
        <w:t>correspondant à</w:t>
      </w:r>
      <w:r w:rsidRPr="0007460D">
        <w:rPr>
          <w:szCs w:val="18"/>
        </w:rPr>
        <w:t xml:space="preserve"> cet objectif seront menées conformément aux besoins prioritaires en matière de</w:t>
      </w:r>
      <w:r>
        <w:rPr>
          <w:szCs w:val="18"/>
        </w:rPr>
        <w:t> </w:t>
      </w:r>
      <w:r w:rsidRPr="0007460D">
        <w:rPr>
          <w:szCs w:val="18"/>
        </w:rPr>
        <w:t>renforcement</w:t>
      </w:r>
      <w:r>
        <w:rPr>
          <w:szCs w:val="18"/>
        </w:rPr>
        <w:t xml:space="preserve"> des </w:t>
      </w:r>
      <w:r w:rsidRPr="0007460D">
        <w:rPr>
          <w:szCs w:val="18"/>
        </w:rPr>
        <w:t xml:space="preserve">capacités </w:t>
      </w:r>
      <w:r>
        <w:rPr>
          <w:szCs w:val="18"/>
        </w:rPr>
        <w:t>tels qu’</w:t>
      </w:r>
      <w:r w:rsidRPr="0007460D">
        <w:rPr>
          <w:szCs w:val="18"/>
        </w:rPr>
        <w:t>approuvés par</w:t>
      </w:r>
      <w:r>
        <w:rPr>
          <w:szCs w:val="18"/>
        </w:rPr>
        <w:t xml:space="preserve"> la </w:t>
      </w:r>
      <w:r w:rsidRPr="0007460D">
        <w:rPr>
          <w:szCs w:val="18"/>
        </w:rPr>
        <w:t xml:space="preserve">Plénière dans sa </w:t>
      </w:r>
      <w:r>
        <w:rPr>
          <w:szCs w:val="18"/>
        </w:rPr>
        <w:t>dé</w:t>
      </w:r>
      <w:r w:rsidRPr="0007460D">
        <w:rPr>
          <w:szCs w:val="18"/>
        </w:rPr>
        <w:t xml:space="preserve">cision IPBES-3/1 </w:t>
      </w:r>
      <w:r>
        <w:rPr>
          <w:szCs w:val="18"/>
        </w:rPr>
        <w:t>et au plan glissant de la Plateforme en matière de renforcement des capacités accueilli avec satisfaction par la Plénière dans sa dé</w:t>
      </w:r>
      <w:r w:rsidRPr="0007460D">
        <w:rPr>
          <w:kern w:val="14"/>
          <w:szCs w:val="18"/>
          <w:lang w:eastAsia="ja-JP"/>
        </w:rPr>
        <w:t>cision</w:t>
      </w:r>
      <w:r>
        <w:rPr>
          <w:kern w:val="14"/>
          <w:szCs w:val="18"/>
          <w:lang w:eastAsia="ja-JP"/>
        </w:rPr>
        <w:t> </w:t>
      </w:r>
      <w:r w:rsidRPr="0007460D">
        <w:rPr>
          <w:kern w:val="14"/>
          <w:szCs w:val="18"/>
          <w:lang w:eastAsia="ja-JP"/>
        </w:rPr>
        <w:t xml:space="preserve">IPBES-5/1. </w:t>
      </w:r>
      <w:r w:rsidRPr="003F2734">
        <w:rPr>
          <w:kern w:val="14"/>
          <w:szCs w:val="18"/>
          <w:lang w:eastAsia="ja-JP"/>
        </w:rPr>
        <w:t>Ce plan</w:t>
      </w:r>
      <w:r w:rsidRPr="003F2734">
        <w:rPr>
          <w:szCs w:val="18"/>
        </w:rPr>
        <w:t xml:space="preserve"> comprend trois stratégies</w:t>
      </w:r>
      <w:r>
        <w:rPr>
          <w:szCs w:val="18"/>
        </w:rPr>
        <w:t> :</w:t>
      </w:r>
      <w:r w:rsidRPr="003F2734">
        <w:rPr>
          <w:szCs w:val="18"/>
        </w:rPr>
        <w:t xml:space="preserve"> </w:t>
      </w:r>
      <w:r>
        <w:rPr>
          <w:szCs w:val="18"/>
        </w:rPr>
        <w:t>apprentissage et engagement</w:t>
      </w:r>
      <w:r w:rsidRPr="003F2734">
        <w:rPr>
          <w:szCs w:val="18"/>
        </w:rPr>
        <w:t>, facilitation de l</w:t>
      </w:r>
      <w:r>
        <w:rPr>
          <w:szCs w:val="18"/>
        </w:rPr>
        <w:t>’accès à des compé</w:t>
      </w:r>
      <w:r w:rsidRPr="003F2734">
        <w:rPr>
          <w:szCs w:val="18"/>
        </w:rPr>
        <w:t xml:space="preserve">tences </w:t>
      </w:r>
      <w:r>
        <w:rPr>
          <w:szCs w:val="18"/>
        </w:rPr>
        <w:t>d’experts</w:t>
      </w:r>
      <w:r w:rsidRPr="003F2734">
        <w:rPr>
          <w:szCs w:val="18"/>
        </w:rPr>
        <w:t xml:space="preserve"> et à l</w:t>
      </w:r>
      <w:r>
        <w:rPr>
          <w:szCs w:val="18"/>
        </w:rPr>
        <w:t>’</w:t>
      </w:r>
      <w:r w:rsidRPr="003F2734">
        <w:rPr>
          <w:szCs w:val="18"/>
        </w:rPr>
        <w:t>information</w:t>
      </w:r>
      <w:r>
        <w:rPr>
          <w:szCs w:val="18"/>
        </w:rPr>
        <w:t xml:space="preserve">, et renforcement des capacités nationales et régionales. </w:t>
      </w:r>
    </w:p>
  </w:footnote>
  <w:footnote w:id="23">
    <w:p w14:paraId="5CE56262" w14:textId="77777777" w:rsidR="00D026C5" w:rsidRPr="00DA7EEB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582A6F">
        <w:rPr>
          <w:rStyle w:val="FootnoteReference"/>
        </w:rPr>
        <w:footnoteRef/>
      </w:r>
      <w:r>
        <w:rPr>
          <w:szCs w:val="18"/>
        </w:rPr>
        <w:t xml:space="preserve"> Dé</w:t>
      </w:r>
      <w:r w:rsidRPr="00DA7EEB">
        <w:rPr>
          <w:szCs w:val="18"/>
        </w:rPr>
        <w:t>cision</w:t>
      </w:r>
      <w:r>
        <w:rPr>
          <w:szCs w:val="18"/>
        </w:rPr>
        <w:t> </w:t>
      </w:r>
      <w:r w:rsidRPr="00DA7EEB">
        <w:rPr>
          <w:szCs w:val="18"/>
        </w:rPr>
        <w:t>IPBES-5/1, annexe</w:t>
      </w:r>
      <w:r>
        <w:rPr>
          <w:szCs w:val="18"/>
        </w:rPr>
        <w:t> </w:t>
      </w:r>
      <w:r w:rsidRPr="00DA7EEB">
        <w:rPr>
          <w:szCs w:val="18"/>
        </w:rPr>
        <w:t xml:space="preserve">II. </w:t>
      </w:r>
    </w:p>
  </w:footnote>
  <w:footnote w:id="24">
    <w:p w14:paraId="66FC2277" w14:textId="77777777" w:rsidR="00D026C5" w:rsidRPr="00B10275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582A6F">
        <w:rPr>
          <w:rStyle w:val="FootnoteReference"/>
        </w:rPr>
        <w:footnoteRef/>
      </w:r>
      <w:r>
        <w:rPr>
          <w:szCs w:val="18"/>
        </w:rPr>
        <w:t xml:space="preserve"> Décision </w:t>
      </w:r>
      <w:r w:rsidRPr="00B10275">
        <w:rPr>
          <w:szCs w:val="18"/>
        </w:rPr>
        <w:t>IPBES-3/4, annexe</w:t>
      </w:r>
      <w:r>
        <w:rPr>
          <w:szCs w:val="18"/>
        </w:rPr>
        <w:t> </w:t>
      </w:r>
      <w:r w:rsidRPr="00B10275">
        <w:rPr>
          <w:szCs w:val="18"/>
        </w:rPr>
        <w:t xml:space="preserve">I. </w:t>
      </w:r>
    </w:p>
  </w:footnote>
  <w:footnote w:id="25">
    <w:p w14:paraId="71C31967" w14:textId="77777777" w:rsidR="00D026C5" w:rsidRPr="00425C6C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B10275">
        <w:rPr>
          <w:rStyle w:val="FootnoteReference"/>
        </w:rPr>
        <w:footnoteRef/>
      </w:r>
      <w:r>
        <w:rPr>
          <w:szCs w:val="18"/>
        </w:rPr>
        <w:t xml:space="preserve"> Décision </w:t>
      </w:r>
      <w:r w:rsidRPr="00B10275">
        <w:rPr>
          <w:szCs w:val="18"/>
        </w:rPr>
        <w:t>IPBES-2/8.</w:t>
      </w:r>
    </w:p>
  </w:footnote>
  <w:footnote w:id="26">
    <w:p w14:paraId="64B26D04" w14:textId="55C40A58" w:rsidR="00D026C5" w:rsidRDefault="00D026C5" w:rsidP="001609F3">
      <w:pPr>
        <w:pStyle w:val="FootnoteText"/>
      </w:pPr>
      <w:r>
        <w:rPr>
          <w:rStyle w:val="FootnoteReference"/>
        </w:rPr>
        <w:footnoteRef/>
      </w:r>
      <w:r>
        <w:t xml:space="preserve"> Conformément à la section II de la décision IPBES-4/4. Les réseaux autonomes sont, à ce jour, le </w:t>
      </w:r>
      <w:r w:rsidRPr="00424537">
        <w:t>Forum international</w:t>
      </w:r>
      <w:r>
        <w:t xml:space="preserve"> des </w:t>
      </w:r>
      <w:r w:rsidRPr="00424537">
        <w:t>peuples autochtones sur</w:t>
      </w:r>
      <w:r>
        <w:t xml:space="preserve"> la </w:t>
      </w:r>
      <w:r w:rsidRPr="00424537">
        <w:t>biodiversité</w:t>
      </w:r>
      <w:r>
        <w:t xml:space="preserve"> et les services écosystémiques et le réseau à composition non limitée des partenaires de la Plateforme. </w:t>
      </w:r>
    </w:p>
  </w:footnote>
  <w:footnote w:id="27">
    <w:p w14:paraId="2C0D222C" w14:textId="77777777" w:rsidR="00D026C5" w:rsidRPr="00B47C69" w:rsidRDefault="00D026C5" w:rsidP="001609F3">
      <w:pPr>
        <w:pStyle w:val="FootnoteText"/>
        <w:tabs>
          <w:tab w:val="left" w:pos="624"/>
        </w:tabs>
        <w:rPr>
          <w:szCs w:val="18"/>
          <w:lang w:val="en-GB"/>
        </w:rPr>
      </w:pPr>
      <w:r w:rsidRPr="00392C46">
        <w:rPr>
          <w:rStyle w:val="FootnoteReference"/>
        </w:rPr>
        <w:footnoteRef/>
      </w:r>
      <w:r w:rsidRPr="00425C6C">
        <w:rPr>
          <w:szCs w:val="18"/>
          <w:lang w:val="en-US"/>
        </w:rPr>
        <w:t xml:space="preserve"> </w:t>
      </w:r>
      <w:r w:rsidRPr="00B47C69">
        <w:rPr>
          <w:szCs w:val="18"/>
          <w:lang w:val="en-GB"/>
        </w:rPr>
        <w:t>UNEP/IPBES.MI/2/9, annexe</w:t>
      </w:r>
      <w:r>
        <w:rPr>
          <w:szCs w:val="18"/>
          <w:lang w:val="en-GB"/>
        </w:rPr>
        <w:t> I, appendice </w:t>
      </w:r>
      <w:r w:rsidRPr="00B47C69">
        <w:rPr>
          <w:szCs w:val="18"/>
          <w:lang w:val="en-GB"/>
        </w:rPr>
        <w:t>I.</w:t>
      </w:r>
    </w:p>
  </w:footnote>
  <w:footnote w:id="28">
    <w:p w14:paraId="0EE4C528" w14:textId="4F197660" w:rsidR="00D026C5" w:rsidRPr="00572638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572638">
        <w:rPr>
          <w:rStyle w:val="FootnoteReference"/>
        </w:rPr>
        <w:footnoteRef/>
      </w:r>
      <w:r w:rsidRPr="00572638">
        <w:rPr>
          <w:szCs w:val="18"/>
        </w:rPr>
        <w:t xml:space="preserve"> Adopté par</w:t>
      </w:r>
      <w:r>
        <w:rPr>
          <w:szCs w:val="18"/>
        </w:rPr>
        <w:t xml:space="preserve"> la </w:t>
      </w:r>
      <w:r w:rsidRPr="00572638">
        <w:rPr>
          <w:szCs w:val="18"/>
        </w:rPr>
        <w:t xml:space="preserve">décision IPBES-1/1 et </w:t>
      </w:r>
      <w:r>
        <w:rPr>
          <w:szCs w:val="18"/>
        </w:rPr>
        <w:t>modifié</w:t>
      </w:r>
      <w:r w:rsidRPr="00572638">
        <w:rPr>
          <w:szCs w:val="18"/>
        </w:rPr>
        <w:t xml:space="preserve"> par</w:t>
      </w:r>
      <w:r>
        <w:rPr>
          <w:szCs w:val="18"/>
        </w:rPr>
        <w:t xml:space="preserve"> la </w:t>
      </w:r>
      <w:r w:rsidRPr="00572638">
        <w:rPr>
          <w:szCs w:val="18"/>
        </w:rPr>
        <w:t>décision IPBES-2/1.</w:t>
      </w:r>
    </w:p>
  </w:footnote>
  <w:footnote w:id="29">
    <w:p w14:paraId="796C5AD5" w14:textId="1688FC53" w:rsidR="00D026C5" w:rsidRPr="00572638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572638">
        <w:rPr>
          <w:rStyle w:val="FootnoteReference"/>
        </w:rPr>
        <w:footnoteRef/>
      </w:r>
      <w:r>
        <w:rPr>
          <w:szCs w:val="18"/>
        </w:rPr>
        <w:t xml:space="preserve"> Énoncées dans l’annexe I de la décision </w:t>
      </w:r>
      <w:r w:rsidRPr="00572638">
        <w:rPr>
          <w:szCs w:val="18"/>
        </w:rPr>
        <w:t>IPBES-3/3.</w:t>
      </w:r>
    </w:p>
  </w:footnote>
  <w:footnote w:id="30">
    <w:p w14:paraId="4CE58C46" w14:textId="217C3D15" w:rsidR="00D026C5" w:rsidRPr="00572638" w:rsidRDefault="00D026C5" w:rsidP="001609F3">
      <w:pPr>
        <w:pStyle w:val="FootnoteText"/>
        <w:tabs>
          <w:tab w:val="left" w:pos="624"/>
        </w:tabs>
        <w:rPr>
          <w:szCs w:val="18"/>
        </w:rPr>
      </w:pPr>
      <w:r w:rsidRPr="00572638">
        <w:rPr>
          <w:rStyle w:val="FootnoteReference"/>
        </w:rPr>
        <w:footnoteRef/>
      </w:r>
      <w:r w:rsidRPr="00572638">
        <w:rPr>
          <w:szCs w:val="18"/>
        </w:rPr>
        <w:t xml:space="preserve"> Comme indiqué dans l</w:t>
      </w:r>
      <w:r>
        <w:rPr>
          <w:szCs w:val="18"/>
        </w:rPr>
        <w:t>’</w:t>
      </w:r>
      <w:r w:rsidRPr="00572638">
        <w:rPr>
          <w:szCs w:val="18"/>
        </w:rPr>
        <w:t>Approche concernant</w:t>
      </w:r>
      <w:r>
        <w:rPr>
          <w:szCs w:val="18"/>
        </w:rPr>
        <w:t xml:space="preserve"> la </w:t>
      </w:r>
      <w:r w:rsidRPr="00572638">
        <w:rPr>
          <w:szCs w:val="18"/>
        </w:rPr>
        <w:t>reconnaissance et l</w:t>
      </w:r>
      <w:r>
        <w:rPr>
          <w:szCs w:val="18"/>
        </w:rPr>
        <w:t>’</w:t>
      </w:r>
      <w:r w:rsidRPr="00572638">
        <w:rPr>
          <w:szCs w:val="18"/>
        </w:rPr>
        <w:t>utilisation</w:t>
      </w:r>
      <w:r>
        <w:rPr>
          <w:szCs w:val="18"/>
        </w:rPr>
        <w:t xml:space="preserve"> des </w:t>
      </w:r>
      <w:r w:rsidRPr="00572638">
        <w:rPr>
          <w:szCs w:val="18"/>
        </w:rPr>
        <w:t>savoirs autochtones et locaux dans</w:t>
      </w:r>
      <w:r>
        <w:rPr>
          <w:szCs w:val="18"/>
        </w:rPr>
        <w:t xml:space="preserve"> les </w:t>
      </w:r>
      <w:r w:rsidRPr="00572638">
        <w:rPr>
          <w:szCs w:val="18"/>
        </w:rPr>
        <w:t>travaux de</w:t>
      </w:r>
      <w:r>
        <w:rPr>
          <w:szCs w:val="18"/>
        </w:rPr>
        <w:t xml:space="preserve"> la </w:t>
      </w:r>
      <w:r w:rsidRPr="00572638">
        <w:rPr>
          <w:szCs w:val="18"/>
        </w:rPr>
        <w:t>Plateforme intergouvernementale scientifique et politique sur</w:t>
      </w:r>
      <w:r>
        <w:rPr>
          <w:szCs w:val="18"/>
        </w:rPr>
        <w:t xml:space="preserve"> la </w:t>
      </w:r>
      <w:r w:rsidRPr="00572638">
        <w:rPr>
          <w:szCs w:val="18"/>
        </w:rPr>
        <w:t>biodiversité et</w:t>
      </w:r>
      <w:r>
        <w:rPr>
          <w:szCs w:val="18"/>
        </w:rPr>
        <w:t xml:space="preserve"> les </w:t>
      </w:r>
      <w:r w:rsidRPr="00572638">
        <w:rPr>
          <w:szCs w:val="18"/>
        </w:rPr>
        <w:t>services écosystémiques, exposée</w:t>
      </w:r>
      <w:r>
        <w:rPr>
          <w:szCs w:val="18"/>
        </w:rPr>
        <w:t xml:space="preserve"> dans l’annexe II de la décision </w:t>
      </w:r>
      <w:r w:rsidRPr="00572638">
        <w:rPr>
          <w:szCs w:val="18"/>
        </w:rPr>
        <w:t xml:space="preserve">IPBES-5/1. </w:t>
      </w:r>
    </w:p>
  </w:footnote>
  <w:footnote w:id="31">
    <w:p w14:paraId="1355D6F5" w14:textId="4380EB24" w:rsidR="00D026C5" w:rsidRPr="008E126F" w:rsidRDefault="00D026C5" w:rsidP="00A53F09">
      <w:pPr>
        <w:pStyle w:val="CommentText"/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582A6F">
        <w:rPr>
          <w:rStyle w:val="FootnoteReference"/>
          <w:sz w:val="18"/>
        </w:rPr>
        <w:footnoteRef/>
      </w:r>
      <w:r w:rsidRPr="00F84840">
        <w:rPr>
          <w:sz w:val="18"/>
          <w:szCs w:val="18"/>
        </w:rPr>
        <w:t xml:space="preserve"> </w:t>
      </w:r>
      <w:r w:rsidRPr="008E126F">
        <w:rPr>
          <w:sz w:val="18"/>
          <w:szCs w:val="18"/>
        </w:rPr>
        <w:t>À sa douzième réunion,</w:t>
      </w:r>
      <w:r>
        <w:rPr>
          <w:sz w:val="18"/>
          <w:szCs w:val="18"/>
        </w:rPr>
        <w:t xml:space="preserve"> le </w:t>
      </w:r>
      <w:r w:rsidRPr="008E126F">
        <w:rPr>
          <w:sz w:val="18"/>
          <w:szCs w:val="18"/>
        </w:rPr>
        <w:t>Bureau a approuvé l</w:t>
      </w:r>
      <w:r>
        <w:rPr>
          <w:sz w:val="18"/>
          <w:szCs w:val="18"/>
        </w:rPr>
        <w:t>’</w:t>
      </w:r>
      <w:r w:rsidRPr="008E126F">
        <w:rPr>
          <w:sz w:val="18"/>
          <w:szCs w:val="18"/>
        </w:rPr>
        <w:t>Approche concernant</w:t>
      </w:r>
      <w:r>
        <w:rPr>
          <w:sz w:val="18"/>
          <w:szCs w:val="18"/>
        </w:rPr>
        <w:t xml:space="preserve"> la </w:t>
      </w:r>
      <w:r w:rsidRPr="008E126F">
        <w:rPr>
          <w:sz w:val="18"/>
          <w:szCs w:val="18"/>
        </w:rPr>
        <w:t>reconnaissance et l</w:t>
      </w:r>
      <w:r>
        <w:rPr>
          <w:sz w:val="18"/>
          <w:szCs w:val="18"/>
        </w:rPr>
        <w:t>’</w:t>
      </w:r>
      <w:r w:rsidRPr="008E126F">
        <w:rPr>
          <w:sz w:val="18"/>
          <w:szCs w:val="18"/>
        </w:rPr>
        <w:t>utilisation</w:t>
      </w:r>
      <w:r>
        <w:rPr>
          <w:sz w:val="18"/>
          <w:szCs w:val="18"/>
        </w:rPr>
        <w:t xml:space="preserve"> des </w:t>
      </w:r>
      <w:r w:rsidRPr="008E126F">
        <w:rPr>
          <w:sz w:val="18"/>
          <w:szCs w:val="18"/>
        </w:rPr>
        <w:t>savoirs autochtones et locaux dans</w:t>
      </w:r>
      <w:r>
        <w:rPr>
          <w:sz w:val="18"/>
          <w:szCs w:val="18"/>
        </w:rPr>
        <w:t xml:space="preserve"> les </w:t>
      </w:r>
      <w:r w:rsidRPr="008E126F">
        <w:rPr>
          <w:sz w:val="18"/>
          <w:szCs w:val="18"/>
        </w:rPr>
        <w:t>travaux de</w:t>
      </w:r>
      <w:r>
        <w:rPr>
          <w:sz w:val="18"/>
          <w:szCs w:val="18"/>
        </w:rPr>
        <w:t xml:space="preserve"> la </w:t>
      </w:r>
      <w:r w:rsidRPr="008E126F">
        <w:rPr>
          <w:sz w:val="18"/>
          <w:szCs w:val="18"/>
        </w:rPr>
        <w:t>Plateforme intergouvernementale scientifique et politique sur</w:t>
      </w:r>
      <w:r>
        <w:rPr>
          <w:sz w:val="18"/>
          <w:szCs w:val="18"/>
        </w:rPr>
        <w:t xml:space="preserve"> la </w:t>
      </w:r>
      <w:r w:rsidRPr="008E126F">
        <w:rPr>
          <w:sz w:val="18"/>
          <w:szCs w:val="18"/>
        </w:rPr>
        <w:t>biodiversité et</w:t>
      </w:r>
      <w:r>
        <w:rPr>
          <w:sz w:val="18"/>
          <w:szCs w:val="18"/>
        </w:rPr>
        <w:t xml:space="preserve"> les </w:t>
      </w:r>
      <w:r w:rsidRPr="008E126F">
        <w:rPr>
          <w:sz w:val="18"/>
          <w:szCs w:val="18"/>
        </w:rPr>
        <w:t>services écosystémiques. À intervalles réguliers,</w:t>
      </w:r>
      <w:r>
        <w:rPr>
          <w:sz w:val="18"/>
          <w:szCs w:val="18"/>
        </w:rPr>
        <w:t xml:space="preserve"> le </w:t>
      </w:r>
      <w:r w:rsidRPr="008E126F">
        <w:rPr>
          <w:sz w:val="18"/>
          <w:szCs w:val="18"/>
        </w:rPr>
        <w:t>Bureau examine, en vue de</w:t>
      </w:r>
      <w:r>
        <w:rPr>
          <w:sz w:val="18"/>
          <w:szCs w:val="18"/>
        </w:rPr>
        <w:t xml:space="preserve"> les </w:t>
      </w:r>
      <w:r w:rsidRPr="008E126F">
        <w:rPr>
          <w:sz w:val="18"/>
          <w:szCs w:val="18"/>
        </w:rPr>
        <w:t>approuver,</w:t>
      </w:r>
      <w:r>
        <w:rPr>
          <w:sz w:val="18"/>
          <w:szCs w:val="18"/>
        </w:rPr>
        <w:t xml:space="preserve"> les </w:t>
      </w:r>
      <w:r w:rsidRPr="008E126F">
        <w:rPr>
          <w:sz w:val="18"/>
          <w:szCs w:val="18"/>
        </w:rPr>
        <w:t>recommandations formulées par</w:t>
      </w:r>
      <w:r>
        <w:rPr>
          <w:sz w:val="18"/>
          <w:szCs w:val="18"/>
        </w:rPr>
        <w:t xml:space="preserve"> les </w:t>
      </w:r>
      <w:r w:rsidRPr="008E126F">
        <w:rPr>
          <w:sz w:val="18"/>
          <w:szCs w:val="18"/>
        </w:rPr>
        <w:t>équipes spéciales de</w:t>
      </w:r>
      <w:r>
        <w:rPr>
          <w:sz w:val="18"/>
          <w:szCs w:val="18"/>
        </w:rPr>
        <w:t xml:space="preserve"> la </w:t>
      </w:r>
      <w:r w:rsidRPr="008E126F">
        <w:rPr>
          <w:sz w:val="18"/>
          <w:szCs w:val="18"/>
        </w:rPr>
        <w:t>Plateforme visant à mentionner, sur</w:t>
      </w:r>
      <w:r>
        <w:rPr>
          <w:sz w:val="18"/>
          <w:szCs w:val="18"/>
        </w:rPr>
        <w:t xml:space="preserve"> le </w:t>
      </w:r>
      <w:r w:rsidRPr="008E126F">
        <w:rPr>
          <w:sz w:val="18"/>
          <w:szCs w:val="18"/>
        </w:rPr>
        <w:t xml:space="preserve">site </w:t>
      </w:r>
      <w:r>
        <w:rPr>
          <w:sz w:val="18"/>
          <w:szCs w:val="18"/>
        </w:rPr>
        <w:t xml:space="preserve">Web </w:t>
      </w:r>
      <w:r w:rsidRPr="008E126F">
        <w:rPr>
          <w:sz w:val="18"/>
          <w:szCs w:val="18"/>
        </w:rPr>
        <w:t>de</w:t>
      </w:r>
      <w:r>
        <w:rPr>
          <w:sz w:val="18"/>
          <w:szCs w:val="18"/>
        </w:rPr>
        <w:t xml:space="preserve"> la </w:t>
      </w:r>
      <w:r w:rsidRPr="008E126F">
        <w:rPr>
          <w:sz w:val="18"/>
          <w:szCs w:val="18"/>
        </w:rPr>
        <w:t>Plateforme,</w:t>
      </w:r>
      <w:r>
        <w:rPr>
          <w:sz w:val="18"/>
          <w:szCs w:val="18"/>
        </w:rPr>
        <w:t xml:space="preserve"> les </w:t>
      </w:r>
      <w:r w:rsidRPr="008E126F">
        <w:rPr>
          <w:sz w:val="18"/>
          <w:szCs w:val="18"/>
        </w:rPr>
        <w:t>organisations menant</w:t>
      </w:r>
      <w:r>
        <w:rPr>
          <w:sz w:val="18"/>
          <w:szCs w:val="18"/>
        </w:rPr>
        <w:t xml:space="preserve"> des </w:t>
      </w:r>
      <w:r w:rsidRPr="008E126F">
        <w:rPr>
          <w:sz w:val="18"/>
          <w:szCs w:val="18"/>
        </w:rPr>
        <w:t xml:space="preserve">activités qui appuient </w:t>
      </w:r>
      <w:r>
        <w:rPr>
          <w:sz w:val="18"/>
          <w:szCs w:val="18"/>
        </w:rPr>
        <w:t>sensiblement la </w:t>
      </w:r>
      <w:r w:rsidRPr="008E126F">
        <w:rPr>
          <w:sz w:val="18"/>
          <w:szCs w:val="18"/>
        </w:rPr>
        <w:t>mise en œuvre de</w:t>
      </w:r>
      <w:r>
        <w:rPr>
          <w:sz w:val="18"/>
          <w:szCs w:val="18"/>
        </w:rPr>
        <w:t> </w:t>
      </w:r>
      <w:r w:rsidRPr="008E126F">
        <w:rPr>
          <w:sz w:val="18"/>
          <w:szCs w:val="18"/>
        </w:rPr>
        <w:t>son programme de travail.</w:t>
      </w:r>
      <w:r>
        <w:rPr>
          <w:sz w:val="18"/>
          <w:szCs w:val="18"/>
        </w:rPr>
        <w:t xml:space="preserve"> Les </w:t>
      </w:r>
      <w:r w:rsidRPr="008E126F">
        <w:rPr>
          <w:sz w:val="18"/>
          <w:szCs w:val="18"/>
        </w:rPr>
        <w:t>organisations dont</w:t>
      </w:r>
      <w:r>
        <w:rPr>
          <w:sz w:val="18"/>
          <w:szCs w:val="18"/>
        </w:rPr>
        <w:t xml:space="preserve"> la </w:t>
      </w:r>
      <w:r w:rsidRPr="008E126F">
        <w:rPr>
          <w:sz w:val="18"/>
          <w:szCs w:val="18"/>
        </w:rPr>
        <w:t>liste a été approuvée par</w:t>
      </w:r>
      <w:r>
        <w:rPr>
          <w:sz w:val="18"/>
          <w:szCs w:val="18"/>
        </w:rPr>
        <w:t xml:space="preserve"> le </w:t>
      </w:r>
      <w:r w:rsidRPr="008E126F">
        <w:rPr>
          <w:sz w:val="18"/>
          <w:szCs w:val="18"/>
        </w:rPr>
        <w:t>Bureau so</w:t>
      </w:r>
      <w:r>
        <w:rPr>
          <w:sz w:val="18"/>
          <w:szCs w:val="18"/>
        </w:rPr>
        <w:t>nt mentionnées sur le </w:t>
      </w:r>
      <w:r w:rsidRPr="008E126F">
        <w:rPr>
          <w:sz w:val="18"/>
          <w:szCs w:val="18"/>
        </w:rPr>
        <w:t xml:space="preserve">site </w:t>
      </w:r>
      <w:r>
        <w:rPr>
          <w:sz w:val="18"/>
          <w:szCs w:val="18"/>
        </w:rPr>
        <w:t xml:space="preserve">Web </w:t>
      </w:r>
      <w:r w:rsidRPr="008E126F">
        <w:rPr>
          <w:sz w:val="18"/>
          <w:szCs w:val="18"/>
        </w:rPr>
        <w:t>de</w:t>
      </w:r>
      <w:r>
        <w:rPr>
          <w:sz w:val="18"/>
          <w:szCs w:val="18"/>
        </w:rPr>
        <w:t xml:space="preserve"> la </w:t>
      </w:r>
      <w:r w:rsidRPr="008E126F">
        <w:rPr>
          <w:sz w:val="18"/>
          <w:szCs w:val="18"/>
        </w:rPr>
        <w:t>Plateforme comme collaborateurs soutenant</w:t>
      </w:r>
      <w:r>
        <w:rPr>
          <w:sz w:val="18"/>
          <w:szCs w:val="18"/>
        </w:rPr>
        <w:t xml:space="preserve"> les </w:t>
      </w:r>
      <w:r w:rsidRPr="008E126F">
        <w:rPr>
          <w:sz w:val="18"/>
          <w:szCs w:val="18"/>
        </w:rPr>
        <w:t>initiatives de</w:t>
      </w:r>
      <w:r>
        <w:rPr>
          <w:sz w:val="18"/>
          <w:szCs w:val="18"/>
        </w:rPr>
        <w:t xml:space="preserve"> la </w:t>
      </w:r>
      <w:r w:rsidRPr="008E126F">
        <w:rPr>
          <w:sz w:val="18"/>
          <w:szCs w:val="18"/>
        </w:rPr>
        <w:t>Plateforme</w:t>
      </w:r>
      <w:r>
        <w:rPr>
          <w:sz w:val="18"/>
          <w:szCs w:val="18"/>
        </w:rPr>
        <w:t> ; le </w:t>
      </w:r>
      <w:r w:rsidRPr="008E126F">
        <w:rPr>
          <w:sz w:val="18"/>
          <w:szCs w:val="18"/>
        </w:rPr>
        <w:t>Bureau revoit cette liste à intervalles réguliers, avec</w:t>
      </w:r>
      <w:r>
        <w:rPr>
          <w:sz w:val="18"/>
          <w:szCs w:val="18"/>
        </w:rPr>
        <w:t xml:space="preserve"> le </w:t>
      </w:r>
      <w:r w:rsidRPr="008E126F">
        <w:rPr>
          <w:sz w:val="18"/>
          <w:szCs w:val="18"/>
        </w:rPr>
        <w:t>concours</w:t>
      </w:r>
      <w:r>
        <w:rPr>
          <w:sz w:val="18"/>
          <w:szCs w:val="18"/>
        </w:rPr>
        <w:t xml:space="preserve"> des </w:t>
      </w:r>
      <w:r w:rsidRPr="008E126F">
        <w:rPr>
          <w:sz w:val="18"/>
          <w:szCs w:val="18"/>
        </w:rPr>
        <w:t xml:space="preserve">équipes spéciales </w:t>
      </w:r>
      <w:r>
        <w:rPr>
          <w:sz w:val="18"/>
          <w:szCs w:val="18"/>
        </w:rPr>
        <w:t>concernées</w:t>
      </w:r>
      <w:r w:rsidRPr="008E126F">
        <w:rPr>
          <w:sz w:val="18"/>
          <w:szCs w:val="18"/>
        </w:rPr>
        <w:t xml:space="preserve">. </w:t>
      </w:r>
    </w:p>
  </w:footnote>
  <w:footnote w:id="32">
    <w:p w14:paraId="5F241F69" w14:textId="2A31C13B" w:rsidR="00D026C5" w:rsidRPr="008E126F" w:rsidRDefault="00D026C5" w:rsidP="00A53F09">
      <w:pPr>
        <w:pStyle w:val="FootnoteText"/>
        <w:tabs>
          <w:tab w:val="left" w:pos="624"/>
        </w:tabs>
        <w:rPr>
          <w:szCs w:val="18"/>
        </w:rPr>
      </w:pPr>
      <w:r w:rsidRPr="008E126F">
        <w:rPr>
          <w:rStyle w:val="FootnoteReference"/>
          <w:rFonts w:eastAsia="MS Mincho"/>
        </w:rPr>
        <w:footnoteRef/>
      </w:r>
      <w:r w:rsidRPr="008E126F">
        <w:rPr>
          <w:szCs w:val="18"/>
        </w:rPr>
        <w:t xml:space="preserve"> Présenté dans l</w:t>
      </w:r>
      <w:r>
        <w:rPr>
          <w:szCs w:val="18"/>
        </w:rPr>
        <w:t>’</w:t>
      </w:r>
      <w:r w:rsidRPr="008E126F">
        <w:rPr>
          <w:szCs w:val="18"/>
        </w:rPr>
        <w:t xml:space="preserve">annexe I </w:t>
      </w:r>
      <w:r>
        <w:rPr>
          <w:szCs w:val="18"/>
        </w:rPr>
        <w:t>de la </w:t>
      </w:r>
      <w:r w:rsidRPr="008E126F">
        <w:rPr>
          <w:kern w:val="14"/>
          <w:szCs w:val="18"/>
          <w:lang w:eastAsia="ja-JP"/>
        </w:rPr>
        <w:t>décision IPBES-5/1.</w:t>
      </w:r>
    </w:p>
  </w:footnote>
  <w:footnote w:id="33">
    <w:p w14:paraId="07D5F802" w14:textId="05EEA38E" w:rsidR="00D026C5" w:rsidRPr="00B971A1" w:rsidRDefault="00D026C5" w:rsidP="00A53F09">
      <w:pPr>
        <w:pStyle w:val="FootnoteText"/>
        <w:tabs>
          <w:tab w:val="left" w:pos="624"/>
        </w:tabs>
        <w:rPr>
          <w:szCs w:val="18"/>
        </w:rPr>
      </w:pPr>
      <w:r w:rsidRPr="00582A6F">
        <w:rPr>
          <w:rStyle w:val="FootnoteReference"/>
          <w:rFonts w:eastAsia="MS Mincho"/>
        </w:rPr>
        <w:footnoteRef/>
      </w:r>
      <w:r w:rsidRPr="00B971A1">
        <w:rPr>
          <w:szCs w:val="18"/>
        </w:rPr>
        <w:t xml:space="preserve"> Énoncé</w:t>
      </w:r>
      <w:r>
        <w:rPr>
          <w:szCs w:val="18"/>
        </w:rPr>
        <w:t>es</w:t>
      </w:r>
      <w:r w:rsidRPr="00B971A1">
        <w:rPr>
          <w:szCs w:val="18"/>
        </w:rPr>
        <w:t xml:space="preserve"> dans l</w:t>
      </w:r>
      <w:r>
        <w:rPr>
          <w:szCs w:val="18"/>
        </w:rPr>
        <w:t>’</w:t>
      </w:r>
      <w:r w:rsidRPr="00B971A1">
        <w:rPr>
          <w:szCs w:val="18"/>
        </w:rPr>
        <w:t>annexe</w:t>
      </w:r>
      <w:r>
        <w:rPr>
          <w:szCs w:val="18"/>
        </w:rPr>
        <w:t> I de la décision IPBES-3/3, sect. </w:t>
      </w:r>
      <w:r w:rsidRPr="00B971A1">
        <w:rPr>
          <w:szCs w:val="18"/>
        </w:rPr>
        <w:t xml:space="preserve">7. </w:t>
      </w:r>
    </w:p>
  </w:footnote>
  <w:footnote w:id="34">
    <w:p w14:paraId="369817AE" w14:textId="77777777" w:rsidR="00D026C5" w:rsidRPr="00B971A1" w:rsidRDefault="00D026C5" w:rsidP="00A53F09">
      <w:pPr>
        <w:pStyle w:val="FootnoteText"/>
        <w:tabs>
          <w:tab w:val="left" w:pos="624"/>
        </w:tabs>
        <w:rPr>
          <w:szCs w:val="18"/>
        </w:rPr>
      </w:pPr>
      <w:r w:rsidRPr="00582A6F">
        <w:rPr>
          <w:rStyle w:val="FootnoteReference"/>
          <w:rFonts w:eastAsia="MS Mincho"/>
          <w:lang w:val="en-GB"/>
        </w:rPr>
        <w:footnoteRef/>
      </w:r>
      <w:r>
        <w:rPr>
          <w:szCs w:val="18"/>
        </w:rPr>
        <w:t xml:space="preserve"> Décision </w:t>
      </w:r>
      <w:r w:rsidRPr="00B971A1">
        <w:rPr>
          <w:szCs w:val="18"/>
        </w:rPr>
        <w:t>IPBES-5/1, annex</w:t>
      </w:r>
      <w:r>
        <w:rPr>
          <w:szCs w:val="18"/>
        </w:rPr>
        <w:t>e </w:t>
      </w:r>
      <w:r w:rsidRPr="00B971A1">
        <w:rPr>
          <w:szCs w:val="18"/>
        </w:rPr>
        <w:t xml:space="preserve">II. </w:t>
      </w:r>
    </w:p>
  </w:footnote>
  <w:footnote w:id="35">
    <w:p w14:paraId="03D13579" w14:textId="77777777" w:rsidR="00D026C5" w:rsidRPr="00B971A1" w:rsidRDefault="00D026C5" w:rsidP="00A53F09">
      <w:pPr>
        <w:pStyle w:val="FootnoteText"/>
        <w:tabs>
          <w:tab w:val="left" w:pos="624"/>
        </w:tabs>
        <w:rPr>
          <w:szCs w:val="18"/>
        </w:rPr>
      </w:pPr>
      <w:r w:rsidRPr="00582A6F">
        <w:rPr>
          <w:rStyle w:val="FootnoteReference"/>
          <w:lang w:val="en-GB"/>
        </w:rPr>
        <w:footnoteRef/>
      </w:r>
      <w:r>
        <w:rPr>
          <w:szCs w:val="18"/>
        </w:rPr>
        <w:t xml:space="preserve"> Décision </w:t>
      </w:r>
      <w:r w:rsidRPr="00B971A1">
        <w:rPr>
          <w:szCs w:val="18"/>
        </w:rPr>
        <w:t>IPBES-4/1, annex</w:t>
      </w:r>
      <w:r>
        <w:rPr>
          <w:szCs w:val="18"/>
        </w:rPr>
        <w:t>e </w:t>
      </w:r>
      <w:r w:rsidRPr="00B971A1">
        <w:rPr>
          <w:szCs w:val="18"/>
        </w:rPr>
        <w:t>V.</w:t>
      </w:r>
    </w:p>
  </w:footnote>
  <w:footnote w:id="36">
    <w:p w14:paraId="2DDB1676" w14:textId="77777777" w:rsidR="00D026C5" w:rsidRPr="00C44568" w:rsidRDefault="00D026C5" w:rsidP="00274D0F">
      <w:pPr>
        <w:pStyle w:val="FootnoteText"/>
      </w:pPr>
      <w:r w:rsidRPr="00507425">
        <w:rPr>
          <w:rStyle w:val="FootnoteReference"/>
          <w:sz w:val="18"/>
        </w:rPr>
        <w:footnoteRef/>
      </w:r>
      <w:r w:rsidRPr="00C44568">
        <w:t xml:space="preserve"> </w:t>
      </w:r>
      <w:r w:rsidRPr="00C44568">
        <w:rPr>
          <w:szCs w:val="18"/>
          <w:lang w:val="de-DE"/>
        </w:rPr>
        <w:t>IPBES/</w:t>
      </w:r>
      <w:r>
        <w:rPr>
          <w:szCs w:val="18"/>
          <w:lang w:val="de-DE"/>
        </w:rPr>
        <w:t>7</w:t>
      </w:r>
      <w:r w:rsidRPr="00C44568">
        <w:rPr>
          <w:szCs w:val="18"/>
          <w:lang w:val="de-DE"/>
        </w:rPr>
        <w:t>/2.</w:t>
      </w:r>
    </w:p>
  </w:footnote>
  <w:footnote w:id="37">
    <w:p w14:paraId="48F9759F" w14:textId="77777777" w:rsidR="00D026C5" w:rsidRPr="00FB46EE" w:rsidRDefault="00D026C5" w:rsidP="00274D0F">
      <w:pPr>
        <w:pStyle w:val="FootnoteText"/>
        <w:tabs>
          <w:tab w:val="left" w:pos="624"/>
        </w:tabs>
        <w:rPr>
          <w:szCs w:val="18"/>
        </w:rPr>
      </w:pPr>
      <w:r w:rsidRPr="00EF349F">
        <w:rPr>
          <w:rStyle w:val="FootnoteReference"/>
          <w:sz w:val="18"/>
          <w:lang w:val="en-GB"/>
        </w:rPr>
        <w:footnoteRef/>
      </w:r>
      <w:r w:rsidRPr="00FB46EE">
        <w:rPr>
          <w:szCs w:val="18"/>
        </w:rPr>
        <w:t xml:space="preserve"> IPBES/6/INF/32.</w:t>
      </w:r>
    </w:p>
  </w:footnote>
  <w:footnote w:id="38">
    <w:p w14:paraId="25223CEA" w14:textId="77777777" w:rsidR="00D026C5" w:rsidRPr="00FB46EE" w:rsidRDefault="00D026C5" w:rsidP="00274D0F">
      <w:pPr>
        <w:pStyle w:val="FootnoteText"/>
        <w:tabs>
          <w:tab w:val="left" w:pos="624"/>
        </w:tabs>
        <w:rPr>
          <w:szCs w:val="18"/>
        </w:rPr>
      </w:pPr>
      <w:r w:rsidRPr="00EF349F">
        <w:rPr>
          <w:rStyle w:val="FootnoteReference"/>
          <w:sz w:val="18"/>
          <w:lang w:val="en-GB"/>
        </w:rPr>
        <w:footnoteRef/>
      </w:r>
      <w:r w:rsidRPr="00FB46EE">
        <w:rPr>
          <w:szCs w:val="18"/>
        </w:rPr>
        <w:t xml:space="preserve"> IPBES/7/INF/17.</w:t>
      </w:r>
    </w:p>
  </w:footnote>
  <w:footnote w:id="39">
    <w:p w14:paraId="2D87A2EB" w14:textId="77777777" w:rsidR="00D026C5" w:rsidRPr="00FB46EE" w:rsidRDefault="00D026C5" w:rsidP="00274D0F">
      <w:pPr>
        <w:pStyle w:val="FootnoteText"/>
        <w:tabs>
          <w:tab w:val="left" w:pos="624"/>
        </w:tabs>
        <w:rPr>
          <w:szCs w:val="18"/>
        </w:rPr>
      </w:pPr>
      <w:r w:rsidRPr="00EF349F">
        <w:rPr>
          <w:rStyle w:val="FootnoteReference"/>
          <w:sz w:val="18"/>
          <w:lang w:val="en-GB"/>
        </w:rPr>
        <w:footnoteRef/>
      </w:r>
      <w:r w:rsidRPr="00FB46EE">
        <w:rPr>
          <w:szCs w:val="18"/>
        </w:rPr>
        <w:t xml:space="preserve"> IPBES/7/INF/18.</w:t>
      </w:r>
    </w:p>
  </w:footnote>
  <w:footnote w:id="40">
    <w:p w14:paraId="4781D6E8" w14:textId="77777777" w:rsidR="00D026C5" w:rsidRPr="00FB46EE" w:rsidRDefault="00D026C5" w:rsidP="00274D0F">
      <w:pPr>
        <w:pStyle w:val="FootnoteText"/>
        <w:tabs>
          <w:tab w:val="left" w:pos="624"/>
        </w:tabs>
        <w:rPr>
          <w:szCs w:val="18"/>
        </w:rPr>
      </w:pPr>
      <w:r w:rsidRPr="00EF349F">
        <w:rPr>
          <w:rStyle w:val="FootnoteReference"/>
          <w:sz w:val="18"/>
          <w:lang w:val="en-GB"/>
        </w:rPr>
        <w:footnoteRef/>
      </w:r>
      <w:r w:rsidRPr="00FB46EE">
        <w:rPr>
          <w:szCs w:val="18"/>
        </w:rPr>
        <w:t xml:space="preserve"> IPBES/7/INF/19.</w:t>
      </w:r>
    </w:p>
  </w:footnote>
  <w:footnote w:id="41">
    <w:p w14:paraId="5B1E4B56" w14:textId="77777777" w:rsidR="00D026C5" w:rsidRPr="00FB46EE" w:rsidRDefault="00D026C5" w:rsidP="00274D0F">
      <w:pPr>
        <w:pStyle w:val="FootnoteText"/>
        <w:tabs>
          <w:tab w:val="left" w:pos="624"/>
        </w:tabs>
        <w:rPr>
          <w:szCs w:val="18"/>
        </w:rPr>
      </w:pPr>
      <w:r w:rsidRPr="00EF349F">
        <w:rPr>
          <w:rStyle w:val="FootnoteReference"/>
          <w:sz w:val="18"/>
          <w:lang w:val="en-GB"/>
        </w:rPr>
        <w:footnoteRef/>
      </w:r>
      <w:r w:rsidRPr="00FB46EE">
        <w:rPr>
          <w:szCs w:val="18"/>
        </w:rPr>
        <w:t xml:space="preserve"> IPBES/7/INF/20.</w:t>
      </w:r>
    </w:p>
  </w:footnote>
  <w:footnote w:id="42">
    <w:p w14:paraId="343CFFE7" w14:textId="77777777" w:rsidR="00D026C5" w:rsidRPr="00870DAA" w:rsidRDefault="00D026C5" w:rsidP="00274D0F">
      <w:pPr>
        <w:pStyle w:val="FootnoteText"/>
      </w:pPr>
      <w:r>
        <w:rPr>
          <w:rStyle w:val="FootnoteReference"/>
        </w:rPr>
        <w:t>7</w:t>
      </w:r>
      <w:r>
        <w:t xml:space="preserve"> Voir </w:t>
      </w:r>
      <w:r w:rsidRPr="00FB46EE">
        <w:rPr>
          <w:szCs w:val="18"/>
        </w:rPr>
        <w:t>IPBES/</w:t>
      </w:r>
      <w:r>
        <w:rPr>
          <w:szCs w:val="18"/>
        </w:rPr>
        <w:t>7/5.</w:t>
      </w:r>
    </w:p>
  </w:footnote>
  <w:footnote w:id="43">
    <w:p w14:paraId="161AA9D1" w14:textId="00EBB1BD" w:rsidR="00D026C5" w:rsidRPr="006E0890" w:rsidRDefault="00D026C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FE35E0">
        <w:rPr>
          <w:rStyle w:val="DeltaViewInsertion"/>
          <w:rFonts w:eastAsia="Calibri"/>
          <w:color w:val="auto"/>
          <w:szCs w:val="18"/>
          <w:u w:val="none"/>
        </w:rPr>
        <w:t>Tel que défini dans</w:t>
      </w:r>
      <w:r>
        <w:rPr>
          <w:rStyle w:val="DeltaViewInsertion"/>
          <w:rFonts w:eastAsia="Calibri"/>
          <w:color w:val="auto"/>
          <w:szCs w:val="18"/>
          <w:u w:val="none"/>
        </w:rPr>
        <w:t xml:space="preserve"> la </w:t>
      </w:r>
      <w:r w:rsidRPr="00FE35E0">
        <w:rPr>
          <w:rStyle w:val="DeltaViewInsertion"/>
          <w:rFonts w:eastAsia="Calibri"/>
          <w:color w:val="auto"/>
          <w:szCs w:val="18"/>
          <w:u w:val="none"/>
        </w:rPr>
        <w:t>décision 3/3.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6ED76" w14:textId="51BF3199" w:rsidR="00D026C5" w:rsidRPr="000958F5" w:rsidRDefault="00D026C5" w:rsidP="007E024D">
    <w:pPr>
      <w:pStyle w:val="Header-pool"/>
    </w:pPr>
    <w:r w:rsidRPr="000958F5">
      <w:rPr>
        <w:noProof/>
      </w:rPr>
      <w:t>I</w:t>
    </w:r>
    <w:r>
      <w:rPr>
        <w:noProof/>
      </w:rPr>
      <w:t>PBES/7/10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0D49" w14:textId="1170CF4E" w:rsidR="00D026C5" w:rsidRPr="00F903E0" w:rsidRDefault="00D026C5" w:rsidP="005C2FB4">
    <w:pPr>
      <w:pStyle w:val="Header-pool"/>
      <w:jc w:val="right"/>
    </w:pPr>
    <w:r w:rsidRPr="000958F5">
      <w:rPr>
        <w:noProof/>
      </w:rPr>
      <w:t>I</w:t>
    </w:r>
    <w:r>
      <w:rPr>
        <w:noProof/>
      </w:rPr>
      <w:t>PBES/7/10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7CC0" w14:textId="274DD6B1" w:rsidR="00D026C5" w:rsidRPr="003A7DBF" w:rsidRDefault="00D026C5" w:rsidP="008A69D1">
    <w:pPr>
      <w:pStyle w:val="Header"/>
      <w:tabs>
        <w:tab w:val="left" w:pos="13490"/>
        <w:tab w:val="right" w:pos="14430"/>
      </w:tabs>
      <w:jc w:val="right"/>
      <w:rPr>
        <w:b w:val="0"/>
        <w:szCs w:val="18"/>
      </w:rPr>
    </w:pPr>
    <w:r w:rsidRPr="00BD399A">
      <w:rPr>
        <w:szCs w:val="18"/>
      </w:rPr>
      <w:t>IPBES</w:t>
    </w:r>
    <w:r w:rsidRPr="00487D02">
      <w:rPr>
        <w:szCs w:val="18"/>
      </w:rPr>
      <w:t>/7/10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7299" w14:textId="19FAA758" w:rsidR="00D026C5" w:rsidRPr="00736A98" w:rsidRDefault="00D026C5" w:rsidP="006C0085">
    <w:pPr>
      <w:pStyle w:val="Header-pool"/>
      <w:jc w:val="right"/>
    </w:pPr>
    <w:r w:rsidRPr="000958F5">
      <w:rPr>
        <w:noProof/>
      </w:rPr>
      <w:t>I</w:t>
    </w:r>
    <w:r>
      <w:rPr>
        <w:noProof/>
      </w:rPr>
      <w:t>PBES/7/10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6EA6" w14:textId="6CF18D19" w:rsidR="00D026C5" w:rsidRPr="00953349" w:rsidRDefault="00D026C5" w:rsidP="005C2FB4">
    <w:pPr>
      <w:pStyle w:val="Header-pool"/>
    </w:pPr>
    <w:r w:rsidRPr="000958F5">
      <w:rPr>
        <w:noProof/>
      </w:rPr>
      <w:t>I</w:t>
    </w:r>
    <w:r>
      <w:rPr>
        <w:noProof/>
      </w:rPr>
      <w:t>PBES/7/6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88641" w14:textId="1C9F7E25" w:rsidR="00D026C5" w:rsidRPr="00B01BC9" w:rsidRDefault="00D026C5" w:rsidP="00471052">
    <w:pPr>
      <w:pStyle w:val="Header-pool"/>
    </w:pPr>
    <w:r w:rsidRPr="00BD399A">
      <w:t>IPBES</w:t>
    </w:r>
    <w:r w:rsidRPr="00487D02">
      <w:t>/7/10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D583" w14:textId="002B6A73" w:rsidR="00D026C5" w:rsidRPr="003A7DBF" w:rsidRDefault="00D026C5" w:rsidP="00B01BC9">
    <w:pPr>
      <w:pStyle w:val="Header"/>
      <w:tabs>
        <w:tab w:val="left" w:pos="13490"/>
        <w:tab w:val="right" w:pos="14430"/>
      </w:tabs>
      <w:jc w:val="right"/>
      <w:rPr>
        <w:b w:val="0"/>
        <w:szCs w:val="18"/>
      </w:rPr>
    </w:pPr>
    <w:r w:rsidRPr="00BD399A">
      <w:rPr>
        <w:szCs w:val="18"/>
      </w:rPr>
      <w:t>IPBES</w:t>
    </w:r>
    <w:r w:rsidRPr="00487D02">
      <w:rPr>
        <w:szCs w:val="18"/>
      </w:rPr>
      <w:t>/7/10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0545" w14:textId="7BFA2A4F" w:rsidR="00D026C5" w:rsidRPr="008D2C44" w:rsidRDefault="00D026C5" w:rsidP="00471052">
    <w:pPr>
      <w:pStyle w:val="Header-pool"/>
      <w:jc w:val="right"/>
    </w:pPr>
    <w:r w:rsidRPr="00B25DF3">
      <w:t>IPBES/7/10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03B1" w14:textId="616FA97D" w:rsidR="00D026C5" w:rsidRPr="00F903E0" w:rsidRDefault="00D026C5" w:rsidP="00B12C03">
    <w:pPr>
      <w:pStyle w:val="Header"/>
      <w:tabs>
        <w:tab w:val="left" w:pos="13490"/>
        <w:tab w:val="right" w:pos="14430"/>
      </w:tabs>
      <w:jc w:val="right"/>
      <w:rPr>
        <w:b w:val="0"/>
        <w:szCs w:val="18"/>
      </w:rPr>
    </w:pPr>
    <w:r w:rsidRPr="00B01BC9">
      <w:rPr>
        <w:noProof/>
        <w:szCs w:val="18"/>
      </w:rPr>
      <w:t>IPBES/7/10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FB82F" w14:textId="2EDE983E" w:rsidR="00D026C5" w:rsidRPr="00A63601" w:rsidRDefault="00D026C5" w:rsidP="007E024D">
    <w:pPr>
      <w:pStyle w:val="Header-pool"/>
      <w:jc w:val="right"/>
    </w:pPr>
    <w:r w:rsidRPr="00A63601">
      <w:t>IPBES/</w:t>
    </w:r>
    <w:r>
      <w:t>7/10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A31C3" w14:textId="06A527FF" w:rsidR="00D026C5" w:rsidRPr="00543F5D" w:rsidRDefault="00D026C5" w:rsidP="00543F5D">
    <w:pPr>
      <w:pStyle w:val="Header"/>
      <w:rPr>
        <w:b w:val="0"/>
        <w:szCs w:val="18"/>
      </w:rPr>
    </w:pPr>
    <w:r w:rsidRPr="00A63601">
      <w:rPr>
        <w:szCs w:val="18"/>
      </w:rPr>
      <w:t>IPBES/</w:t>
    </w:r>
    <w:r>
      <w:rPr>
        <w:szCs w:val="18"/>
      </w:rPr>
      <w:t>7/10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E5752" w14:textId="3ACE1298" w:rsidR="00D026C5" w:rsidRPr="00543F5D" w:rsidRDefault="00D026C5" w:rsidP="00543F5D">
    <w:pPr>
      <w:pStyle w:val="Header"/>
      <w:jc w:val="right"/>
      <w:rPr>
        <w:b w:val="0"/>
        <w:szCs w:val="18"/>
      </w:rPr>
    </w:pPr>
    <w:r w:rsidRPr="00A63601">
      <w:rPr>
        <w:szCs w:val="18"/>
      </w:rPr>
      <w:t>IPBES/</w:t>
    </w:r>
    <w:r>
      <w:rPr>
        <w:szCs w:val="18"/>
      </w:rPr>
      <w:t>7/10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E57A8" w14:textId="0ED6F940" w:rsidR="00D026C5" w:rsidRPr="00543F5D" w:rsidRDefault="00D026C5" w:rsidP="00543F5D">
    <w:pPr>
      <w:pStyle w:val="Header"/>
      <w:rPr>
        <w:b w:val="0"/>
        <w:szCs w:val="18"/>
      </w:rPr>
    </w:pPr>
    <w:r w:rsidRPr="00A63601">
      <w:rPr>
        <w:szCs w:val="18"/>
      </w:rPr>
      <w:t>IPBES/</w:t>
    </w:r>
    <w:r>
      <w:rPr>
        <w:szCs w:val="18"/>
      </w:rPr>
      <w:t>7/10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BA89" w14:textId="597D325D" w:rsidR="00D026C5" w:rsidRDefault="00D026C5" w:rsidP="00FB6397">
    <w:pPr>
      <w:pStyle w:val="Header"/>
      <w:tabs>
        <w:tab w:val="clear" w:pos="4536"/>
        <w:tab w:val="clear" w:pos="9072"/>
        <w:tab w:val="left" w:pos="624"/>
      </w:tabs>
    </w:pPr>
    <w:r>
      <w:rPr>
        <w:szCs w:val="18"/>
      </w:rPr>
      <w:t>IPBES/7/10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4134D" w14:textId="6E3C63AA" w:rsidR="00D026C5" w:rsidRDefault="00D026C5" w:rsidP="00FB6397">
    <w:pPr>
      <w:pStyle w:val="Header"/>
      <w:tabs>
        <w:tab w:val="clear" w:pos="4536"/>
        <w:tab w:val="clear" w:pos="9072"/>
        <w:tab w:val="left" w:pos="624"/>
      </w:tabs>
      <w:jc w:val="right"/>
    </w:pPr>
    <w:r>
      <w:rPr>
        <w:szCs w:val="18"/>
      </w:rPr>
      <w:t>IPBES/7/10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DF999" w14:textId="51B3384B" w:rsidR="00D026C5" w:rsidRPr="00B612D4" w:rsidRDefault="00D026C5" w:rsidP="00B612D4">
    <w:pPr>
      <w:pStyle w:val="Header"/>
      <w:jc w:val="right"/>
      <w:rPr>
        <w:b w:val="0"/>
        <w:szCs w:val="18"/>
      </w:rPr>
    </w:pPr>
    <w:r w:rsidRPr="000958F5">
      <w:rPr>
        <w:noProof/>
        <w:szCs w:val="18"/>
      </w:rPr>
      <w:t>I</w:t>
    </w:r>
    <w:r>
      <w:rPr>
        <w:noProof/>
        <w:szCs w:val="18"/>
      </w:rPr>
      <w:t>PBES/7/10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607D" w14:textId="70320137" w:rsidR="00D026C5" w:rsidRPr="003A7DBF" w:rsidRDefault="00D026C5" w:rsidP="006C0085">
    <w:pPr>
      <w:pStyle w:val="Header-pool"/>
    </w:pPr>
    <w:r w:rsidRPr="00BD399A">
      <w:t>IPBES</w:t>
    </w:r>
    <w:r w:rsidRPr="00487D02">
      <w:t>/7/10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1E8650E4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2" w15:restartNumberingAfterBreak="0">
    <w:nsid w:val="27FA56B8"/>
    <w:multiLevelType w:val="multilevel"/>
    <w:tmpl w:val="CE4EFDC2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ascii="Times New Roman" w:eastAsia="SimSu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2948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" w15:restartNumberingAfterBreak="0">
    <w:nsid w:val="34001A0B"/>
    <w:multiLevelType w:val="multilevel"/>
    <w:tmpl w:val="A9941D86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" w15:restartNumberingAfterBreak="0">
    <w:nsid w:val="35571603"/>
    <w:multiLevelType w:val="singleLevel"/>
    <w:tmpl w:val="C9CACEF8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7A4D00"/>
    <w:multiLevelType w:val="hybridMultilevel"/>
    <w:tmpl w:val="9A182392"/>
    <w:lvl w:ilvl="0" w:tplc="9F54CCB4">
      <w:start w:val="2"/>
      <w:numFmt w:val="upperRoman"/>
      <w:pStyle w:val="AnnexHeading1"/>
      <w:lvlText w:val="%1."/>
      <w:lvlJc w:val="right"/>
      <w:pPr>
        <w:ind w:left="27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62291BF8"/>
    <w:multiLevelType w:val="multilevel"/>
    <w:tmpl w:val="F4ACF36E"/>
    <w:numStyleLink w:val="Normallist"/>
  </w:abstractNum>
  <w:abstractNum w:abstractNumId="8" w15:restartNumberingAfterBreak="0">
    <w:nsid w:val="664C2BE7"/>
    <w:multiLevelType w:val="multilevel"/>
    <w:tmpl w:val="D5723098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6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i w:val="0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CA" w:vendorID="64" w:dllVersion="0" w:nlCheck="1" w:checkStyle="0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9"/>
    <w:rsid w:val="00002270"/>
    <w:rsid w:val="00006938"/>
    <w:rsid w:val="00006A3D"/>
    <w:rsid w:val="00013B17"/>
    <w:rsid w:val="000149E6"/>
    <w:rsid w:val="00022B44"/>
    <w:rsid w:val="000247B0"/>
    <w:rsid w:val="00024951"/>
    <w:rsid w:val="00026997"/>
    <w:rsid w:val="00030240"/>
    <w:rsid w:val="00032F1F"/>
    <w:rsid w:val="00033E0B"/>
    <w:rsid w:val="00035EDE"/>
    <w:rsid w:val="00042BE9"/>
    <w:rsid w:val="00042E69"/>
    <w:rsid w:val="00044BE7"/>
    <w:rsid w:val="00047AAD"/>
    <w:rsid w:val="000509B4"/>
    <w:rsid w:val="00050A66"/>
    <w:rsid w:val="00050C08"/>
    <w:rsid w:val="00051CE9"/>
    <w:rsid w:val="00052F2F"/>
    <w:rsid w:val="00055CF4"/>
    <w:rsid w:val="0006035B"/>
    <w:rsid w:val="00061769"/>
    <w:rsid w:val="000618B2"/>
    <w:rsid w:val="00062EBF"/>
    <w:rsid w:val="00065148"/>
    <w:rsid w:val="00066760"/>
    <w:rsid w:val="00071886"/>
    <w:rsid w:val="00072235"/>
    <w:rsid w:val="000727AE"/>
    <w:rsid w:val="00072B67"/>
    <w:rsid w:val="00073CE8"/>
    <w:rsid w:val="000742BC"/>
    <w:rsid w:val="00075E1F"/>
    <w:rsid w:val="00077CA1"/>
    <w:rsid w:val="0008028E"/>
    <w:rsid w:val="000811A3"/>
    <w:rsid w:val="00082A0C"/>
    <w:rsid w:val="00083504"/>
    <w:rsid w:val="00092427"/>
    <w:rsid w:val="000936A3"/>
    <w:rsid w:val="000946FE"/>
    <w:rsid w:val="000953F8"/>
    <w:rsid w:val="0009640C"/>
    <w:rsid w:val="000A2383"/>
    <w:rsid w:val="000B15DB"/>
    <w:rsid w:val="000B22A2"/>
    <w:rsid w:val="000B342D"/>
    <w:rsid w:val="000B4414"/>
    <w:rsid w:val="000B4D84"/>
    <w:rsid w:val="000B668C"/>
    <w:rsid w:val="000C03D9"/>
    <w:rsid w:val="000C23E0"/>
    <w:rsid w:val="000C25F6"/>
    <w:rsid w:val="000C2A52"/>
    <w:rsid w:val="000C3F8B"/>
    <w:rsid w:val="000C5097"/>
    <w:rsid w:val="000C6BB6"/>
    <w:rsid w:val="000D0A93"/>
    <w:rsid w:val="000D275B"/>
    <w:rsid w:val="000D2992"/>
    <w:rsid w:val="000D33C0"/>
    <w:rsid w:val="000D3DFF"/>
    <w:rsid w:val="000D47BF"/>
    <w:rsid w:val="000D539E"/>
    <w:rsid w:val="000D6941"/>
    <w:rsid w:val="000D727B"/>
    <w:rsid w:val="000E09D0"/>
    <w:rsid w:val="000E6765"/>
    <w:rsid w:val="000E701A"/>
    <w:rsid w:val="000F01EB"/>
    <w:rsid w:val="000F3FDB"/>
    <w:rsid w:val="000F41E0"/>
    <w:rsid w:val="000F602B"/>
    <w:rsid w:val="000F7F9D"/>
    <w:rsid w:val="00104568"/>
    <w:rsid w:val="00104861"/>
    <w:rsid w:val="00106628"/>
    <w:rsid w:val="001076D1"/>
    <w:rsid w:val="001122E3"/>
    <w:rsid w:val="00112396"/>
    <w:rsid w:val="00113F5D"/>
    <w:rsid w:val="00115E46"/>
    <w:rsid w:val="0011669B"/>
    <w:rsid w:val="0011797B"/>
    <w:rsid w:val="001202E3"/>
    <w:rsid w:val="00120A86"/>
    <w:rsid w:val="00121BDC"/>
    <w:rsid w:val="00122965"/>
    <w:rsid w:val="00123174"/>
    <w:rsid w:val="00123699"/>
    <w:rsid w:val="0013059D"/>
    <w:rsid w:val="0013101E"/>
    <w:rsid w:val="00135994"/>
    <w:rsid w:val="0013744B"/>
    <w:rsid w:val="001375B7"/>
    <w:rsid w:val="001404D9"/>
    <w:rsid w:val="00140A7C"/>
    <w:rsid w:val="00141A55"/>
    <w:rsid w:val="00144213"/>
    <w:rsid w:val="001446A3"/>
    <w:rsid w:val="001518E1"/>
    <w:rsid w:val="00151BEF"/>
    <w:rsid w:val="00152765"/>
    <w:rsid w:val="00155395"/>
    <w:rsid w:val="0015599B"/>
    <w:rsid w:val="001609F3"/>
    <w:rsid w:val="00160D74"/>
    <w:rsid w:val="001615C1"/>
    <w:rsid w:val="00162AB9"/>
    <w:rsid w:val="001650A7"/>
    <w:rsid w:val="00165926"/>
    <w:rsid w:val="00167307"/>
    <w:rsid w:val="00167354"/>
    <w:rsid w:val="00167D02"/>
    <w:rsid w:val="00170A80"/>
    <w:rsid w:val="001721E5"/>
    <w:rsid w:val="00176887"/>
    <w:rsid w:val="00180038"/>
    <w:rsid w:val="00181EC8"/>
    <w:rsid w:val="00184349"/>
    <w:rsid w:val="00195F33"/>
    <w:rsid w:val="001979C2"/>
    <w:rsid w:val="001A0EBE"/>
    <w:rsid w:val="001A1536"/>
    <w:rsid w:val="001A1807"/>
    <w:rsid w:val="001A1A8B"/>
    <w:rsid w:val="001A5874"/>
    <w:rsid w:val="001B1617"/>
    <w:rsid w:val="001B281B"/>
    <w:rsid w:val="001B359B"/>
    <w:rsid w:val="001B3758"/>
    <w:rsid w:val="001B3A62"/>
    <w:rsid w:val="001B4746"/>
    <w:rsid w:val="001B504B"/>
    <w:rsid w:val="001C0606"/>
    <w:rsid w:val="001C151D"/>
    <w:rsid w:val="001C22C3"/>
    <w:rsid w:val="001C599C"/>
    <w:rsid w:val="001C721F"/>
    <w:rsid w:val="001D055B"/>
    <w:rsid w:val="001D3874"/>
    <w:rsid w:val="001D4CCC"/>
    <w:rsid w:val="001D529B"/>
    <w:rsid w:val="001D7E75"/>
    <w:rsid w:val="001E27A4"/>
    <w:rsid w:val="001E2BF5"/>
    <w:rsid w:val="001E56D2"/>
    <w:rsid w:val="001E65A0"/>
    <w:rsid w:val="001E7D56"/>
    <w:rsid w:val="001F0AD0"/>
    <w:rsid w:val="001F122A"/>
    <w:rsid w:val="001F12FF"/>
    <w:rsid w:val="001F1648"/>
    <w:rsid w:val="001F2C16"/>
    <w:rsid w:val="001F511B"/>
    <w:rsid w:val="001F6091"/>
    <w:rsid w:val="001F75DE"/>
    <w:rsid w:val="00200D58"/>
    <w:rsid w:val="00201172"/>
    <w:rsid w:val="002013BE"/>
    <w:rsid w:val="0020440E"/>
    <w:rsid w:val="00205438"/>
    <w:rsid w:val="002063A4"/>
    <w:rsid w:val="0020711A"/>
    <w:rsid w:val="0021145B"/>
    <w:rsid w:val="002131BB"/>
    <w:rsid w:val="00217FDC"/>
    <w:rsid w:val="00227163"/>
    <w:rsid w:val="00232F93"/>
    <w:rsid w:val="00234040"/>
    <w:rsid w:val="00234807"/>
    <w:rsid w:val="00234847"/>
    <w:rsid w:val="00234E35"/>
    <w:rsid w:val="0023689F"/>
    <w:rsid w:val="00242084"/>
    <w:rsid w:val="002423FC"/>
    <w:rsid w:val="00242C40"/>
    <w:rsid w:val="00243D36"/>
    <w:rsid w:val="00247707"/>
    <w:rsid w:val="002477DE"/>
    <w:rsid w:val="00247C3C"/>
    <w:rsid w:val="00250960"/>
    <w:rsid w:val="0025125E"/>
    <w:rsid w:val="00252F48"/>
    <w:rsid w:val="0025339C"/>
    <w:rsid w:val="002539D7"/>
    <w:rsid w:val="00253AAE"/>
    <w:rsid w:val="00255F96"/>
    <w:rsid w:val="00257E53"/>
    <w:rsid w:val="0026018E"/>
    <w:rsid w:val="00262BC2"/>
    <w:rsid w:val="00263DE4"/>
    <w:rsid w:val="00272D1D"/>
    <w:rsid w:val="00273F67"/>
    <w:rsid w:val="00274D0F"/>
    <w:rsid w:val="00275CF8"/>
    <w:rsid w:val="00281DE5"/>
    <w:rsid w:val="002820FD"/>
    <w:rsid w:val="00286740"/>
    <w:rsid w:val="00286A24"/>
    <w:rsid w:val="002874CC"/>
    <w:rsid w:val="00287A14"/>
    <w:rsid w:val="002921A5"/>
    <w:rsid w:val="002929D8"/>
    <w:rsid w:val="00294422"/>
    <w:rsid w:val="002A237D"/>
    <w:rsid w:val="002A2DC6"/>
    <w:rsid w:val="002A4042"/>
    <w:rsid w:val="002A4C53"/>
    <w:rsid w:val="002B01CE"/>
    <w:rsid w:val="002B0672"/>
    <w:rsid w:val="002B0D7E"/>
    <w:rsid w:val="002B247F"/>
    <w:rsid w:val="002B3851"/>
    <w:rsid w:val="002B474C"/>
    <w:rsid w:val="002B6140"/>
    <w:rsid w:val="002B6D00"/>
    <w:rsid w:val="002C145D"/>
    <w:rsid w:val="002C2C3E"/>
    <w:rsid w:val="002C4AB1"/>
    <w:rsid w:val="002C533E"/>
    <w:rsid w:val="002C6F33"/>
    <w:rsid w:val="002C7940"/>
    <w:rsid w:val="002D027F"/>
    <w:rsid w:val="002D11E5"/>
    <w:rsid w:val="002D1876"/>
    <w:rsid w:val="002D3369"/>
    <w:rsid w:val="002D74B5"/>
    <w:rsid w:val="002D74CD"/>
    <w:rsid w:val="002D7A85"/>
    <w:rsid w:val="002D7B60"/>
    <w:rsid w:val="002E15F3"/>
    <w:rsid w:val="002E481A"/>
    <w:rsid w:val="002E4D22"/>
    <w:rsid w:val="002E6F85"/>
    <w:rsid w:val="002E7674"/>
    <w:rsid w:val="002F4761"/>
    <w:rsid w:val="002F5A64"/>
    <w:rsid w:val="002F5C79"/>
    <w:rsid w:val="00301727"/>
    <w:rsid w:val="003019E2"/>
    <w:rsid w:val="00302159"/>
    <w:rsid w:val="00302A18"/>
    <w:rsid w:val="00302BB8"/>
    <w:rsid w:val="00306862"/>
    <w:rsid w:val="0030766A"/>
    <w:rsid w:val="00310EA1"/>
    <w:rsid w:val="00311D76"/>
    <w:rsid w:val="003123CC"/>
    <w:rsid w:val="003124FC"/>
    <w:rsid w:val="00312E99"/>
    <w:rsid w:val="00313231"/>
    <w:rsid w:val="0031413F"/>
    <w:rsid w:val="00314210"/>
    <w:rsid w:val="003148BB"/>
    <w:rsid w:val="00314AFD"/>
    <w:rsid w:val="00316B2C"/>
    <w:rsid w:val="00317976"/>
    <w:rsid w:val="003228B4"/>
    <w:rsid w:val="003231B8"/>
    <w:rsid w:val="0032477D"/>
    <w:rsid w:val="003250FD"/>
    <w:rsid w:val="003348E5"/>
    <w:rsid w:val="00334A9A"/>
    <w:rsid w:val="00336269"/>
    <w:rsid w:val="003456D6"/>
    <w:rsid w:val="00346331"/>
    <w:rsid w:val="00355EA9"/>
    <w:rsid w:val="003578DE"/>
    <w:rsid w:val="003605A1"/>
    <w:rsid w:val="0036139D"/>
    <w:rsid w:val="00362B46"/>
    <w:rsid w:val="00362CFB"/>
    <w:rsid w:val="0036379E"/>
    <w:rsid w:val="00365BAC"/>
    <w:rsid w:val="0036675E"/>
    <w:rsid w:val="003722C9"/>
    <w:rsid w:val="00372AA1"/>
    <w:rsid w:val="00377979"/>
    <w:rsid w:val="00380D8E"/>
    <w:rsid w:val="0038485D"/>
    <w:rsid w:val="003849C4"/>
    <w:rsid w:val="003858FD"/>
    <w:rsid w:val="00385B96"/>
    <w:rsid w:val="003872B9"/>
    <w:rsid w:val="00387D8C"/>
    <w:rsid w:val="00393028"/>
    <w:rsid w:val="003932FD"/>
    <w:rsid w:val="003938E6"/>
    <w:rsid w:val="00396257"/>
    <w:rsid w:val="00396929"/>
    <w:rsid w:val="00397EB8"/>
    <w:rsid w:val="003A1895"/>
    <w:rsid w:val="003A1D1F"/>
    <w:rsid w:val="003A47C6"/>
    <w:rsid w:val="003A4FD0"/>
    <w:rsid w:val="003A5FC6"/>
    <w:rsid w:val="003A69D1"/>
    <w:rsid w:val="003A7705"/>
    <w:rsid w:val="003A77F1"/>
    <w:rsid w:val="003A78D3"/>
    <w:rsid w:val="003A7DBF"/>
    <w:rsid w:val="003B1545"/>
    <w:rsid w:val="003B1763"/>
    <w:rsid w:val="003B6C78"/>
    <w:rsid w:val="003B7367"/>
    <w:rsid w:val="003C17B5"/>
    <w:rsid w:val="003C1BCF"/>
    <w:rsid w:val="003C409D"/>
    <w:rsid w:val="003C5972"/>
    <w:rsid w:val="003C5BA6"/>
    <w:rsid w:val="003C6ABD"/>
    <w:rsid w:val="003C77B2"/>
    <w:rsid w:val="003D0E2F"/>
    <w:rsid w:val="003D1B9A"/>
    <w:rsid w:val="003D36E8"/>
    <w:rsid w:val="003D5C96"/>
    <w:rsid w:val="003D608B"/>
    <w:rsid w:val="003E10DE"/>
    <w:rsid w:val="003E396F"/>
    <w:rsid w:val="003E5332"/>
    <w:rsid w:val="003E6334"/>
    <w:rsid w:val="003F0E85"/>
    <w:rsid w:val="003F3120"/>
    <w:rsid w:val="003F3739"/>
    <w:rsid w:val="003F392B"/>
    <w:rsid w:val="003F4001"/>
    <w:rsid w:val="003F6F3D"/>
    <w:rsid w:val="003F7C1A"/>
    <w:rsid w:val="003F7E1D"/>
    <w:rsid w:val="00400851"/>
    <w:rsid w:val="00410B25"/>
    <w:rsid w:val="00410C55"/>
    <w:rsid w:val="00416854"/>
    <w:rsid w:val="00417167"/>
    <w:rsid w:val="00417725"/>
    <w:rsid w:val="00421AE3"/>
    <w:rsid w:val="00422BC0"/>
    <w:rsid w:val="00425530"/>
    <w:rsid w:val="00425C24"/>
    <w:rsid w:val="0043074B"/>
    <w:rsid w:val="00431D69"/>
    <w:rsid w:val="00433434"/>
    <w:rsid w:val="00434A79"/>
    <w:rsid w:val="00436FDE"/>
    <w:rsid w:val="00437F26"/>
    <w:rsid w:val="00444097"/>
    <w:rsid w:val="00444CD5"/>
    <w:rsid w:val="00445487"/>
    <w:rsid w:val="0044657D"/>
    <w:rsid w:val="00446B22"/>
    <w:rsid w:val="0045156D"/>
    <w:rsid w:val="00451DB8"/>
    <w:rsid w:val="00453F79"/>
    <w:rsid w:val="00454769"/>
    <w:rsid w:val="0045762E"/>
    <w:rsid w:val="004641EB"/>
    <w:rsid w:val="00465040"/>
    <w:rsid w:val="00466991"/>
    <w:rsid w:val="004677D9"/>
    <w:rsid w:val="0047064C"/>
    <w:rsid w:val="00471052"/>
    <w:rsid w:val="00471270"/>
    <w:rsid w:val="004720F5"/>
    <w:rsid w:val="004722BD"/>
    <w:rsid w:val="00473C08"/>
    <w:rsid w:val="00477D8A"/>
    <w:rsid w:val="0048392E"/>
    <w:rsid w:val="004843BC"/>
    <w:rsid w:val="00486A09"/>
    <w:rsid w:val="004870F4"/>
    <w:rsid w:val="004871E0"/>
    <w:rsid w:val="00487D02"/>
    <w:rsid w:val="004909D5"/>
    <w:rsid w:val="004927D2"/>
    <w:rsid w:val="004A019F"/>
    <w:rsid w:val="004A1501"/>
    <w:rsid w:val="004A345B"/>
    <w:rsid w:val="004A38CB"/>
    <w:rsid w:val="004A3AB4"/>
    <w:rsid w:val="004A42E1"/>
    <w:rsid w:val="004B162C"/>
    <w:rsid w:val="004B4104"/>
    <w:rsid w:val="004B44B7"/>
    <w:rsid w:val="004C0022"/>
    <w:rsid w:val="004C101F"/>
    <w:rsid w:val="004C3576"/>
    <w:rsid w:val="004C3DBE"/>
    <w:rsid w:val="004C5C96"/>
    <w:rsid w:val="004C5D41"/>
    <w:rsid w:val="004D06A4"/>
    <w:rsid w:val="004D2068"/>
    <w:rsid w:val="004D290B"/>
    <w:rsid w:val="004D34F6"/>
    <w:rsid w:val="004E174B"/>
    <w:rsid w:val="004E330D"/>
    <w:rsid w:val="004E426D"/>
    <w:rsid w:val="004E4EC4"/>
    <w:rsid w:val="004E5C49"/>
    <w:rsid w:val="004E6D2E"/>
    <w:rsid w:val="004F050F"/>
    <w:rsid w:val="004F1A81"/>
    <w:rsid w:val="004F22E1"/>
    <w:rsid w:val="004F4FD1"/>
    <w:rsid w:val="004F51CB"/>
    <w:rsid w:val="004F6344"/>
    <w:rsid w:val="005005F2"/>
    <w:rsid w:val="00500C88"/>
    <w:rsid w:val="005048C0"/>
    <w:rsid w:val="0050515A"/>
    <w:rsid w:val="00505269"/>
    <w:rsid w:val="0051572B"/>
    <w:rsid w:val="005165E3"/>
    <w:rsid w:val="0051776B"/>
    <w:rsid w:val="00520B69"/>
    <w:rsid w:val="00521324"/>
    <w:rsid w:val="005218D9"/>
    <w:rsid w:val="005223D7"/>
    <w:rsid w:val="00524E90"/>
    <w:rsid w:val="0052571A"/>
    <w:rsid w:val="005265E8"/>
    <w:rsid w:val="0052669B"/>
    <w:rsid w:val="00527941"/>
    <w:rsid w:val="0053140D"/>
    <w:rsid w:val="00535206"/>
    <w:rsid w:val="0053554F"/>
    <w:rsid w:val="00536186"/>
    <w:rsid w:val="0053704B"/>
    <w:rsid w:val="005415F1"/>
    <w:rsid w:val="00543F5D"/>
    <w:rsid w:val="005449C1"/>
    <w:rsid w:val="00544CBB"/>
    <w:rsid w:val="00544EA6"/>
    <w:rsid w:val="00545729"/>
    <w:rsid w:val="0055099D"/>
    <w:rsid w:val="00554C47"/>
    <w:rsid w:val="00564720"/>
    <w:rsid w:val="00564767"/>
    <w:rsid w:val="0056582E"/>
    <w:rsid w:val="00570A60"/>
    <w:rsid w:val="0057315F"/>
    <w:rsid w:val="00576104"/>
    <w:rsid w:val="0058349F"/>
    <w:rsid w:val="00583F55"/>
    <w:rsid w:val="00584E59"/>
    <w:rsid w:val="00585B52"/>
    <w:rsid w:val="005861E5"/>
    <w:rsid w:val="00587AED"/>
    <w:rsid w:val="00587E2B"/>
    <w:rsid w:val="00592DE2"/>
    <w:rsid w:val="00593987"/>
    <w:rsid w:val="00594506"/>
    <w:rsid w:val="005A01EF"/>
    <w:rsid w:val="005A0C8B"/>
    <w:rsid w:val="005A1727"/>
    <w:rsid w:val="005A18F2"/>
    <w:rsid w:val="005A2156"/>
    <w:rsid w:val="005B025A"/>
    <w:rsid w:val="005B336E"/>
    <w:rsid w:val="005B734B"/>
    <w:rsid w:val="005C0C3C"/>
    <w:rsid w:val="005C2FB4"/>
    <w:rsid w:val="005C3702"/>
    <w:rsid w:val="005C67C8"/>
    <w:rsid w:val="005C6FAD"/>
    <w:rsid w:val="005C77FF"/>
    <w:rsid w:val="005D0249"/>
    <w:rsid w:val="005D1D1E"/>
    <w:rsid w:val="005D51AB"/>
    <w:rsid w:val="005D6E8C"/>
    <w:rsid w:val="005E1776"/>
    <w:rsid w:val="005E267D"/>
    <w:rsid w:val="005E3071"/>
    <w:rsid w:val="005E498B"/>
    <w:rsid w:val="005F06C5"/>
    <w:rsid w:val="005F100C"/>
    <w:rsid w:val="005F22E0"/>
    <w:rsid w:val="005F3147"/>
    <w:rsid w:val="005F31B8"/>
    <w:rsid w:val="005F46AD"/>
    <w:rsid w:val="005F547D"/>
    <w:rsid w:val="005F68DA"/>
    <w:rsid w:val="005F7739"/>
    <w:rsid w:val="006009E5"/>
    <w:rsid w:val="006010F0"/>
    <w:rsid w:val="0060773B"/>
    <w:rsid w:val="0061054E"/>
    <w:rsid w:val="00610C4F"/>
    <w:rsid w:val="00613F14"/>
    <w:rsid w:val="006157B5"/>
    <w:rsid w:val="00616F19"/>
    <w:rsid w:val="006208D3"/>
    <w:rsid w:val="00623204"/>
    <w:rsid w:val="00623B86"/>
    <w:rsid w:val="0062634E"/>
    <w:rsid w:val="00626FC6"/>
    <w:rsid w:val="00627436"/>
    <w:rsid w:val="006300CB"/>
    <w:rsid w:val="006303B4"/>
    <w:rsid w:val="00633D3D"/>
    <w:rsid w:val="006360CF"/>
    <w:rsid w:val="00637542"/>
    <w:rsid w:val="00641703"/>
    <w:rsid w:val="00641EE7"/>
    <w:rsid w:val="006431A6"/>
    <w:rsid w:val="006459F6"/>
    <w:rsid w:val="00645C32"/>
    <w:rsid w:val="0064737D"/>
    <w:rsid w:val="00647FC7"/>
    <w:rsid w:val="006501AD"/>
    <w:rsid w:val="006504E0"/>
    <w:rsid w:val="00650EBE"/>
    <w:rsid w:val="00650EF3"/>
    <w:rsid w:val="00651BFA"/>
    <w:rsid w:val="006534B9"/>
    <w:rsid w:val="00654475"/>
    <w:rsid w:val="00655CFE"/>
    <w:rsid w:val="00660658"/>
    <w:rsid w:val="00661A50"/>
    <w:rsid w:val="00662D9F"/>
    <w:rsid w:val="00665A4B"/>
    <w:rsid w:val="00672DC0"/>
    <w:rsid w:val="00674D0B"/>
    <w:rsid w:val="00676210"/>
    <w:rsid w:val="00682228"/>
    <w:rsid w:val="00682A64"/>
    <w:rsid w:val="00682C94"/>
    <w:rsid w:val="00684B06"/>
    <w:rsid w:val="00685B94"/>
    <w:rsid w:val="00691BF9"/>
    <w:rsid w:val="00691D8F"/>
    <w:rsid w:val="00692A38"/>
    <w:rsid w:val="00692E2A"/>
    <w:rsid w:val="00695908"/>
    <w:rsid w:val="00696CBD"/>
    <w:rsid w:val="00697884"/>
    <w:rsid w:val="006A103E"/>
    <w:rsid w:val="006A4C1E"/>
    <w:rsid w:val="006A7661"/>
    <w:rsid w:val="006A76F2"/>
    <w:rsid w:val="006A7BDF"/>
    <w:rsid w:val="006B0102"/>
    <w:rsid w:val="006B0D1A"/>
    <w:rsid w:val="006B0F43"/>
    <w:rsid w:val="006B131C"/>
    <w:rsid w:val="006B3013"/>
    <w:rsid w:val="006B33E5"/>
    <w:rsid w:val="006B7163"/>
    <w:rsid w:val="006C0085"/>
    <w:rsid w:val="006C10B1"/>
    <w:rsid w:val="006C3405"/>
    <w:rsid w:val="006C63F7"/>
    <w:rsid w:val="006C6CAC"/>
    <w:rsid w:val="006C7020"/>
    <w:rsid w:val="006D02B5"/>
    <w:rsid w:val="006D0F83"/>
    <w:rsid w:val="006D1A33"/>
    <w:rsid w:val="006D40B3"/>
    <w:rsid w:val="006D4D37"/>
    <w:rsid w:val="006D7EFB"/>
    <w:rsid w:val="006E0890"/>
    <w:rsid w:val="006E1AF7"/>
    <w:rsid w:val="006E23A5"/>
    <w:rsid w:val="006E3E64"/>
    <w:rsid w:val="006E5A4D"/>
    <w:rsid w:val="006E627F"/>
    <w:rsid w:val="006E6672"/>
    <w:rsid w:val="006E6722"/>
    <w:rsid w:val="006E6A4C"/>
    <w:rsid w:val="006F2232"/>
    <w:rsid w:val="006F5DDE"/>
    <w:rsid w:val="0070028D"/>
    <w:rsid w:val="007027B9"/>
    <w:rsid w:val="007031E0"/>
    <w:rsid w:val="007073B9"/>
    <w:rsid w:val="0071103D"/>
    <w:rsid w:val="00715E88"/>
    <w:rsid w:val="00721407"/>
    <w:rsid w:val="00721725"/>
    <w:rsid w:val="007218B0"/>
    <w:rsid w:val="007249A3"/>
    <w:rsid w:val="00725B04"/>
    <w:rsid w:val="00734CAA"/>
    <w:rsid w:val="00736A98"/>
    <w:rsid w:val="007407CD"/>
    <w:rsid w:val="00744400"/>
    <w:rsid w:val="007449C8"/>
    <w:rsid w:val="00746164"/>
    <w:rsid w:val="0074672B"/>
    <w:rsid w:val="00746834"/>
    <w:rsid w:val="00752A92"/>
    <w:rsid w:val="0075533C"/>
    <w:rsid w:val="00757581"/>
    <w:rsid w:val="00757ABE"/>
    <w:rsid w:val="007609B7"/>
    <w:rsid w:val="007611A0"/>
    <w:rsid w:val="00762F28"/>
    <w:rsid w:val="00764A22"/>
    <w:rsid w:val="00764B11"/>
    <w:rsid w:val="007673DE"/>
    <w:rsid w:val="007707D2"/>
    <w:rsid w:val="0077139A"/>
    <w:rsid w:val="0077408A"/>
    <w:rsid w:val="007750F0"/>
    <w:rsid w:val="007778F1"/>
    <w:rsid w:val="00777C93"/>
    <w:rsid w:val="007819A6"/>
    <w:rsid w:val="00781E08"/>
    <w:rsid w:val="00783659"/>
    <w:rsid w:val="00785536"/>
    <w:rsid w:val="00792B58"/>
    <w:rsid w:val="007939F1"/>
    <w:rsid w:val="00796D3F"/>
    <w:rsid w:val="00797D15"/>
    <w:rsid w:val="007A1683"/>
    <w:rsid w:val="007A2FCD"/>
    <w:rsid w:val="007A476F"/>
    <w:rsid w:val="007A4900"/>
    <w:rsid w:val="007A5C12"/>
    <w:rsid w:val="007A7CB0"/>
    <w:rsid w:val="007B68A3"/>
    <w:rsid w:val="007B76B9"/>
    <w:rsid w:val="007C1645"/>
    <w:rsid w:val="007C2541"/>
    <w:rsid w:val="007C4C48"/>
    <w:rsid w:val="007C4E48"/>
    <w:rsid w:val="007C5642"/>
    <w:rsid w:val="007C5DCB"/>
    <w:rsid w:val="007C6021"/>
    <w:rsid w:val="007C65E5"/>
    <w:rsid w:val="007C71FB"/>
    <w:rsid w:val="007D0656"/>
    <w:rsid w:val="007D256A"/>
    <w:rsid w:val="007D29FF"/>
    <w:rsid w:val="007D6560"/>
    <w:rsid w:val="007D66A8"/>
    <w:rsid w:val="007D77CA"/>
    <w:rsid w:val="007E003F"/>
    <w:rsid w:val="007E024D"/>
    <w:rsid w:val="007E0D14"/>
    <w:rsid w:val="007E217F"/>
    <w:rsid w:val="007E2CD6"/>
    <w:rsid w:val="007E3F7A"/>
    <w:rsid w:val="007E5B3C"/>
    <w:rsid w:val="007E7DDA"/>
    <w:rsid w:val="007F2868"/>
    <w:rsid w:val="007F3343"/>
    <w:rsid w:val="007F7F4C"/>
    <w:rsid w:val="00802081"/>
    <w:rsid w:val="00803738"/>
    <w:rsid w:val="00806B23"/>
    <w:rsid w:val="008103B4"/>
    <w:rsid w:val="0081058C"/>
    <w:rsid w:val="00811FEB"/>
    <w:rsid w:val="00814F11"/>
    <w:rsid w:val="0081577A"/>
    <w:rsid w:val="0081619D"/>
    <w:rsid w:val="008164F2"/>
    <w:rsid w:val="00821395"/>
    <w:rsid w:val="00822844"/>
    <w:rsid w:val="00822BB1"/>
    <w:rsid w:val="00822DE7"/>
    <w:rsid w:val="00824DF3"/>
    <w:rsid w:val="00826199"/>
    <w:rsid w:val="00826B66"/>
    <w:rsid w:val="00830497"/>
    <w:rsid w:val="00830E26"/>
    <w:rsid w:val="00835056"/>
    <w:rsid w:val="00836BBE"/>
    <w:rsid w:val="00842017"/>
    <w:rsid w:val="00842887"/>
    <w:rsid w:val="008434CE"/>
    <w:rsid w:val="00843576"/>
    <w:rsid w:val="00843624"/>
    <w:rsid w:val="00843B64"/>
    <w:rsid w:val="008478FC"/>
    <w:rsid w:val="00852E9D"/>
    <w:rsid w:val="00854B88"/>
    <w:rsid w:val="008554BF"/>
    <w:rsid w:val="00861FF0"/>
    <w:rsid w:val="00863326"/>
    <w:rsid w:val="00863D2B"/>
    <w:rsid w:val="008675FC"/>
    <w:rsid w:val="00867BFF"/>
    <w:rsid w:val="00870953"/>
    <w:rsid w:val="00872705"/>
    <w:rsid w:val="00875025"/>
    <w:rsid w:val="008805AC"/>
    <w:rsid w:val="008820D0"/>
    <w:rsid w:val="0088288D"/>
    <w:rsid w:val="0088480A"/>
    <w:rsid w:val="0088757A"/>
    <w:rsid w:val="008876E3"/>
    <w:rsid w:val="0089019F"/>
    <w:rsid w:val="00890902"/>
    <w:rsid w:val="00892EE7"/>
    <w:rsid w:val="00893E9F"/>
    <w:rsid w:val="008957DD"/>
    <w:rsid w:val="00897D98"/>
    <w:rsid w:val="008A3165"/>
    <w:rsid w:val="008A4B4C"/>
    <w:rsid w:val="008A5D76"/>
    <w:rsid w:val="008A69D1"/>
    <w:rsid w:val="008A6DF2"/>
    <w:rsid w:val="008A7807"/>
    <w:rsid w:val="008B4CC9"/>
    <w:rsid w:val="008B4CE7"/>
    <w:rsid w:val="008C04E7"/>
    <w:rsid w:val="008D0A7B"/>
    <w:rsid w:val="008D2C44"/>
    <w:rsid w:val="008D32CA"/>
    <w:rsid w:val="008D4F56"/>
    <w:rsid w:val="008D559F"/>
    <w:rsid w:val="008D59D2"/>
    <w:rsid w:val="008D7C99"/>
    <w:rsid w:val="008E015B"/>
    <w:rsid w:val="008E0FCB"/>
    <w:rsid w:val="008E126F"/>
    <w:rsid w:val="008E5719"/>
    <w:rsid w:val="008E5BF3"/>
    <w:rsid w:val="008F0ADA"/>
    <w:rsid w:val="008F1AC0"/>
    <w:rsid w:val="008F35AC"/>
    <w:rsid w:val="008F553C"/>
    <w:rsid w:val="00900491"/>
    <w:rsid w:val="00902BB1"/>
    <w:rsid w:val="00902C0D"/>
    <w:rsid w:val="00905B48"/>
    <w:rsid w:val="00907324"/>
    <w:rsid w:val="00907961"/>
    <w:rsid w:val="00910B62"/>
    <w:rsid w:val="0091181C"/>
    <w:rsid w:val="0091206F"/>
    <w:rsid w:val="00915F87"/>
    <w:rsid w:val="00917132"/>
    <w:rsid w:val="009207E4"/>
    <w:rsid w:val="009214FA"/>
    <w:rsid w:val="0092178C"/>
    <w:rsid w:val="0092420B"/>
    <w:rsid w:val="00930B88"/>
    <w:rsid w:val="009317E6"/>
    <w:rsid w:val="00931F17"/>
    <w:rsid w:val="00933127"/>
    <w:rsid w:val="00933FB0"/>
    <w:rsid w:val="0093464E"/>
    <w:rsid w:val="0093568E"/>
    <w:rsid w:val="00936BD6"/>
    <w:rsid w:val="009378D1"/>
    <w:rsid w:val="00940DCC"/>
    <w:rsid w:val="0094179A"/>
    <w:rsid w:val="00941E9D"/>
    <w:rsid w:val="00942927"/>
    <w:rsid w:val="009434B1"/>
    <w:rsid w:val="0094459E"/>
    <w:rsid w:val="00944DBC"/>
    <w:rsid w:val="00945229"/>
    <w:rsid w:val="009475D0"/>
    <w:rsid w:val="00950887"/>
    <w:rsid w:val="00950900"/>
    <w:rsid w:val="00950977"/>
    <w:rsid w:val="009515F5"/>
    <w:rsid w:val="00951A7B"/>
    <w:rsid w:val="00952029"/>
    <w:rsid w:val="00953349"/>
    <w:rsid w:val="0095522D"/>
    <w:rsid w:val="0095529C"/>
    <w:rsid w:val="009563FE"/>
    <w:rsid w:val="009564A6"/>
    <w:rsid w:val="00957624"/>
    <w:rsid w:val="00960D2D"/>
    <w:rsid w:val="00961690"/>
    <w:rsid w:val="0096430E"/>
    <w:rsid w:val="00964CC8"/>
    <w:rsid w:val="009660CB"/>
    <w:rsid w:val="00967621"/>
    <w:rsid w:val="00967E6A"/>
    <w:rsid w:val="00971589"/>
    <w:rsid w:val="009763F4"/>
    <w:rsid w:val="0097700E"/>
    <w:rsid w:val="00986E0D"/>
    <w:rsid w:val="009904DB"/>
    <w:rsid w:val="00991D22"/>
    <w:rsid w:val="00992CEE"/>
    <w:rsid w:val="00993AE7"/>
    <w:rsid w:val="00994399"/>
    <w:rsid w:val="009956AF"/>
    <w:rsid w:val="00995961"/>
    <w:rsid w:val="00997849"/>
    <w:rsid w:val="009A00E6"/>
    <w:rsid w:val="009A049D"/>
    <w:rsid w:val="009A3DC2"/>
    <w:rsid w:val="009A401E"/>
    <w:rsid w:val="009A7B8C"/>
    <w:rsid w:val="009B3241"/>
    <w:rsid w:val="009B3E0E"/>
    <w:rsid w:val="009B46A1"/>
    <w:rsid w:val="009B48FC"/>
    <w:rsid w:val="009B49F6"/>
    <w:rsid w:val="009B4A0F"/>
    <w:rsid w:val="009B4F73"/>
    <w:rsid w:val="009B608C"/>
    <w:rsid w:val="009C0F1A"/>
    <w:rsid w:val="009C11D2"/>
    <w:rsid w:val="009C6C70"/>
    <w:rsid w:val="009D0387"/>
    <w:rsid w:val="009D0B63"/>
    <w:rsid w:val="009D4CF8"/>
    <w:rsid w:val="009D5158"/>
    <w:rsid w:val="009D5B26"/>
    <w:rsid w:val="009E2DCC"/>
    <w:rsid w:val="009E307E"/>
    <w:rsid w:val="009E4CBA"/>
    <w:rsid w:val="009E6BE9"/>
    <w:rsid w:val="009E6BF6"/>
    <w:rsid w:val="009E728A"/>
    <w:rsid w:val="009F0B99"/>
    <w:rsid w:val="009F3329"/>
    <w:rsid w:val="009F4E5B"/>
    <w:rsid w:val="009F5E59"/>
    <w:rsid w:val="00A00F81"/>
    <w:rsid w:val="00A023EE"/>
    <w:rsid w:val="00A02596"/>
    <w:rsid w:val="00A04031"/>
    <w:rsid w:val="00A04F56"/>
    <w:rsid w:val="00A051D8"/>
    <w:rsid w:val="00A07870"/>
    <w:rsid w:val="00A07985"/>
    <w:rsid w:val="00A07F19"/>
    <w:rsid w:val="00A1325E"/>
    <w:rsid w:val="00A132F1"/>
    <w:rsid w:val="00A133A5"/>
    <w:rsid w:val="00A1348D"/>
    <w:rsid w:val="00A13F82"/>
    <w:rsid w:val="00A144A7"/>
    <w:rsid w:val="00A14E35"/>
    <w:rsid w:val="00A21415"/>
    <w:rsid w:val="00A232EE"/>
    <w:rsid w:val="00A26EBF"/>
    <w:rsid w:val="00A32297"/>
    <w:rsid w:val="00A322FE"/>
    <w:rsid w:val="00A34602"/>
    <w:rsid w:val="00A35D03"/>
    <w:rsid w:val="00A37F24"/>
    <w:rsid w:val="00A4175F"/>
    <w:rsid w:val="00A41C5E"/>
    <w:rsid w:val="00A430EA"/>
    <w:rsid w:val="00A437A4"/>
    <w:rsid w:val="00A44411"/>
    <w:rsid w:val="00A45DF6"/>
    <w:rsid w:val="00A469FA"/>
    <w:rsid w:val="00A47143"/>
    <w:rsid w:val="00A50B6C"/>
    <w:rsid w:val="00A514E4"/>
    <w:rsid w:val="00A527E4"/>
    <w:rsid w:val="00A53F09"/>
    <w:rsid w:val="00A53F1F"/>
    <w:rsid w:val="00A55B01"/>
    <w:rsid w:val="00A56B5B"/>
    <w:rsid w:val="00A57827"/>
    <w:rsid w:val="00A57FAD"/>
    <w:rsid w:val="00A603FF"/>
    <w:rsid w:val="00A608E4"/>
    <w:rsid w:val="00A61FE5"/>
    <w:rsid w:val="00A63413"/>
    <w:rsid w:val="00A653CB"/>
    <w:rsid w:val="00A657DD"/>
    <w:rsid w:val="00A65DEE"/>
    <w:rsid w:val="00A666A6"/>
    <w:rsid w:val="00A675FD"/>
    <w:rsid w:val="00A714DB"/>
    <w:rsid w:val="00A71852"/>
    <w:rsid w:val="00A7230F"/>
    <w:rsid w:val="00A72437"/>
    <w:rsid w:val="00A73C3E"/>
    <w:rsid w:val="00A75CFC"/>
    <w:rsid w:val="00A75D72"/>
    <w:rsid w:val="00A76207"/>
    <w:rsid w:val="00A763F9"/>
    <w:rsid w:val="00A80611"/>
    <w:rsid w:val="00A8147D"/>
    <w:rsid w:val="00A818CA"/>
    <w:rsid w:val="00A85977"/>
    <w:rsid w:val="00A866E3"/>
    <w:rsid w:val="00A87F13"/>
    <w:rsid w:val="00A93576"/>
    <w:rsid w:val="00AA04C9"/>
    <w:rsid w:val="00AB045C"/>
    <w:rsid w:val="00AB14DC"/>
    <w:rsid w:val="00AB43C8"/>
    <w:rsid w:val="00AB52C7"/>
    <w:rsid w:val="00AB5340"/>
    <w:rsid w:val="00AB6135"/>
    <w:rsid w:val="00AB6990"/>
    <w:rsid w:val="00AC0A89"/>
    <w:rsid w:val="00AC3B80"/>
    <w:rsid w:val="00AC541D"/>
    <w:rsid w:val="00AC7C96"/>
    <w:rsid w:val="00AD17B2"/>
    <w:rsid w:val="00AD1B7D"/>
    <w:rsid w:val="00AD2DB5"/>
    <w:rsid w:val="00AD369E"/>
    <w:rsid w:val="00AD3794"/>
    <w:rsid w:val="00AD6490"/>
    <w:rsid w:val="00AD7249"/>
    <w:rsid w:val="00AE04B8"/>
    <w:rsid w:val="00AE237D"/>
    <w:rsid w:val="00AE38B1"/>
    <w:rsid w:val="00AE502A"/>
    <w:rsid w:val="00AF016D"/>
    <w:rsid w:val="00AF0593"/>
    <w:rsid w:val="00AF18E9"/>
    <w:rsid w:val="00AF25DF"/>
    <w:rsid w:val="00AF49CC"/>
    <w:rsid w:val="00AF4DDF"/>
    <w:rsid w:val="00AF5DA0"/>
    <w:rsid w:val="00AF76BA"/>
    <w:rsid w:val="00AF7C07"/>
    <w:rsid w:val="00B00B98"/>
    <w:rsid w:val="00B01BC9"/>
    <w:rsid w:val="00B01EF0"/>
    <w:rsid w:val="00B031F6"/>
    <w:rsid w:val="00B04344"/>
    <w:rsid w:val="00B1147B"/>
    <w:rsid w:val="00B11594"/>
    <w:rsid w:val="00B12C03"/>
    <w:rsid w:val="00B13011"/>
    <w:rsid w:val="00B13B88"/>
    <w:rsid w:val="00B13BBC"/>
    <w:rsid w:val="00B14ABD"/>
    <w:rsid w:val="00B154F4"/>
    <w:rsid w:val="00B155DC"/>
    <w:rsid w:val="00B164A5"/>
    <w:rsid w:val="00B16B8D"/>
    <w:rsid w:val="00B17E0C"/>
    <w:rsid w:val="00B214BE"/>
    <w:rsid w:val="00B22C93"/>
    <w:rsid w:val="00B23C38"/>
    <w:rsid w:val="00B25DF3"/>
    <w:rsid w:val="00B27589"/>
    <w:rsid w:val="00B31037"/>
    <w:rsid w:val="00B31351"/>
    <w:rsid w:val="00B33DF4"/>
    <w:rsid w:val="00B355BA"/>
    <w:rsid w:val="00B40174"/>
    <w:rsid w:val="00B405B7"/>
    <w:rsid w:val="00B423CE"/>
    <w:rsid w:val="00B46AD8"/>
    <w:rsid w:val="00B5067F"/>
    <w:rsid w:val="00B52222"/>
    <w:rsid w:val="00B5224A"/>
    <w:rsid w:val="00B52633"/>
    <w:rsid w:val="00B53FB7"/>
    <w:rsid w:val="00B54FE7"/>
    <w:rsid w:val="00B56C3C"/>
    <w:rsid w:val="00B56E8C"/>
    <w:rsid w:val="00B57E0E"/>
    <w:rsid w:val="00B606C6"/>
    <w:rsid w:val="00B612D4"/>
    <w:rsid w:val="00B64EC2"/>
    <w:rsid w:val="00B66350"/>
    <w:rsid w:val="00B66901"/>
    <w:rsid w:val="00B67121"/>
    <w:rsid w:val="00B71E6D"/>
    <w:rsid w:val="00B72070"/>
    <w:rsid w:val="00B724DE"/>
    <w:rsid w:val="00B734B5"/>
    <w:rsid w:val="00B76887"/>
    <w:rsid w:val="00B779E1"/>
    <w:rsid w:val="00B91B80"/>
    <w:rsid w:val="00B91EE1"/>
    <w:rsid w:val="00B9680D"/>
    <w:rsid w:val="00BA0090"/>
    <w:rsid w:val="00BA0219"/>
    <w:rsid w:val="00BA12B5"/>
    <w:rsid w:val="00BA1A67"/>
    <w:rsid w:val="00BA4195"/>
    <w:rsid w:val="00BA4FD0"/>
    <w:rsid w:val="00BA5A03"/>
    <w:rsid w:val="00BA6B86"/>
    <w:rsid w:val="00BA7B73"/>
    <w:rsid w:val="00BB0847"/>
    <w:rsid w:val="00BB5046"/>
    <w:rsid w:val="00BB6F90"/>
    <w:rsid w:val="00BC048A"/>
    <w:rsid w:val="00BC2405"/>
    <w:rsid w:val="00BC2C7B"/>
    <w:rsid w:val="00BC6F6E"/>
    <w:rsid w:val="00BC70FE"/>
    <w:rsid w:val="00BD00A6"/>
    <w:rsid w:val="00BD22C6"/>
    <w:rsid w:val="00BD399A"/>
    <w:rsid w:val="00BD44C1"/>
    <w:rsid w:val="00BD52BA"/>
    <w:rsid w:val="00BE3A4B"/>
    <w:rsid w:val="00BE5B5F"/>
    <w:rsid w:val="00BE688C"/>
    <w:rsid w:val="00BE6B68"/>
    <w:rsid w:val="00BF3030"/>
    <w:rsid w:val="00BF3E83"/>
    <w:rsid w:val="00BF4C3D"/>
    <w:rsid w:val="00BF59FF"/>
    <w:rsid w:val="00BF625F"/>
    <w:rsid w:val="00C01F28"/>
    <w:rsid w:val="00C02BF2"/>
    <w:rsid w:val="00C0548A"/>
    <w:rsid w:val="00C067BE"/>
    <w:rsid w:val="00C0701B"/>
    <w:rsid w:val="00C1165A"/>
    <w:rsid w:val="00C122F8"/>
    <w:rsid w:val="00C1327B"/>
    <w:rsid w:val="00C1669F"/>
    <w:rsid w:val="00C21199"/>
    <w:rsid w:val="00C26F55"/>
    <w:rsid w:val="00C30C63"/>
    <w:rsid w:val="00C30D2F"/>
    <w:rsid w:val="00C3125D"/>
    <w:rsid w:val="00C36B8B"/>
    <w:rsid w:val="00C3764A"/>
    <w:rsid w:val="00C37D4A"/>
    <w:rsid w:val="00C415C1"/>
    <w:rsid w:val="00C417F2"/>
    <w:rsid w:val="00C43861"/>
    <w:rsid w:val="00C45C2E"/>
    <w:rsid w:val="00C45CF7"/>
    <w:rsid w:val="00C47072"/>
    <w:rsid w:val="00C47247"/>
    <w:rsid w:val="00C47B31"/>
    <w:rsid w:val="00C47DBF"/>
    <w:rsid w:val="00C5438A"/>
    <w:rsid w:val="00C552FF"/>
    <w:rsid w:val="00C558DA"/>
    <w:rsid w:val="00C55AC3"/>
    <w:rsid w:val="00C55AF3"/>
    <w:rsid w:val="00C57627"/>
    <w:rsid w:val="00C6409C"/>
    <w:rsid w:val="00C72F72"/>
    <w:rsid w:val="00C73B3A"/>
    <w:rsid w:val="00C74AAC"/>
    <w:rsid w:val="00C77338"/>
    <w:rsid w:val="00C77CB2"/>
    <w:rsid w:val="00C77E90"/>
    <w:rsid w:val="00C82349"/>
    <w:rsid w:val="00C83C0F"/>
    <w:rsid w:val="00C84759"/>
    <w:rsid w:val="00C97BAA"/>
    <w:rsid w:val="00CA0E1D"/>
    <w:rsid w:val="00CA1313"/>
    <w:rsid w:val="00CA15A5"/>
    <w:rsid w:val="00CA22CD"/>
    <w:rsid w:val="00CA6C7F"/>
    <w:rsid w:val="00CB1E96"/>
    <w:rsid w:val="00CB2243"/>
    <w:rsid w:val="00CB75B3"/>
    <w:rsid w:val="00CC10A6"/>
    <w:rsid w:val="00CC2240"/>
    <w:rsid w:val="00CC64A2"/>
    <w:rsid w:val="00CD5EB8"/>
    <w:rsid w:val="00CD7044"/>
    <w:rsid w:val="00CE08B9"/>
    <w:rsid w:val="00CE1E09"/>
    <w:rsid w:val="00CE404F"/>
    <w:rsid w:val="00CE524C"/>
    <w:rsid w:val="00CE647F"/>
    <w:rsid w:val="00CE7A53"/>
    <w:rsid w:val="00CF141F"/>
    <w:rsid w:val="00CF16AC"/>
    <w:rsid w:val="00CF4777"/>
    <w:rsid w:val="00CF6828"/>
    <w:rsid w:val="00CF6E77"/>
    <w:rsid w:val="00D023EF"/>
    <w:rsid w:val="00D026C5"/>
    <w:rsid w:val="00D04097"/>
    <w:rsid w:val="00D067BB"/>
    <w:rsid w:val="00D06D72"/>
    <w:rsid w:val="00D1085A"/>
    <w:rsid w:val="00D1352A"/>
    <w:rsid w:val="00D169AF"/>
    <w:rsid w:val="00D16A2F"/>
    <w:rsid w:val="00D20C77"/>
    <w:rsid w:val="00D220E9"/>
    <w:rsid w:val="00D232A4"/>
    <w:rsid w:val="00D2427B"/>
    <w:rsid w:val="00D25249"/>
    <w:rsid w:val="00D25267"/>
    <w:rsid w:val="00D30115"/>
    <w:rsid w:val="00D325C3"/>
    <w:rsid w:val="00D32B60"/>
    <w:rsid w:val="00D354D4"/>
    <w:rsid w:val="00D36091"/>
    <w:rsid w:val="00D36189"/>
    <w:rsid w:val="00D37511"/>
    <w:rsid w:val="00D409E0"/>
    <w:rsid w:val="00D42F84"/>
    <w:rsid w:val="00D44172"/>
    <w:rsid w:val="00D46B10"/>
    <w:rsid w:val="00D51CA4"/>
    <w:rsid w:val="00D561BB"/>
    <w:rsid w:val="00D57382"/>
    <w:rsid w:val="00D61444"/>
    <w:rsid w:val="00D63336"/>
    <w:rsid w:val="00D63B8C"/>
    <w:rsid w:val="00D64E51"/>
    <w:rsid w:val="00D67B3F"/>
    <w:rsid w:val="00D70968"/>
    <w:rsid w:val="00D71560"/>
    <w:rsid w:val="00D719EB"/>
    <w:rsid w:val="00D71AE9"/>
    <w:rsid w:val="00D739CC"/>
    <w:rsid w:val="00D8093D"/>
    <w:rsid w:val="00D8108C"/>
    <w:rsid w:val="00D842AE"/>
    <w:rsid w:val="00D84FAF"/>
    <w:rsid w:val="00D855CB"/>
    <w:rsid w:val="00D90DA2"/>
    <w:rsid w:val="00D9211C"/>
    <w:rsid w:val="00D928F6"/>
    <w:rsid w:val="00D92DE0"/>
    <w:rsid w:val="00D92FEF"/>
    <w:rsid w:val="00D93A0F"/>
    <w:rsid w:val="00D93BD6"/>
    <w:rsid w:val="00D943CA"/>
    <w:rsid w:val="00D9791E"/>
    <w:rsid w:val="00D97EC2"/>
    <w:rsid w:val="00DA04D5"/>
    <w:rsid w:val="00DA1BCA"/>
    <w:rsid w:val="00DA25B3"/>
    <w:rsid w:val="00DA3EA9"/>
    <w:rsid w:val="00DA5AB7"/>
    <w:rsid w:val="00DA5EE2"/>
    <w:rsid w:val="00DA7E71"/>
    <w:rsid w:val="00DB29C8"/>
    <w:rsid w:val="00DB34DC"/>
    <w:rsid w:val="00DB43E0"/>
    <w:rsid w:val="00DC1A57"/>
    <w:rsid w:val="00DC3FB8"/>
    <w:rsid w:val="00DC46FF"/>
    <w:rsid w:val="00DC4991"/>
    <w:rsid w:val="00DC5254"/>
    <w:rsid w:val="00DD0232"/>
    <w:rsid w:val="00DD1A4F"/>
    <w:rsid w:val="00DD3107"/>
    <w:rsid w:val="00DD4558"/>
    <w:rsid w:val="00DD45E3"/>
    <w:rsid w:val="00DD4889"/>
    <w:rsid w:val="00DD4C10"/>
    <w:rsid w:val="00DD554D"/>
    <w:rsid w:val="00DD5DAE"/>
    <w:rsid w:val="00DD79B5"/>
    <w:rsid w:val="00DD7C2C"/>
    <w:rsid w:val="00DE0481"/>
    <w:rsid w:val="00DE0DC4"/>
    <w:rsid w:val="00DE1365"/>
    <w:rsid w:val="00DE4B69"/>
    <w:rsid w:val="00DF11D3"/>
    <w:rsid w:val="00DF1A35"/>
    <w:rsid w:val="00DF1E4C"/>
    <w:rsid w:val="00DF23E8"/>
    <w:rsid w:val="00DF2CCD"/>
    <w:rsid w:val="00DF44F0"/>
    <w:rsid w:val="00E03ABB"/>
    <w:rsid w:val="00E06797"/>
    <w:rsid w:val="00E07690"/>
    <w:rsid w:val="00E1087F"/>
    <w:rsid w:val="00E11447"/>
    <w:rsid w:val="00E11AE0"/>
    <w:rsid w:val="00E120F7"/>
    <w:rsid w:val="00E1265B"/>
    <w:rsid w:val="00E12995"/>
    <w:rsid w:val="00E12A9F"/>
    <w:rsid w:val="00E13B48"/>
    <w:rsid w:val="00E1404F"/>
    <w:rsid w:val="00E14F3D"/>
    <w:rsid w:val="00E17660"/>
    <w:rsid w:val="00E21601"/>
    <w:rsid w:val="00E21C83"/>
    <w:rsid w:val="00E2495C"/>
    <w:rsid w:val="00E24ADA"/>
    <w:rsid w:val="00E308A5"/>
    <w:rsid w:val="00E32804"/>
    <w:rsid w:val="00E32F59"/>
    <w:rsid w:val="00E373D2"/>
    <w:rsid w:val="00E43F27"/>
    <w:rsid w:val="00E46D9A"/>
    <w:rsid w:val="00E50545"/>
    <w:rsid w:val="00E52A31"/>
    <w:rsid w:val="00E565FF"/>
    <w:rsid w:val="00E57DA5"/>
    <w:rsid w:val="00E60FB8"/>
    <w:rsid w:val="00E65388"/>
    <w:rsid w:val="00E65925"/>
    <w:rsid w:val="00E67850"/>
    <w:rsid w:val="00E71C1C"/>
    <w:rsid w:val="00E7643E"/>
    <w:rsid w:val="00E81D2E"/>
    <w:rsid w:val="00E840F7"/>
    <w:rsid w:val="00E84DC5"/>
    <w:rsid w:val="00E84E6A"/>
    <w:rsid w:val="00E85B7D"/>
    <w:rsid w:val="00E86187"/>
    <w:rsid w:val="00E86A33"/>
    <w:rsid w:val="00E87609"/>
    <w:rsid w:val="00E9121B"/>
    <w:rsid w:val="00E937BD"/>
    <w:rsid w:val="00E940CC"/>
    <w:rsid w:val="00E9433C"/>
    <w:rsid w:val="00E94CF4"/>
    <w:rsid w:val="00EA0AE2"/>
    <w:rsid w:val="00EA3356"/>
    <w:rsid w:val="00EA39E5"/>
    <w:rsid w:val="00EA64D2"/>
    <w:rsid w:val="00EB1CF6"/>
    <w:rsid w:val="00EB4305"/>
    <w:rsid w:val="00EB66BF"/>
    <w:rsid w:val="00EB7138"/>
    <w:rsid w:val="00EC2D45"/>
    <w:rsid w:val="00EC3464"/>
    <w:rsid w:val="00EC36B4"/>
    <w:rsid w:val="00EC5A46"/>
    <w:rsid w:val="00EC63E2"/>
    <w:rsid w:val="00EC6B3F"/>
    <w:rsid w:val="00ED537E"/>
    <w:rsid w:val="00ED554B"/>
    <w:rsid w:val="00ED5F61"/>
    <w:rsid w:val="00ED61F6"/>
    <w:rsid w:val="00ED6939"/>
    <w:rsid w:val="00ED76A0"/>
    <w:rsid w:val="00EE266A"/>
    <w:rsid w:val="00EE304B"/>
    <w:rsid w:val="00EE666F"/>
    <w:rsid w:val="00EF22B3"/>
    <w:rsid w:val="00EF60E4"/>
    <w:rsid w:val="00EF7169"/>
    <w:rsid w:val="00EF79F0"/>
    <w:rsid w:val="00EF7C72"/>
    <w:rsid w:val="00F004C0"/>
    <w:rsid w:val="00F006DE"/>
    <w:rsid w:val="00F03B69"/>
    <w:rsid w:val="00F055D8"/>
    <w:rsid w:val="00F07A50"/>
    <w:rsid w:val="00F102E9"/>
    <w:rsid w:val="00F11007"/>
    <w:rsid w:val="00F113DA"/>
    <w:rsid w:val="00F114EB"/>
    <w:rsid w:val="00F146CF"/>
    <w:rsid w:val="00F14BB2"/>
    <w:rsid w:val="00F15217"/>
    <w:rsid w:val="00F16021"/>
    <w:rsid w:val="00F16C81"/>
    <w:rsid w:val="00F1765B"/>
    <w:rsid w:val="00F26165"/>
    <w:rsid w:val="00F277EB"/>
    <w:rsid w:val="00F31F7A"/>
    <w:rsid w:val="00F338DC"/>
    <w:rsid w:val="00F340A8"/>
    <w:rsid w:val="00F37CE0"/>
    <w:rsid w:val="00F37DC8"/>
    <w:rsid w:val="00F40E1D"/>
    <w:rsid w:val="00F40FC8"/>
    <w:rsid w:val="00F410F3"/>
    <w:rsid w:val="00F41A74"/>
    <w:rsid w:val="00F43016"/>
    <w:rsid w:val="00F4325F"/>
    <w:rsid w:val="00F439B3"/>
    <w:rsid w:val="00F45A0A"/>
    <w:rsid w:val="00F51ECA"/>
    <w:rsid w:val="00F563FE"/>
    <w:rsid w:val="00F61B43"/>
    <w:rsid w:val="00F620D1"/>
    <w:rsid w:val="00F650C3"/>
    <w:rsid w:val="00F65D85"/>
    <w:rsid w:val="00F731FD"/>
    <w:rsid w:val="00F7427A"/>
    <w:rsid w:val="00F7627A"/>
    <w:rsid w:val="00F8091E"/>
    <w:rsid w:val="00F84840"/>
    <w:rsid w:val="00F856FE"/>
    <w:rsid w:val="00F85D1D"/>
    <w:rsid w:val="00F8615C"/>
    <w:rsid w:val="00F874E0"/>
    <w:rsid w:val="00F87B25"/>
    <w:rsid w:val="00F87EA7"/>
    <w:rsid w:val="00F969E5"/>
    <w:rsid w:val="00F96E46"/>
    <w:rsid w:val="00FA30E2"/>
    <w:rsid w:val="00FA5ADB"/>
    <w:rsid w:val="00FA6011"/>
    <w:rsid w:val="00FA6BB0"/>
    <w:rsid w:val="00FB3F0D"/>
    <w:rsid w:val="00FB501B"/>
    <w:rsid w:val="00FB6397"/>
    <w:rsid w:val="00FB6556"/>
    <w:rsid w:val="00FB690D"/>
    <w:rsid w:val="00FB6FAF"/>
    <w:rsid w:val="00FC0D95"/>
    <w:rsid w:val="00FC239B"/>
    <w:rsid w:val="00FC29F7"/>
    <w:rsid w:val="00FC2BD1"/>
    <w:rsid w:val="00FC442C"/>
    <w:rsid w:val="00FC45F2"/>
    <w:rsid w:val="00FC63C1"/>
    <w:rsid w:val="00FD18A4"/>
    <w:rsid w:val="00FD1D9C"/>
    <w:rsid w:val="00FD268A"/>
    <w:rsid w:val="00FD3CED"/>
    <w:rsid w:val="00FD5860"/>
    <w:rsid w:val="00FD5D6A"/>
    <w:rsid w:val="00FD60E7"/>
    <w:rsid w:val="00FE15FF"/>
    <w:rsid w:val="00FE19F5"/>
    <w:rsid w:val="00FE352D"/>
    <w:rsid w:val="00FE35E0"/>
    <w:rsid w:val="00FE40EB"/>
    <w:rsid w:val="00FE45EB"/>
    <w:rsid w:val="00FE4D02"/>
    <w:rsid w:val="00FE7B7B"/>
    <w:rsid w:val="00FE7D62"/>
    <w:rsid w:val="00FF0431"/>
    <w:rsid w:val="00FF1486"/>
    <w:rsid w:val="00FF3514"/>
    <w:rsid w:val="00FF3819"/>
    <w:rsid w:val="00FF3ABE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B9D583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31E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7031E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031E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031E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7031E0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31E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7031E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7031E0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7031E0"/>
    <w:pPr>
      <w:keepNext/>
      <w:widowControl w:val="0"/>
      <w:numPr>
        <w:numId w:val="8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7031E0"/>
    <w:pPr>
      <w:keepNext/>
      <w:widowControl w:val="0"/>
      <w:numPr>
        <w:numId w:val="9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7031E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7031E0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7031E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Normal"/>
    <w:rsid w:val="007031E0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"/>
    <w:link w:val="CH2Char"/>
    <w:rsid w:val="007031E0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"/>
    <w:rsid w:val="007031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"/>
    <w:rsid w:val="007031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7031E0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"/>
    <w:rsid w:val="007031E0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7031E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7031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7031E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7031E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7031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7031E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rsid w:val="007031E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rsid w:val="007031E0"/>
    <w:pPr>
      <w:spacing w:before="20" w:after="40"/>
      <w:ind w:left="1247"/>
    </w:pPr>
    <w:rPr>
      <w:sz w:val="18"/>
    </w:rPr>
  </w:style>
  <w:style w:type="character" w:customStyle="1" w:styleId="Normal-poolChar">
    <w:name w:val="Normal-pool Char"/>
    <w:link w:val="Normal-pool"/>
    <w:rsid w:val="00396929"/>
    <w:rPr>
      <w:lang w:val="fr-CA" w:eastAsia="en-US"/>
    </w:rPr>
  </w:style>
  <w:style w:type="table" w:customStyle="1" w:styleId="AATable">
    <w:name w:val="AA_Table"/>
    <w:basedOn w:val="TableNormal"/>
    <w:rsid w:val="007031E0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7031E0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7031E0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7031E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7031E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7031E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7031E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7031E0"/>
    <w:pPr>
      <w:numPr>
        <w:numId w:val="10"/>
      </w:numPr>
    </w:pPr>
  </w:style>
  <w:style w:type="paragraph" w:customStyle="1" w:styleId="NormalNonumber">
    <w:name w:val="Normal_No_number"/>
    <w:basedOn w:val="Normalpool"/>
    <w:rsid w:val="007031E0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7031E0"/>
    <w:pPr>
      <w:numPr>
        <w:numId w:val="11"/>
      </w:numPr>
      <w:spacing w:after="120"/>
    </w:pPr>
  </w:style>
  <w:style w:type="paragraph" w:customStyle="1" w:styleId="Titletable">
    <w:name w:val="Title_table"/>
    <w:basedOn w:val="Normalpool"/>
    <w:rsid w:val="007031E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7031E0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7031E0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7031E0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7031E0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7031E0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7031E0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7031E0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DA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rsid w:val="00F87B25"/>
    <w:rPr>
      <w:lang w:val="fr-C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9791E"/>
    <w:pPr>
      <w:ind w:left="720"/>
      <w:contextualSpacing/>
    </w:pPr>
  </w:style>
  <w:style w:type="character" w:customStyle="1" w:styleId="big">
    <w:name w:val="big"/>
    <w:basedOn w:val="DefaultParagraphFont"/>
    <w:rsid w:val="002F5A64"/>
  </w:style>
  <w:style w:type="paragraph" w:customStyle="1" w:styleId="mainpara">
    <w:name w:val="mainpara"/>
    <w:basedOn w:val="Normal"/>
    <w:rsid w:val="00294422"/>
    <w:pPr>
      <w:numPr>
        <w:numId w:val="1"/>
      </w:numPr>
      <w:tabs>
        <w:tab w:val="clear" w:pos="473"/>
        <w:tab w:val="left" w:pos="720"/>
        <w:tab w:val="left" w:pos="1440"/>
      </w:tabs>
    </w:pPr>
    <w:rPr>
      <w:snapToGrid w:val="0"/>
      <w:sz w:val="22"/>
      <w:szCs w:val="22"/>
      <w:lang w:val="en-GB"/>
    </w:rPr>
  </w:style>
  <w:style w:type="paragraph" w:customStyle="1" w:styleId="MediumGrid1-Accent22">
    <w:name w:val="Medium Grid 1 - Accent 22"/>
    <w:basedOn w:val="Normal"/>
    <w:qFormat/>
    <w:rsid w:val="00294422"/>
    <w:pPr>
      <w:ind w:left="720"/>
      <w:contextualSpacing/>
    </w:pPr>
    <w:rPr>
      <w:rFonts w:eastAsia="SimSun"/>
      <w:lang w:val="en-GB" w:eastAsia="zh-CN"/>
    </w:rPr>
  </w:style>
  <w:style w:type="character" w:customStyle="1" w:styleId="FootnoteTextChar">
    <w:name w:val="Footnote Text Char"/>
    <w:link w:val="FootnoteText"/>
    <w:rsid w:val="007031E0"/>
    <w:rPr>
      <w:sz w:val="18"/>
      <w:lang w:val="fr-CA" w:eastAsia="en-US"/>
    </w:rPr>
  </w:style>
  <w:style w:type="numbering" w:customStyle="1" w:styleId="NoList1">
    <w:name w:val="No List1"/>
    <w:next w:val="NoList"/>
    <w:uiPriority w:val="99"/>
    <w:semiHidden/>
    <w:unhideWhenUsed/>
    <w:rsid w:val="00FB690D"/>
  </w:style>
  <w:style w:type="numbering" w:customStyle="1" w:styleId="Normallist1">
    <w:name w:val="Normal_list1"/>
    <w:basedOn w:val="NoList"/>
    <w:rsid w:val="00FB690D"/>
  </w:style>
  <w:style w:type="character" w:customStyle="1" w:styleId="CH2Char">
    <w:name w:val="CH2 Char"/>
    <w:link w:val="CH2"/>
    <w:locked/>
    <w:rsid w:val="00DA04D5"/>
    <w:rPr>
      <w:b/>
      <w:sz w:val="24"/>
      <w:szCs w:val="24"/>
      <w:lang w:val="fr-CA" w:eastAsia="en-US"/>
    </w:rPr>
  </w:style>
  <w:style w:type="table" w:styleId="TableGrid">
    <w:name w:val="Table Grid"/>
    <w:basedOn w:val="TableNormal"/>
    <w:uiPriority w:val="59"/>
    <w:rsid w:val="00FB69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B690D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B690D"/>
    <w:rPr>
      <w:b/>
      <w:sz w:val="28"/>
      <w:szCs w:val="2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90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B690D"/>
    <w:rPr>
      <w:rFonts w:ascii="Calibri" w:eastAsia="MS Mincho" w:hAnsi="Calibri"/>
      <w:sz w:val="22"/>
      <w:szCs w:val="22"/>
      <w:lang w:val="en-US" w:eastAsia="en-US"/>
    </w:rPr>
  </w:style>
  <w:style w:type="numbering" w:customStyle="1" w:styleId="NoList11">
    <w:name w:val="No List11"/>
    <w:next w:val="NoList"/>
    <w:uiPriority w:val="99"/>
    <w:semiHidden/>
    <w:unhideWhenUsed/>
    <w:rsid w:val="00FB690D"/>
  </w:style>
  <w:style w:type="paragraph" w:styleId="BodyText">
    <w:name w:val="Body Text"/>
    <w:basedOn w:val="Normal"/>
    <w:link w:val="BodyTextChar"/>
    <w:uiPriority w:val="1"/>
    <w:qFormat/>
    <w:rsid w:val="00FB690D"/>
    <w:pPr>
      <w:widowControl w:val="0"/>
      <w:autoSpaceDE w:val="0"/>
      <w:autoSpaceDN w:val="0"/>
      <w:spacing w:before="3"/>
    </w:pPr>
    <w:rPr>
      <w:rFonts w:ascii="Arial" w:eastAsia="Arial" w:hAnsi="Arial" w:cs="Arial"/>
      <w:sz w:val="15"/>
      <w:szCs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690D"/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FB69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FooterChar">
    <w:name w:val="Footer Char"/>
    <w:link w:val="Footer"/>
    <w:rsid w:val="007031E0"/>
    <w:rPr>
      <w:sz w:val="18"/>
      <w:lang w:val="fr-FR" w:eastAsia="en-US"/>
    </w:rPr>
  </w:style>
  <w:style w:type="character" w:customStyle="1" w:styleId="HeaderChar">
    <w:name w:val="Header Char"/>
    <w:link w:val="Header"/>
    <w:rsid w:val="007031E0"/>
    <w:rPr>
      <w:b/>
      <w:sz w:val="18"/>
      <w:lang w:val="fr-FR" w:eastAsia="en-US"/>
    </w:rPr>
  </w:style>
  <w:style w:type="numbering" w:customStyle="1" w:styleId="Normallist11">
    <w:name w:val="Normal_list11"/>
    <w:basedOn w:val="NoList"/>
    <w:rsid w:val="00FB690D"/>
  </w:style>
  <w:style w:type="character" w:customStyle="1" w:styleId="Heading1Char">
    <w:name w:val="Heading 1 Char"/>
    <w:link w:val="Heading1"/>
    <w:rsid w:val="007031E0"/>
    <w:rPr>
      <w:b/>
      <w:sz w:val="28"/>
      <w:lang w:val="fr-FR" w:eastAsia="en-US"/>
    </w:rPr>
  </w:style>
  <w:style w:type="character" w:customStyle="1" w:styleId="Heading2Char">
    <w:name w:val="Heading 2 Char"/>
    <w:link w:val="Heading2"/>
    <w:rsid w:val="007031E0"/>
    <w:rPr>
      <w:b/>
      <w:sz w:val="24"/>
      <w:szCs w:val="24"/>
      <w:lang w:val="fr-FR" w:eastAsia="en-US"/>
    </w:rPr>
  </w:style>
  <w:style w:type="character" w:customStyle="1" w:styleId="Heading3Char">
    <w:name w:val="Heading 3 Char"/>
    <w:link w:val="Heading3"/>
    <w:rsid w:val="007031E0"/>
    <w:rPr>
      <w:b/>
      <w:lang w:val="fr-FR" w:eastAsia="en-US"/>
    </w:rPr>
  </w:style>
  <w:style w:type="character" w:customStyle="1" w:styleId="Heading4Char">
    <w:name w:val="Heading 4 Char"/>
    <w:link w:val="Heading4"/>
    <w:rsid w:val="007031E0"/>
    <w:rPr>
      <w:b/>
      <w:lang w:val="fr-FR" w:eastAsia="en-US"/>
    </w:rPr>
  </w:style>
  <w:style w:type="character" w:customStyle="1" w:styleId="Heading5Char">
    <w:name w:val="Heading 5 Char"/>
    <w:link w:val="Heading5"/>
    <w:rsid w:val="007031E0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link w:val="Heading6"/>
    <w:rsid w:val="007031E0"/>
    <w:rPr>
      <w:b/>
      <w:bCs/>
      <w:sz w:val="24"/>
      <w:lang w:val="fr-FR" w:eastAsia="en-US"/>
    </w:rPr>
  </w:style>
  <w:style w:type="character" w:customStyle="1" w:styleId="Heading7Char">
    <w:name w:val="Heading 7 Char"/>
    <w:link w:val="Heading7"/>
    <w:rsid w:val="007031E0"/>
    <w:rPr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7031E0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7031E0"/>
    <w:rPr>
      <w:snapToGrid w:val="0"/>
      <w:u w:val="single"/>
      <w:lang w:val="en-US" w:eastAsia="en-US"/>
    </w:rPr>
  </w:style>
  <w:style w:type="table" w:customStyle="1" w:styleId="Tabledocright1">
    <w:name w:val="Table_doc_right1"/>
    <w:basedOn w:val="TableNormal"/>
    <w:rsid w:val="00FB690D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FB690D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AATable1">
    <w:name w:val="AA_Table1"/>
    <w:basedOn w:val="TableNormal"/>
    <w:semiHidden/>
    <w:rsid w:val="00FB690D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table" w:customStyle="1" w:styleId="TableGrid1">
    <w:name w:val="Table Grid1"/>
    <w:basedOn w:val="TableNormal"/>
    <w:next w:val="TableGrid"/>
    <w:uiPriority w:val="39"/>
    <w:rsid w:val="00FB690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690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numbering" w:customStyle="1" w:styleId="Normallist111">
    <w:name w:val="Normal_list111"/>
    <w:rsid w:val="00FB690D"/>
  </w:style>
  <w:style w:type="character" w:styleId="LineNumber">
    <w:name w:val="line number"/>
    <w:basedOn w:val="DefaultParagraphFont"/>
    <w:rsid w:val="00FB690D"/>
  </w:style>
  <w:style w:type="numbering" w:customStyle="1" w:styleId="Normallist2">
    <w:name w:val="Normal_list2"/>
    <w:rsid w:val="00FB690D"/>
  </w:style>
  <w:style w:type="character" w:customStyle="1" w:styleId="UnresolvedMention2">
    <w:name w:val="Unresolved Mention2"/>
    <w:basedOn w:val="DefaultParagraphFont"/>
    <w:uiPriority w:val="99"/>
    <w:unhideWhenUsed/>
    <w:rsid w:val="00FB690D"/>
    <w:rPr>
      <w:color w:val="808080"/>
      <w:shd w:val="clear" w:color="auto" w:fill="E6E6E6"/>
    </w:rPr>
  </w:style>
  <w:style w:type="paragraph" w:customStyle="1" w:styleId="SingleTxt">
    <w:name w:val="__Single Txt"/>
    <w:basedOn w:val="Normal"/>
    <w:rsid w:val="00FB690D"/>
    <w:pPr>
      <w:tabs>
        <w:tab w:val="clear" w:pos="1247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FB690D"/>
    <w:pPr>
      <w:spacing w:before="100" w:beforeAutospacing="1" w:after="100" w:afterAutospacing="1"/>
    </w:pPr>
    <w:rPr>
      <w:rFonts w:eastAsia="MS Mincho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FB690D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690D"/>
    <w:rPr>
      <w:rFonts w:ascii="Arial" w:eastAsia="Arial" w:hAnsi="Arial" w:cs="Arial"/>
      <w:lang w:val="en-US" w:eastAsia="en-US" w:bidi="en-US"/>
    </w:rPr>
  </w:style>
  <w:style w:type="character" w:styleId="EndnoteReference">
    <w:name w:val="endnote reference"/>
    <w:basedOn w:val="DefaultParagraphFont"/>
    <w:uiPriority w:val="99"/>
    <w:unhideWhenUsed/>
    <w:rsid w:val="00FB690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690D"/>
    <w:pPr>
      <w:spacing w:after="200" w:line="276" w:lineRule="auto"/>
    </w:pPr>
    <w:rPr>
      <w:rFonts w:eastAsia="MS Mincho"/>
    </w:rPr>
  </w:style>
  <w:style w:type="numbering" w:customStyle="1" w:styleId="NoList2">
    <w:name w:val="No List2"/>
    <w:next w:val="NoList"/>
    <w:uiPriority w:val="99"/>
    <w:semiHidden/>
    <w:unhideWhenUsed/>
    <w:rsid w:val="00FB690D"/>
  </w:style>
  <w:style w:type="paragraph" w:styleId="NormalIndent">
    <w:name w:val="Normal Indent"/>
    <w:basedOn w:val="Normal"/>
    <w:rsid w:val="00FB690D"/>
    <w:pPr>
      <w:ind w:left="1247"/>
    </w:pPr>
    <w:rPr>
      <w:rFonts w:eastAsia="MS Mincho"/>
      <w:sz w:val="18"/>
      <w:lang w:val="en-GB"/>
    </w:rPr>
  </w:style>
  <w:style w:type="paragraph" w:customStyle="1" w:styleId="a">
    <w:name w:val="바탕글"/>
    <w:basedOn w:val="Normal"/>
    <w:rsid w:val="00FB690D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18"/>
      <w:lang w:eastAsia="ko-KR"/>
    </w:rPr>
  </w:style>
  <w:style w:type="paragraph" w:customStyle="1" w:styleId="ColorfulList-Accent11">
    <w:name w:val="Colorful List - Accent 11"/>
    <w:basedOn w:val="Normal"/>
    <w:uiPriority w:val="34"/>
    <w:qFormat/>
    <w:rsid w:val="00FB690D"/>
    <w:pPr>
      <w:ind w:left="720"/>
    </w:pPr>
    <w:rPr>
      <w:sz w:val="18"/>
      <w:lang w:val="en-GB"/>
    </w:rPr>
  </w:style>
  <w:style w:type="character" w:customStyle="1" w:styleId="docs-bold">
    <w:name w:val="docs-bold"/>
    <w:rsid w:val="00FB690D"/>
    <w:rPr>
      <w:rFonts w:cs="Times New Roman"/>
    </w:rPr>
  </w:style>
  <w:style w:type="character" w:styleId="FollowedHyperlink">
    <w:name w:val="FollowedHyperlink"/>
    <w:rsid w:val="00FB690D"/>
    <w:rPr>
      <w:color w:val="800080"/>
      <w:u w:val="single"/>
    </w:rPr>
  </w:style>
  <w:style w:type="paragraph" w:customStyle="1" w:styleId="H1">
    <w:name w:val="_ H_1"/>
    <w:basedOn w:val="Normal"/>
    <w:next w:val="SingleTxt"/>
    <w:rsid w:val="00FB690D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pacing w:val="4"/>
      <w:w w:val="103"/>
      <w:kern w:val="14"/>
      <w:lang w:val="en-GB"/>
    </w:rPr>
  </w:style>
  <w:style w:type="paragraph" w:customStyle="1" w:styleId="HCh">
    <w:name w:val="_ H _Ch"/>
    <w:basedOn w:val="H1"/>
    <w:next w:val="SingleTxt"/>
    <w:rsid w:val="00FB690D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FB690D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FB690D"/>
    <w:pPr>
      <w:spacing w:line="240" w:lineRule="exact"/>
      <w:outlineLvl w:val="1"/>
    </w:pPr>
    <w:rPr>
      <w:spacing w:val="2"/>
    </w:rPr>
  </w:style>
  <w:style w:type="paragraph" w:customStyle="1" w:styleId="H4">
    <w:name w:val="_ H_4"/>
    <w:basedOn w:val="Normal"/>
    <w:next w:val="Normal"/>
    <w:rsid w:val="00FB690D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i/>
      <w:spacing w:val="3"/>
      <w:w w:val="103"/>
      <w:kern w:val="14"/>
      <w:sz w:val="18"/>
      <w:lang w:val="en-GB"/>
    </w:rPr>
  </w:style>
  <w:style w:type="paragraph" w:customStyle="1" w:styleId="H56">
    <w:name w:val="_ H_5/6"/>
    <w:basedOn w:val="Normal"/>
    <w:next w:val="Normal"/>
    <w:rsid w:val="00FB690D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spacing w:val="4"/>
      <w:w w:val="103"/>
      <w:kern w:val="14"/>
      <w:sz w:val="18"/>
      <w:lang w:val="en-GB"/>
    </w:rPr>
  </w:style>
  <w:style w:type="paragraph" w:customStyle="1" w:styleId="DualTxt">
    <w:name w:val="__Dual Txt"/>
    <w:basedOn w:val="Normal"/>
    <w:rsid w:val="00FB690D"/>
    <w:pPr>
      <w:tabs>
        <w:tab w:val="clear" w:pos="2381"/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18"/>
      <w:lang w:val="en-GB"/>
    </w:rPr>
  </w:style>
  <w:style w:type="paragraph" w:customStyle="1" w:styleId="SM">
    <w:name w:val="__S_M"/>
    <w:basedOn w:val="Normal"/>
    <w:next w:val="Normal"/>
    <w:rsid w:val="00FB690D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kern w:val="14"/>
      <w:sz w:val="40"/>
      <w:lang w:val="en-GB"/>
    </w:rPr>
  </w:style>
  <w:style w:type="paragraph" w:customStyle="1" w:styleId="SL">
    <w:name w:val="__S_L"/>
    <w:basedOn w:val="SM"/>
    <w:next w:val="Normal"/>
    <w:rsid w:val="00FB690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FB690D"/>
    <w:pPr>
      <w:ind w:left="1267" w:right="1267"/>
    </w:pPr>
  </w:style>
  <w:style w:type="paragraph" w:customStyle="1" w:styleId="Small">
    <w:name w:val="Small"/>
    <w:basedOn w:val="Normal"/>
    <w:next w:val="Normal"/>
    <w:rsid w:val="00FB690D"/>
    <w:pPr>
      <w:tabs>
        <w:tab w:val="right" w:pos="9965"/>
      </w:tabs>
      <w:suppressAutoHyphens/>
      <w:spacing w:line="210" w:lineRule="exact"/>
    </w:pPr>
    <w:rPr>
      <w:spacing w:val="5"/>
      <w:w w:val="104"/>
      <w:kern w:val="14"/>
      <w:sz w:val="17"/>
      <w:lang w:val="en-GB"/>
    </w:rPr>
  </w:style>
  <w:style w:type="paragraph" w:customStyle="1" w:styleId="SmallX">
    <w:name w:val="SmallX"/>
    <w:basedOn w:val="Small"/>
    <w:next w:val="Normal"/>
    <w:rsid w:val="00FB690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FB690D"/>
    <w:pPr>
      <w:spacing w:line="390" w:lineRule="exact"/>
    </w:pPr>
    <w:rPr>
      <w:spacing w:val="-4"/>
      <w:w w:val="98"/>
      <w:sz w:val="40"/>
    </w:rPr>
  </w:style>
  <w:style w:type="paragraph" w:customStyle="1" w:styleId="ColorfulShading-Accent11">
    <w:name w:val="Colorful Shading - Accent 11"/>
    <w:hidden/>
    <w:uiPriority w:val="99"/>
    <w:rsid w:val="00FB690D"/>
    <w:rPr>
      <w:sz w:val="24"/>
      <w:szCs w:val="24"/>
      <w:lang w:val="en-US" w:eastAsia="en-US"/>
    </w:rPr>
  </w:style>
  <w:style w:type="paragraph" w:customStyle="1" w:styleId="ColorfulShading-Accent31">
    <w:name w:val="Colorful Shading - Accent 31"/>
    <w:basedOn w:val="Normal"/>
    <w:uiPriority w:val="34"/>
    <w:rsid w:val="00FB690D"/>
    <w:pPr>
      <w:suppressAutoHyphens/>
      <w:spacing w:line="240" w:lineRule="exact"/>
      <w:ind w:left="720"/>
      <w:contextualSpacing/>
    </w:pPr>
    <w:rPr>
      <w:spacing w:val="4"/>
      <w:w w:val="103"/>
      <w:kern w:val="14"/>
      <w:sz w:val="18"/>
      <w:lang w:val="en-GB"/>
    </w:rPr>
  </w:style>
  <w:style w:type="paragraph" w:customStyle="1" w:styleId="DarkList-Accent31">
    <w:name w:val="Dark List - Accent 31"/>
    <w:hidden/>
    <w:uiPriority w:val="99"/>
    <w:semiHidden/>
    <w:rsid w:val="00FB690D"/>
    <w:rPr>
      <w:spacing w:val="4"/>
      <w:w w:val="103"/>
      <w:kern w:val="14"/>
      <w:lang w:eastAsia="en-US"/>
    </w:rPr>
  </w:style>
  <w:style w:type="paragraph" w:customStyle="1" w:styleId="Level1">
    <w:name w:val="Level1"/>
    <w:basedOn w:val="Normal"/>
    <w:rsid w:val="00FB690D"/>
    <w:pPr>
      <w:tabs>
        <w:tab w:val="left" w:pos="578"/>
        <w:tab w:val="left" w:pos="1157"/>
      </w:tabs>
      <w:suppressAutoHyphens/>
      <w:spacing w:after="240"/>
    </w:pPr>
    <w:rPr>
      <w:rFonts w:eastAsia="MS Mincho"/>
      <w:sz w:val="18"/>
      <w:lang w:val="en-GB"/>
    </w:rPr>
  </w:style>
  <w:style w:type="table" w:customStyle="1" w:styleId="AATable2">
    <w:name w:val="AA_Table2"/>
    <w:basedOn w:val="TableNormal"/>
    <w:rsid w:val="00FB690D"/>
    <w:rPr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FB690D"/>
    <w:pPr>
      <w:keepNext/>
      <w:keepLines/>
      <w:tabs>
        <w:tab w:val="clear" w:pos="4082"/>
      </w:tabs>
      <w:suppressAutoHyphens/>
      <w:ind w:right="3402"/>
    </w:pPr>
    <w:rPr>
      <w:b/>
    </w:rPr>
  </w:style>
  <w:style w:type="numbering" w:customStyle="1" w:styleId="Normallist3">
    <w:name w:val="Normal_list3"/>
    <w:basedOn w:val="NoList"/>
    <w:rsid w:val="00FB690D"/>
  </w:style>
  <w:style w:type="paragraph" w:customStyle="1" w:styleId="AnnexTitle">
    <w:name w:val="Annex Title"/>
    <w:basedOn w:val="Normal-pool"/>
    <w:qFormat/>
    <w:rsid w:val="00FB690D"/>
    <w:pPr>
      <w:pageBreakBefore/>
      <w:tabs>
        <w:tab w:val="clear" w:pos="4082"/>
      </w:tabs>
    </w:pPr>
    <w:rPr>
      <w:b/>
      <w:bCs/>
      <w:sz w:val="28"/>
      <w:szCs w:val="22"/>
    </w:rPr>
  </w:style>
  <w:style w:type="paragraph" w:customStyle="1" w:styleId="AnnexNumbered">
    <w:name w:val="Annex Numbered"/>
    <w:basedOn w:val="AnnexTitle"/>
    <w:qFormat/>
    <w:rsid w:val="00FB690D"/>
    <w:pPr>
      <w:numPr>
        <w:numId w:val="3"/>
      </w:numPr>
      <w:ind w:left="0" w:firstLine="0"/>
    </w:pPr>
  </w:style>
  <w:style w:type="paragraph" w:customStyle="1" w:styleId="NormalPlain">
    <w:name w:val="Normal_Plain"/>
    <w:basedOn w:val="Normal"/>
    <w:qFormat/>
    <w:rsid w:val="00FB690D"/>
    <w:pPr>
      <w:ind w:left="1260"/>
    </w:pPr>
    <w:rPr>
      <w:rFonts w:eastAsia="MS Mincho"/>
      <w:sz w:val="18"/>
      <w:lang w:val="en-GB" w:eastAsia="ko-KR"/>
    </w:rPr>
  </w:style>
  <w:style w:type="character" w:styleId="BookTitle">
    <w:name w:val="Book Title"/>
    <w:basedOn w:val="DefaultParagraphFont"/>
    <w:uiPriority w:val="33"/>
    <w:qFormat/>
    <w:rsid w:val="00FB690D"/>
    <w:rPr>
      <w:b/>
      <w:bCs/>
      <w:smallCaps/>
      <w:spacing w:val="5"/>
    </w:rPr>
  </w:style>
  <w:style w:type="paragraph" w:customStyle="1" w:styleId="TablesClmnHd">
    <w:name w:val="_Tables_Clmn_Hd"/>
    <w:basedOn w:val="Normal"/>
    <w:rsid w:val="00FB690D"/>
    <w:pPr>
      <w:keepNext/>
      <w:keepLines/>
      <w:suppressLineNumbers/>
      <w:tabs>
        <w:tab w:val="clear" w:pos="1247"/>
        <w:tab w:val="right" w:pos="1020"/>
        <w:tab w:val="left" w:pos="1260"/>
      </w:tabs>
      <w:suppressAutoHyphens/>
      <w:spacing w:before="40" w:after="40" w:line="160" w:lineRule="exact"/>
      <w:jc w:val="right"/>
    </w:pPr>
    <w:rPr>
      <w:i/>
      <w:iCs/>
      <w:snapToGrid w:val="0"/>
      <w:spacing w:val="6"/>
      <w:w w:val="106"/>
      <w:kern w:val="8"/>
      <w:sz w:val="14"/>
      <w:szCs w:val="14"/>
      <w:lang w:val="en-GB"/>
    </w:rPr>
  </w:style>
  <w:style w:type="paragraph" w:customStyle="1" w:styleId="TablesBody">
    <w:name w:val="_Tables_Body"/>
    <w:basedOn w:val="TablesClmnHd"/>
    <w:link w:val="TablesBodyChar"/>
    <w:rsid w:val="00FB690D"/>
  </w:style>
  <w:style w:type="character" w:customStyle="1" w:styleId="TablesBodyChar">
    <w:name w:val="_Tables_Body Char"/>
    <w:link w:val="TablesBody"/>
    <w:rsid w:val="00FB690D"/>
    <w:rPr>
      <w:i/>
      <w:iCs/>
      <w:snapToGrid w:val="0"/>
      <w:spacing w:val="6"/>
      <w:w w:val="106"/>
      <w:kern w:val="8"/>
      <w:sz w:val="14"/>
      <w:szCs w:val="1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B69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MediumList2-Accent21">
    <w:name w:val="Medium List 2 - Accent 21"/>
    <w:hidden/>
    <w:uiPriority w:val="71"/>
    <w:rsid w:val="00FB690D"/>
    <w:rPr>
      <w:rFonts w:ascii="Calibri" w:eastAsia="Calibri" w:hAnsi="Calibri"/>
      <w:sz w:val="22"/>
      <w:szCs w:val="22"/>
      <w:lang w:val="en-US" w:eastAsia="en-US"/>
    </w:rPr>
  </w:style>
  <w:style w:type="character" w:customStyle="1" w:styleId="st">
    <w:name w:val="st"/>
    <w:rsid w:val="00FB690D"/>
  </w:style>
  <w:style w:type="table" w:customStyle="1" w:styleId="PlainTable11">
    <w:name w:val="Plain Table 11"/>
    <w:basedOn w:val="TableNormal"/>
    <w:next w:val="PlainTable12"/>
    <w:uiPriority w:val="41"/>
    <w:rsid w:val="00FB690D"/>
    <w:rPr>
      <w:rFonts w:ascii="Calibri" w:eastAsia="Calibri" w:hAnsi="Calibri"/>
      <w:sz w:val="22"/>
      <w:szCs w:val="22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FB690D"/>
    <w:rPr>
      <w:rFonts w:ascii="Calibri" w:eastAsia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FB690D"/>
    <w:pPr>
      <w:spacing w:after="200" w:line="276" w:lineRule="auto"/>
    </w:pPr>
    <w:rPr>
      <w:rFonts w:ascii="Lucida Grande" w:eastAsia="Calibri" w:hAnsi="Lucida Grande" w:cs="Lucida Grande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B690D"/>
    <w:rPr>
      <w:rFonts w:ascii="Lucida Grande" w:eastAsia="Calibri" w:hAnsi="Lucida Grande" w:cs="Lucida Grande"/>
      <w:sz w:val="24"/>
      <w:szCs w:val="24"/>
      <w:lang w:eastAsia="en-US"/>
    </w:rPr>
  </w:style>
  <w:style w:type="table" w:customStyle="1" w:styleId="GridTable1Light-Accent51">
    <w:name w:val="Grid Table 1 Light - Accent 51"/>
    <w:basedOn w:val="TableNormal"/>
    <w:uiPriority w:val="46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1">
    <w:name w:val="Grid Table 1 Light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">
    <w:name w:val="Colorful Grid"/>
    <w:basedOn w:val="TableNormal"/>
    <w:uiPriority w:val="73"/>
    <w:rsid w:val="00FB690D"/>
    <w:rPr>
      <w:rFonts w:ascii="Calibri" w:eastAsia="Calibri" w:hAnsi="Calibri"/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ListTable1Light1">
    <w:name w:val="List Table 1 Light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3">
    <w:name w:val="Light Shading Accent 3"/>
    <w:basedOn w:val="TableNormal"/>
    <w:uiPriority w:val="60"/>
    <w:rsid w:val="00FB690D"/>
    <w:rPr>
      <w:rFonts w:ascii="Calibri" w:eastAsia="Calibri" w:hAnsi="Calibri"/>
      <w:color w:val="7B7B7B"/>
      <w:lang w:val="de-DE" w:eastAsia="de-DE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5">
    <w:name w:val="Light Shading Accent 5"/>
    <w:basedOn w:val="TableNormal"/>
    <w:uiPriority w:val="60"/>
    <w:rsid w:val="00FB690D"/>
    <w:rPr>
      <w:rFonts w:ascii="Calibri" w:eastAsia="Calibri" w:hAnsi="Calibri"/>
      <w:color w:val="2F5496"/>
      <w:lang w:val="de-DE" w:eastAsia="de-DE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1">
    <w:name w:val="Light Shading Accent 1"/>
    <w:basedOn w:val="TableNormal"/>
    <w:uiPriority w:val="60"/>
    <w:rsid w:val="00FB690D"/>
    <w:rPr>
      <w:rFonts w:ascii="Calibri" w:eastAsia="Calibri" w:hAnsi="Calibri"/>
      <w:color w:val="2E74B5"/>
      <w:lang w:val="de-DE" w:eastAsia="de-DE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AnnexHeading1">
    <w:name w:val="Annex Heading 1"/>
    <w:basedOn w:val="Heading1"/>
    <w:qFormat/>
    <w:rsid w:val="00FB690D"/>
    <w:pPr>
      <w:numPr>
        <w:numId w:val="4"/>
      </w:numPr>
      <w:ind w:left="1429"/>
    </w:pPr>
    <w:rPr>
      <w:rFonts w:eastAsia="MS Mincho"/>
      <w:lang w:val="en-GB"/>
    </w:rPr>
  </w:style>
  <w:style w:type="character" w:customStyle="1" w:styleId="st1">
    <w:name w:val="st1"/>
    <w:basedOn w:val="DefaultParagraphFont"/>
    <w:rsid w:val="00FB690D"/>
  </w:style>
  <w:style w:type="table" w:customStyle="1" w:styleId="PlainTable13">
    <w:name w:val="Plain Table 13"/>
    <w:basedOn w:val="TableNormal"/>
    <w:uiPriority w:val="41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FB690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FB690D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FB690D"/>
    <w:rPr>
      <w:rFonts w:ascii="Calibri" w:eastAsia="Calibri" w:hAnsi="Calibri" w:cs="Arial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FB690D"/>
    <w:rPr>
      <w:rFonts w:ascii="Calibri" w:eastAsia="Calibri" w:hAnsi="Calibri" w:cs="Arial"/>
      <w:sz w:val="22"/>
      <w:szCs w:val="21"/>
      <w:lang w:val="nl-NL" w:eastAsia="en-US"/>
    </w:rPr>
  </w:style>
  <w:style w:type="numbering" w:customStyle="1" w:styleId="Normallist8">
    <w:name w:val="Normal_list8"/>
    <w:basedOn w:val="NoList"/>
    <w:rsid w:val="00FB690D"/>
  </w:style>
  <w:style w:type="table" w:customStyle="1" w:styleId="GridTable1Light11">
    <w:name w:val="Grid Table 1 Light11"/>
    <w:basedOn w:val="TableNormal"/>
    <w:uiPriority w:val="46"/>
    <w:rsid w:val="00FB690D"/>
    <w:rPr>
      <w:rFonts w:ascii="Calibri" w:eastAsia="Calibri" w:hAnsi="Calibri" w:cs="Arial"/>
      <w:sz w:val="24"/>
      <w:szCs w:val="24"/>
      <w:lang w:val="es-ES_tradnl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2"/>
    <w:link w:val="Style1Char"/>
    <w:qFormat/>
    <w:rsid w:val="00FB690D"/>
    <w:pPr>
      <w:ind w:right="284" w:hanging="1247"/>
      <w:outlineLvl w:val="9"/>
    </w:pPr>
    <w:rPr>
      <w:rFonts w:eastAsia="MS Mincho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B690D"/>
    <w:pPr>
      <w:keepLines/>
      <w:tabs>
        <w:tab w:val="clear" w:pos="1247"/>
        <w:tab w:val="clear" w:pos="1814"/>
      </w:tabs>
      <w:spacing w:after="0" w:line="259" w:lineRule="auto"/>
      <w:ind w:left="0" w:firstLine="0"/>
      <w:outlineLvl w:val="9"/>
    </w:pPr>
    <w:rPr>
      <w:rFonts w:ascii="Calibri Light" w:eastAsia="MS Gothic" w:hAnsi="Calibri Light"/>
      <w:b w:val="0"/>
      <w:color w:val="2E74B5"/>
      <w:sz w:val="32"/>
      <w:szCs w:val="32"/>
    </w:rPr>
  </w:style>
  <w:style w:type="character" w:customStyle="1" w:styleId="Style1Char">
    <w:name w:val="Style1 Char"/>
    <w:basedOn w:val="Heading2Char"/>
    <w:link w:val="Style1"/>
    <w:rsid w:val="00FB690D"/>
    <w:rPr>
      <w:rFonts w:eastAsia="MS Mincho"/>
      <w:b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690D"/>
    <w:rPr>
      <w:sz w:val="24"/>
      <w:szCs w:val="24"/>
      <w:lang w:val="en-US" w:eastAsia="en-US"/>
    </w:rPr>
  </w:style>
  <w:style w:type="numbering" w:customStyle="1" w:styleId="Normallist12">
    <w:name w:val="Normal_list12"/>
    <w:basedOn w:val="NoList"/>
    <w:rsid w:val="00FB690D"/>
  </w:style>
  <w:style w:type="character" w:styleId="Emphasis">
    <w:name w:val="Emphasis"/>
    <w:basedOn w:val="DefaultParagraphFont"/>
    <w:qFormat/>
    <w:rsid w:val="00FB690D"/>
    <w:rPr>
      <w:i/>
      <w:iCs/>
    </w:rPr>
  </w:style>
  <w:style w:type="character" w:customStyle="1" w:styleId="job-value">
    <w:name w:val="job-value"/>
    <w:basedOn w:val="DefaultParagraphFont"/>
    <w:rsid w:val="00FB690D"/>
  </w:style>
  <w:style w:type="numbering" w:customStyle="1" w:styleId="NoList3">
    <w:name w:val="No List3"/>
    <w:next w:val="NoList"/>
    <w:uiPriority w:val="99"/>
    <w:semiHidden/>
    <w:unhideWhenUsed/>
    <w:rsid w:val="004843BC"/>
  </w:style>
  <w:style w:type="numbering" w:customStyle="1" w:styleId="Normallist4">
    <w:name w:val="Normal_list4"/>
    <w:basedOn w:val="NoList"/>
    <w:rsid w:val="004843BC"/>
  </w:style>
  <w:style w:type="numbering" w:customStyle="1" w:styleId="NoList12">
    <w:name w:val="No List12"/>
    <w:next w:val="NoList"/>
    <w:uiPriority w:val="99"/>
    <w:semiHidden/>
    <w:unhideWhenUsed/>
    <w:rsid w:val="004843BC"/>
  </w:style>
  <w:style w:type="numbering" w:customStyle="1" w:styleId="Normallist13">
    <w:name w:val="Normal_list13"/>
    <w:basedOn w:val="NoList"/>
    <w:rsid w:val="004843BC"/>
  </w:style>
  <w:style w:type="numbering" w:customStyle="1" w:styleId="Normallist112">
    <w:name w:val="Normal_list112"/>
    <w:rsid w:val="004843BC"/>
  </w:style>
  <w:style w:type="numbering" w:customStyle="1" w:styleId="Normallist21">
    <w:name w:val="Normal_list21"/>
    <w:rsid w:val="004843BC"/>
  </w:style>
  <w:style w:type="character" w:customStyle="1" w:styleId="DeltaViewInsertion">
    <w:name w:val="DeltaView Insertion"/>
    <w:uiPriority w:val="99"/>
    <w:rsid w:val="0077408A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77408A"/>
    <w:rPr>
      <w:color w:val="00C000"/>
      <w:u w:val="double"/>
    </w:rPr>
  </w:style>
  <w:style w:type="character" w:customStyle="1" w:styleId="FooterChar1">
    <w:name w:val="Footer Char1"/>
    <w:basedOn w:val="DefaultParagraphFont"/>
    <w:uiPriority w:val="99"/>
    <w:semiHidden/>
    <w:rsid w:val="0077408A"/>
    <w:rPr>
      <w:lang w:val="fr-FR"/>
    </w:rPr>
  </w:style>
  <w:style w:type="character" w:customStyle="1" w:styleId="HeaderChar1">
    <w:name w:val="Header Char1"/>
    <w:basedOn w:val="DefaultParagraphFont"/>
    <w:uiPriority w:val="99"/>
    <w:semiHidden/>
    <w:rsid w:val="0077408A"/>
    <w:rPr>
      <w:lang w:val="fr-FR"/>
    </w:rPr>
  </w:style>
  <w:style w:type="character" w:customStyle="1" w:styleId="DeltaViewDeletion">
    <w:name w:val="DeltaView Deletion"/>
    <w:uiPriority w:val="99"/>
    <w:rsid w:val="0077408A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eader" Target="header12.xml"/><Relationship Id="rId42" Type="http://schemas.openxmlformats.org/officeDocument/2006/relationships/footer" Target="footer10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image" Target="media/image7.jpeg"/><Relationship Id="rId33" Type="http://schemas.openxmlformats.org/officeDocument/2006/relationships/footer" Target="footer6.xml"/><Relationship Id="rId38" Type="http://schemas.openxmlformats.org/officeDocument/2006/relationships/header" Target="header14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4.xml"/><Relationship Id="rId32" Type="http://schemas.openxmlformats.org/officeDocument/2006/relationships/header" Target="header11.xml"/><Relationship Id="rId37" Type="http://schemas.openxmlformats.org/officeDocument/2006/relationships/footer" Target="footer8.xml"/><Relationship Id="rId40" Type="http://schemas.openxmlformats.org/officeDocument/2006/relationships/footer" Target="footer9.xml"/><Relationship Id="rId45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yperlink" Target="http://unterm.un.org/DGAACS/unterm.nsf/WebView/89752D0EE42F5EDF852575EC006B64B1?OpenDocument" TargetMode="External"/><Relationship Id="rId23" Type="http://schemas.openxmlformats.org/officeDocument/2006/relationships/header" Target="header5.xml"/><Relationship Id="rId28" Type="http://schemas.openxmlformats.org/officeDocument/2006/relationships/header" Target="header8.xml"/><Relationship Id="rId36" Type="http://schemas.openxmlformats.org/officeDocument/2006/relationships/footer" Target="footer7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31" Type="http://schemas.openxmlformats.org/officeDocument/2006/relationships/header" Target="header10.xml"/><Relationship Id="rId44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header" Target="header9.xml"/><Relationship Id="rId35" Type="http://schemas.openxmlformats.org/officeDocument/2006/relationships/header" Target="header13.xml"/><Relationship Id="rId43" Type="http://schemas.openxmlformats.org/officeDocument/2006/relationships/footer" Target="footer1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bes.net/guide-production-assess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E318-5B9E-4B99-8D22-188C7E3D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26342</Words>
  <Characters>144882</Characters>
  <Application>Microsoft Office Word</Application>
  <DocSecurity>0</DocSecurity>
  <Lines>1207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170883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Esther Nzigiye</cp:lastModifiedBy>
  <cp:revision>2</cp:revision>
  <cp:lastPrinted>2019-08-20T08:18:00Z</cp:lastPrinted>
  <dcterms:created xsi:type="dcterms:W3CDTF">2019-08-20T11:54:00Z</dcterms:created>
  <dcterms:modified xsi:type="dcterms:W3CDTF">2019-08-20T11:54:00Z</dcterms:modified>
</cp:coreProperties>
</file>