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Layout w:type="fixed"/>
        <w:tblLook w:val="0000" w:firstRow="0" w:lastRow="0" w:firstColumn="0" w:lastColumn="0" w:noHBand="0" w:noVBand="0"/>
      </w:tblPr>
      <w:tblGrid>
        <w:gridCol w:w="1489"/>
        <w:gridCol w:w="474"/>
        <w:gridCol w:w="498"/>
        <w:gridCol w:w="834"/>
        <w:gridCol w:w="971"/>
        <w:gridCol w:w="2350"/>
        <w:gridCol w:w="695"/>
        <w:gridCol w:w="558"/>
        <w:gridCol w:w="1627"/>
      </w:tblGrid>
      <w:tr w:rsidR="008034CE" w:rsidRPr="008C00D6" w:rsidTr="009527C6">
        <w:trPr>
          <w:cantSplit/>
          <w:trHeight w:val="1079"/>
          <w:jc w:val="right"/>
        </w:trPr>
        <w:tc>
          <w:tcPr>
            <w:tcW w:w="1526" w:type="dxa"/>
          </w:tcPr>
          <w:p w:rsidR="008034CE" w:rsidRPr="00024C14" w:rsidRDefault="008034CE" w:rsidP="00024C14">
            <w:pPr>
              <w:pStyle w:val="Normal-pool"/>
              <w:rPr>
                <w:rFonts w:ascii="Arial" w:hAnsi="Arial" w:cs="Arial"/>
                <w:b/>
                <w:sz w:val="27"/>
                <w:szCs w:val="27"/>
              </w:rPr>
            </w:pPr>
            <w:r w:rsidRPr="00024C14">
              <w:rPr>
                <w:rFonts w:ascii="Arial" w:hAnsi="Arial" w:cs="Arial"/>
                <w:b/>
                <w:noProof/>
                <w:sz w:val="27"/>
                <w:szCs w:val="27"/>
              </w:rPr>
              <w:t xml:space="preserve">UNITED </w:t>
            </w:r>
            <w:r w:rsidRPr="00024C14">
              <w:rPr>
                <w:rFonts w:ascii="Arial" w:hAnsi="Arial" w:cs="Arial"/>
                <w:b/>
                <w:noProof/>
                <w:sz w:val="27"/>
                <w:szCs w:val="27"/>
              </w:rPr>
              <w:br/>
              <w:t>NATIONS</w:t>
            </w:r>
          </w:p>
        </w:tc>
        <w:tc>
          <w:tcPr>
            <w:tcW w:w="992" w:type="dxa"/>
            <w:gridSpan w:val="2"/>
            <w:tcBorders>
              <w:left w:val="nil"/>
            </w:tcBorders>
            <w:vAlign w:val="center"/>
          </w:tcPr>
          <w:p w:rsidR="008034CE" w:rsidRPr="0081483A" w:rsidRDefault="008034CE" w:rsidP="001B6CA5">
            <w:pPr>
              <w:pStyle w:val="Normal-pool"/>
              <w:ind w:left="-108"/>
              <w:jc w:val="both"/>
            </w:pPr>
            <w:r>
              <w:rPr>
                <w:noProof/>
                <w:lang w:val="en-GB" w:eastAsia="en-GB"/>
              </w:rPr>
              <w:drawing>
                <wp:inline distT="0" distB="0" distL="0" distR="0" wp14:anchorId="7E3EC16A" wp14:editId="488EF7EB">
                  <wp:extent cx="537932" cy="468923"/>
                  <wp:effectExtent l="0" t="0" r="0" b="7620"/>
                  <wp:docPr id="10" name="Picture 10"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429" cy="475458"/>
                          </a:xfrm>
                          <a:prstGeom prst="rect">
                            <a:avLst/>
                          </a:prstGeom>
                          <a:noFill/>
                          <a:ln>
                            <a:noFill/>
                          </a:ln>
                        </pic:spPr>
                      </pic:pic>
                    </a:graphicData>
                  </a:graphic>
                </wp:inline>
              </w:drawing>
            </w:r>
          </w:p>
        </w:tc>
        <w:tc>
          <w:tcPr>
            <w:tcW w:w="851" w:type="dxa"/>
            <w:tcBorders>
              <w:left w:val="nil"/>
            </w:tcBorders>
            <w:vAlign w:val="center"/>
          </w:tcPr>
          <w:p w:rsidR="008034CE" w:rsidRPr="0081483A" w:rsidRDefault="008034CE" w:rsidP="001B6CA5">
            <w:pPr>
              <w:pStyle w:val="Normal-pool"/>
              <w:ind w:left="-108"/>
            </w:pPr>
            <w:r>
              <w:rPr>
                <w:noProof/>
                <w:lang w:val="en-GB" w:eastAsia="en-GB"/>
              </w:rPr>
              <w:drawing>
                <wp:inline distT="0" distB="0" distL="0" distR="0" wp14:anchorId="2FC9C851" wp14:editId="6B168C03">
                  <wp:extent cx="468455" cy="492369"/>
                  <wp:effectExtent l="0" t="0" r="8255" b="3175"/>
                  <wp:docPr id="5" name="Picture 5" descr="Description: Description: !U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NE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988" cy="490827"/>
                          </a:xfrm>
                          <a:prstGeom prst="rect">
                            <a:avLst/>
                          </a:prstGeom>
                          <a:noFill/>
                          <a:ln>
                            <a:noFill/>
                          </a:ln>
                        </pic:spPr>
                      </pic:pic>
                    </a:graphicData>
                  </a:graphic>
                </wp:inline>
              </w:drawing>
            </w:r>
          </w:p>
        </w:tc>
        <w:tc>
          <w:tcPr>
            <w:tcW w:w="992" w:type="dxa"/>
            <w:tcBorders>
              <w:left w:val="nil"/>
            </w:tcBorders>
            <w:vAlign w:val="center"/>
          </w:tcPr>
          <w:p w:rsidR="008034CE" w:rsidRPr="0081483A" w:rsidRDefault="008034CE" w:rsidP="001B6CA5">
            <w:pPr>
              <w:pStyle w:val="Normal-pool"/>
              <w:ind w:left="-108"/>
            </w:pPr>
            <w:r>
              <w:rPr>
                <w:noProof/>
                <w:lang w:val="en-GB" w:eastAsia="en-GB"/>
              </w:rPr>
              <w:drawing>
                <wp:inline distT="0" distB="0" distL="0" distR="0" wp14:anchorId="5B063EF5" wp14:editId="19AA1E30">
                  <wp:extent cx="574431" cy="475392"/>
                  <wp:effectExtent l="0" t="0" r="0" b="1270"/>
                  <wp:docPr id="7"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513" cy="474632"/>
                          </a:xfrm>
                          <a:prstGeom prst="rect">
                            <a:avLst/>
                          </a:prstGeom>
                          <a:noFill/>
                          <a:ln>
                            <a:noFill/>
                          </a:ln>
                        </pic:spPr>
                      </pic:pic>
                    </a:graphicData>
                  </a:graphic>
                </wp:inline>
              </w:drawing>
            </w:r>
          </w:p>
        </w:tc>
        <w:tc>
          <w:tcPr>
            <w:tcW w:w="2410" w:type="dxa"/>
            <w:tcBorders>
              <w:left w:val="nil"/>
            </w:tcBorders>
            <w:vAlign w:val="center"/>
          </w:tcPr>
          <w:p w:rsidR="008034CE" w:rsidRPr="0081483A" w:rsidRDefault="008034CE" w:rsidP="001B6CA5">
            <w:pPr>
              <w:pStyle w:val="Normal-pool"/>
              <w:ind w:left="-108"/>
            </w:pPr>
            <w:r>
              <w:rPr>
                <w:noProof/>
                <w:lang w:val="en-GB" w:eastAsia="en-GB"/>
              </w:rPr>
              <w:drawing>
                <wp:inline distT="0" distB="0" distL="0" distR="0" wp14:anchorId="2E54E178" wp14:editId="095A7DC2">
                  <wp:extent cx="1518138" cy="527539"/>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_logo_3lines_en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8139" cy="527539"/>
                          </a:xfrm>
                          <a:prstGeom prst="rect">
                            <a:avLst/>
                          </a:prstGeom>
                        </pic:spPr>
                      </pic:pic>
                    </a:graphicData>
                  </a:graphic>
                </wp:inline>
              </w:drawing>
            </w:r>
          </w:p>
        </w:tc>
        <w:tc>
          <w:tcPr>
            <w:tcW w:w="708" w:type="dxa"/>
            <w:tcBorders>
              <w:left w:val="nil"/>
              <w:right w:val="nil"/>
            </w:tcBorders>
          </w:tcPr>
          <w:p w:rsidR="008034CE" w:rsidRPr="0081483A" w:rsidRDefault="008034CE" w:rsidP="00024C14">
            <w:pPr>
              <w:pStyle w:val="Normal-pool"/>
            </w:pPr>
            <w:r>
              <w:rPr>
                <w:noProof/>
                <w:lang w:val="en-GB" w:eastAsia="en-GB"/>
              </w:rPr>
              <w:drawing>
                <wp:inline distT="0" distB="0" distL="0" distR="0" wp14:anchorId="6F9721B0" wp14:editId="13F44F35">
                  <wp:extent cx="287215" cy="562232"/>
                  <wp:effectExtent l="0" t="0" r="0" b="0"/>
                  <wp:docPr id="12" name="Picture 12" descr="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E:\Logos\UNDP (bl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215" cy="562232"/>
                          </a:xfrm>
                          <a:prstGeom prst="rect">
                            <a:avLst/>
                          </a:prstGeom>
                          <a:noFill/>
                          <a:ln>
                            <a:noFill/>
                          </a:ln>
                        </pic:spPr>
                      </pic:pic>
                    </a:graphicData>
                  </a:graphic>
                </wp:inline>
              </w:drawing>
            </w:r>
          </w:p>
        </w:tc>
        <w:tc>
          <w:tcPr>
            <w:tcW w:w="567" w:type="dxa"/>
            <w:tcBorders>
              <w:left w:val="nil"/>
            </w:tcBorders>
            <w:vAlign w:val="center"/>
          </w:tcPr>
          <w:p w:rsidR="008034CE" w:rsidRPr="0081483A" w:rsidRDefault="008034CE" w:rsidP="00024C14">
            <w:pPr>
              <w:pStyle w:val="Normal-pool"/>
            </w:pPr>
          </w:p>
        </w:tc>
        <w:tc>
          <w:tcPr>
            <w:tcW w:w="1666" w:type="dxa"/>
          </w:tcPr>
          <w:p w:rsidR="008034CE" w:rsidRPr="00024C14" w:rsidRDefault="008034CE" w:rsidP="00024C14">
            <w:pPr>
              <w:pStyle w:val="Normal-pool"/>
              <w:rPr>
                <w:rFonts w:ascii="Arial" w:hAnsi="Arial" w:cs="Arial"/>
                <w:b/>
                <w:sz w:val="64"/>
                <w:szCs w:val="64"/>
              </w:rPr>
            </w:pPr>
            <w:r w:rsidRPr="00024C14">
              <w:rPr>
                <w:rFonts w:ascii="Arial" w:hAnsi="Arial" w:cs="Arial"/>
                <w:b/>
                <w:sz w:val="64"/>
                <w:szCs w:val="64"/>
              </w:rPr>
              <w:t>BES</w:t>
            </w:r>
          </w:p>
        </w:tc>
      </w:tr>
      <w:tr w:rsidR="008034CE" w:rsidRPr="008C00D6" w:rsidTr="009527C6">
        <w:trPr>
          <w:cantSplit/>
          <w:trHeight w:val="282"/>
          <w:jc w:val="right"/>
        </w:trPr>
        <w:tc>
          <w:tcPr>
            <w:tcW w:w="1526" w:type="dxa"/>
            <w:tcBorders>
              <w:bottom w:val="single" w:sz="2" w:space="0" w:color="auto"/>
            </w:tcBorders>
          </w:tcPr>
          <w:p w:rsidR="008034CE" w:rsidRPr="0081483A" w:rsidRDefault="008034CE" w:rsidP="00024C14">
            <w:pPr>
              <w:pStyle w:val="Normal-pool"/>
              <w:rPr>
                <w:noProof/>
              </w:rPr>
            </w:pPr>
          </w:p>
        </w:tc>
        <w:tc>
          <w:tcPr>
            <w:tcW w:w="5953" w:type="dxa"/>
            <w:gridSpan w:val="6"/>
            <w:tcBorders>
              <w:bottom w:val="single" w:sz="2" w:space="0" w:color="auto"/>
            </w:tcBorders>
          </w:tcPr>
          <w:p w:rsidR="008034CE" w:rsidRPr="00EA5E72" w:rsidRDefault="008034CE" w:rsidP="00024C14">
            <w:pPr>
              <w:pStyle w:val="Normal-pool"/>
              <w:rPr>
                <w:sz w:val="24"/>
                <w:szCs w:val="24"/>
              </w:rPr>
            </w:pPr>
          </w:p>
        </w:tc>
        <w:tc>
          <w:tcPr>
            <w:tcW w:w="2233" w:type="dxa"/>
            <w:gridSpan w:val="2"/>
            <w:tcBorders>
              <w:bottom w:val="single" w:sz="2" w:space="0" w:color="auto"/>
            </w:tcBorders>
          </w:tcPr>
          <w:p w:rsidR="008034CE" w:rsidRPr="00EA5E72" w:rsidRDefault="008034CE" w:rsidP="00024C14">
            <w:pPr>
              <w:pStyle w:val="Normal-pool"/>
              <w:rPr>
                <w:sz w:val="24"/>
                <w:szCs w:val="24"/>
              </w:rPr>
            </w:pPr>
            <w:r w:rsidRPr="000B6004">
              <w:rPr>
                <w:b/>
                <w:sz w:val="24"/>
                <w:szCs w:val="24"/>
              </w:rPr>
              <w:t>IPBES</w:t>
            </w:r>
            <w:r w:rsidR="007E2B3C" w:rsidRPr="000B6004">
              <w:t>/6</w:t>
            </w:r>
            <w:r w:rsidR="00A1148A" w:rsidRPr="000B6004">
              <w:t>/</w:t>
            </w:r>
            <w:r w:rsidR="000B6004" w:rsidRPr="000B6004">
              <w:t>INF/20</w:t>
            </w:r>
            <w:r w:rsidR="005939EB" w:rsidRPr="00813B3E">
              <w:rPr>
                <w:rStyle w:val="FootnoteReference"/>
                <w:szCs w:val="20"/>
                <w:vertAlign w:val="baseline"/>
              </w:rPr>
              <w:footnoteReference w:customMarkFollows="1" w:id="1"/>
              <w:t>*</w:t>
            </w:r>
          </w:p>
        </w:tc>
      </w:tr>
      <w:tr w:rsidR="008034CE" w:rsidRPr="006A72F0" w:rsidTr="009527C6">
        <w:trPr>
          <w:cantSplit/>
          <w:trHeight w:val="1433"/>
          <w:jc w:val="right"/>
        </w:trPr>
        <w:tc>
          <w:tcPr>
            <w:tcW w:w="2009" w:type="dxa"/>
            <w:gridSpan w:val="2"/>
            <w:tcBorders>
              <w:top w:val="single" w:sz="2" w:space="0" w:color="auto"/>
              <w:bottom w:val="single" w:sz="24" w:space="0" w:color="auto"/>
            </w:tcBorders>
          </w:tcPr>
          <w:p w:rsidR="008034CE" w:rsidRPr="0081483A" w:rsidRDefault="008034CE" w:rsidP="00024C14">
            <w:pPr>
              <w:pStyle w:val="Normal-pool"/>
              <w:spacing w:before="240" w:after="240"/>
              <w:rPr>
                <w:sz w:val="28"/>
                <w:szCs w:val="28"/>
              </w:rPr>
            </w:pPr>
            <w:r>
              <w:rPr>
                <w:noProof/>
                <w:sz w:val="28"/>
                <w:szCs w:val="28"/>
                <w:lang w:val="en-GB" w:eastAsia="en-GB"/>
              </w:rPr>
              <w:drawing>
                <wp:inline distT="0" distB="0" distL="0" distR="0" wp14:anchorId="1E8F57E2" wp14:editId="67559D3B">
                  <wp:extent cx="1111406"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406" cy="519379"/>
                          </a:xfrm>
                          <a:prstGeom prst="rect">
                            <a:avLst/>
                          </a:prstGeom>
                        </pic:spPr>
                      </pic:pic>
                    </a:graphicData>
                  </a:graphic>
                </wp:inline>
              </w:drawing>
            </w:r>
          </w:p>
        </w:tc>
        <w:tc>
          <w:tcPr>
            <w:tcW w:w="5470" w:type="dxa"/>
            <w:gridSpan w:val="5"/>
            <w:tcBorders>
              <w:top w:val="single" w:sz="2" w:space="0" w:color="auto"/>
              <w:bottom w:val="single" w:sz="24" w:space="0" w:color="auto"/>
            </w:tcBorders>
          </w:tcPr>
          <w:p w:rsidR="008034CE" w:rsidRPr="00585B4A" w:rsidRDefault="008034CE" w:rsidP="00024C14">
            <w:pPr>
              <w:pStyle w:val="Normal-pool"/>
              <w:spacing w:before="120" w:after="240"/>
              <w:rPr>
                <w:rFonts w:ascii="Arial" w:hAnsi="Arial" w:cs="Arial"/>
                <w:b/>
                <w:lang w:val="en-GB"/>
              </w:rPr>
            </w:pPr>
            <w:r w:rsidRPr="00585B4A">
              <w:rPr>
                <w:rFonts w:ascii="Arial" w:hAnsi="Arial" w:cs="Arial"/>
                <w:b/>
                <w:sz w:val="28"/>
                <w:szCs w:val="28"/>
                <w:lang w:val="en-GB"/>
              </w:rPr>
              <w:t>Intergovernmental Science-Policy Platform on Biodiversity and Ecosystem Service</w:t>
            </w:r>
            <w:bookmarkStart w:id="0" w:name="_GoBack"/>
            <w:bookmarkEnd w:id="0"/>
            <w:r w:rsidRPr="00585B4A">
              <w:rPr>
                <w:rFonts w:ascii="Arial" w:hAnsi="Arial" w:cs="Arial"/>
                <w:b/>
                <w:sz w:val="28"/>
                <w:szCs w:val="28"/>
                <w:lang w:val="en-GB"/>
              </w:rPr>
              <w:t>s</w:t>
            </w:r>
          </w:p>
        </w:tc>
        <w:tc>
          <w:tcPr>
            <w:tcW w:w="2233" w:type="dxa"/>
            <w:gridSpan w:val="2"/>
            <w:tcBorders>
              <w:top w:val="single" w:sz="2" w:space="0" w:color="auto"/>
              <w:bottom w:val="single" w:sz="24" w:space="0" w:color="auto"/>
            </w:tcBorders>
          </w:tcPr>
          <w:p w:rsidR="008034CE" w:rsidRPr="00585B4A" w:rsidRDefault="008034CE" w:rsidP="00024C14">
            <w:pPr>
              <w:pStyle w:val="Normal-pool"/>
              <w:spacing w:before="120" w:after="120"/>
              <w:rPr>
                <w:lang w:val="en-GB"/>
              </w:rPr>
            </w:pPr>
            <w:r w:rsidRPr="00585B4A">
              <w:rPr>
                <w:lang w:val="en-GB"/>
              </w:rPr>
              <w:t>Distr.: General</w:t>
            </w:r>
            <w:r w:rsidRPr="00585B4A">
              <w:rPr>
                <w:lang w:val="en-GB"/>
              </w:rPr>
              <w:br/>
            </w:r>
            <w:r w:rsidR="000B6004" w:rsidRPr="00585B4A">
              <w:rPr>
                <w:lang w:val="en-GB"/>
              </w:rPr>
              <w:t>29</w:t>
            </w:r>
            <w:r w:rsidR="00A1148A" w:rsidRPr="00585B4A">
              <w:rPr>
                <w:lang w:val="en-GB"/>
              </w:rPr>
              <w:t xml:space="preserve"> January </w:t>
            </w:r>
            <w:r w:rsidR="007E2B3C" w:rsidRPr="00585B4A">
              <w:rPr>
                <w:lang w:val="en-GB"/>
              </w:rPr>
              <w:t>201</w:t>
            </w:r>
            <w:r w:rsidR="00A1148A" w:rsidRPr="00585B4A">
              <w:rPr>
                <w:lang w:val="en-GB"/>
              </w:rPr>
              <w:t>8</w:t>
            </w:r>
          </w:p>
          <w:p w:rsidR="008034CE" w:rsidRPr="00585B4A" w:rsidRDefault="008034CE" w:rsidP="00024C14">
            <w:pPr>
              <w:pStyle w:val="Normal-pool"/>
              <w:spacing w:after="240"/>
              <w:rPr>
                <w:lang w:val="en-GB"/>
              </w:rPr>
            </w:pPr>
            <w:r w:rsidRPr="00585B4A">
              <w:rPr>
                <w:lang w:val="en-GB"/>
              </w:rPr>
              <w:t>Original: English</w:t>
            </w:r>
          </w:p>
        </w:tc>
      </w:tr>
    </w:tbl>
    <w:p w:rsidR="007F3540" w:rsidRPr="00585B4A" w:rsidRDefault="007F3540" w:rsidP="00024C14">
      <w:pPr>
        <w:pStyle w:val="AATitle"/>
        <w:rPr>
          <w:lang w:val="en-GB"/>
        </w:rPr>
      </w:pPr>
      <w:r w:rsidRPr="00585B4A">
        <w:rPr>
          <w:lang w:val="en-GB"/>
        </w:rPr>
        <w:t>Plenary of the Intergovernmental Science-Policy</w:t>
      </w:r>
    </w:p>
    <w:p w:rsidR="007F3540" w:rsidRPr="00585B4A" w:rsidRDefault="007F3540" w:rsidP="00024C14">
      <w:pPr>
        <w:pStyle w:val="AATitle"/>
        <w:rPr>
          <w:lang w:val="en-GB"/>
        </w:rPr>
      </w:pPr>
      <w:r w:rsidRPr="00585B4A">
        <w:rPr>
          <w:lang w:val="en-GB"/>
        </w:rPr>
        <w:t>Platform on Biodiversity and Ecosystem Services</w:t>
      </w:r>
    </w:p>
    <w:p w:rsidR="007F3540" w:rsidRPr="00585B4A" w:rsidRDefault="007E2B3C" w:rsidP="00024C14">
      <w:pPr>
        <w:pStyle w:val="AATitle"/>
        <w:rPr>
          <w:lang w:val="en-GB"/>
        </w:rPr>
      </w:pPr>
      <w:r w:rsidRPr="00585B4A">
        <w:rPr>
          <w:lang w:val="en-GB"/>
        </w:rPr>
        <w:t>Six</w:t>
      </w:r>
      <w:r w:rsidR="007F3540" w:rsidRPr="00585B4A">
        <w:rPr>
          <w:lang w:val="en-GB"/>
        </w:rPr>
        <w:t>th session</w:t>
      </w:r>
    </w:p>
    <w:p w:rsidR="007F3540" w:rsidRPr="00585B4A" w:rsidRDefault="007E2B3C" w:rsidP="00024C14">
      <w:pPr>
        <w:pStyle w:val="AATitle"/>
        <w:rPr>
          <w:b w:val="0"/>
          <w:lang w:val="en-GB"/>
        </w:rPr>
      </w:pPr>
      <w:r w:rsidRPr="00585B4A">
        <w:rPr>
          <w:b w:val="0"/>
          <w:lang w:val="en-GB"/>
        </w:rPr>
        <w:t>Medellin</w:t>
      </w:r>
      <w:r w:rsidR="007F3540" w:rsidRPr="00585B4A">
        <w:rPr>
          <w:b w:val="0"/>
          <w:lang w:val="en-GB"/>
        </w:rPr>
        <w:t xml:space="preserve">, </w:t>
      </w:r>
      <w:r w:rsidRPr="00585B4A">
        <w:rPr>
          <w:b w:val="0"/>
          <w:lang w:val="en-GB"/>
        </w:rPr>
        <w:t>Colombia</w:t>
      </w:r>
      <w:r w:rsidR="007F3540" w:rsidRPr="00585B4A">
        <w:rPr>
          <w:b w:val="0"/>
          <w:lang w:val="en-GB"/>
        </w:rPr>
        <w:t xml:space="preserve">, </w:t>
      </w:r>
      <w:r w:rsidR="00B75656" w:rsidRPr="00585B4A">
        <w:rPr>
          <w:b w:val="0"/>
          <w:lang w:val="en-GB"/>
        </w:rPr>
        <w:t>1</w:t>
      </w:r>
      <w:r w:rsidR="006A72F0" w:rsidRPr="00585B4A">
        <w:rPr>
          <w:b w:val="0"/>
          <w:lang w:val="en-GB"/>
        </w:rPr>
        <w:t>8</w:t>
      </w:r>
      <w:r w:rsidR="009E78C3" w:rsidRPr="00585B4A">
        <w:rPr>
          <w:b w:val="0"/>
          <w:lang w:val="en-GB"/>
        </w:rPr>
        <w:t>–</w:t>
      </w:r>
      <w:r w:rsidR="00351B05" w:rsidRPr="00585B4A">
        <w:rPr>
          <w:b w:val="0"/>
          <w:lang w:val="en-GB"/>
        </w:rPr>
        <w:t>24</w:t>
      </w:r>
      <w:r w:rsidR="007F3540" w:rsidRPr="00585B4A">
        <w:rPr>
          <w:b w:val="0"/>
          <w:lang w:val="en-GB"/>
        </w:rPr>
        <w:t xml:space="preserve"> March </w:t>
      </w:r>
      <w:r w:rsidR="00B75656" w:rsidRPr="00585B4A">
        <w:rPr>
          <w:b w:val="0"/>
          <w:lang w:val="en-GB"/>
        </w:rPr>
        <w:t>2018</w:t>
      </w:r>
    </w:p>
    <w:p w:rsidR="000B6004" w:rsidRPr="00585B4A" w:rsidRDefault="000B6004" w:rsidP="000B6004">
      <w:pPr>
        <w:pStyle w:val="AATitle"/>
        <w:rPr>
          <w:b w:val="0"/>
          <w:lang w:val="en-GB"/>
        </w:rPr>
      </w:pPr>
      <w:r w:rsidRPr="00585B4A">
        <w:rPr>
          <w:b w:val="0"/>
          <w:lang w:val="en-GB"/>
        </w:rPr>
        <w:t>Item 5 of the provisional agenda</w:t>
      </w:r>
      <w:r w:rsidR="00CA4E8A">
        <w:rPr>
          <w:b w:val="0"/>
          <w:lang w:val="en-US"/>
        </w:rPr>
        <w:t>*</w:t>
      </w:r>
      <w:r w:rsidR="00CA4E8A" w:rsidRPr="00B2453B">
        <w:rPr>
          <w:rStyle w:val="FootnoteReference"/>
          <w:b w:val="0"/>
          <w:szCs w:val="20"/>
          <w:vertAlign w:val="baseline"/>
          <w:lang w:val="en-US"/>
        </w:rPr>
        <w:footnoteReference w:customMarkFollows="1" w:id="2"/>
        <w:t>*</w:t>
      </w:r>
    </w:p>
    <w:p w:rsidR="000B6004" w:rsidRPr="00585B4A" w:rsidRDefault="000B6004" w:rsidP="000B6004">
      <w:pPr>
        <w:pStyle w:val="AATitle2"/>
        <w:spacing w:before="60"/>
        <w:rPr>
          <w:lang w:val="en-GB"/>
        </w:rPr>
      </w:pPr>
      <w:r w:rsidRPr="00585B4A">
        <w:rPr>
          <w:lang w:val="en-GB"/>
        </w:rPr>
        <w:t xml:space="preserve">Report of the Executive Secretary on the implementation </w:t>
      </w:r>
      <w:r w:rsidRPr="00585B4A">
        <w:rPr>
          <w:lang w:val="en-GB"/>
        </w:rPr>
        <w:br/>
        <w:t>of the first work programme for the period 2014–2018</w:t>
      </w:r>
    </w:p>
    <w:p w:rsidR="000B6004" w:rsidRPr="00585B4A" w:rsidRDefault="000B6004" w:rsidP="000B6004">
      <w:pPr>
        <w:pStyle w:val="BBTitle"/>
        <w:rPr>
          <w:lang w:val="en-GB"/>
        </w:rPr>
      </w:pPr>
      <w:r w:rsidRPr="00585B4A">
        <w:rPr>
          <w:lang w:val="en-GB"/>
        </w:rPr>
        <w:t>Report on the institutional arrangements established to operationalize technical support for the implementation of the work programme</w:t>
      </w:r>
    </w:p>
    <w:p w:rsidR="000B6004" w:rsidRPr="00585B4A" w:rsidRDefault="000B6004" w:rsidP="000B6004">
      <w:pPr>
        <w:pStyle w:val="CH2"/>
        <w:rPr>
          <w:lang w:val="en-GB"/>
        </w:rPr>
      </w:pPr>
      <w:r w:rsidRPr="00585B4A">
        <w:rPr>
          <w:lang w:val="en-GB"/>
        </w:rPr>
        <w:tab/>
      </w:r>
      <w:r w:rsidRPr="00585B4A">
        <w:rPr>
          <w:lang w:val="en-GB"/>
        </w:rPr>
        <w:tab/>
        <w:t>Note by the secretariat</w:t>
      </w:r>
    </w:p>
    <w:p w:rsidR="006A72F0" w:rsidRDefault="000B6004" w:rsidP="00585B4A">
      <w:pPr>
        <w:pStyle w:val="Normal-pool"/>
        <w:numPr>
          <w:ilvl w:val="0"/>
          <w:numId w:val="63"/>
        </w:numPr>
        <w:tabs>
          <w:tab w:val="clear" w:pos="1247"/>
          <w:tab w:val="clear" w:pos="1814"/>
          <w:tab w:val="clear" w:pos="2381"/>
          <w:tab w:val="clear" w:pos="2948"/>
          <w:tab w:val="clear" w:pos="3515"/>
          <w:tab w:val="clear" w:pos="4082"/>
          <w:tab w:val="left" w:pos="624"/>
        </w:tabs>
        <w:spacing w:after="120"/>
        <w:ind w:left="1247" w:firstLine="0"/>
      </w:pPr>
      <w:r w:rsidRPr="006A72F0">
        <w:t>In its decision IPBES-2/5, on the work programme for the period 2014–2018, the Plenary of the Intergovernmental Science-Policy Platform on Biodiversity and Ecosystem Services (IPBES) requested the secretariat, in consultation with the Bureau and in accordance with the approved budget set out in the annex to decision IPBES</w:t>
      </w:r>
      <w:r w:rsidRPr="006A72F0">
        <w:noBreakHyphen/>
        <w:t xml:space="preserve">2/6, on the status of contributions and expenditures to date and the budget for the biennium 2014–2015, to establish the institutional arrangements necessary to operationalize the technical support outlined in the note by the secretariat on establishing institutional arrangements in support of the work programme for the period 2014–2018 (IPBES/2/INF/10). </w:t>
      </w:r>
    </w:p>
    <w:p w:rsidR="00B33DFE" w:rsidRDefault="000B6004" w:rsidP="00585B4A">
      <w:pPr>
        <w:pStyle w:val="Normal-pool"/>
        <w:numPr>
          <w:ilvl w:val="0"/>
          <w:numId w:val="63"/>
        </w:numPr>
        <w:tabs>
          <w:tab w:val="clear" w:pos="1247"/>
          <w:tab w:val="clear" w:pos="1814"/>
          <w:tab w:val="clear" w:pos="2381"/>
          <w:tab w:val="clear" w:pos="2948"/>
          <w:tab w:val="clear" w:pos="3515"/>
          <w:tab w:val="clear" w:pos="4082"/>
          <w:tab w:val="left" w:pos="624"/>
        </w:tabs>
        <w:spacing w:after="120"/>
        <w:ind w:left="1247" w:firstLine="0"/>
      </w:pPr>
      <w:r w:rsidRPr="006A72F0">
        <w:t xml:space="preserve">At its third, fourth and fifth sessions, the Plenary provided further guidance regarding the implementation of the first work programme. In </w:t>
      </w:r>
      <w:proofErr w:type="spellStart"/>
      <w:r w:rsidR="00A028C7">
        <w:t>its</w:t>
      </w:r>
      <w:proofErr w:type="spellEnd"/>
      <w:r w:rsidR="00A028C7">
        <w:t xml:space="preserve"> </w:t>
      </w:r>
      <w:proofErr w:type="spellStart"/>
      <w:r w:rsidRPr="006A72F0">
        <w:t>decisions</w:t>
      </w:r>
      <w:proofErr w:type="spellEnd"/>
      <w:r w:rsidRPr="006A72F0">
        <w:t xml:space="preserve"> IPBES</w:t>
      </w:r>
      <w:r w:rsidRPr="006A72F0">
        <w:noBreakHyphen/>
        <w:t>3/1</w:t>
      </w:r>
      <w:r w:rsidR="007B60E7">
        <w:t xml:space="preserve">, </w:t>
      </w:r>
      <w:r w:rsidRPr="006A72F0">
        <w:t xml:space="preserve">on the </w:t>
      </w:r>
      <w:proofErr w:type="spellStart"/>
      <w:r w:rsidRPr="006A72F0">
        <w:t>work</w:t>
      </w:r>
      <w:proofErr w:type="spellEnd"/>
      <w:r w:rsidRPr="006A72F0">
        <w:t xml:space="preserve"> programme for the </w:t>
      </w:r>
      <w:proofErr w:type="spellStart"/>
      <w:r w:rsidRPr="006A72F0">
        <w:t>period</w:t>
      </w:r>
      <w:proofErr w:type="spellEnd"/>
      <w:r w:rsidRPr="006A72F0">
        <w:t xml:space="preserve"> 2014–2018, IPBES</w:t>
      </w:r>
      <w:r w:rsidRPr="006A72F0">
        <w:noBreakHyphen/>
        <w:t>4/1</w:t>
      </w:r>
      <w:r w:rsidR="007B60E7">
        <w:t xml:space="preserve">, </w:t>
      </w:r>
      <w:r w:rsidRPr="006A72F0">
        <w:t>on the work programme of the Platform, and  IPBES-5/1</w:t>
      </w:r>
      <w:r w:rsidR="007B60E7">
        <w:t xml:space="preserve">, </w:t>
      </w:r>
      <w:r w:rsidRPr="006A72F0">
        <w:t xml:space="preserve">on implementation of the first work programme of the Platform, the </w:t>
      </w:r>
      <w:proofErr w:type="spellStart"/>
      <w:r w:rsidRPr="006A72F0">
        <w:t>Plenary</w:t>
      </w:r>
      <w:proofErr w:type="spellEnd"/>
      <w:r w:rsidRPr="006A72F0">
        <w:t xml:space="preserve"> </w:t>
      </w:r>
      <w:proofErr w:type="spellStart"/>
      <w:r w:rsidRPr="006A72F0">
        <w:t>requested</w:t>
      </w:r>
      <w:proofErr w:type="spellEnd"/>
      <w:r w:rsidRPr="006A72F0">
        <w:t xml:space="preserve"> the </w:t>
      </w:r>
      <w:proofErr w:type="spellStart"/>
      <w:r w:rsidRPr="006A72F0">
        <w:t>secretariat</w:t>
      </w:r>
      <w:proofErr w:type="spellEnd"/>
      <w:r w:rsidRPr="006A72F0">
        <w:t xml:space="preserve">, in consultation with the Bureau and in accordance with the approved budgets set out in the annexes to </w:t>
      </w:r>
      <w:proofErr w:type="spellStart"/>
      <w:r w:rsidRPr="006A72F0">
        <w:t>decisions</w:t>
      </w:r>
      <w:proofErr w:type="spellEnd"/>
      <w:r w:rsidRPr="006A72F0">
        <w:t xml:space="preserve"> IPBES-3/2, IPBES-4/2 and IPBES-5/6</w:t>
      </w:r>
      <w:r w:rsidR="00273A7F">
        <w:t xml:space="preserve"> </w:t>
      </w:r>
      <w:proofErr w:type="spellStart"/>
      <w:r w:rsidR="00273A7F">
        <w:t>respectively</w:t>
      </w:r>
      <w:proofErr w:type="spellEnd"/>
      <w:r w:rsidR="00273A7F">
        <w:t xml:space="preserve">, </w:t>
      </w:r>
      <w:r w:rsidRPr="006A72F0">
        <w:t xml:space="preserve">on </w:t>
      </w:r>
      <w:proofErr w:type="spellStart"/>
      <w:r w:rsidRPr="006A72F0">
        <w:t>financial</w:t>
      </w:r>
      <w:proofErr w:type="spellEnd"/>
      <w:r w:rsidRPr="006A72F0">
        <w:t xml:space="preserve"> and </w:t>
      </w:r>
      <w:proofErr w:type="spellStart"/>
      <w:r w:rsidRPr="006A72F0">
        <w:t>budgetary</w:t>
      </w:r>
      <w:proofErr w:type="spellEnd"/>
      <w:r w:rsidRPr="006A72F0">
        <w:t xml:space="preserve"> arrangements, to </w:t>
      </w:r>
      <w:proofErr w:type="spellStart"/>
      <w:r w:rsidRPr="006A72F0">
        <w:t>establish</w:t>
      </w:r>
      <w:proofErr w:type="spellEnd"/>
      <w:r w:rsidRPr="006A72F0">
        <w:t xml:space="preserve"> the institutional arrangements necessary to operationalize</w:t>
      </w:r>
      <w:r w:rsidR="00273A7F">
        <w:t xml:space="preserve"> the</w:t>
      </w:r>
      <w:r w:rsidRPr="006A72F0">
        <w:t xml:space="preserve"> technical support</w:t>
      </w:r>
      <w:r w:rsidR="007B60E7">
        <w:t xml:space="preserve"> required for the work programme</w:t>
      </w:r>
      <w:r w:rsidRPr="006A72F0">
        <w:t xml:space="preserve">. </w:t>
      </w:r>
    </w:p>
    <w:p w:rsidR="000B6004" w:rsidRPr="006A72F0" w:rsidRDefault="000B6004" w:rsidP="00585B4A">
      <w:pPr>
        <w:pStyle w:val="Normal-pool"/>
        <w:numPr>
          <w:ilvl w:val="0"/>
          <w:numId w:val="63"/>
        </w:numPr>
        <w:tabs>
          <w:tab w:val="clear" w:pos="1247"/>
          <w:tab w:val="clear" w:pos="1814"/>
          <w:tab w:val="clear" w:pos="2381"/>
          <w:tab w:val="clear" w:pos="2948"/>
          <w:tab w:val="clear" w:pos="3515"/>
          <w:tab w:val="clear" w:pos="4082"/>
          <w:tab w:val="left" w:pos="624"/>
        </w:tabs>
        <w:spacing w:after="120"/>
        <w:ind w:left="1247" w:firstLine="0"/>
      </w:pPr>
      <w:r w:rsidRPr="006A72F0">
        <w:t xml:space="preserve">The </w:t>
      </w:r>
      <w:proofErr w:type="spellStart"/>
      <w:r w:rsidRPr="006A72F0">
        <w:t>annex</w:t>
      </w:r>
      <w:proofErr w:type="spellEnd"/>
      <w:r w:rsidRPr="006A72F0">
        <w:t xml:space="preserve"> to the </w:t>
      </w:r>
      <w:proofErr w:type="spellStart"/>
      <w:r w:rsidRPr="006A72F0">
        <w:t>present</w:t>
      </w:r>
      <w:proofErr w:type="spellEnd"/>
      <w:r w:rsidRPr="006A72F0">
        <w:t xml:space="preserve"> note, which is presented without formal editing, sets out information on the </w:t>
      </w:r>
      <w:proofErr w:type="spellStart"/>
      <w:r w:rsidRPr="006A72F0">
        <w:t>various</w:t>
      </w:r>
      <w:proofErr w:type="spellEnd"/>
      <w:r w:rsidRPr="006A72F0">
        <w:t xml:space="preserve"> </w:t>
      </w:r>
      <w:proofErr w:type="spellStart"/>
      <w:r w:rsidRPr="006A72F0">
        <w:t>institutional</w:t>
      </w:r>
      <w:proofErr w:type="spellEnd"/>
      <w:r w:rsidRPr="006A72F0">
        <w:t xml:space="preserve"> arrangements </w:t>
      </w:r>
      <w:proofErr w:type="spellStart"/>
      <w:r w:rsidRPr="006A72F0">
        <w:t>established</w:t>
      </w:r>
      <w:proofErr w:type="spellEnd"/>
      <w:r w:rsidRPr="006A72F0">
        <w:t xml:space="preserve"> </w:t>
      </w:r>
      <w:proofErr w:type="spellStart"/>
      <w:r w:rsidR="00B33DFE">
        <w:t>between</w:t>
      </w:r>
      <w:proofErr w:type="spellEnd"/>
      <w:r w:rsidR="00B33DFE">
        <w:t xml:space="preserve"> 2014 and </w:t>
      </w:r>
      <w:r w:rsidRPr="006A72F0">
        <w:t>2017</w:t>
      </w:r>
      <w:r w:rsidR="00B33DFE">
        <w:t xml:space="preserve">. </w:t>
      </w:r>
    </w:p>
    <w:p w:rsidR="00546A3E" w:rsidRPr="00585B4A" w:rsidRDefault="00546A3E">
      <w:pPr>
        <w:tabs>
          <w:tab w:val="clear" w:pos="1247"/>
          <w:tab w:val="clear" w:pos="1814"/>
          <w:tab w:val="clear" w:pos="2381"/>
          <w:tab w:val="clear" w:pos="2948"/>
          <w:tab w:val="clear" w:pos="3515"/>
        </w:tabs>
        <w:rPr>
          <w:rFonts w:eastAsia="Times New Roman" w:cs="Times New Roman"/>
          <w:lang w:val="en-GB"/>
        </w:rPr>
      </w:pPr>
      <w:r w:rsidRPr="00585B4A">
        <w:rPr>
          <w:lang w:val="en-GB"/>
        </w:rPr>
        <w:br w:type="page"/>
      </w:r>
    </w:p>
    <w:p w:rsidR="000B6004" w:rsidRPr="00585B4A" w:rsidRDefault="000B6004" w:rsidP="000B6004">
      <w:pPr>
        <w:pStyle w:val="ZZAnxheader"/>
        <w:rPr>
          <w:lang w:val="en-GB"/>
        </w:rPr>
      </w:pPr>
      <w:r w:rsidRPr="00585B4A">
        <w:rPr>
          <w:lang w:val="en-GB"/>
        </w:rPr>
        <w:lastRenderedPageBreak/>
        <w:t>Annex</w:t>
      </w:r>
    </w:p>
    <w:p w:rsidR="000B6004" w:rsidRPr="00585B4A" w:rsidRDefault="000B6004" w:rsidP="000B6004">
      <w:pPr>
        <w:pStyle w:val="ZZAnxtitle"/>
        <w:rPr>
          <w:lang w:val="en-GB"/>
        </w:rPr>
      </w:pPr>
      <w:r w:rsidRPr="00585B4A">
        <w:rPr>
          <w:lang w:val="en-GB"/>
        </w:rPr>
        <w:t>Institutional arrangements established from 2014 to 2017 to operationalize technical support for the implementation of the work programme</w:t>
      </w:r>
    </w:p>
    <w:p w:rsidR="000B6004" w:rsidRPr="003E390D" w:rsidRDefault="000B6004" w:rsidP="003E390D">
      <w:pPr>
        <w:pStyle w:val="Normalnumber"/>
        <w:numPr>
          <w:ilvl w:val="0"/>
          <w:numId w:val="37"/>
        </w:numPr>
        <w:tabs>
          <w:tab w:val="clear" w:pos="567"/>
          <w:tab w:val="clear" w:pos="1247"/>
          <w:tab w:val="clear" w:pos="1814"/>
          <w:tab w:val="clear" w:pos="2381"/>
          <w:tab w:val="clear" w:pos="2948"/>
          <w:tab w:val="clear" w:pos="3515"/>
          <w:tab w:val="clear" w:pos="4082"/>
          <w:tab w:val="num" w:pos="624"/>
        </w:tabs>
        <w:rPr>
          <w:lang w:val="en-GB"/>
        </w:rPr>
      </w:pPr>
      <w:r w:rsidRPr="003E390D">
        <w:rPr>
          <w:lang w:val="en-GB"/>
        </w:rPr>
        <w:t xml:space="preserve">Annex I to decision IPBES-2/5 specifies that technical support needed for the coordination of the deliverables will in principle be provided by the secretariat. The Plenary at its second session however recognized that the needs for coordinating the work programme deliverables will exceed the capacity of the secretariat in its planned composition. The Plenary therefore agreed that a </w:t>
      </w:r>
      <w:r w:rsidR="003E390D">
        <w:rPr>
          <w:lang w:val="en-GB"/>
        </w:rPr>
        <w:br/>
      </w:r>
      <w:r w:rsidRPr="003E390D">
        <w:rPr>
          <w:lang w:val="en-GB"/>
        </w:rPr>
        <w:t>cost-effective way to provide the necessary additional technical support could be through different arrangements, such as technical support units, based on in-kind offers from governments and other stakeholders.</w:t>
      </w:r>
    </w:p>
    <w:p w:rsidR="000B6004" w:rsidRPr="003E390D" w:rsidRDefault="000B6004" w:rsidP="003E390D">
      <w:pPr>
        <w:pStyle w:val="Normalnumber"/>
        <w:numPr>
          <w:ilvl w:val="0"/>
          <w:numId w:val="37"/>
        </w:numPr>
        <w:tabs>
          <w:tab w:val="clear" w:pos="567"/>
          <w:tab w:val="clear" w:pos="1247"/>
          <w:tab w:val="clear" w:pos="1814"/>
          <w:tab w:val="clear" w:pos="2381"/>
          <w:tab w:val="clear" w:pos="2948"/>
          <w:tab w:val="clear" w:pos="3515"/>
          <w:tab w:val="clear" w:pos="4082"/>
          <w:tab w:val="num" w:pos="624"/>
        </w:tabs>
        <w:rPr>
          <w:lang w:val="en-GB"/>
        </w:rPr>
      </w:pPr>
      <w:r w:rsidRPr="003E390D">
        <w:rPr>
          <w:lang w:val="en-GB"/>
        </w:rPr>
        <w:t>A technical support unit is defined as a dedicated team, or dedicated individual, providing support to expert groups, or task forces to implement the IPBES work programme. “Dedicated” implies clearly defined roles, responsibilities and full commitment to supporting the IPBES work programme deliverables.</w:t>
      </w:r>
    </w:p>
    <w:p w:rsidR="000B6004" w:rsidRPr="003E390D" w:rsidRDefault="000B6004" w:rsidP="003E390D">
      <w:pPr>
        <w:pStyle w:val="Normalnumber"/>
        <w:numPr>
          <w:ilvl w:val="0"/>
          <w:numId w:val="37"/>
        </w:numPr>
        <w:tabs>
          <w:tab w:val="clear" w:pos="567"/>
          <w:tab w:val="clear" w:pos="1247"/>
          <w:tab w:val="clear" w:pos="1814"/>
          <w:tab w:val="clear" w:pos="2381"/>
          <w:tab w:val="clear" w:pos="2948"/>
          <w:tab w:val="clear" w:pos="3515"/>
          <w:tab w:val="clear" w:pos="4082"/>
          <w:tab w:val="num" w:pos="624"/>
        </w:tabs>
        <w:rPr>
          <w:lang w:val="en-GB"/>
        </w:rPr>
      </w:pPr>
      <w:r w:rsidRPr="003E390D">
        <w:rPr>
          <w:lang w:val="en-GB"/>
        </w:rPr>
        <w:t xml:space="preserve">Technical support units provide scientific, technical and organizational support, for the delivery of one or more of the agreed deliverables. They work under time-bound and task-specific partnership agreements approved by the Bureau. All technical support units form part of the secretariat and are under the authority of the Executive Secretary. </w:t>
      </w:r>
    </w:p>
    <w:p w:rsidR="000B6004" w:rsidRPr="003E390D" w:rsidRDefault="000B6004" w:rsidP="003E390D">
      <w:pPr>
        <w:pStyle w:val="Normalnumber"/>
        <w:numPr>
          <w:ilvl w:val="0"/>
          <w:numId w:val="37"/>
        </w:numPr>
        <w:tabs>
          <w:tab w:val="clear" w:pos="567"/>
          <w:tab w:val="clear" w:pos="1247"/>
          <w:tab w:val="clear" w:pos="1814"/>
          <w:tab w:val="clear" w:pos="2381"/>
          <w:tab w:val="clear" w:pos="2948"/>
          <w:tab w:val="clear" w:pos="3515"/>
          <w:tab w:val="clear" w:pos="4082"/>
          <w:tab w:val="num" w:pos="624"/>
        </w:tabs>
        <w:rPr>
          <w:lang w:val="en-GB"/>
        </w:rPr>
      </w:pPr>
      <w:r w:rsidRPr="003E390D">
        <w:rPr>
          <w:lang w:val="en-GB"/>
        </w:rPr>
        <w:t>The following technical support units (TSUs) have been established outside of the secretariat at the following institutions, thanks to their support:</w:t>
      </w:r>
    </w:p>
    <w:p w:rsidR="000B6004" w:rsidRPr="00350F43" w:rsidRDefault="000B6004" w:rsidP="007A6625">
      <w:pPr>
        <w:pStyle w:val="Normalnumber"/>
        <w:numPr>
          <w:ilvl w:val="1"/>
          <w:numId w:val="37"/>
        </w:numPr>
        <w:tabs>
          <w:tab w:val="clear" w:pos="1247"/>
          <w:tab w:val="clear" w:pos="1814"/>
          <w:tab w:val="clear" w:pos="2381"/>
          <w:tab w:val="clear" w:pos="2948"/>
          <w:tab w:val="clear" w:pos="3515"/>
          <w:tab w:val="clear" w:pos="4082"/>
        </w:tabs>
        <w:ind w:left="2495" w:hanging="624"/>
      </w:pPr>
      <w:r>
        <w:t xml:space="preserve">In place </w:t>
      </w:r>
      <w:proofErr w:type="spellStart"/>
      <w:r>
        <w:t>since</w:t>
      </w:r>
      <w:proofErr w:type="spellEnd"/>
      <w:r>
        <w:t xml:space="preserve"> 2014:</w:t>
      </w:r>
    </w:p>
    <w:p w:rsidR="000B6004" w:rsidRPr="00585B4A" w:rsidRDefault="000B6004" w:rsidP="000B6004">
      <w:pPr>
        <w:pStyle w:val="NormalNonumber"/>
        <w:numPr>
          <w:ilvl w:val="0"/>
          <w:numId w:val="39"/>
        </w:numPr>
        <w:tabs>
          <w:tab w:val="clear" w:pos="1247"/>
          <w:tab w:val="clear" w:pos="1814"/>
          <w:tab w:val="clear" w:pos="2381"/>
          <w:tab w:val="clear" w:pos="2948"/>
          <w:tab w:val="clear" w:pos="3515"/>
          <w:tab w:val="clear" w:pos="4082"/>
          <w:tab w:val="left" w:pos="624"/>
        </w:tabs>
        <w:ind w:left="3119" w:hanging="624"/>
        <w:rPr>
          <w:lang w:val="en-GB"/>
        </w:rPr>
      </w:pPr>
      <w:r w:rsidRPr="00585B4A">
        <w:rPr>
          <w:lang w:val="en-GB"/>
        </w:rPr>
        <w:t xml:space="preserve">Norwegian Environment Agency in Trondheim, Norway, to support the work of the task force on capacity building (deliverable 1(a) and 1(b)), providing two </w:t>
      </w:r>
      <w:r w:rsidRPr="00585B4A">
        <w:rPr>
          <w:lang w:val="en-GB"/>
        </w:rPr>
        <w:br/>
        <w:t>full-time professional positions and one full-time administrative position as well as office space and infrastructure;</w:t>
      </w:r>
    </w:p>
    <w:p w:rsidR="000B6004" w:rsidRPr="00585B4A" w:rsidRDefault="000B6004" w:rsidP="000B6004">
      <w:pPr>
        <w:pStyle w:val="NormalNonumber"/>
        <w:numPr>
          <w:ilvl w:val="0"/>
          <w:numId w:val="39"/>
        </w:numPr>
        <w:tabs>
          <w:tab w:val="clear" w:pos="1247"/>
          <w:tab w:val="clear" w:pos="1814"/>
          <w:tab w:val="clear" w:pos="2381"/>
          <w:tab w:val="clear" w:pos="2948"/>
          <w:tab w:val="clear" w:pos="3515"/>
          <w:tab w:val="clear" w:pos="4082"/>
          <w:tab w:val="left" w:pos="624"/>
        </w:tabs>
        <w:ind w:left="3119" w:hanging="624"/>
        <w:rPr>
          <w:lang w:val="en-GB"/>
        </w:rPr>
      </w:pPr>
      <w:r w:rsidRPr="00585B4A">
        <w:rPr>
          <w:lang w:val="en-GB"/>
        </w:rPr>
        <w:t>UNESCO in Paris, France, to support the work of the task force on indigenous and local knowledge systems (deliverable 1(c)), providing several part-time professional and administrative positions as well as office space and infrastructure;</w:t>
      </w:r>
    </w:p>
    <w:p w:rsidR="000B6004" w:rsidRPr="00585B4A" w:rsidRDefault="000B6004" w:rsidP="000B6004">
      <w:pPr>
        <w:pStyle w:val="NormalNonumber"/>
        <w:numPr>
          <w:ilvl w:val="0"/>
          <w:numId w:val="39"/>
        </w:numPr>
        <w:tabs>
          <w:tab w:val="clear" w:pos="1247"/>
          <w:tab w:val="clear" w:pos="1814"/>
          <w:tab w:val="clear" w:pos="2381"/>
          <w:tab w:val="clear" w:pos="2948"/>
          <w:tab w:val="clear" w:pos="3515"/>
          <w:tab w:val="clear" w:pos="4082"/>
          <w:tab w:val="left" w:pos="624"/>
        </w:tabs>
        <w:ind w:left="3119" w:hanging="624"/>
        <w:rPr>
          <w:lang w:val="en-GB"/>
        </w:rPr>
      </w:pPr>
      <w:r w:rsidRPr="00585B4A">
        <w:rPr>
          <w:lang w:val="en-GB"/>
        </w:rPr>
        <w:t xml:space="preserve">Ministry of Environment of the Republic of Korea and the National Institute of Ecology (NIE) in </w:t>
      </w:r>
      <w:proofErr w:type="spellStart"/>
      <w:r w:rsidRPr="00585B4A">
        <w:rPr>
          <w:lang w:val="en-GB"/>
        </w:rPr>
        <w:t>Seocheon</w:t>
      </w:r>
      <w:proofErr w:type="spellEnd"/>
      <w:r w:rsidRPr="00585B4A">
        <w:rPr>
          <w:lang w:val="en-GB"/>
        </w:rPr>
        <w:t>-gun, Republic of Korea, to support the work of the task force on knowledge and data (deliverables 1(d) and 4(b)), providing several part-time professional and administrative positions as well as office space and infrastructure at NIE; and</w:t>
      </w:r>
    </w:p>
    <w:p w:rsidR="000B6004" w:rsidRPr="00585B4A" w:rsidRDefault="000B6004" w:rsidP="000B6004">
      <w:pPr>
        <w:pStyle w:val="NormalNonumber"/>
        <w:numPr>
          <w:ilvl w:val="0"/>
          <w:numId w:val="39"/>
        </w:numPr>
        <w:tabs>
          <w:tab w:val="clear" w:pos="1247"/>
          <w:tab w:val="clear" w:pos="1814"/>
          <w:tab w:val="clear" w:pos="2381"/>
          <w:tab w:val="clear" w:pos="2948"/>
          <w:tab w:val="clear" w:pos="3515"/>
          <w:tab w:val="clear" w:pos="4082"/>
          <w:tab w:val="left" w:pos="624"/>
        </w:tabs>
        <w:ind w:left="3119" w:hanging="624"/>
        <w:rPr>
          <w:lang w:val="en-GB"/>
        </w:rPr>
      </w:pPr>
      <w:r w:rsidRPr="00585B4A">
        <w:rPr>
          <w:lang w:val="en-GB"/>
        </w:rPr>
        <w:t xml:space="preserve">Netherlands Environmental Assessment Agency (PBL) in </w:t>
      </w:r>
      <w:proofErr w:type="spellStart"/>
      <w:r w:rsidRPr="00585B4A">
        <w:rPr>
          <w:lang w:val="en-GB"/>
        </w:rPr>
        <w:t>Bilthoven</w:t>
      </w:r>
      <w:proofErr w:type="spellEnd"/>
      <w:r w:rsidRPr="00585B4A">
        <w:rPr>
          <w:lang w:val="en-GB"/>
        </w:rPr>
        <w:t>, The Netherlands, funded by three Ministries, to support the work of: the expert group delivering the methodological assessment on scenarios and models (deliverable 3(c), 2014-2016), the expert group implementing phase 2 of the work on scenarios and models (2016-2019); the authors involved in chapters 4 and 5 of the global assessment of biodiversity and ecosystem services (deliverable 2(c), 2016-2019). The agreement includes three full-time staff including professional and administrative positions as well as office space and infrastructure.</w:t>
      </w:r>
    </w:p>
    <w:p w:rsidR="000B6004" w:rsidRDefault="000B6004" w:rsidP="007A6625">
      <w:pPr>
        <w:pStyle w:val="Normalnumber"/>
        <w:numPr>
          <w:ilvl w:val="1"/>
          <w:numId w:val="37"/>
        </w:numPr>
        <w:tabs>
          <w:tab w:val="clear" w:pos="1247"/>
          <w:tab w:val="clear" w:pos="1814"/>
          <w:tab w:val="clear" w:pos="2381"/>
          <w:tab w:val="clear" w:pos="2948"/>
          <w:tab w:val="clear" w:pos="3515"/>
          <w:tab w:val="clear" w:pos="4082"/>
        </w:tabs>
        <w:ind w:left="2495" w:hanging="624"/>
      </w:pPr>
      <w:r>
        <w:t xml:space="preserve">In place </w:t>
      </w:r>
      <w:proofErr w:type="spellStart"/>
      <w:r>
        <w:t>since</w:t>
      </w:r>
      <w:proofErr w:type="spellEnd"/>
      <w:r>
        <w:t xml:space="preserve"> 2015:</w:t>
      </w:r>
    </w:p>
    <w:p w:rsidR="000B6004" w:rsidRPr="00585B4A" w:rsidRDefault="000B6004" w:rsidP="000B6004">
      <w:pPr>
        <w:pStyle w:val="NormalNonumber"/>
        <w:numPr>
          <w:ilvl w:val="0"/>
          <w:numId w:val="41"/>
        </w:numPr>
        <w:tabs>
          <w:tab w:val="clear" w:pos="1247"/>
          <w:tab w:val="clear" w:pos="1814"/>
          <w:tab w:val="clear" w:pos="2381"/>
          <w:tab w:val="clear" w:pos="2948"/>
          <w:tab w:val="clear" w:pos="3515"/>
          <w:tab w:val="clear" w:pos="4082"/>
          <w:tab w:val="left" w:pos="624"/>
        </w:tabs>
        <w:spacing w:after="100"/>
        <w:ind w:left="3119" w:hanging="624"/>
        <w:rPr>
          <w:lang w:val="en-GB"/>
        </w:rPr>
      </w:pPr>
      <w:r w:rsidRPr="00585B4A">
        <w:rPr>
          <w:lang w:val="en-GB"/>
        </w:rPr>
        <w:t xml:space="preserve">Alexander von Humboldt Institute in Bogota, Colombia to support the production of the regional assessment of biodiversity and ecosystem services for the Americas, providing two full time technical staff members and one administrative support staff as well as office space and infrastructure (deliverable 2(b)); </w:t>
      </w:r>
    </w:p>
    <w:p w:rsidR="000B6004" w:rsidRPr="00585B4A" w:rsidRDefault="000B6004" w:rsidP="000B6004">
      <w:pPr>
        <w:pStyle w:val="NormalNonumber"/>
        <w:numPr>
          <w:ilvl w:val="0"/>
          <w:numId w:val="41"/>
        </w:numPr>
        <w:tabs>
          <w:tab w:val="clear" w:pos="1247"/>
          <w:tab w:val="clear" w:pos="1814"/>
          <w:tab w:val="clear" w:pos="2381"/>
          <w:tab w:val="clear" w:pos="2948"/>
          <w:tab w:val="clear" w:pos="3515"/>
          <w:tab w:val="clear" w:pos="4082"/>
          <w:tab w:val="left" w:pos="624"/>
        </w:tabs>
        <w:spacing w:after="100"/>
        <w:ind w:left="3119" w:hanging="624"/>
        <w:rPr>
          <w:lang w:val="en-GB"/>
        </w:rPr>
      </w:pPr>
      <w:r w:rsidRPr="00585B4A">
        <w:rPr>
          <w:lang w:val="en-GB"/>
        </w:rPr>
        <w:t xml:space="preserve">Institute for Global Environmental Strategies (IGES), in Tokyo, Japan, to support the production of the regional assessment of biodiversity and ecosystem services for Asia and the Pacific, providing two full time technical </w:t>
      </w:r>
      <w:r w:rsidRPr="00585B4A">
        <w:rPr>
          <w:lang w:val="en-GB"/>
        </w:rPr>
        <w:lastRenderedPageBreak/>
        <w:t xml:space="preserve">staff members and two administrative support staff as well as office space and infrastructure (deliverable 2(b)); </w:t>
      </w:r>
    </w:p>
    <w:p w:rsidR="000B6004" w:rsidRPr="00585B4A" w:rsidRDefault="000B6004" w:rsidP="000B6004">
      <w:pPr>
        <w:pStyle w:val="NormalNonumber"/>
        <w:numPr>
          <w:ilvl w:val="0"/>
          <w:numId w:val="41"/>
        </w:numPr>
        <w:tabs>
          <w:tab w:val="clear" w:pos="1247"/>
          <w:tab w:val="clear" w:pos="1814"/>
          <w:tab w:val="clear" w:pos="2381"/>
          <w:tab w:val="clear" w:pos="2948"/>
          <w:tab w:val="clear" w:pos="3515"/>
          <w:tab w:val="clear" w:pos="4082"/>
          <w:tab w:val="left" w:pos="624"/>
        </w:tabs>
        <w:spacing w:after="100"/>
        <w:ind w:left="3119" w:hanging="624"/>
        <w:rPr>
          <w:lang w:val="en-GB"/>
        </w:rPr>
      </w:pPr>
      <w:r w:rsidRPr="00585B4A">
        <w:rPr>
          <w:lang w:val="en-GB"/>
        </w:rPr>
        <w:t>Council for Scientific and Industrial Research (CSIR), in Pretoria, South Africa, to support the production of the regional assessment of biodiversity and ecosystem services for Africa, providing several full and part-time technical and administrative staff members as well as office space and infrastructure (deliverable 2(b));</w:t>
      </w:r>
    </w:p>
    <w:p w:rsidR="000B6004" w:rsidRPr="00585B4A" w:rsidRDefault="000B6004" w:rsidP="000B6004">
      <w:pPr>
        <w:pStyle w:val="NormalNonumber"/>
        <w:numPr>
          <w:ilvl w:val="0"/>
          <w:numId w:val="41"/>
        </w:numPr>
        <w:tabs>
          <w:tab w:val="clear" w:pos="1247"/>
          <w:tab w:val="clear" w:pos="1814"/>
          <w:tab w:val="clear" w:pos="2381"/>
          <w:tab w:val="clear" w:pos="2948"/>
          <w:tab w:val="clear" w:pos="3515"/>
          <w:tab w:val="clear" w:pos="4082"/>
          <w:tab w:val="left" w:pos="624"/>
        </w:tabs>
        <w:spacing w:after="100"/>
        <w:ind w:left="3119" w:hanging="624"/>
        <w:rPr>
          <w:lang w:val="en-GB"/>
        </w:rPr>
      </w:pPr>
      <w:r w:rsidRPr="00585B4A">
        <w:rPr>
          <w:lang w:val="en-GB"/>
        </w:rPr>
        <w:t xml:space="preserve">Institute of Plant Sciences, University of Bern, Switzerland, to support the production of the regional assessment of biodiversity and ecosystem services for Europe and Central Asia, providing two full time technical staff members as well as office space and infrastructure (deliverable 2(b)); and </w:t>
      </w:r>
    </w:p>
    <w:p w:rsidR="000B6004" w:rsidRPr="00585B4A" w:rsidRDefault="000B6004" w:rsidP="000B6004">
      <w:pPr>
        <w:pStyle w:val="NormalNonumber"/>
        <w:numPr>
          <w:ilvl w:val="0"/>
          <w:numId w:val="41"/>
        </w:numPr>
        <w:tabs>
          <w:tab w:val="clear" w:pos="1247"/>
          <w:tab w:val="clear" w:pos="1814"/>
          <w:tab w:val="clear" w:pos="2381"/>
          <w:tab w:val="clear" w:pos="2948"/>
          <w:tab w:val="clear" w:pos="3515"/>
          <w:tab w:val="clear" w:pos="4082"/>
          <w:tab w:val="left" w:pos="624"/>
        </w:tabs>
        <w:spacing w:after="100"/>
        <w:ind w:left="3119" w:hanging="624"/>
        <w:rPr>
          <w:lang w:val="en-GB"/>
        </w:rPr>
      </w:pPr>
      <w:r w:rsidRPr="00585B4A">
        <w:rPr>
          <w:lang w:val="en-GB"/>
        </w:rPr>
        <w:t>The Division of Environmental Policy Implementation (DEPI) of the United Nations Environment Programme, in Nairobi, Kenya to support the work of the expert group on values, providing one technical support staff as well as office space and infrastructure (deliverable 3(d); ended in May 2016).</w:t>
      </w:r>
    </w:p>
    <w:p w:rsidR="000B6004" w:rsidRDefault="000B6004" w:rsidP="007A6625">
      <w:pPr>
        <w:pStyle w:val="Normalnumber"/>
        <w:numPr>
          <w:ilvl w:val="1"/>
          <w:numId w:val="37"/>
        </w:numPr>
        <w:tabs>
          <w:tab w:val="clear" w:pos="1247"/>
          <w:tab w:val="clear" w:pos="1814"/>
          <w:tab w:val="clear" w:pos="2381"/>
          <w:tab w:val="clear" w:pos="2948"/>
          <w:tab w:val="clear" w:pos="3515"/>
          <w:tab w:val="clear" w:pos="4082"/>
        </w:tabs>
        <w:ind w:left="2495" w:hanging="624"/>
      </w:pPr>
      <w:r>
        <w:t xml:space="preserve">In place </w:t>
      </w:r>
      <w:proofErr w:type="spellStart"/>
      <w:r>
        <w:t>since</w:t>
      </w:r>
      <w:proofErr w:type="spellEnd"/>
      <w:r>
        <w:t xml:space="preserve"> 2016:</w:t>
      </w:r>
    </w:p>
    <w:p w:rsidR="000B6004" w:rsidRPr="00585B4A" w:rsidRDefault="000B6004" w:rsidP="000B6004">
      <w:pPr>
        <w:pStyle w:val="NormalNonumber"/>
        <w:numPr>
          <w:ilvl w:val="0"/>
          <w:numId w:val="43"/>
        </w:numPr>
        <w:tabs>
          <w:tab w:val="clear" w:pos="1247"/>
          <w:tab w:val="clear" w:pos="1814"/>
          <w:tab w:val="clear" w:pos="2381"/>
          <w:tab w:val="clear" w:pos="2948"/>
          <w:tab w:val="clear" w:pos="3515"/>
          <w:tab w:val="clear" w:pos="4082"/>
          <w:tab w:val="left" w:pos="624"/>
        </w:tabs>
        <w:ind w:left="3119" w:hanging="624"/>
        <w:rPr>
          <w:lang w:val="en-GB"/>
        </w:rPr>
      </w:pPr>
      <w:r w:rsidRPr="00585B4A">
        <w:rPr>
          <w:lang w:val="en-GB"/>
        </w:rPr>
        <w:t>Institute for Ecosystems Research and Sustainability, National Autonomous University of Mexico (IIES-UNAM), Morelia, Mexico, to support the work of the expert group on values (deliverable 3(d)), providing one part-time technical staff member as well as office space and infrastructure; and the Federal Ministry for the Environment, Nation Conservation, Building and Nuclear Safety of Germany (BMUB) through the German Agency for International Cooperation (GIZ)/</w:t>
      </w:r>
      <w:proofErr w:type="spellStart"/>
      <w:r w:rsidRPr="00585B4A">
        <w:rPr>
          <w:lang w:val="en-GB"/>
        </w:rPr>
        <w:t>ValuES</w:t>
      </w:r>
      <w:proofErr w:type="spellEnd"/>
      <w:r w:rsidRPr="00585B4A">
        <w:rPr>
          <w:lang w:val="en-GB"/>
        </w:rPr>
        <w:t>, funding one full time position since 2016, and, in addition, one half time position, since March 2017, both located at UNAM; and</w:t>
      </w:r>
    </w:p>
    <w:p w:rsidR="000B6004" w:rsidRPr="00585B4A" w:rsidRDefault="000B6004" w:rsidP="000B6004">
      <w:pPr>
        <w:pStyle w:val="NormalNonumber"/>
        <w:numPr>
          <w:ilvl w:val="0"/>
          <w:numId w:val="43"/>
        </w:numPr>
        <w:tabs>
          <w:tab w:val="clear" w:pos="1247"/>
          <w:tab w:val="clear" w:pos="1814"/>
          <w:tab w:val="clear" w:pos="2381"/>
          <w:tab w:val="clear" w:pos="2948"/>
          <w:tab w:val="clear" w:pos="3515"/>
          <w:tab w:val="clear" w:pos="4082"/>
          <w:tab w:val="left" w:pos="624"/>
        </w:tabs>
        <w:ind w:left="3119" w:hanging="624"/>
        <w:rPr>
          <w:lang w:val="en-GB"/>
        </w:rPr>
      </w:pPr>
      <w:r w:rsidRPr="00585B4A">
        <w:rPr>
          <w:lang w:val="en-GB"/>
        </w:rPr>
        <w:t xml:space="preserve">International Union for Conservation of Nature (IUCN) providing technical support, through one half-time staff member, for the implementation of the stakeholder engagement strategy (deliverable 4(d)). </w:t>
      </w:r>
    </w:p>
    <w:p w:rsidR="000B6004" w:rsidRDefault="000B6004" w:rsidP="007A6625">
      <w:pPr>
        <w:pStyle w:val="Normalnumber"/>
        <w:numPr>
          <w:ilvl w:val="1"/>
          <w:numId w:val="37"/>
        </w:numPr>
        <w:tabs>
          <w:tab w:val="clear" w:pos="1247"/>
          <w:tab w:val="clear" w:pos="1814"/>
          <w:tab w:val="clear" w:pos="2381"/>
          <w:tab w:val="clear" w:pos="2948"/>
          <w:tab w:val="clear" w:pos="3515"/>
          <w:tab w:val="clear" w:pos="4082"/>
        </w:tabs>
        <w:ind w:left="2495" w:hanging="624"/>
      </w:pPr>
      <w:r>
        <w:t xml:space="preserve">In place </w:t>
      </w:r>
      <w:proofErr w:type="spellStart"/>
      <w:r>
        <w:t>since</w:t>
      </w:r>
      <w:proofErr w:type="spellEnd"/>
      <w:r>
        <w:t xml:space="preserve"> 2017:</w:t>
      </w:r>
    </w:p>
    <w:p w:rsidR="000B6004" w:rsidRPr="00585B4A" w:rsidRDefault="000B6004" w:rsidP="000B6004">
      <w:pPr>
        <w:pStyle w:val="NormalNonumber"/>
        <w:numPr>
          <w:ilvl w:val="2"/>
          <w:numId w:val="37"/>
        </w:numPr>
        <w:tabs>
          <w:tab w:val="clear" w:pos="1247"/>
          <w:tab w:val="clear" w:pos="1814"/>
          <w:tab w:val="clear" w:pos="2381"/>
          <w:tab w:val="clear" w:pos="2948"/>
          <w:tab w:val="clear" w:pos="3515"/>
          <w:tab w:val="clear" w:pos="4082"/>
        </w:tabs>
        <w:ind w:left="3062"/>
        <w:rPr>
          <w:lang w:val="en-GB"/>
        </w:rPr>
      </w:pPr>
      <w:r w:rsidRPr="00585B4A">
        <w:rPr>
          <w:lang w:val="en-GB"/>
        </w:rPr>
        <w:t xml:space="preserve">The United Nations Environment </w:t>
      </w:r>
      <w:r w:rsidR="00216055">
        <w:rPr>
          <w:lang w:val="en-GB"/>
        </w:rPr>
        <w:t xml:space="preserve">Programme </w:t>
      </w:r>
      <w:r w:rsidRPr="00585B4A">
        <w:rPr>
          <w:lang w:val="en-GB"/>
        </w:rPr>
        <w:t xml:space="preserve">World Conservation Monitoring </w:t>
      </w:r>
      <w:proofErr w:type="spellStart"/>
      <w:r w:rsidRPr="00585B4A">
        <w:rPr>
          <w:lang w:val="en-GB"/>
        </w:rPr>
        <w:t>Center</w:t>
      </w:r>
      <w:proofErr w:type="spellEnd"/>
      <w:r w:rsidRPr="00585B4A">
        <w:rPr>
          <w:lang w:val="en-GB"/>
        </w:rPr>
        <w:t>, to support work on the guide on the production of assessments (deliverable 2(a)), the catalogue of assessment (deliverable 4(a)), and on policy support tools and methodologies (deliverable 4(c)), by providing three part-time staff members as well as office space and infrastructure.</w:t>
      </w:r>
    </w:p>
    <w:p w:rsidR="000B6004" w:rsidRPr="00585B4A" w:rsidRDefault="000B6004" w:rsidP="00585B4A">
      <w:pPr>
        <w:pStyle w:val="Normalnumber"/>
        <w:numPr>
          <w:ilvl w:val="0"/>
          <w:numId w:val="37"/>
        </w:numPr>
        <w:tabs>
          <w:tab w:val="clear" w:pos="567"/>
          <w:tab w:val="clear" w:pos="1247"/>
          <w:tab w:val="clear" w:pos="1814"/>
          <w:tab w:val="clear" w:pos="2381"/>
          <w:tab w:val="clear" w:pos="2948"/>
          <w:tab w:val="clear" w:pos="3515"/>
          <w:tab w:val="clear" w:pos="4082"/>
          <w:tab w:val="num" w:pos="624"/>
        </w:tabs>
        <w:rPr>
          <w:lang w:val="en-GB"/>
        </w:rPr>
      </w:pPr>
      <w:r w:rsidRPr="00585B4A">
        <w:rPr>
          <w:lang w:val="en-GB"/>
        </w:rPr>
        <w:t>The following technical support was provided to the secretariat, in Bonn, Germany:</w:t>
      </w:r>
    </w:p>
    <w:p w:rsidR="000B6004" w:rsidRDefault="000B6004" w:rsidP="007A6625">
      <w:pPr>
        <w:pStyle w:val="Normalnumber"/>
        <w:numPr>
          <w:ilvl w:val="1"/>
          <w:numId w:val="38"/>
        </w:numPr>
        <w:tabs>
          <w:tab w:val="clear" w:pos="1247"/>
          <w:tab w:val="clear" w:pos="1814"/>
          <w:tab w:val="clear" w:pos="2381"/>
          <w:tab w:val="clear" w:pos="2948"/>
          <w:tab w:val="clear" w:pos="3515"/>
          <w:tab w:val="clear" w:pos="4082"/>
          <w:tab w:val="left" w:pos="624"/>
        </w:tabs>
        <w:ind w:left="2495" w:hanging="624"/>
      </w:pPr>
      <w:r>
        <w:t>I</w:t>
      </w:r>
      <w:r w:rsidRPr="000A442E">
        <w:t xml:space="preserve">n place </w:t>
      </w:r>
      <w:proofErr w:type="spellStart"/>
      <w:r w:rsidRPr="000A442E">
        <w:t>from</w:t>
      </w:r>
      <w:proofErr w:type="spellEnd"/>
      <w:r w:rsidRPr="000A442E">
        <w:t xml:space="preserve"> 2014 to 2016</w:t>
      </w:r>
      <w:r>
        <w:t>:</w:t>
      </w:r>
    </w:p>
    <w:p w:rsidR="000B6004" w:rsidRPr="00585B4A" w:rsidRDefault="000B6004" w:rsidP="000B6004">
      <w:pPr>
        <w:pStyle w:val="NormalNonumber"/>
        <w:numPr>
          <w:ilvl w:val="0"/>
          <w:numId w:val="40"/>
        </w:numPr>
        <w:tabs>
          <w:tab w:val="clear" w:pos="1247"/>
          <w:tab w:val="clear" w:pos="1814"/>
          <w:tab w:val="clear" w:pos="2381"/>
          <w:tab w:val="clear" w:pos="2948"/>
          <w:tab w:val="clear" w:pos="3515"/>
          <w:tab w:val="clear" w:pos="4082"/>
          <w:tab w:val="left" w:pos="624"/>
        </w:tabs>
        <w:ind w:left="3119" w:hanging="624"/>
        <w:rPr>
          <w:lang w:val="en-GB"/>
        </w:rPr>
      </w:pPr>
      <w:r w:rsidRPr="00585B4A">
        <w:rPr>
          <w:lang w:val="en-GB"/>
        </w:rPr>
        <w:t>A consultant to support the delivery of the regional assessments of biodiversity and ecosystem services (deliverable 2(b)), through in-kind contribution from China (ended in December 2016); and</w:t>
      </w:r>
    </w:p>
    <w:p w:rsidR="000B6004" w:rsidRPr="00585B4A" w:rsidRDefault="000B6004" w:rsidP="000B6004">
      <w:pPr>
        <w:pStyle w:val="NormalNonumber"/>
        <w:numPr>
          <w:ilvl w:val="0"/>
          <w:numId w:val="40"/>
        </w:numPr>
        <w:tabs>
          <w:tab w:val="clear" w:pos="1247"/>
          <w:tab w:val="clear" w:pos="1814"/>
          <w:tab w:val="clear" w:pos="2381"/>
          <w:tab w:val="clear" w:pos="2948"/>
          <w:tab w:val="clear" w:pos="3515"/>
          <w:tab w:val="clear" w:pos="4082"/>
          <w:tab w:val="left" w:pos="624"/>
        </w:tabs>
        <w:ind w:left="3119" w:hanging="624"/>
        <w:rPr>
          <w:lang w:val="en-GB"/>
        </w:rPr>
      </w:pPr>
      <w:r w:rsidRPr="00585B4A">
        <w:rPr>
          <w:lang w:val="en-GB"/>
        </w:rPr>
        <w:t>A consultant to support the delivery of the assessment on pollination and pollinators associated with food production (deliverable 3(a)), covered by the work programme budget (ended in September 2016).</w:t>
      </w:r>
    </w:p>
    <w:p w:rsidR="000B6004" w:rsidRDefault="000B6004" w:rsidP="007A6625">
      <w:pPr>
        <w:pStyle w:val="Normalnumber"/>
        <w:numPr>
          <w:ilvl w:val="1"/>
          <w:numId w:val="38"/>
        </w:numPr>
        <w:tabs>
          <w:tab w:val="clear" w:pos="1247"/>
          <w:tab w:val="clear" w:pos="1814"/>
          <w:tab w:val="clear" w:pos="2381"/>
          <w:tab w:val="clear" w:pos="2948"/>
          <w:tab w:val="clear" w:pos="3515"/>
          <w:tab w:val="clear" w:pos="4082"/>
          <w:tab w:val="left" w:pos="624"/>
        </w:tabs>
        <w:ind w:left="2495" w:hanging="624"/>
      </w:pPr>
      <w:r>
        <w:t>I</w:t>
      </w:r>
      <w:r w:rsidRPr="000A442E">
        <w:t xml:space="preserve">n place </w:t>
      </w:r>
      <w:proofErr w:type="spellStart"/>
      <w:r w:rsidRPr="000A442E">
        <w:t>since</w:t>
      </w:r>
      <w:proofErr w:type="spellEnd"/>
      <w:r w:rsidRPr="000A442E">
        <w:t xml:space="preserve"> 2015</w:t>
      </w:r>
      <w:r>
        <w:t>:</w:t>
      </w:r>
    </w:p>
    <w:p w:rsidR="000B6004" w:rsidRPr="00585B4A" w:rsidRDefault="000B6004" w:rsidP="007A6625">
      <w:pPr>
        <w:pStyle w:val="NormalNonumber"/>
        <w:numPr>
          <w:ilvl w:val="0"/>
          <w:numId w:val="42"/>
        </w:numPr>
        <w:tabs>
          <w:tab w:val="clear" w:pos="1247"/>
          <w:tab w:val="clear" w:pos="1814"/>
          <w:tab w:val="clear" w:pos="2381"/>
          <w:tab w:val="clear" w:pos="2948"/>
          <w:tab w:val="clear" w:pos="3515"/>
          <w:tab w:val="clear" w:pos="4082"/>
          <w:tab w:val="left" w:pos="624"/>
        </w:tabs>
        <w:ind w:left="3119" w:hanging="624"/>
        <w:rPr>
          <w:lang w:val="en-GB"/>
        </w:rPr>
      </w:pPr>
      <w:r w:rsidRPr="00585B4A">
        <w:rPr>
          <w:lang w:val="en-GB"/>
        </w:rPr>
        <w:t>A consultant to support the delivery of the thematic assessment on land degradation and restoration deliverable 3(bi)), covered by the work programme budget.</w:t>
      </w:r>
    </w:p>
    <w:p w:rsidR="000B6004" w:rsidRDefault="000B6004" w:rsidP="007A6625">
      <w:pPr>
        <w:pStyle w:val="Normalnumber"/>
        <w:numPr>
          <w:ilvl w:val="1"/>
          <w:numId w:val="38"/>
        </w:numPr>
        <w:tabs>
          <w:tab w:val="clear" w:pos="1247"/>
          <w:tab w:val="clear" w:pos="1814"/>
          <w:tab w:val="clear" w:pos="2381"/>
          <w:tab w:val="clear" w:pos="2948"/>
          <w:tab w:val="clear" w:pos="3515"/>
          <w:tab w:val="clear" w:pos="4082"/>
          <w:tab w:val="left" w:pos="624"/>
        </w:tabs>
        <w:ind w:left="2495" w:hanging="624"/>
      </w:pPr>
      <w:bookmarkStart w:id="1" w:name="_Hlk504658010"/>
      <w:r>
        <w:t xml:space="preserve">In place </w:t>
      </w:r>
      <w:proofErr w:type="spellStart"/>
      <w:r>
        <w:t>since</w:t>
      </w:r>
      <w:proofErr w:type="spellEnd"/>
      <w:r w:rsidRPr="000A442E">
        <w:t xml:space="preserve"> 2016</w:t>
      </w:r>
      <w:r>
        <w:t>:</w:t>
      </w:r>
    </w:p>
    <w:p w:rsidR="000B6004" w:rsidRPr="00585B4A" w:rsidRDefault="000B6004" w:rsidP="007A6625">
      <w:pPr>
        <w:pStyle w:val="NormalNonumber"/>
        <w:numPr>
          <w:ilvl w:val="0"/>
          <w:numId w:val="44"/>
        </w:numPr>
        <w:tabs>
          <w:tab w:val="clear" w:pos="1247"/>
          <w:tab w:val="clear" w:pos="1814"/>
          <w:tab w:val="clear" w:pos="2381"/>
          <w:tab w:val="clear" w:pos="2948"/>
          <w:tab w:val="clear" w:pos="3515"/>
          <w:tab w:val="clear" w:pos="4082"/>
          <w:tab w:val="left" w:pos="624"/>
        </w:tabs>
        <w:ind w:left="3119" w:hanging="624"/>
        <w:rPr>
          <w:lang w:val="en-GB"/>
        </w:rPr>
      </w:pPr>
      <w:r w:rsidRPr="00585B4A">
        <w:rPr>
          <w:lang w:val="en-GB"/>
        </w:rPr>
        <w:t>A consultant to support the delivery of the global assessment of biodiversity and ecosystem services, deliverable 2(c)), covered by the work programme budget</w:t>
      </w:r>
      <w:bookmarkEnd w:id="1"/>
      <w:r w:rsidRPr="00585B4A">
        <w:rPr>
          <w:lang w:val="en-GB"/>
        </w:rPr>
        <w:t>.</w:t>
      </w:r>
    </w:p>
    <w:p w:rsidR="000B6004" w:rsidRDefault="000B6004" w:rsidP="00585B4A">
      <w:pPr>
        <w:pStyle w:val="Normalnumber"/>
        <w:keepNext/>
        <w:keepLines/>
        <w:numPr>
          <w:ilvl w:val="1"/>
          <w:numId w:val="38"/>
        </w:numPr>
        <w:tabs>
          <w:tab w:val="clear" w:pos="1247"/>
          <w:tab w:val="clear" w:pos="1814"/>
          <w:tab w:val="clear" w:pos="2381"/>
          <w:tab w:val="clear" w:pos="2948"/>
          <w:tab w:val="clear" w:pos="3515"/>
          <w:tab w:val="clear" w:pos="4082"/>
          <w:tab w:val="left" w:pos="624"/>
        </w:tabs>
        <w:ind w:left="2495" w:hanging="624"/>
      </w:pPr>
      <w:r>
        <w:lastRenderedPageBreak/>
        <w:t xml:space="preserve">In place </w:t>
      </w:r>
      <w:proofErr w:type="spellStart"/>
      <w:r>
        <w:t>since</w:t>
      </w:r>
      <w:proofErr w:type="spellEnd"/>
      <w:r w:rsidRPr="000A442E">
        <w:t xml:space="preserve"> 201</w:t>
      </w:r>
      <w:r>
        <w:t>7:</w:t>
      </w:r>
    </w:p>
    <w:p w:rsidR="000B6004" w:rsidRPr="00585B4A" w:rsidRDefault="000B6004" w:rsidP="00585B4A">
      <w:pPr>
        <w:pStyle w:val="NormalNonumber"/>
        <w:keepNext/>
        <w:keepLines/>
        <w:tabs>
          <w:tab w:val="clear" w:pos="1247"/>
          <w:tab w:val="clear" w:pos="1814"/>
          <w:tab w:val="clear" w:pos="2381"/>
          <w:tab w:val="clear" w:pos="2948"/>
          <w:tab w:val="clear" w:pos="3515"/>
          <w:tab w:val="clear" w:pos="4082"/>
          <w:tab w:val="left" w:pos="624"/>
        </w:tabs>
        <w:ind w:left="3119" w:hanging="624"/>
        <w:rPr>
          <w:lang w:val="en-GB"/>
        </w:rPr>
      </w:pPr>
      <w:r w:rsidRPr="00585B4A">
        <w:rPr>
          <w:lang w:val="en-GB"/>
        </w:rPr>
        <w:t>(i)</w:t>
      </w:r>
      <w:r w:rsidRPr="00585B4A">
        <w:rPr>
          <w:lang w:val="en-GB"/>
        </w:rPr>
        <w:tab/>
        <w:t>A consultant to support the delivery of the global assessment of biodiversity and ecosystem services, deliverable 2(c)), supported by the Federal Ministry for the Environment, Nation Conservation, Building and Nuclear Safety (BMUB) of Germany.</w:t>
      </w:r>
    </w:p>
    <w:p w:rsidR="000B6004" w:rsidRDefault="000B6004" w:rsidP="003E390D">
      <w:pPr>
        <w:pStyle w:val="Normalnumber"/>
        <w:numPr>
          <w:ilvl w:val="1"/>
          <w:numId w:val="38"/>
        </w:numPr>
        <w:tabs>
          <w:tab w:val="clear" w:pos="1247"/>
          <w:tab w:val="clear" w:pos="1814"/>
          <w:tab w:val="clear" w:pos="2381"/>
          <w:tab w:val="clear" w:pos="2948"/>
          <w:tab w:val="clear" w:pos="3515"/>
          <w:tab w:val="clear" w:pos="4082"/>
          <w:tab w:val="left" w:pos="624"/>
        </w:tabs>
        <w:ind w:left="2495" w:hanging="624"/>
      </w:pPr>
      <w:r w:rsidRPr="00585B4A">
        <w:rPr>
          <w:lang w:val="en-GB"/>
        </w:rPr>
        <w:tab/>
      </w:r>
      <w:r>
        <w:t xml:space="preserve">To </w:t>
      </w:r>
      <w:proofErr w:type="spellStart"/>
      <w:r>
        <w:t>begin</w:t>
      </w:r>
      <w:proofErr w:type="spellEnd"/>
      <w:r>
        <w:t xml:space="preserve"> </w:t>
      </w:r>
      <w:proofErr w:type="spellStart"/>
      <w:r>
        <w:t>in</w:t>
      </w:r>
      <w:proofErr w:type="spellEnd"/>
      <w:r>
        <w:t xml:space="preserve"> </w:t>
      </w:r>
      <w:r w:rsidRPr="000A442E">
        <w:t>201</w:t>
      </w:r>
      <w:r>
        <w:t>8:</w:t>
      </w:r>
    </w:p>
    <w:p w:rsidR="000B6004" w:rsidRPr="003E390D" w:rsidRDefault="000B6004" w:rsidP="003E390D">
      <w:pPr>
        <w:pStyle w:val="NormalNonumber"/>
        <w:numPr>
          <w:ilvl w:val="2"/>
          <w:numId w:val="60"/>
        </w:numPr>
        <w:tabs>
          <w:tab w:val="clear" w:pos="1247"/>
          <w:tab w:val="clear" w:pos="1814"/>
          <w:tab w:val="clear" w:pos="2381"/>
          <w:tab w:val="clear" w:pos="2948"/>
          <w:tab w:val="clear" w:pos="3515"/>
          <w:tab w:val="clear" w:pos="4082"/>
          <w:tab w:val="left" w:pos="624"/>
        </w:tabs>
        <w:ind w:left="3346" w:hanging="624"/>
        <w:rPr>
          <w:lang w:val="en-GB"/>
        </w:rPr>
      </w:pPr>
      <w:bookmarkStart w:id="2" w:name="_Hlk504668849"/>
      <w:r w:rsidRPr="003E390D">
        <w:rPr>
          <w:lang w:val="en-GB"/>
        </w:rPr>
        <w:t>The Government of France supporting one full time professional fund raiser to begin early February 2018; and</w:t>
      </w:r>
    </w:p>
    <w:p w:rsidR="000B6004" w:rsidRPr="003E390D" w:rsidRDefault="000B6004" w:rsidP="003E390D">
      <w:pPr>
        <w:pStyle w:val="NormalNonumber"/>
        <w:numPr>
          <w:ilvl w:val="2"/>
          <w:numId w:val="60"/>
        </w:numPr>
        <w:tabs>
          <w:tab w:val="clear" w:pos="1247"/>
          <w:tab w:val="clear" w:pos="1814"/>
          <w:tab w:val="clear" w:pos="2381"/>
          <w:tab w:val="clear" w:pos="2948"/>
          <w:tab w:val="clear" w:pos="3515"/>
          <w:tab w:val="clear" w:pos="4082"/>
          <w:tab w:val="left" w:pos="624"/>
        </w:tabs>
        <w:ind w:left="3346" w:hanging="624"/>
        <w:rPr>
          <w:lang w:val="en-GB"/>
        </w:rPr>
      </w:pPr>
      <w:r w:rsidRPr="003E390D">
        <w:rPr>
          <w:lang w:val="en-GB"/>
        </w:rPr>
        <w:t>The Federal Ministry for the Environment, Nation Conservation, Building and Nuclear Safety (BMUB) of Germany providing financial support to complement the half-time position of information systems assistant and allow the recruitment of a full-time G-5 staff member.</w:t>
      </w:r>
      <w:bookmarkEnd w:id="2"/>
    </w:p>
    <w:p w:rsidR="000B6004" w:rsidRPr="003E390D" w:rsidRDefault="000B6004" w:rsidP="00585B4A">
      <w:pPr>
        <w:pStyle w:val="Normalnumber"/>
        <w:numPr>
          <w:ilvl w:val="0"/>
          <w:numId w:val="37"/>
        </w:numPr>
        <w:tabs>
          <w:tab w:val="clear" w:pos="567"/>
          <w:tab w:val="clear" w:pos="1247"/>
          <w:tab w:val="clear" w:pos="1814"/>
          <w:tab w:val="clear" w:pos="2381"/>
          <w:tab w:val="clear" w:pos="2948"/>
          <w:tab w:val="clear" w:pos="3515"/>
          <w:tab w:val="clear" w:pos="4082"/>
          <w:tab w:val="num" w:pos="624"/>
        </w:tabs>
        <w:rPr>
          <w:lang w:val="en-GB"/>
        </w:rPr>
      </w:pPr>
      <w:r w:rsidRPr="003E390D">
        <w:rPr>
          <w:lang w:val="en-GB"/>
        </w:rPr>
        <w:t>Agreements have been established or are currently being finalized on all institutional arrangements mentioned above. The appropriate legal instruments were put in place when transfer of funds from the IPBES trust fund to an external TSU was necessary (to all TSUs besides NIE and UNAM), while a Memorandum of Understanding or a Project Cooperation Arrangement was drafted when no transfer of funds was necessary (NIE, UNAM). A United Nations consultant contract was established for the regional assessments (deliverable 2(b)) consultant, and Individual Contractor Agreements through the United Nations Office for Project Services for the consultants working on the thematic assessments and the global assessment and providing technical support within the secretariat in Bonn. A non-reimbursable loan agreement of personal services from sources external to the United</w:t>
      </w:r>
      <w:r w:rsidR="007A6625" w:rsidRPr="003E390D">
        <w:rPr>
          <w:lang w:val="en-GB"/>
        </w:rPr>
        <w:t> </w:t>
      </w:r>
      <w:r w:rsidRPr="003E390D">
        <w:rPr>
          <w:lang w:val="en-GB"/>
        </w:rPr>
        <w:t>Nations was established between France and the United Nations Environment</w:t>
      </w:r>
      <w:r w:rsidR="00216055">
        <w:rPr>
          <w:lang w:val="en-GB"/>
        </w:rPr>
        <w:t xml:space="preserve"> Programme</w:t>
      </w:r>
      <w:r w:rsidRPr="003E390D">
        <w:rPr>
          <w:lang w:val="en-GB"/>
        </w:rPr>
        <w:t xml:space="preserve">. </w:t>
      </w:r>
    </w:p>
    <w:p w:rsidR="003B1F39" w:rsidRPr="003E390D" w:rsidRDefault="003B1F39" w:rsidP="00585B4A">
      <w:pPr>
        <w:pStyle w:val="Normal-pool"/>
        <w:rPr>
          <w:lang w:val="en-GB"/>
        </w:rPr>
      </w:pPr>
    </w:p>
    <w:tbl>
      <w:tblPr>
        <w:tblStyle w:val="Tabledocr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1898"/>
        <w:gridCol w:w="1899"/>
        <w:gridCol w:w="1900"/>
        <w:gridCol w:w="1900"/>
      </w:tblGrid>
      <w:tr w:rsidR="008C00D6" w:rsidRPr="006A72F0" w:rsidTr="007E2B3C">
        <w:tc>
          <w:tcPr>
            <w:tcW w:w="1921" w:type="dxa"/>
          </w:tcPr>
          <w:p w:rsidR="008C00D6" w:rsidRPr="003E390D" w:rsidRDefault="008C00D6" w:rsidP="003B1F39">
            <w:pPr>
              <w:pStyle w:val="Normal-pool"/>
              <w:rPr>
                <w:lang w:val="en-GB"/>
              </w:rPr>
            </w:pPr>
          </w:p>
        </w:tc>
        <w:tc>
          <w:tcPr>
            <w:tcW w:w="1921" w:type="dxa"/>
          </w:tcPr>
          <w:p w:rsidR="008C00D6" w:rsidRPr="003E390D" w:rsidRDefault="008C00D6" w:rsidP="003B1F39">
            <w:pPr>
              <w:pStyle w:val="Normal-pool"/>
              <w:rPr>
                <w:lang w:val="en-GB"/>
              </w:rPr>
            </w:pPr>
          </w:p>
        </w:tc>
        <w:tc>
          <w:tcPr>
            <w:tcW w:w="1922" w:type="dxa"/>
            <w:tcBorders>
              <w:bottom w:val="single" w:sz="4" w:space="0" w:color="auto"/>
            </w:tcBorders>
          </w:tcPr>
          <w:p w:rsidR="008C00D6" w:rsidRPr="003E390D" w:rsidRDefault="008C00D6" w:rsidP="00546A3E">
            <w:pPr>
              <w:pStyle w:val="Normal-pool"/>
              <w:spacing w:before="520"/>
              <w:rPr>
                <w:lang w:val="en-GB"/>
              </w:rPr>
            </w:pPr>
          </w:p>
        </w:tc>
        <w:tc>
          <w:tcPr>
            <w:tcW w:w="1923" w:type="dxa"/>
          </w:tcPr>
          <w:p w:rsidR="008C00D6" w:rsidRPr="003E390D" w:rsidRDefault="008C00D6" w:rsidP="003B1F39">
            <w:pPr>
              <w:pStyle w:val="Normal-pool"/>
              <w:rPr>
                <w:lang w:val="en-GB"/>
              </w:rPr>
            </w:pPr>
          </w:p>
        </w:tc>
        <w:tc>
          <w:tcPr>
            <w:tcW w:w="1923" w:type="dxa"/>
          </w:tcPr>
          <w:p w:rsidR="008C00D6" w:rsidRPr="003E390D" w:rsidRDefault="008C00D6" w:rsidP="003B1F39">
            <w:pPr>
              <w:pStyle w:val="Normal-pool"/>
              <w:rPr>
                <w:lang w:val="en-GB"/>
              </w:rPr>
            </w:pPr>
          </w:p>
        </w:tc>
      </w:tr>
    </w:tbl>
    <w:p w:rsidR="00985ADF" w:rsidRPr="00585B4A" w:rsidRDefault="00985ADF" w:rsidP="003B1F39">
      <w:pPr>
        <w:pStyle w:val="Normal-pool"/>
        <w:spacing w:line="20" w:lineRule="exact"/>
        <w:rPr>
          <w:sz w:val="4"/>
          <w:szCs w:val="4"/>
          <w:lang w:val="en-GB" w:eastAsia="ja-JP"/>
        </w:rPr>
      </w:pPr>
    </w:p>
    <w:sectPr w:rsidR="00985ADF" w:rsidRPr="00585B4A" w:rsidSect="00024C1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84E" w:rsidRDefault="0079284E">
      <w:r>
        <w:separator/>
      </w:r>
    </w:p>
  </w:endnote>
  <w:endnote w:type="continuationSeparator" w:id="0">
    <w:p w:rsidR="0079284E" w:rsidRDefault="0079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0CD" w:rsidRPr="003B1F39" w:rsidRDefault="00B420CD" w:rsidP="003B1F39">
    <w:pPr>
      <w:pStyle w:val="Footer-pool"/>
      <w:rPr>
        <w:b w:val="0"/>
      </w:rPr>
    </w:pPr>
    <w:r w:rsidRPr="003B1F39">
      <w:rPr>
        <w:rStyle w:val="PageNumber"/>
        <w:b/>
      </w:rPr>
      <w:fldChar w:fldCharType="begin"/>
    </w:r>
    <w:r w:rsidRPr="003B1F39">
      <w:rPr>
        <w:rStyle w:val="PageNumber"/>
        <w:b/>
      </w:rPr>
      <w:instrText xml:space="preserve"> PAGE </w:instrText>
    </w:r>
    <w:r w:rsidRPr="003B1F39">
      <w:rPr>
        <w:rStyle w:val="PageNumber"/>
        <w:b/>
      </w:rPr>
      <w:fldChar w:fldCharType="separate"/>
    </w:r>
    <w:r w:rsidR="00CA4E8A">
      <w:rPr>
        <w:rStyle w:val="PageNumber"/>
        <w:b/>
        <w:noProof/>
      </w:rPr>
      <w:t>4</w:t>
    </w:r>
    <w:r w:rsidRPr="003B1F39">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0CD" w:rsidRPr="003B1F39" w:rsidRDefault="00B420CD" w:rsidP="003B1F39">
    <w:pPr>
      <w:pStyle w:val="Footer-pool"/>
      <w:jc w:val="right"/>
      <w:rPr>
        <w:b w:val="0"/>
      </w:rPr>
    </w:pPr>
    <w:r w:rsidRPr="003B1F39">
      <w:rPr>
        <w:rStyle w:val="PageNumber"/>
        <w:b/>
      </w:rPr>
      <w:fldChar w:fldCharType="begin"/>
    </w:r>
    <w:r w:rsidRPr="003B1F39">
      <w:rPr>
        <w:rStyle w:val="PageNumber"/>
        <w:b/>
      </w:rPr>
      <w:instrText xml:space="preserve"> PAGE </w:instrText>
    </w:r>
    <w:r w:rsidRPr="003B1F39">
      <w:rPr>
        <w:rStyle w:val="PageNumber"/>
        <w:b/>
      </w:rPr>
      <w:fldChar w:fldCharType="separate"/>
    </w:r>
    <w:r w:rsidR="00CA4E8A">
      <w:rPr>
        <w:rStyle w:val="PageNumber"/>
        <w:b/>
        <w:noProof/>
      </w:rPr>
      <w:t>3</w:t>
    </w:r>
    <w:r w:rsidRPr="003B1F39">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0CD" w:rsidRPr="008C00D6" w:rsidRDefault="00B420CD" w:rsidP="00B42549">
    <w:pPr>
      <w:pStyle w:val="Normal-pool"/>
      <w:tabs>
        <w:tab w:val="clear" w:pos="1247"/>
        <w:tab w:val="clear" w:pos="1814"/>
        <w:tab w:val="clear" w:pos="2381"/>
        <w:tab w:val="clear" w:pos="2948"/>
        <w:tab w:val="clear" w:pos="3515"/>
        <w:tab w:val="clear" w:pos="4082"/>
        <w:tab w:val="left" w:pos="624"/>
      </w:tabs>
    </w:pPr>
    <w:r>
      <w:t>K1</w:t>
    </w:r>
    <w:r w:rsidR="00FF1F6F">
      <w:t>800436</w:t>
    </w:r>
    <w:r>
      <w:tab/>
    </w:r>
    <w:r w:rsidR="00CA4E8A">
      <w:t>28</w:t>
    </w:r>
    <w:r w:rsidR="00FF1F6F">
      <w:t>02</w:t>
    </w:r>
    <w:r w:rsidR="000B6004">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84E" w:rsidRDefault="0079284E" w:rsidP="00D92DE0">
      <w:pPr>
        <w:ind w:left="624"/>
      </w:pPr>
      <w:r>
        <w:separator/>
      </w:r>
    </w:p>
  </w:footnote>
  <w:footnote w:type="continuationSeparator" w:id="0">
    <w:p w:rsidR="0079284E" w:rsidRDefault="0079284E">
      <w:r>
        <w:continuationSeparator/>
      </w:r>
    </w:p>
  </w:footnote>
  <w:footnote w:id="1">
    <w:p w:rsidR="005939EB" w:rsidRPr="00935022" w:rsidRDefault="005939EB" w:rsidP="005939EB">
      <w:pPr>
        <w:pStyle w:val="FootnoteText"/>
        <w:tabs>
          <w:tab w:val="clear" w:pos="1247"/>
          <w:tab w:val="clear" w:pos="1814"/>
          <w:tab w:val="clear" w:pos="2381"/>
          <w:tab w:val="clear" w:pos="2948"/>
          <w:tab w:val="clear" w:pos="3515"/>
          <w:tab w:val="clear" w:pos="4082"/>
          <w:tab w:val="left" w:pos="624"/>
        </w:tabs>
        <w:rPr>
          <w:szCs w:val="18"/>
          <w:lang w:val="en-US"/>
        </w:rPr>
      </w:pPr>
      <w:r w:rsidRPr="00935022">
        <w:rPr>
          <w:rStyle w:val="FootnoteReference"/>
          <w:sz w:val="18"/>
          <w:vertAlign w:val="baseline"/>
          <w:lang w:val="en-US"/>
        </w:rPr>
        <w:t>*</w:t>
      </w:r>
      <w:r w:rsidRPr="00935022">
        <w:rPr>
          <w:szCs w:val="18"/>
          <w:lang w:val="en-US"/>
        </w:rPr>
        <w:t xml:space="preserve"> Reissued for technical reasons on </w:t>
      </w:r>
      <w:r w:rsidR="00826FA0">
        <w:rPr>
          <w:szCs w:val="18"/>
          <w:lang w:val="en-US"/>
        </w:rPr>
        <w:t>28</w:t>
      </w:r>
      <w:r w:rsidRPr="00935022">
        <w:rPr>
          <w:szCs w:val="18"/>
          <w:lang w:val="en-US"/>
        </w:rPr>
        <w:t xml:space="preserve"> Febr</w:t>
      </w:r>
      <w:r w:rsidR="00C63533">
        <w:rPr>
          <w:szCs w:val="18"/>
          <w:lang w:val="en-US"/>
        </w:rPr>
        <w:t>u</w:t>
      </w:r>
      <w:r w:rsidRPr="00935022">
        <w:rPr>
          <w:szCs w:val="18"/>
          <w:lang w:val="en-US"/>
        </w:rPr>
        <w:t xml:space="preserve">ary 2018. </w:t>
      </w:r>
    </w:p>
  </w:footnote>
  <w:footnote w:id="2">
    <w:p w:rsidR="00CA4E8A" w:rsidRPr="00705DB6" w:rsidRDefault="00CA4E8A" w:rsidP="00CA4E8A">
      <w:pPr>
        <w:pStyle w:val="FootnoteText"/>
        <w:rPr>
          <w:lang w:val="en-US"/>
        </w:rPr>
      </w:pPr>
      <w:r w:rsidRPr="00F7595A">
        <w:rPr>
          <w:rStyle w:val="FootnoteReference"/>
          <w:sz w:val="18"/>
          <w:vertAlign w:val="baseline"/>
        </w:rPr>
        <w:t>*</w:t>
      </w:r>
      <w:r w:rsidRPr="00F7595A">
        <w:rPr>
          <w:rStyle w:val="FootnoteReference"/>
          <w:sz w:val="18"/>
          <w:vertAlign w:val="baseline"/>
          <w:lang w:val="en-US"/>
        </w:rPr>
        <w:t>*</w:t>
      </w:r>
      <w:r w:rsidRPr="00F7595A">
        <w:rPr>
          <w:szCs w:val="18"/>
        </w:rPr>
        <w:t xml:space="preserve"> IPBES/6/1.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0CD" w:rsidRPr="008C00D6" w:rsidRDefault="00B420CD" w:rsidP="003B1F39">
    <w:pPr>
      <w:pStyle w:val="Header-pool"/>
    </w:pPr>
    <w:r w:rsidRPr="00447AB9">
      <w:t>IPBES/</w:t>
    </w:r>
    <w:r>
      <w:t>6</w:t>
    </w:r>
    <w:r w:rsidRPr="00447AB9">
      <w:t>/</w:t>
    </w:r>
    <w:r w:rsidR="000B6004">
      <w:t>INF/20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0CD" w:rsidRPr="008C00D6" w:rsidRDefault="00B420CD" w:rsidP="003B1F39">
    <w:pPr>
      <w:pStyle w:val="Header-pool"/>
      <w:jc w:val="right"/>
    </w:pPr>
    <w:r w:rsidRPr="003B1F39">
      <w:t>IPBES/</w:t>
    </w:r>
    <w:r w:rsidR="00546A3E">
      <w:t>6</w:t>
    </w:r>
    <w:r w:rsidRPr="003B1F39">
      <w:t>/</w:t>
    </w:r>
    <w:r w:rsidR="002E4FC6">
      <w:t>INF/20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C6" w:rsidRDefault="002E4FC6" w:rsidP="002E4FC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3EB3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2073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DE56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DEE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44A7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6206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B6E5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7E42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204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2E8C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1113A7"/>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1" w15:restartNumberingAfterBreak="0">
    <w:nsid w:val="1B571867"/>
    <w:multiLevelType w:val="singleLevel"/>
    <w:tmpl w:val="0F8A842E"/>
    <w:lvl w:ilvl="0">
      <w:start w:val="1"/>
      <w:numFmt w:val="upperRoman"/>
      <w:pStyle w:val="Heading8"/>
      <w:lvlText w:val="%1."/>
      <w:lvlJc w:val="left"/>
      <w:pPr>
        <w:tabs>
          <w:tab w:val="num" w:pos="720"/>
        </w:tabs>
        <w:ind w:left="720" w:hanging="720"/>
      </w:pPr>
      <w:rPr>
        <w:rFonts w:hint="default"/>
      </w:rPr>
    </w:lvl>
  </w:abstractNum>
  <w:abstractNum w:abstractNumId="12" w15:restartNumberingAfterBreak="0">
    <w:nsid w:val="21C11EB0"/>
    <w:multiLevelType w:val="hybridMultilevel"/>
    <w:tmpl w:val="08B8D850"/>
    <w:lvl w:ilvl="0" w:tplc="0809000F">
      <w:start w:val="1"/>
      <w:numFmt w:val="decimal"/>
      <w:lvlText w:val="%1."/>
      <w:lvlJc w:val="left"/>
      <w:pPr>
        <w:ind w:left="2591" w:hanging="360"/>
      </w:p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13" w15:restartNumberingAfterBreak="0">
    <w:nsid w:val="24C43D5A"/>
    <w:multiLevelType w:val="hybridMultilevel"/>
    <w:tmpl w:val="C3C86930"/>
    <w:lvl w:ilvl="0" w:tplc="EAFE9C00">
      <w:start w:val="1"/>
      <w:numFmt w:val="lowerLetter"/>
      <w:lvlText w:val="(%1)"/>
      <w:lvlJc w:val="left"/>
      <w:pPr>
        <w:ind w:left="2327" w:hanging="360"/>
      </w:pPr>
      <w:rPr>
        <w:rFonts w:hint="default"/>
      </w:rPr>
    </w:lvl>
    <w:lvl w:ilvl="1" w:tplc="EAFE9C00">
      <w:start w:val="1"/>
      <w:numFmt w:val="lowerLetter"/>
      <w:lvlText w:val="(%2)"/>
      <w:lvlJc w:val="left"/>
      <w:pPr>
        <w:ind w:left="3047" w:hanging="360"/>
      </w:pPr>
      <w:rPr>
        <w:rFonts w:hint="default"/>
      </w:rPr>
    </w:lvl>
    <w:lvl w:ilvl="2" w:tplc="0809001B">
      <w:start w:val="1"/>
      <w:numFmt w:val="lowerRoman"/>
      <w:lvlText w:val="%3."/>
      <w:lvlJc w:val="right"/>
      <w:pPr>
        <w:ind w:left="3767" w:hanging="180"/>
      </w:pPr>
    </w:lvl>
    <w:lvl w:ilvl="3" w:tplc="0809000F" w:tentative="1">
      <w:start w:val="1"/>
      <w:numFmt w:val="decimal"/>
      <w:lvlText w:val="%4."/>
      <w:lvlJc w:val="left"/>
      <w:pPr>
        <w:ind w:left="4487" w:hanging="360"/>
      </w:pPr>
    </w:lvl>
    <w:lvl w:ilvl="4" w:tplc="08090019" w:tentative="1">
      <w:start w:val="1"/>
      <w:numFmt w:val="lowerLetter"/>
      <w:lvlText w:val="%5."/>
      <w:lvlJc w:val="left"/>
      <w:pPr>
        <w:ind w:left="5207" w:hanging="360"/>
      </w:pPr>
    </w:lvl>
    <w:lvl w:ilvl="5" w:tplc="0809001B" w:tentative="1">
      <w:start w:val="1"/>
      <w:numFmt w:val="lowerRoman"/>
      <w:lvlText w:val="%6."/>
      <w:lvlJc w:val="right"/>
      <w:pPr>
        <w:ind w:left="5927" w:hanging="180"/>
      </w:pPr>
    </w:lvl>
    <w:lvl w:ilvl="6" w:tplc="0809000F" w:tentative="1">
      <w:start w:val="1"/>
      <w:numFmt w:val="decimal"/>
      <w:lvlText w:val="%7."/>
      <w:lvlJc w:val="left"/>
      <w:pPr>
        <w:ind w:left="6647" w:hanging="360"/>
      </w:pPr>
    </w:lvl>
    <w:lvl w:ilvl="7" w:tplc="08090019" w:tentative="1">
      <w:start w:val="1"/>
      <w:numFmt w:val="lowerLetter"/>
      <w:lvlText w:val="%8."/>
      <w:lvlJc w:val="left"/>
      <w:pPr>
        <w:ind w:left="7367" w:hanging="360"/>
      </w:pPr>
    </w:lvl>
    <w:lvl w:ilvl="8" w:tplc="0809001B" w:tentative="1">
      <w:start w:val="1"/>
      <w:numFmt w:val="lowerRoman"/>
      <w:lvlText w:val="%9."/>
      <w:lvlJc w:val="right"/>
      <w:pPr>
        <w:ind w:left="8087" w:hanging="180"/>
      </w:pPr>
    </w:lvl>
  </w:abstractNum>
  <w:abstractNum w:abstractNumId="14" w15:restartNumberingAfterBreak="0">
    <w:nsid w:val="35361886"/>
    <w:multiLevelType w:val="hybridMultilevel"/>
    <w:tmpl w:val="6C4AE18A"/>
    <w:lvl w:ilvl="0" w:tplc="FF283384">
      <w:start w:val="1"/>
      <w:numFmt w:val="lowerRoman"/>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5" w15:restartNumberingAfterBreak="0">
    <w:nsid w:val="35571603"/>
    <w:multiLevelType w:val="singleLevel"/>
    <w:tmpl w:val="6F188ED2"/>
    <w:lvl w:ilvl="0">
      <w:start w:val="6"/>
      <w:numFmt w:val="upperLetter"/>
      <w:pStyle w:val="Heading9"/>
      <w:lvlText w:val="%1."/>
      <w:lvlJc w:val="left"/>
      <w:pPr>
        <w:tabs>
          <w:tab w:val="num" w:pos="360"/>
        </w:tabs>
        <w:ind w:left="360" w:hanging="360"/>
      </w:pPr>
      <w:rPr>
        <w:rFonts w:hint="default"/>
      </w:rPr>
    </w:lvl>
  </w:abstractNum>
  <w:abstractNum w:abstractNumId="16" w15:restartNumberingAfterBreak="0">
    <w:nsid w:val="3B1D18E0"/>
    <w:multiLevelType w:val="hybridMultilevel"/>
    <w:tmpl w:val="E0163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4929CF"/>
    <w:multiLevelType w:val="hybridMultilevel"/>
    <w:tmpl w:val="6C4AE18A"/>
    <w:lvl w:ilvl="0" w:tplc="FF283384">
      <w:start w:val="1"/>
      <w:numFmt w:val="lowerRoman"/>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8" w15:restartNumberingAfterBreak="0">
    <w:nsid w:val="507F6BD0"/>
    <w:multiLevelType w:val="hybridMultilevel"/>
    <w:tmpl w:val="C4B604C0"/>
    <w:lvl w:ilvl="0" w:tplc="A72E236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A72E2362">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A66A9D"/>
    <w:multiLevelType w:val="multilevel"/>
    <w:tmpl w:val="6818E20E"/>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20" w15:restartNumberingAfterBreak="0">
    <w:nsid w:val="542C6DFB"/>
    <w:multiLevelType w:val="hybridMultilevel"/>
    <w:tmpl w:val="6C4AE18A"/>
    <w:lvl w:ilvl="0" w:tplc="FF283384">
      <w:start w:val="1"/>
      <w:numFmt w:val="lowerRoman"/>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1" w15:restartNumberingAfterBreak="0">
    <w:nsid w:val="55DF2172"/>
    <w:multiLevelType w:val="hybridMultilevel"/>
    <w:tmpl w:val="B4801884"/>
    <w:lvl w:ilvl="0" w:tplc="A72E236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2D1F29"/>
    <w:multiLevelType w:val="hybridMultilevel"/>
    <w:tmpl w:val="6C4AE18A"/>
    <w:lvl w:ilvl="0" w:tplc="FF283384">
      <w:start w:val="1"/>
      <w:numFmt w:val="lowerRoman"/>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3" w15:restartNumberingAfterBreak="0">
    <w:nsid w:val="5E2E5C15"/>
    <w:multiLevelType w:val="hybridMultilevel"/>
    <w:tmpl w:val="6C4AE18A"/>
    <w:lvl w:ilvl="0" w:tplc="FF283384">
      <w:start w:val="1"/>
      <w:numFmt w:val="lowerRoman"/>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4" w15:restartNumberingAfterBreak="0">
    <w:nsid w:val="7A4D24C8"/>
    <w:multiLevelType w:val="hybridMultilevel"/>
    <w:tmpl w:val="6C4AE18A"/>
    <w:lvl w:ilvl="0" w:tplc="FF283384">
      <w:start w:val="1"/>
      <w:numFmt w:val="lowerRoman"/>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num w:numId="1">
    <w:abstractNumId w:val="11"/>
  </w:num>
  <w:num w:numId="2">
    <w:abstractNumId w:val="15"/>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5"/>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0"/>
    <w:lvlOverride w:ilvl="0">
      <w:lvl w:ilvl="0">
        <w:start w:val="1"/>
        <w:numFmt w:val="lowerLetter"/>
        <w:lvlText w:val="(%1)"/>
        <w:lvlJc w:val="left"/>
        <w:pPr>
          <w:ind w:left="1607"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entative="1">
        <w:start w:val="1"/>
        <w:numFmt w:val="lowerLetter"/>
        <w:lvlText w:val="%2."/>
        <w:lvlJc w:val="left"/>
        <w:pPr>
          <w:ind w:left="2327" w:hanging="360"/>
        </w:pPr>
      </w:lvl>
    </w:lvlOverride>
    <w:lvlOverride w:ilvl="2">
      <w:lvl w:ilvl="2" w:tentative="1">
        <w:start w:val="1"/>
        <w:numFmt w:val="lowerRoman"/>
        <w:lvlText w:val="%3."/>
        <w:lvlJc w:val="right"/>
        <w:pPr>
          <w:ind w:left="3047" w:hanging="180"/>
        </w:pPr>
      </w:lvl>
    </w:lvlOverride>
    <w:lvlOverride w:ilvl="3">
      <w:lvl w:ilvl="3" w:tentative="1">
        <w:start w:val="1"/>
        <w:numFmt w:val="decimal"/>
        <w:lvlText w:val="%4."/>
        <w:lvlJc w:val="left"/>
        <w:pPr>
          <w:ind w:left="3767" w:hanging="360"/>
        </w:pPr>
      </w:lvl>
    </w:lvlOverride>
    <w:lvlOverride w:ilvl="4">
      <w:lvl w:ilvl="4" w:tentative="1">
        <w:start w:val="1"/>
        <w:numFmt w:val="lowerLetter"/>
        <w:lvlText w:val="%5."/>
        <w:lvlJc w:val="left"/>
        <w:pPr>
          <w:ind w:left="4487" w:hanging="360"/>
        </w:pPr>
      </w:lvl>
    </w:lvlOverride>
    <w:lvlOverride w:ilvl="5">
      <w:lvl w:ilvl="5" w:tentative="1">
        <w:start w:val="1"/>
        <w:numFmt w:val="lowerRoman"/>
        <w:lvlText w:val="%6."/>
        <w:lvlJc w:val="right"/>
        <w:pPr>
          <w:ind w:left="5207" w:hanging="180"/>
        </w:pPr>
      </w:lvl>
    </w:lvlOverride>
    <w:lvlOverride w:ilvl="6">
      <w:lvl w:ilvl="6" w:tentative="1">
        <w:start w:val="1"/>
        <w:numFmt w:val="decimal"/>
        <w:lvlText w:val="%7."/>
        <w:lvlJc w:val="left"/>
        <w:pPr>
          <w:ind w:left="5927" w:hanging="360"/>
        </w:pPr>
      </w:lvl>
    </w:lvlOverride>
    <w:lvlOverride w:ilvl="7">
      <w:lvl w:ilvl="7" w:tentative="1">
        <w:start w:val="1"/>
        <w:numFmt w:val="lowerLetter"/>
        <w:lvlText w:val="%8."/>
        <w:lvlJc w:val="left"/>
        <w:pPr>
          <w:ind w:left="6647" w:hanging="360"/>
        </w:pPr>
      </w:lvl>
    </w:lvlOverride>
    <w:lvlOverride w:ilvl="8">
      <w:lvl w:ilvl="8" w:tentative="1">
        <w:start w:val="1"/>
        <w:numFmt w:val="lowerRoman"/>
        <w:lvlText w:val="%9."/>
        <w:lvlJc w:val="right"/>
        <w:pPr>
          <w:ind w:left="7367" w:hanging="180"/>
        </w:pPr>
      </w:lvl>
    </w:lvlOverride>
  </w:num>
  <w:num w:numId="37">
    <w:abstractNumId w:val="10"/>
    <w:lvlOverride w:ilvl="0">
      <w:lvl w:ilvl="0">
        <w:start w:val="1"/>
        <w:numFmt w:val="decimal"/>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8">
    <w:abstractNumId w:val="13"/>
  </w:num>
  <w:num w:numId="39">
    <w:abstractNumId w:val="24"/>
  </w:num>
  <w:num w:numId="40">
    <w:abstractNumId w:val="20"/>
  </w:num>
  <w:num w:numId="41">
    <w:abstractNumId w:val="22"/>
  </w:num>
  <w:num w:numId="42">
    <w:abstractNumId w:val="14"/>
  </w:num>
  <w:num w:numId="43">
    <w:abstractNumId w:val="17"/>
  </w:num>
  <w:num w:numId="44">
    <w:abstractNumId w:val="23"/>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19"/>
  </w:num>
  <w:num w:numId="52">
    <w:abstractNumId w:val="19"/>
  </w:num>
  <w:num w:numId="53">
    <w:abstractNumId w:val="19"/>
  </w:num>
  <w:num w:numId="54">
    <w:abstractNumId w:val="19"/>
  </w:num>
  <w:num w:numId="55">
    <w:abstractNumId w:val="19"/>
  </w:num>
  <w:num w:numId="56">
    <w:abstractNumId w:val="19"/>
  </w:num>
  <w:num w:numId="57">
    <w:abstractNumId w:val="19"/>
  </w:num>
  <w:num w:numId="58">
    <w:abstractNumId w:val="19"/>
  </w:num>
  <w:num w:numId="59">
    <w:abstractNumId w:val="21"/>
  </w:num>
  <w:num w:numId="60">
    <w:abstractNumId w:val="18"/>
  </w:num>
  <w:num w:numId="61">
    <w:abstractNumId w:val="12"/>
  </w:num>
  <w:num w:numId="62">
    <w:abstractNumId w:val="19"/>
  </w:num>
  <w:num w:numId="63">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fr-FR" w:vendorID="64" w:dllVersion="0" w:nlCheck="1" w:checkStyle="1"/>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ctiveWritingStyle w:appName="MSWord" w:lang="fr-CA" w:vendorID="64" w:dllVersion="0" w:nlCheck="1" w:checkStyle="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624"/>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8A"/>
    <w:rsid w:val="00010869"/>
    <w:rsid w:val="000149E6"/>
    <w:rsid w:val="000247B0"/>
    <w:rsid w:val="00024C14"/>
    <w:rsid w:val="00026997"/>
    <w:rsid w:val="00033C5F"/>
    <w:rsid w:val="00033E0B"/>
    <w:rsid w:val="00035EDE"/>
    <w:rsid w:val="0004026E"/>
    <w:rsid w:val="00044E5A"/>
    <w:rsid w:val="0004540A"/>
    <w:rsid w:val="000509B4"/>
    <w:rsid w:val="0006035B"/>
    <w:rsid w:val="00061444"/>
    <w:rsid w:val="00061E92"/>
    <w:rsid w:val="0006430A"/>
    <w:rsid w:val="00071886"/>
    <w:rsid w:val="000742BC"/>
    <w:rsid w:val="00082A0C"/>
    <w:rsid w:val="00083504"/>
    <w:rsid w:val="000904EF"/>
    <w:rsid w:val="0009640C"/>
    <w:rsid w:val="000B22A2"/>
    <w:rsid w:val="000B6004"/>
    <w:rsid w:val="000C2A52"/>
    <w:rsid w:val="000D33C0"/>
    <w:rsid w:val="000D6941"/>
    <w:rsid w:val="000F6B5C"/>
    <w:rsid w:val="001202E3"/>
    <w:rsid w:val="00123699"/>
    <w:rsid w:val="0013059D"/>
    <w:rsid w:val="00141A55"/>
    <w:rsid w:val="001446A3"/>
    <w:rsid w:val="00155395"/>
    <w:rsid w:val="00160D74"/>
    <w:rsid w:val="00167D02"/>
    <w:rsid w:val="001717B7"/>
    <w:rsid w:val="00181EC8"/>
    <w:rsid w:val="00184349"/>
    <w:rsid w:val="001958C3"/>
    <w:rsid w:val="00195F33"/>
    <w:rsid w:val="001B1617"/>
    <w:rsid w:val="001B504B"/>
    <w:rsid w:val="001B68AD"/>
    <w:rsid w:val="001B6CA5"/>
    <w:rsid w:val="001D3874"/>
    <w:rsid w:val="001D7E75"/>
    <w:rsid w:val="001E56D2"/>
    <w:rsid w:val="001E7D56"/>
    <w:rsid w:val="001F75DE"/>
    <w:rsid w:val="00200D58"/>
    <w:rsid w:val="002013BE"/>
    <w:rsid w:val="00203460"/>
    <w:rsid w:val="002063A4"/>
    <w:rsid w:val="0021145B"/>
    <w:rsid w:val="00213A77"/>
    <w:rsid w:val="00216055"/>
    <w:rsid w:val="00243679"/>
    <w:rsid w:val="00243D36"/>
    <w:rsid w:val="00247707"/>
    <w:rsid w:val="002512CA"/>
    <w:rsid w:val="0026018E"/>
    <w:rsid w:val="00273A7F"/>
    <w:rsid w:val="00285344"/>
    <w:rsid w:val="00286740"/>
    <w:rsid w:val="002929D8"/>
    <w:rsid w:val="002A237D"/>
    <w:rsid w:val="002A4C53"/>
    <w:rsid w:val="002B0672"/>
    <w:rsid w:val="002B247F"/>
    <w:rsid w:val="002C145D"/>
    <w:rsid w:val="002C2C3E"/>
    <w:rsid w:val="002C533E"/>
    <w:rsid w:val="002D027F"/>
    <w:rsid w:val="002D7A85"/>
    <w:rsid w:val="002D7B60"/>
    <w:rsid w:val="002E4FC6"/>
    <w:rsid w:val="002F13C7"/>
    <w:rsid w:val="002F4761"/>
    <w:rsid w:val="002F5C79"/>
    <w:rsid w:val="003019E2"/>
    <w:rsid w:val="003065E6"/>
    <w:rsid w:val="0031413F"/>
    <w:rsid w:val="003148BB"/>
    <w:rsid w:val="00317976"/>
    <w:rsid w:val="00351B05"/>
    <w:rsid w:val="00355EA9"/>
    <w:rsid w:val="003578DE"/>
    <w:rsid w:val="00385868"/>
    <w:rsid w:val="00396257"/>
    <w:rsid w:val="00397EB8"/>
    <w:rsid w:val="003A4FD0"/>
    <w:rsid w:val="003A69D1"/>
    <w:rsid w:val="003A7705"/>
    <w:rsid w:val="003A77F1"/>
    <w:rsid w:val="003B1545"/>
    <w:rsid w:val="003B1F39"/>
    <w:rsid w:val="003C409D"/>
    <w:rsid w:val="003C5BA6"/>
    <w:rsid w:val="003D50CB"/>
    <w:rsid w:val="003E390D"/>
    <w:rsid w:val="003F0E85"/>
    <w:rsid w:val="003F1D30"/>
    <w:rsid w:val="003F7440"/>
    <w:rsid w:val="0041081A"/>
    <w:rsid w:val="00410C55"/>
    <w:rsid w:val="00416854"/>
    <w:rsid w:val="00417725"/>
    <w:rsid w:val="00437F26"/>
    <w:rsid w:val="00444097"/>
    <w:rsid w:val="00445487"/>
    <w:rsid w:val="004456DC"/>
    <w:rsid w:val="00447AB9"/>
    <w:rsid w:val="00454769"/>
    <w:rsid w:val="00455480"/>
    <w:rsid w:val="004618B7"/>
    <w:rsid w:val="00466991"/>
    <w:rsid w:val="0047064C"/>
    <w:rsid w:val="004A42E1"/>
    <w:rsid w:val="004B162C"/>
    <w:rsid w:val="004C3DBE"/>
    <w:rsid w:val="004C5C96"/>
    <w:rsid w:val="004D06A4"/>
    <w:rsid w:val="004F1A81"/>
    <w:rsid w:val="00517861"/>
    <w:rsid w:val="005218D9"/>
    <w:rsid w:val="00533551"/>
    <w:rsid w:val="00536186"/>
    <w:rsid w:val="00544CBB"/>
    <w:rsid w:val="00546A3E"/>
    <w:rsid w:val="00563378"/>
    <w:rsid w:val="0057315F"/>
    <w:rsid w:val="005754A9"/>
    <w:rsid w:val="00576104"/>
    <w:rsid w:val="00585B4A"/>
    <w:rsid w:val="005939EB"/>
    <w:rsid w:val="005B24EE"/>
    <w:rsid w:val="005C67C8"/>
    <w:rsid w:val="005D0249"/>
    <w:rsid w:val="005D6E8C"/>
    <w:rsid w:val="005F100C"/>
    <w:rsid w:val="005F68DA"/>
    <w:rsid w:val="00606059"/>
    <w:rsid w:val="0060773B"/>
    <w:rsid w:val="006157B5"/>
    <w:rsid w:val="00626FC6"/>
    <w:rsid w:val="006303B4"/>
    <w:rsid w:val="00633D3D"/>
    <w:rsid w:val="00641703"/>
    <w:rsid w:val="006431A6"/>
    <w:rsid w:val="0064357C"/>
    <w:rsid w:val="006459F6"/>
    <w:rsid w:val="006501AD"/>
    <w:rsid w:val="00651BFA"/>
    <w:rsid w:val="00654475"/>
    <w:rsid w:val="006568CE"/>
    <w:rsid w:val="006576F9"/>
    <w:rsid w:val="006600AD"/>
    <w:rsid w:val="00665A4B"/>
    <w:rsid w:val="00692E2A"/>
    <w:rsid w:val="006A72F0"/>
    <w:rsid w:val="006A76F2"/>
    <w:rsid w:val="006B0E1A"/>
    <w:rsid w:val="006D7EFB"/>
    <w:rsid w:val="006E6672"/>
    <w:rsid w:val="006E6722"/>
    <w:rsid w:val="007027B9"/>
    <w:rsid w:val="007123E2"/>
    <w:rsid w:val="00714E08"/>
    <w:rsid w:val="00715E88"/>
    <w:rsid w:val="0071625A"/>
    <w:rsid w:val="00734CAA"/>
    <w:rsid w:val="0074459A"/>
    <w:rsid w:val="0075533C"/>
    <w:rsid w:val="00757581"/>
    <w:rsid w:val="007611A0"/>
    <w:rsid w:val="0076399F"/>
    <w:rsid w:val="0079284E"/>
    <w:rsid w:val="00796D3F"/>
    <w:rsid w:val="007A1683"/>
    <w:rsid w:val="007A5C12"/>
    <w:rsid w:val="007A6625"/>
    <w:rsid w:val="007A7CB0"/>
    <w:rsid w:val="007B60E7"/>
    <w:rsid w:val="007B68A3"/>
    <w:rsid w:val="007C2541"/>
    <w:rsid w:val="007D66A8"/>
    <w:rsid w:val="007D7AC3"/>
    <w:rsid w:val="007E003F"/>
    <w:rsid w:val="007E2B3C"/>
    <w:rsid w:val="007F3540"/>
    <w:rsid w:val="007F6126"/>
    <w:rsid w:val="008034CE"/>
    <w:rsid w:val="00805F75"/>
    <w:rsid w:val="00815B30"/>
    <w:rsid w:val="008164F2"/>
    <w:rsid w:val="00821395"/>
    <w:rsid w:val="00826FA0"/>
    <w:rsid w:val="00830E26"/>
    <w:rsid w:val="00841D9D"/>
    <w:rsid w:val="00843576"/>
    <w:rsid w:val="00843B64"/>
    <w:rsid w:val="00844743"/>
    <w:rsid w:val="008478FC"/>
    <w:rsid w:val="00867BFF"/>
    <w:rsid w:val="008829D3"/>
    <w:rsid w:val="0088480A"/>
    <w:rsid w:val="0088757A"/>
    <w:rsid w:val="008957DD"/>
    <w:rsid w:val="00895DD1"/>
    <w:rsid w:val="008971FC"/>
    <w:rsid w:val="00897D98"/>
    <w:rsid w:val="008A6DF2"/>
    <w:rsid w:val="008A7807"/>
    <w:rsid w:val="008B4CC9"/>
    <w:rsid w:val="008C00D6"/>
    <w:rsid w:val="008D7C99"/>
    <w:rsid w:val="008E0FCB"/>
    <w:rsid w:val="008F31C2"/>
    <w:rsid w:val="0092178C"/>
    <w:rsid w:val="00930B88"/>
    <w:rsid w:val="009379B9"/>
    <w:rsid w:val="00940DCC"/>
    <w:rsid w:val="0094179A"/>
    <w:rsid w:val="0094459E"/>
    <w:rsid w:val="00944DBC"/>
    <w:rsid w:val="0094617E"/>
    <w:rsid w:val="00950977"/>
    <w:rsid w:val="00951A7B"/>
    <w:rsid w:val="009527C6"/>
    <w:rsid w:val="009564A6"/>
    <w:rsid w:val="00967621"/>
    <w:rsid w:val="00967E6A"/>
    <w:rsid w:val="00984A20"/>
    <w:rsid w:val="00985ADF"/>
    <w:rsid w:val="0099532B"/>
    <w:rsid w:val="009A1772"/>
    <w:rsid w:val="009B4A0F"/>
    <w:rsid w:val="009C11D2"/>
    <w:rsid w:val="009C1575"/>
    <w:rsid w:val="009C6C70"/>
    <w:rsid w:val="009D0B63"/>
    <w:rsid w:val="009E307E"/>
    <w:rsid w:val="009E78C3"/>
    <w:rsid w:val="00A028C7"/>
    <w:rsid w:val="00A07870"/>
    <w:rsid w:val="00A07F19"/>
    <w:rsid w:val="00A1148A"/>
    <w:rsid w:val="00A1348D"/>
    <w:rsid w:val="00A232EE"/>
    <w:rsid w:val="00A27C49"/>
    <w:rsid w:val="00A35431"/>
    <w:rsid w:val="00A4175F"/>
    <w:rsid w:val="00A44411"/>
    <w:rsid w:val="00A469FA"/>
    <w:rsid w:val="00A55B01"/>
    <w:rsid w:val="00A55E48"/>
    <w:rsid w:val="00A56B5B"/>
    <w:rsid w:val="00A603FF"/>
    <w:rsid w:val="00A657DD"/>
    <w:rsid w:val="00A666A6"/>
    <w:rsid w:val="00A675FD"/>
    <w:rsid w:val="00A72437"/>
    <w:rsid w:val="00A80611"/>
    <w:rsid w:val="00AA0C30"/>
    <w:rsid w:val="00AB5340"/>
    <w:rsid w:val="00AC0A89"/>
    <w:rsid w:val="00AC7C96"/>
    <w:rsid w:val="00AE237D"/>
    <w:rsid w:val="00AE502A"/>
    <w:rsid w:val="00AF0CC1"/>
    <w:rsid w:val="00AF7C07"/>
    <w:rsid w:val="00B22C93"/>
    <w:rsid w:val="00B27589"/>
    <w:rsid w:val="00B33DFE"/>
    <w:rsid w:val="00B405B7"/>
    <w:rsid w:val="00B420CD"/>
    <w:rsid w:val="00B42549"/>
    <w:rsid w:val="00B52222"/>
    <w:rsid w:val="00B54FE7"/>
    <w:rsid w:val="00B66901"/>
    <w:rsid w:val="00B71E6D"/>
    <w:rsid w:val="00B72070"/>
    <w:rsid w:val="00B75656"/>
    <w:rsid w:val="00B779E1"/>
    <w:rsid w:val="00B91EE1"/>
    <w:rsid w:val="00BA0090"/>
    <w:rsid w:val="00BA1A67"/>
    <w:rsid w:val="00BA7797"/>
    <w:rsid w:val="00BE4C5D"/>
    <w:rsid w:val="00BE5B5F"/>
    <w:rsid w:val="00C03545"/>
    <w:rsid w:val="00C26F55"/>
    <w:rsid w:val="00C30C63"/>
    <w:rsid w:val="00C36B8B"/>
    <w:rsid w:val="00C415C1"/>
    <w:rsid w:val="00C47DBF"/>
    <w:rsid w:val="00C552FF"/>
    <w:rsid w:val="00C558DA"/>
    <w:rsid w:val="00C55AF3"/>
    <w:rsid w:val="00C63533"/>
    <w:rsid w:val="00C70845"/>
    <w:rsid w:val="00C83A22"/>
    <w:rsid w:val="00C84759"/>
    <w:rsid w:val="00C96840"/>
    <w:rsid w:val="00CA4E8A"/>
    <w:rsid w:val="00CA6C7F"/>
    <w:rsid w:val="00CC10A6"/>
    <w:rsid w:val="00CC20CF"/>
    <w:rsid w:val="00CD5EB8"/>
    <w:rsid w:val="00CD7044"/>
    <w:rsid w:val="00CE08B9"/>
    <w:rsid w:val="00CE524C"/>
    <w:rsid w:val="00CE664D"/>
    <w:rsid w:val="00CF141F"/>
    <w:rsid w:val="00CF4777"/>
    <w:rsid w:val="00D067BB"/>
    <w:rsid w:val="00D1352A"/>
    <w:rsid w:val="00D169AF"/>
    <w:rsid w:val="00D25249"/>
    <w:rsid w:val="00D33031"/>
    <w:rsid w:val="00D33D5C"/>
    <w:rsid w:val="00D44172"/>
    <w:rsid w:val="00D62DAC"/>
    <w:rsid w:val="00D63B8C"/>
    <w:rsid w:val="00D739CC"/>
    <w:rsid w:val="00D8093D"/>
    <w:rsid w:val="00D8108C"/>
    <w:rsid w:val="00D842AE"/>
    <w:rsid w:val="00D87566"/>
    <w:rsid w:val="00D9211C"/>
    <w:rsid w:val="00D92DE0"/>
    <w:rsid w:val="00D92FEF"/>
    <w:rsid w:val="00D93A0F"/>
    <w:rsid w:val="00DA1BCA"/>
    <w:rsid w:val="00DA7476"/>
    <w:rsid w:val="00DC45C7"/>
    <w:rsid w:val="00DC46FF"/>
    <w:rsid w:val="00DC5254"/>
    <w:rsid w:val="00DD1A4F"/>
    <w:rsid w:val="00DD2838"/>
    <w:rsid w:val="00DD3107"/>
    <w:rsid w:val="00DD7C2C"/>
    <w:rsid w:val="00DF05AB"/>
    <w:rsid w:val="00E0342F"/>
    <w:rsid w:val="00E03D71"/>
    <w:rsid w:val="00E06797"/>
    <w:rsid w:val="00E1265B"/>
    <w:rsid w:val="00E13B48"/>
    <w:rsid w:val="00E1404F"/>
    <w:rsid w:val="00E21C83"/>
    <w:rsid w:val="00E2337D"/>
    <w:rsid w:val="00E2437D"/>
    <w:rsid w:val="00E24ADA"/>
    <w:rsid w:val="00E32F59"/>
    <w:rsid w:val="00E33E3F"/>
    <w:rsid w:val="00E44A5A"/>
    <w:rsid w:val="00E46D9A"/>
    <w:rsid w:val="00E565FF"/>
    <w:rsid w:val="00E65388"/>
    <w:rsid w:val="00E83AFD"/>
    <w:rsid w:val="00E85B7D"/>
    <w:rsid w:val="00E9121B"/>
    <w:rsid w:val="00EA0AE2"/>
    <w:rsid w:val="00EA39E5"/>
    <w:rsid w:val="00EA5E72"/>
    <w:rsid w:val="00EB563C"/>
    <w:rsid w:val="00EC5A46"/>
    <w:rsid w:val="00EC63E2"/>
    <w:rsid w:val="00EE7A32"/>
    <w:rsid w:val="00EF22B3"/>
    <w:rsid w:val="00F02B81"/>
    <w:rsid w:val="00F03B69"/>
    <w:rsid w:val="00F07A50"/>
    <w:rsid w:val="00F113DA"/>
    <w:rsid w:val="00F21C7C"/>
    <w:rsid w:val="00F24AB6"/>
    <w:rsid w:val="00F37DC8"/>
    <w:rsid w:val="00F439B3"/>
    <w:rsid w:val="00F55490"/>
    <w:rsid w:val="00F650C3"/>
    <w:rsid w:val="00F65D85"/>
    <w:rsid w:val="00F8091E"/>
    <w:rsid w:val="00F8615C"/>
    <w:rsid w:val="00F94214"/>
    <w:rsid w:val="00F969E5"/>
    <w:rsid w:val="00FA3208"/>
    <w:rsid w:val="00FA5BA4"/>
    <w:rsid w:val="00FA6BB0"/>
    <w:rsid w:val="00FD508F"/>
    <w:rsid w:val="00FD5860"/>
    <w:rsid w:val="00FE352D"/>
    <w:rsid w:val="00FE40EB"/>
    <w:rsid w:val="00FE4D02"/>
    <w:rsid w:val="00FE7D62"/>
    <w:rsid w:val="00FF1F6F"/>
    <w:rsid w:val="00FF3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E32D9D"/>
  <w15:docId w15:val="{44653343-5FB4-429C-B0EE-DBCCA32C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unhideWhenUsed/>
    <w:qFormat/>
    <w:rsid w:val="008971FC"/>
    <w:pPr>
      <w:tabs>
        <w:tab w:val="left" w:pos="1247"/>
        <w:tab w:val="left" w:pos="1814"/>
        <w:tab w:val="left" w:pos="2381"/>
        <w:tab w:val="left" w:pos="2948"/>
        <w:tab w:val="left" w:pos="3515"/>
      </w:tabs>
    </w:pPr>
    <w:rPr>
      <w:rFonts w:eastAsiaTheme="minorHAnsi" w:cstheme="minorBidi"/>
      <w:lang w:val="fr-FR"/>
    </w:rPr>
  </w:style>
  <w:style w:type="paragraph" w:styleId="Heading1">
    <w:name w:val="heading 1"/>
    <w:basedOn w:val="Normal"/>
    <w:next w:val="Normal"/>
    <w:link w:val="Heading1Char"/>
    <w:semiHidden/>
    <w:qFormat/>
    <w:rsid w:val="00895DD1"/>
    <w:pPr>
      <w:keepNext/>
      <w:spacing w:before="240" w:after="120"/>
      <w:ind w:left="1247" w:hanging="680"/>
      <w:outlineLvl w:val="0"/>
    </w:pPr>
    <w:rPr>
      <w:rFonts w:eastAsia="Times New Roman" w:cs="Times New Roman"/>
      <w:b/>
      <w:sz w:val="28"/>
    </w:rPr>
  </w:style>
  <w:style w:type="paragraph" w:styleId="Heading2">
    <w:name w:val="heading 2"/>
    <w:basedOn w:val="Normal"/>
    <w:next w:val="Normal"/>
    <w:link w:val="Heading2Char"/>
    <w:semiHidden/>
    <w:qFormat/>
    <w:rsid w:val="00895DD1"/>
    <w:pPr>
      <w:keepNext/>
      <w:spacing w:before="240" w:after="120"/>
      <w:ind w:left="1247" w:hanging="680"/>
      <w:outlineLvl w:val="1"/>
    </w:pPr>
    <w:rPr>
      <w:rFonts w:eastAsia="Times New Roman" w:cs="Times New Roman"/>
      <w:b/>
      <w:sz w:val="24"/>
      <w:szCs w:val="24"/>
    </w:rPr>
  </w:style>
  <w:style w:type="paragraph" w:styleId="Heading3">
    <w:name w:val="heading 3"/>
    <w:basedOn w:val="Normal"/>
    <w:next w:val="Normal"/>
    <w:link w:val="Heading3Char"/>
    <w:semiHidden/>
    <w:qFormat/>
    <w:rsid w:val="00895DD1"/>
    <w:pPr>
      <w:spacing w:after="120"/>
      <w:ind w:left="1247" w:hanging="680"/>
      <w:outlineLvl w:val="2"/>
    </w:pPr>
    <w:rPr>
      <w:rFonts w:eastAsia="Times New Roman" w:cs="Times New Roman"/>
      <w:b/>
    </w:rPr>
  </w:style>
  <w:style w:type="paragraph" w:styleId="Heading4">
    <w:name w:val="heading 4"/>
    <w:basedOn w:val="Heading3"/>
    <w:next w:val="Normal"/>
    <w:link w:val="Heading4Char"/>
    <w:semiHidden/>
    <w:qFormat/>
    <w:rsid w:val="00895DD1"/>
    <w:pPr>
      <w:keepNext/>
      <w:outlineLvl w:val="3"/>
    </w:pPr>
  </w:style>
  <w:style w:type="paragraph" w:styleId="Heading5">
    <w:name w:val="heading 5"/>
    <w:basedOn w:val="Normal"/>
    <w:next w:val="Normal"/>
    <w:link w:val="Heading5Char"/>
    <w:semiHidden/>
    <w:qFormat/>
    <w:rsid w:val="00895DD1"/>
    <w:pPr>
      <w:keepNext/>
      <w:outlineLvl w:val="4"/>
    </w:pPr>
    <w:rPr>
      <w:rFonts w:ascii="Univers" w:eastAsia="Times New Roman" w:hAnsi="Univers" w:cs="Times New Roman"/>
      <w:b/>
      <w:sz w:val="24"/>
    </w:rPr>
  </w:style>
  <w:style w:type="paragraph" w:styleId="Heading6">
    <w:name w:val="heading 6"/>
    <w:basedOn w:val="Normal"/>
    <w:next w:val="Normal"/>
    <w:link w:val="Heading6Char"/>
    <w:semiHidden/>
    <w:qFormat/>
    <w:rsid w:val="00895DD1"/>
    <w:pPr>
      <w:keepNext/>
      <w:ind w:left="578"/>
      <w:outlineLvl w:val="5"/>
    </w:pPr>
    <w:rPr>
      <w:rFonts w:eastAsia="Times New Roman" w:cs="Times New Roman"/>
      <w:b/>
      <w:bCs/>
      <w:sz w:val="24"/>
    </w:rPr>
  </w:style>
  <w:style w:type="paragraph" w:styleId="Heading7">
    <w:name w:val="heading 7"/>
    <w:basedOn w:val="Normal"/>
    <w:next w:val="Normal"/>
    <w:link w:val="Heading7Char"/>
    <w:semiHidden/>
    <w:qFormat/>
    <w:rsid w:val="00895DD1"/>
    <w:pPr>
      <w:keepNext/>
      <w:widowControl w:val="0"/>
      <w:jc w:val="center"/>
      <w:outlineLvl w:val="6"/>
    </w:pPr>
    <w:rPr>
      <w:rFonts w:eastAsia="Times New Roman" w:cs="Times New Roman"/>
      <w:snapToGrid w:val="0"/>
      <w:u w:val="single"/>
      <w:lang w:val="en-US"/>
    </w:rPr>
  </w:style>
  <w:style w:type="paragraph" w:styleId="Heading8">
    <w:name w:val="heading 8"/>
    <w:basedOn w:val="Normal"/>
    <w:next w:val="Normal"/>
    <w:link w:val="Heading8Char"/>
    <w:semiHidden/>
    <w:qFormat/>
    <w:rsid w:val="00895DD1"/>
    <w:pPr>
      <w:keepNext/>
      <w:widowControl w:val="0"/>
      <w:numPr>
        <w:numId w:val="14"/>
      </w:numPr>
      <w:tabs>
        <w:tab w:val="left" w:pos="-1440"/>
        <w:tab w:val="left" w:pos="-720"/>
      </w:tabs>
      <w:suppressAutoHyphens/>
      <w:jc w:val="center"/>
      <w:outlineLvl w:val="7"/>
    </w:pPr>
    <w:rPr>
      <w:rFonts w:eastAsia="Times New Roman" w:cs="Times New Roman"/>
      <w:snapToGrid w:val="0"/>
      <w:u w:val="single"/>
      <w:lang w:val="en-US"/>
    </w:rPr>
  </w:style>
  <w:style w:type="paragraph" w:styleId="Heading9">
    <w:name w:val="heading 9"/>
    <w:basedOn w:val="Normal"/>
    <w:next w:val="Normal"/>
    <w:link w:val="Heading9Char"/>
    <w:semiHidden/>
    <w:qFormat/>
    <w:rsid w:val="00895DD1"/>
    <w:pPr>
      <w:keepNext/>
      <w:widowControl w:val="0"/>
      <w:numPr>
        <w:numId w:val="15"/>
      </w:numPr>
      <w:suppressAutoHyphens/>
      <w:jc w:val="center"/>
      <w:outlineLvl w:val="8"/>
    </w:pPr>
    <w:rPr>
      <w:rFonts w:eastAsia="Times New Roman" w:cs="Times New Roman"/>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895DD1"/>
    <w:rPr>
      <w:rFonts w:ascii="Times New Roman" w:hAnsi="Times New Roman"/>
      <w:b/>
      <w:sz w:val="18"/>
    </w:rPr>
  </w:style>
  <w:style w:type="table" w:customStyle="1" w:styleId="Tabledocright">
    <w:name w:val="Table_doc_right"/>
    <w:basedOn w:val="TableNormal"/>
    <w:rsid w:val="00895DD1"/>
    <w:pPr>
      <w:spacing w:before="40" w:after="40"/>
    </w:pPr>
    <w:rPr>
      <w:sz w:val="18"/>
      <w:szCs w:val="18"/>
      <w:lang w:val="fr-FR" w:eastAsia="fr-FR"/>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895DD1"/>
    <w:pPr>
      <w:tabs>
        <w:tab w:val="clear" w:pos="1814"/>
        <w:tab w:val="clear" w:pos="2381"/>
        <w:tab w:val="clear" w:pos="2948"/>
        <w:tab w:val="clear" w:pos="3515"/>
      </w:tabs>
      <w:ind w:left="1000"/>
    </w:pPr>
    <w:rPr>
      <w:rFonts w:eastAsia="Times New Roman" w:cs="Times New Roman"/>
      <w:sz w:val="18"/>
      <w:szCs w:val="18"/>
    </w:rPr>
  </w:style>
  <w:style w:type="paragraph" w:styleId="TOC7">
    <w:name w:val="toc 7"/>
    <w:basedOn w:val="Normal"/>
    <w:next w:val="Normal"/>
    <w:autoRedefine/>
    <w:semiHidden/>
    <w:rsid w:val="00895DD1"/>
    <w:pPr>
      <w:tabs>
        <w:tab w:val="clear" w:pos="1814"/>
        <w:tab w:val="clear" w:pos="2381"/>
        <w:tab w:val="clear" w:pos="2948"/>
        <w:tab w:val="clear" w:pos="3515"/>
      </w:tabs>
      <w:ind w:left="1200"/>
    </w:pPr>
    <w:rPr>
      <w:rFonts w:eastAsia="Times New Roman" w:cs="Times New Roman"/>
      <w:sz w:val="18"/>
      <w:szCs w:val="18"/>
    </w:rPr>
  </w:style>
  <w:style w:type="paragraph" w:styleId="TOC8">
    <w:name w:val="toc 8"/>
    <w:basedOn w:val="Normal"/>
    <w:next w:val="Normal"/>
    <w:autoRedefine/>
    <w:semiHidden/>
    <w:rsid w:val="00895DD1"/>
    <w:pPr>
      <w:tabs>
        <w:tab w:val="clear" w:pos="1814"/>
        <w:tab w:val="clear" w:pos="2381"/>
        <w:tab w:val="clear" w:pos="2948"/>
        <w:tab w:val="clear" w:pos="3515"/>
      </w:tabs>
      <w:ind w:left="1400"/>
    </w:pPr>
    <w:rPr>
      <w:rFonts w:eastAsia="Times New Roman" w:cs="Times New Roman"/>
      <w:sz w:val="18"/>
      <w:szCs w:val="18"/>
    </w:rPr>
  </w:style>
  <w:style w:type="paragraph" w:styleId="TOC9">
    <w:name w:val="toc 9"/>
    <w:basedOn w:val="Normal"/>
    <w:next w:val="Normal"/>
    <w:autoRedefine/>
    <w:semiHidden/>
    <w:rsid w:val="00895DD1"/>
    <w:pPr>
      <w:tabs>
        <w:tab w:val="clear" w:pos="1814"/>
        <w:tab w:val="clear" w:pos="2381"/>
        <w:tab w:val="clear" w:pos="2948"/>
        <w:tab w:val="clear" w:pos="3515"/>
      </w:tabs>
      <w:ind w:left="1600"/>
    </w:pPr>
    <w:rPr>
      <w:rFonts w:eastAsia="Times New Roman" w:cs="Times New Roman"/>
      <w:sz w:val="18"/>
      <w:szCs w:val="18"/>
    </w:rPr>
  </w:style>
  <w:style w:type="paragraph" w:customStyle="1" w:styleId="Titlefigure">
    <w:name w:val="Title_figure"/>
    <w:basedOn w:val="Titletable"/>
    <w:next w:val="NormalNonumber"/>
    <w:rsid w:val="00895DD1"/>
    <w:rPr>
      <w:bCs w:val="0"/>
    </w:rPr>
  </w:style>
  <w:style w:type="paragraph" w:styleId="TableofFigures">
    <w:name w:val="table of figures"/>
    <w:basedOn w:val="Normal"/>
    <w:next w:val="Normal"/>
    <w:autoRedefine/>
    <w:semiHidden/>
    <w:rsid w:val="00895DD1"/>
    <w:pPr>
      <w:tabs>
        <w:tab w:val="clear" w:pos="1814"/>
        <w:tab w:val="clear" w:pos="2381"/>
        <w:tab w:val="clear" w:pos="2948"/>
        <w:tab w:val="clear" w:pos="3515"/>
      </w:tabs>
      <w:ind w:left="1814" w:hanging="567"/>
    </w:pPr>
    <w:rPr>
      <w:rFonts w:eastAsia="Times New Roman" w:cs="Times New Roman"/>
    </w:rPr>
  </w:style>
  <w:style w:type="paragraph" w:customStyle="1" w:styleId="CH1">
    <w:name w:val="CH1"/>
    <w:basedOn w:val="Normalpool"/>
    <w:next w:val="Normal"/>
    <w:rsid w:val="00895DD1"/>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
    <w:rsid w:val="00895DD1"/>
    <w:pPr>
      <w:keepNext/>
      <w:keepLines/>
      <w:tabs>
        <w:tab w:val="right" w:pos="851"/>
      </w:tabs>
      <w:suppressAutoHyphens/>
      <w:spacing w:before="80" w:after="120"/>
      <w:ind w:left="1247" w:right="284" w:hanging="1247"/>
    </w:pPr>
    <w:rPr>
      <w:b/>
      <w:sz w:val="24"/>
      <w:szCs w:val="24"/>
    </w:rPr>
  </w:style>
  <w:style w:type="paragraph" w:customStyle="1" w:styleId="CH3">
    <w:name w:val="CH3"/>
    <w:basedOn w:val="Normalpool"/>
    <w:next w:val="Normal"/>
    <w:rsid w:val="00895DD1"/>
    <w:pPr>
      <w:keepNext/>
      <w:keepLines/>
      <w:tabs>
        <w:tab w:val="right" w:pos="851"/>
      </w:tabs>
      <w:suppressAutoHyphens/>
      <w:spacing w:after="120"/>
      <w:ind w:left="1247" w:right="284" w:hanging="1247"/>
    </w:pPr>
    <w:rPr>
      <w:b/>
    </w:rPr>
  </w:style>
  <w:style w:type="paragraph" w:customStyle="1" w:styleId="CH4">
    <w:name w:val="CH4"/>
    <w:basedOn w:val="Normalpool"/>
    <w:next w:val="Normal"/>
    <w:rsid w:val="00895DD1"/>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895DD1"/>
    <w:rPr>
      <w:rFonts w:ascii="Arial" w:hAnsi="Arial"/>
      <w:sz w:val="16"/>
      <w:lang w:val="fr-FR" w:eastAsia="fr-FR"/>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
    <w:rsid w:val="00895DD1"/>
    <w:pPr>
      <w:keepNext/>
      <w:keepLines/>
      <w:tabs>
        <w:tab w:val="right" w:pos="851"/>
      </w:tabs>
      <w:suppressAutoHyphens/>
      <w:spacing w:after="120"/>
      <w:ind w:left="1247" w:right="284" w:hanging="1247"/>
    </w:pPr>
    <w:rPr>
      <w:b/>
    </w:rPr>
  </w:style>
  <w:style w:type="paragraph" w:customStyle="1" w:styleId="Footerpool">
    <w:name w:val="Footer_pool"/>
    <w:basedOn w:val="Normal"/>
    <w:next w:val="Normal"/>
    <w:semiHidden/>
    <w:rsid w:val="00895DD1"/>
    <w:pPr>
      <w:tabs>
        <w:tab w:val="left" w:pos="4321"/>
        <w:tab w:val="right" w:pos="8641"/>
      </w:tabs>
      <w:spacing w:before="60" w:after="120"/>
    </w:pPr>
    <w:rPr>
      <w:rFonts w:eastAsia="Times New Roman" w:cs="Times New Roman"/>
      <w:b/>
      <w:sz w:val="18"/>
    </w:rPr>
  </w:style>
  <w:style w:type="paragraph" w:customStyle="1" w:styleId="Headerpool">
    <w:name w:val="Header_pool"/>
    <w:basedOn w:val="Normal"/>
    <w:next w:val="Normal"/>
    <w:semiHidden/>
    <w:rsid w:val="00895DD1"/>
    <w:pPr>
      <w:pBdr>
        <w:bottom w:val="single" w:sz="4" w:space="1" w:color="auto"/>
      </w:pBdr>
      <w:tabs>
        <w:tab w:val="clear" w:pos="1814"/>
        <w:tab w:val="clear" w:pos="2381"/>
        <w:tab w:val="clear" w:pos="2948"/>
        <w:tab w:val="clear" w:pos="3515"/>
        <w:tab w:val="center" w:pos="4536"/>
        <w:tab w:val="right" w:pos="9072"/>
      </w:tabs>
      <w:spacing w:after="120"/>
    </w:pPr>
    <w:rPr>
      <w:rFonts w:eastAsia="Times New Roman" w:cs="Times New Roman"/>
      <w:b/>
      <w:sz w:val="18"/>
    </w:rPr>
  </w:style>
  <w:style w:type="paragraph" w:customStyle="1" w:styleId="Normalpool">
    <w:name w:val="Normal_pool"/>
    <w:autoRedefine/>
    <w:semiHidden/>
    <w:rsid w:val="00895DD1"/>
    <w:pPr>
      <w:tabs>
        <w:tab w:val="left" w:pos="1247"/>
        <w:tab w:val="left" w:pos="1814"/>
        <w:tab w:val="left" w:pos="2381"/>
        <w:tab w:val="left" w:pos="2948"/>
        <w:tab w:val="left" w:pos="3515"/>
        <w:tab w:val="left" w:pos="4082"/>
      </w:tabs>
    </w:pPr>
    <w:rPr>
      <w:lang w:val="fr-CA"/>
    </w:rPr>
  </w:style>
  <w:style w:type="paragraph" w:customStyle="1" w:styleId="Footer-pool">
    <w:name w:val="Footer-pool"/>
    <w:basedOn w:val="Normal-pool"/>
    <w:next w:val="Normal-pool"/>
    <w:rsid w:val="00895DD1"/>
    <w:pPr>
      <w:tabs>
        <w:tab w:val="left" w:pos="4321"/>
        <w:tab w:val="right" w:pos="8641"/>
      </w:tabs>
      <w:spacing w:before="60" w:after="120"/>
    </w:pPr>
    <w:rPr>
      <w:b/>
      <w:sz w:val="18"/>
    </w:rPr>
  </w:style>
  <w:style w:type="paragraph" w:customStyle="1" w:styleId="Header-pool">
    <w:name w:val="Header-pool"/>
    <w:basedOn w:val="Normal-pool"/>
    <w:next w:val="Normal-pool"/>
    <w:rsid w:val="00895DD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895DD1"/>
    <w:pPr>
      <w:tabs>
        <w:tab w:val="left" w:pos="1247"/>
        <w:tab w:val="left" w:pos="1814"/>
        <w:tab w:val="left" w:pos="2381"/>
        <w:tab w:val="left" w:pos="2948"/>
        <w:tab w:val="left" w:pos="3515"/>
        <w:tab w:val="left" w:pos="4082"/>
      </w:tabs>
    </w:pPr>
    <w:rPr>
      <w:lang w:val="fr-CA"/>
    </w:rPr>
  </w:style>
  <w:style w:type="character" w:styleId="FootnoteReference">
    <w:name w:val="footnote reference"/>
    <w:aliases w:val="16 Point,Superscript 6 Point,number,SUPERS,Footnote Reference Superscript,ftref,(Ref. de nota al pie),-E Fußnotenzeichen"/>
    <w:rsid w:val="00895DD1"/>
    <w:rPr>
      <w:rFonts w:ascii="Times New Roman" w:hAnsi="Times New Roman"/>
      <w:color w:val="auto"/>
      <w:sz w:val="20"/>
      <w:szCs w:val="18"/>
      <w:vertAlign w:val="superscript"/>
    </w:rPr>
  </w:style>
  <w:style w:type="paragraph" w:styleId="FootnoteText">
    <w:name w:val="footnote text"/>
    <w:aliases w:val="Geneva 9,Font: Geneva 9,Boston 10,f,DNV-FT,Fußnotentextf,Footnote Text Char Char,Footnote Text Char Char Char Char,Footnote Text1,Footnote Text Char Char Char,fn,Footnotes,Footnote ak,ft,fn cafc,Footnotes Char Char,fn Char Char,-E Fußnotente"/>
    <w:basedOn w:val="Normalpool"/>
    <w:link w:val="FootnoteTextChar"/>
    <w:rsid w:val="00895DD1"/>
    <w:pPr>
      <w:spacing w:before="20" w:after="40"/>
      <w:ind w:left="1247"/>
    </w:pPr>
    <w:rPr>
      <w:sz w:val="18"/>
    </w:rPr>
  </w:style>
  <w:style w:type="table" w:customStyle="1" w:styleId="AATable">
    <w:name w:val="AA_Table"/>
    <w:basedOn w:val="TableNormal"/>
    <w:semiHidden/>
    <w:rsid w:val="00895DD1"/>
    <w:rPr>
      <w:lang w:val="fr-FR" w:eastAsia="fr-FR"/>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895DD1"/>
    <w:pPr>
      <w:keepNext/>
      <w:keepLines/>
      <w:suppressAutoHyphens/>
      <w:ind w:right="5103"/>
    </w:pPr>
    <w:rPr>
      <w:b/>
    </w:rPr>
  </w:style>
  <w:style w:type="paragraph" w:customStyle="1" w:styleId="AATitle2">
    <w:name w:val="AA_Title2"/>
    <w:basedOn w:val="AATitle"/>
    <w:rsid w:val="00895DD1"/>
    <w:pPr>
      <w:tabs>
        <w:tab w:val="clear" w:pos="4082"/>
      </w:tabs>
      <w:spacing w:before="120" w:after="120"/>
      <w:ind w:right="4536"/>
    </w:pPr>
  </w:style>
  <w:style w:type="paragraph" w:customStyle="1" w:styleId="BBTitle">
    <w:name w:val="BB_Title"/>
    <w:basedOn w:val="Normalpool"/>
    <w:rsid w:val="00895DD1"/>
    <w:pPr>
      <w:keepNext/>
      <w:keepLines/>
      <w:suppressAutoHyphens/>
      <w:spacing w:before="320" w:after="240"/>
      <w:ind w:left="1247" w:right="567"/>
    </w:pPr>
    <w:rPr>
      <w:b/>
      <w:sz w:val="28"/>
      <w:szCs w:val="28"/>
    </w:rPr>
  </w:style>
  <w:style w:type="paragraph" w:styleId="Footer">
    <w:name w:val="footer"/>
    <w:basedOn w:val="Normal"/>
    <w:link w:val="FooterChar"/>
    <w:semiHidden/>
    <w:rsid w:val="00895DD1"/>
    <w:pPr>
      <w:tabs>
        <w:tab w:val="center" w:pos="4320"/>
        <w:tab w:val="right" w:pos="8640"/>
      </w:tabs>
      <w:spacing w:before="60" w:after="120"/>
    </w:pPr>
    <w:rPr>
      <w:rFonts w:eastAsia="Times New Roman" w:cs="Times New Roman"/>
      <w:sz w:val="18"/>
    </w:rPr>
  </w:style>
  <w:style w:type="paragraph" w:styleId="Header">
    <w:name w:val="header"/>
    <w:basedOn w:val="Normal"/>
    <w:link w:val="HeaderChar"/>
    <w:semiHidden/>
    <w:rsid w:val="00895DD1"/>
    <w:pPr>
      <w:pBdr>
        <w:bottom w:val="single" w:sz="4" w:space="1" w:color="auto"/>
      </w:pBdr>
      <w:tabs>
        <w:tab w:val="clear" w:pos="1814"/>
        <w:tab w:val="clear" w:pos="2381"/>
        <w:tab w:val="clear" w:pos="2948"/>
        <w:tab w:val="clear" w:pos="3515"/>
        <w:tab w:val="center" w:pos="4536"/>
        <w:tab w:val="right" w:pos="9072"/>
      </w:tabs>
      <w:spacing w:after="120"/>
    </w:pPr>
    <w:rPr>
      <w:rFonts w:eastAsia="Times New Roman" w:cs="Times New Roman"/>
      <w:b/>
      <w:sz w:val="18"/>
    </w:rPr>
  </w:style>
  <w:style w:type="character" w:styleId="Hyperlink">
    <w:name w:val="Hyperlink"/>
    <w:semiHidden/>
    <w:rsid w:val="00895DD1"/>
    <w:rPr>
      <w:rFonts w:ascii="Times New Roman" w:hAnsi="Times New Roman"/>
      <w:color w:val="auto"/>
      <w:sz w:val="20"/>
      <w:szCs w:val="20"/>
      <w:u w:val="none"/>
      <w:lang w:val="fr-FR"/>
    </w:rPr>
  </w:style>
  <w:style w:type="numbering" w:customStyle="1" w:styleId="Normallist">
    <w:name w:val="Normal_list"/>
    <w:basedOn w:val="NoList"/>
    <w:rsid w:val="00895DD1"/>
    <w:pPr>
      <w:numPr>
        <w:numId w:val="3"/>
      </w:numPr>
    </w:pPr>
  </w:style>
  <w:style w:type="paragraph" w:customStyle="1" w:styleId="NormalNonumber">
    <w:name w:val="Normal_No_number"/>
    <w:basedOn w:val="Normalpool"/>
    <w:rsid w:val="00895DD1"/>
    <w:pPr>
      <w:spacing w:after="120"/>
      <w:ind w:left="1247"/>
    </w:pPr>
  </w:style>
  <w:style w:type="paragraph" w:customStyle="1" w:styleId="Normalnumber">
    <w:name w:val="Normal_number"/>
    <w:basedOn w:val="Normalpool"/>
    <w:link w:val="NormalnumberChar"/>
    <w:qFormat/>
    <w:rsid w:val="00895DD1"/>
    <w:pPr>
      <w:numPr>
        <w:numId w:val="17"/>
      </w:numPr>
      <w:spacing w:after="120"/>
    </w:pPr>
  </w:style>
  <w:style w:type="paragraph" w:customStyle="1" w:styleId="Titletable">
    <w:name w:val="Title_table"/>
    <w:basedOn w:val="Normalpool"/>
    <w:rsid w:val="00895DD1"/>
    <w:pPr>
      <w:keepNext/>
      <w:keepLines/>
      <w:suppressAutoHyphens/>
      <w:spacing w:after="60"/>
      <w:ind w:left="1247"/>
    </w:pPr>
    <w:rPr>
      <w:b/>
      <w:bCs/>
    </w:rPr>
  </w:style>
  <w:style w:type="paragraph" w:styleId="TOC1">
    <w:name w:val="toc 1"/>
    <w:basedOn w:val="Normalpool"/>
    <w:next w:val="Normalpool"/>
    <w:rsid w:val="00895DD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895DD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895DD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895DD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895DD1"/>
    <w:pPr>
      <w:tabs>
        <w:tab w:val="clear" w:pos="1814"/>
        <w:tab w:val="clear" w:pos="2381"/>
        <w:tab w:val="clear" w:pos="2948"/>
        <w:tab w:val="clear" w:pos="3515"/>
      </w:tabs>
      <w:ind w:left="800"/>
    </w:pPr>
    <w:rPr>
      <w:rFonts w:eastAsia="Times New Roman" w:cs="Times New Roman"/>
      <w:sz w:val="18"/>
      <w:szCs w:val="18"/>
    </w:rPr>
  </w:style>
  <w:style w:type="paragraph" w:customStyle="1" w:styleId="ZZAnxheader">
    <w:name w:val="ZZ_Anx_header"/>
    <w:basedOn w:val="Normalpool"/>
    <w:rsid w:val="00895DD1"/>
    <w:rPr>
      <w:b/>
      <w:bCs/>
      <w:sz w:val="28"/>
      <w:szCs w:val="22"/>
    </w:rPr>
  </w:style>
  <w:style w:type="paragraph" w:customStyle="1" w:styleId="ZZAnxtitle">
    <w:name w:val="ZZ_Anx_title"/>
    <w:basedOn w:val="Normalpool"/>
    <w:rsid w:val="00895DD1"/>
    <w:pPr>
      <w:spacing w:before="360" w:after="120"/>
      <w:ind w:left="1247"/>
    </w:pPr>
    <w:rPr>
      <w:b/>
      <w:bCs/>
      <w:sz w:val="28"/>
      <w:szCs w:val="26"/>
    </w:rPr>
  </w:style>
  <w:style w:type="paragraph" w:styleId="BalloonText">
    <w:name w:val="Balloon Text"/>
    <w:basedOn w:val="Normal"/>
    <w:link w:val="BalloonTextChar"/>
    <w:semiHidden/>
    <w:unhideWhenUsed/>
    <w:rsid w:val="001B6CA5"/>
    <w:rPr>
      <w:rFonts w:ascii="Segoe UI" w:hAnsi="Segoe UI" w:cs="Segoe UI"/>
      <w:sz w:val="18"/>
      <w:szCs w:val="18"/>
    </w:rPr>
  </w:style>
  <w:style w:type="character" w:customStyle="1" w:styleId="BalloonTextChar">
    <w:name w:val="Balloon Text Char"/>
    <w:basedOn w:val="DefaultParagraphFont"/>
    <w:link w:val="BalloonText"/>
    <w:semiHidden/>
    <w:rsid w:val="001B6CA5"/>
    <w:rPr>
      <w:rFonts w:ascii="Segoe UI" w:eastAsia="MS Mincho" w:hAnsi="Segoe UI" w:cs="Segoe UI"/>
      <w:sz w:val="18"/>
      <w:szCs w:val="18"/>
    </w:rPr>
  </w:style>
  <w:style w:type="character" w:customStyle="1" w:styleId="Normal-poolChar">
    <w:name w:val="Normal-pool Char"/>
    <w:link w:val="Normal-pool"/>
    <w:rsid w:val="007E2B3C"/>
    <w:rPr>
      <w:lang w:val="fr-CA"/>
    </w:rPr>
  </w:style>
  <w:style w:type="character" w:customStyle="1" w:styleId="FooterChar">
    <w:name w:val="Footer Char"/>
    <w:basedOn w:val="DefaultParagraphFont"/>
    <w:link w:val="Footer"/>
    <w:semiHidden/>
    <w:rsid w:val="00895DD1"/>
    <w:rPr>
      <w:sz w:val="18"/>
      <w:lang w:val="fr-FR"/>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fn Char,Footnotes Char"/>
    <w:basedOn w:val="DefaultParagraphFont"/>
    <w:link w:val="FootnoteText"/>
    <w:rsid w:val="00895DD1"/>
    <w:rPr>
      <w:sz w:val="18"/>
      <w:lang w:val="fr-CA"/>
    </w:rPr>
  </w:style>
  <w:style w:type="character" w:customStyle="1" w:styleId="HeaderChar">
    <w:name w:val="Header Char"/>
    <w:basedOn w:val="DefaultParagraphFont"/>
    <w:link w:val="Header"/>
    <w:semiHidden/>
    <w:rsid w:val="00895DD1"/>
    <w:rPr>
      <w:b/>
      <w:sz w:val="18"/>
      <w:lang w:val="fr-FR"/>
    </w:rPr>
  </w:style>
  <w:style w:type="character" w:customStyle="1" w:styleId="Heading1Char">
    <w:name w:val="Heading 1 Char"/>
    <w:basedOn w:val="DefaultParagraphFont"/>
    <w:link w:val="Heading1"/>
    <w:semiHidden/>
    <w:rsid w:val="008971FC"/>
    <w:rPr>
      <w:b/>
      <w:sz w:val="28"/>
      <w:lang w:val="fr-FR"/>
    </w:rPr>
  </w:style>
  <w:style w:type="character" w:customStyle="1" w:styleId="Heading2Char">
    <w:name w:val="Heading 2 Char"/>
    <w:basedOn w:val="DefaultParagraphFont"/>
    <w:link w:val="Heading2"/>
    <w:semiHidden/>
    <w:rsid w:val="008971FC"/>
    <w:rPr>
      <w:b/>
      <w:sz w:val="24"/>
      <w:szCs w:val="24"/>
      <w:lang w:val="fr-FR"/>
    </w:rPr>
  </w:style>
  <w:style w:type="character" w:customStyle="1" w:styleId="Heading3Char">
    <w:name w:val="Heading 3 Char"/>
    <w:basedOn w:val="DefaultParagraphFont"/>
    <w:link w:val="Heading3"/>
    <w:semiHidden/>
    <w:rsid w:val="008971FC"/>
    <w:rPr>
      <w:b/>
      <w:lang w:val="fr-FR"/>
    </w:rPr>
  </w:style>
  <w:style w:type="character" w:customStyle="1" w:styleId="Heading4Char">
    <w:name w:val="Heading 4 Char"/>
    <w:basedOn w:val="DefaultParagraphFont"/>
    <w:link w:val="Heading4"/>
    <w:semiHidden/>
    <w:rsid w:val="008971FC"/>
    <w:rPr>
      <w:b/>
      <w:lang w:val="fr-FR"/>
    </w:rPr>
  </w:style>
  <w:style w:type="character" w:customStyle="1" w:styleId="Heading5Char">
    <w:name w:val="Heading 5 Char"/>
    <w:basedOn w:val="DefaultParagraphFont"/>
    <w:link w:val="Heading5"/>
    <w:semiHidden/>
    <w:rsid w:val="008971FC"/>
    <w:rPr>
      <w:rFonts w:ascii="Univers" w:hAnsi="Univers"/>
      <w:b/>
      <w:sz w:val="24"/>
      <w:lang w:val="fr-FR"/>
    </w:rPr>
  </w:style>
  <w:style w:type="character" w:customStyle="1" w:styleId="Heading6Char">
    <w:name w:val="Heading 6 Char"/>
    <w:basedOn w:val="DefaultParagraphFont"/>
    <w:link w:val="Heading6"/>
    <w:semiHidden/>
    <w:rsid w:val="008971FC"/>
    <w:rPr>
      <w:b/>
      <w:bCs/>
      <w:sz w:val="24"/>
      <w:lang w:val="fr-FR"/>
    </w:rPr>
  </w:style>
  <w:style w:type="character" w:customStyle="1" w:styleId="Heading7Char">
    <w:name w:val="Heading 7 Char"/>
    <w:basedOn w:val="DefaultParagraphFont"/>
    <w:link w:val="Heading7"/>
    <w:semiHidden/>
    <w:rsid w:val="008971FC"/>
    <w:rPr>
      <w:snapToGrid w:val="0"/>
      <w:u w:val="single"/>
    </w:rPr>
  </w:style>
  <w:style w:type="character" w:customStyle="1" w:styleId="Heading8Char">
    <w:name w:val="Heading 8 Char"/>
    <w:basedOn w:val="DefaultParagraphFont"/>
    <w:link w:val="Heading8"/>
    <w:semiHidden/>
    <w:rsid w:val="008971FC"/>
    <w:rPr>
      <w:snapToGrid w:val="0"/>
      <w:u w:val="single"/>
    </w:rPr>
  </w:style>
  <w:style w:type="character" w:customStyle="1" w:styleId="Heading9Char">
    <w:name w:val="Heading 9 Char"/>
    <w:basedOn w:val="DefaultParagraphFont"/>
    <w:link w:val="Heading9"/>
    <w:semiHidden/>
    <w:rsid w:val="008971FC"/>
    <w:rPr>
      <w:snapToGrid w:val="0"/>
      <w:u w:val="single"/>
    </w:rPr>
  </w:style>
  <w:style w:type="character" w:customStyle="1" w:styleId="NormalnumberChar">
    <w:name w:val="Normal_number Char"/>
    <w:link w:val="Normalnumber"/>
    <w:locked/>
    <w:rsid w:val="000B6004"/>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86002">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704133942">
      <w:bodyDiv w:val="1"/>
      <w:marLeft w:val="0"/>
      <w:marRight w:val="0"/>
      <w:marTop w:val="0"/>
      <w:marBottom w:val="0"/>
      <w:divBdr>
        <w:top w:val="none" w:sz="0" w:space="0" w:color="auto"/>
        <w:left w:val="none" w:sz="0" w:space="0" w:color="auto"/>
        <w:bottom w:val="none" w:sz="0" w:space="0" w:color="auto"/>
        <w:right w:val="none" w:sz="0" w:space="0" w:color="auto"/>
      </w:divBdr>
    </w:div>
    <w:div w:id="800000595">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4B049-3680-47CA-8A65-87F9BF29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1537</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Nikki Criticos</dc:creator>
  <cp:lastModifiedBy>Cynthia Mwanza</cp:lastModifiedBy>
  <cp:revision>3</cp:revision>
  <cp:lastPrinted>2018-01-31T12:24:00Z</cp:lastPrinted>
  <dcterms:created xsi:type="dcterms:W3CDTF">2018-02-28T08:56:00Z</dcterms:created>
  <dcterms:modified xsi:type="dcterms:W3CDTF">2018-02-28T08:59:00Z</dcterms:modified>
</cp:coreProperties>
</file>