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right"/>
        <w:tblLayout w:type="fixed"/>
        <w:tblLook w:val="0000" w:firstRow="0" w:lastRow="0" w:firstColumn="0" w:lastColumn="0" w:noHBand="0" w:noVBand="0"/>
      </w:tblPr>
      <w:tblGrid>
        <w:gridCol w:w="1213"/>
        <w:gridCol w:w="1110"/>
        <w:gridCol w:w="1108"/>
        <w:gridCol w:w="1108"/>
        <w:gridCol w:w="971"/>
        <w:gridCol w:w="1245"/>
        <w:gridCol w:w="696"/>
        <w:gridCol w:w="284"/>
        <w:gridCol w:w="1761"/>
      </w:tblGrid>
      <w:tr w:rsidR="002940F8" w:rsidRPr="00487663" w14:paraId="0FB1E3B6" w14:textId="77777777" w:rsidTr="002940F8">
        <w:trPr>
          <w:cantSplit/>
          <w:trHeight w:val="1079"/>
          <w:jc w:val="right"/>
        </w:trPr>
        <w:tc>
          <w:tcPr>
            <w:tcW w:w="1213" w:type="dxa"/>
          </w:tcPr>
          <w:p w14:paraId="037C33F1" w14:textId="40163CA1" w:rsidR="002940F8" w:rsidRPr="00D52924" w:rsidRDefault="002940F8" w:rsidP="002940F8">
            <w:pPr>
              <w:keepNext/>
              <w:spacing w:before="40" w:after="0" w:line="240" w:lineRule="auto"/>
              <w:outlineLvl w:val="1"/>
              <w:rPr>
                <w:rFonts w:ascii="SimHei" w:eastAsia="SimHei" w:hAnsi="SimHei"/>
                <w:sz w:val="32"/>
                <w:szCs w:val="32"/>
                <w:lang w:val="en-GB"/>
              </w:rPr>
            </w:pPr>
            <w:r>
              <w:rPr>
                <w:rFonts w:ascii="SimHei" w:eastAsia="SimHei" w:hAnsi="SimHei" w:cs="Arial" w:hint="eastAsia"/>
                <w:b/>
                <w:noProof/>
                <w:sz w:val="32"/>
                <w:szCs w:val="32"/>
                <w:lang w:val="en-GB"/>
              </w:rPr>
              <w:t>联合国</w:t>
            </w:r>
          </w:p>
        </w:tc>
        <w:tc>
          <w:tcPr>
            <w:tcW w:w="1110" w:type="dxa"/>
            <w:tcBorders>
              <w:left w:val="nil"/>
            </w:tcBorders>
          </w:tcPr>
          <w:p w14:paraId="4EE165D0" w14:textId="6AAB68D9" w:rsidR="002940F8" w:rsidRPr="00D52924" w:rsidRDefault="00235DAA" w:rsidP="002940F8">
            <w:pPr>
              <w:spacing w:after="0" w:line="240" w:lineRule="auto"/>
              <w:jc w:val="center"/>
              <w:rPr>
                <w:rFonts w:ascii="Times New Roman" w:hAnsi="Times New Roman"/>
                <w:sz w:val="20"/>
                <w:szCs w:val="20"/>
                <w:lang w:val="en-GB"/>
              </w:rPr>
            </w:pPr>
            <w:r>
              <w:rPr>
                <w:rFonts w:ascii="Times New Roman" w:hAnsi="Times New Roman"/>
                <w:noProof/>
                <w:sz w:val="20"/>
                <w:szCs w:val="20"/>
                <w:lang w:val="en-GB"/>
              </w:rPr>
              <w:pict w14:anchorId="732EEF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 o:spid="_x0000_i1025" type="#_x0000_t75" alt="Description: !UNLOGO" style="width:46.8pt;height:43.8pt;visibility:visible;mso-wrap-style:square">
                  <v:imagedata r:id="rId8" o:title=" !UNLOGO"/>
                </v:shape>
              </w:pict>
            </w:r>
          </w:p>
        </w:tc>
        <w:tc>
          <w:tcPr>
            <w:tcW w:w="1108" w:type="dxa"/>
            <w:tcBorders>
              <w:left w:val="nil"/>
            </w:tcBorders>
          </w:tcPr>
          <w:p w14:paraId="380BBE6B" w14:textId="65FA921C" w:rsidR="002940F8" w:rsidRPr="00D52924" w:rsidRDefault="00235DAA" w:rsidP="002940F8">
            <w:pPr>
              <w:spacing w:after="0" w:line="240" w:lineRule="auto"/>
              <w:jc w:val="center"/>
              <w:rPr>
                <w:rFonts w:ascii="Times New Roman" w:hAnsi="Times New Roman"/>
                <w:sz w:val="20"/>
                <w:szCs w:val="20"/>
                <w:lang w:val="en-GB"/>
              </w:rPr>
            </w:pPr>
            <w:r>
              <w:rPr>
                <w:noProof/>
                <w:lang w:val="en-GB"/>
              </w:rPr>
              <w:pict w14:anchorId="1C28D831">
                <v:shape id="图片 2" o:spid="_x0000_i1026" type="#_x0000_t75" style="width:44.4pt;height:49.8pt;visibility:visible;mso-wrap-style:square">
                  <v:imagedata r:id="rId9" o:title=""/>
                </v:shape>
              </w:pict>
            </w:r>
          </w:p>
        </w:tc>
        <w:tc>
          <w:tcPr>
            <w:tcW w:w="1108" w:type="dxa"/>
            <w:tcBorders>
              <w:left w:val="nil"/>
            </w:tcBorders>
          </w:tcPr>
          <w:p w14:paraId="3594F141" w14:textId="1F2C4C23" w:rsidR="002940F8" w:rsidRPr="00D52924" w:rsidRDefault="00235DAA" w:rsidP="002940F8">
            <w:pPr>
              <w:spacing w:after="0" w:line="240" w:lineRule="auto"/>
              <w:rPr>
                <w:rFonts w:ascii="Times New Roman" w:hAnsi="Times New Roman"/>
                <w:sz w:val="20"/>
                <w:szCs w:val="20"/>
                <w:lang w:val="en-GB"/>
              </w:rPr>
            </w:pPr>
            <w:r>
              <w:rPr>
                <w:rFonts w:ascii="Times New Roman" w:hAnsi="Times New Roman"/>
                <w:noProof/>
                <w:sz w:val="20"/>
                <w:szCs w:val="20"/>
                <w:lang w:val="en-GB"/>
              </w:rPr>
              <w:pict w14:anchorId="79DFF0F8">
                <v:shape id="Picture 70" o:spid="_x0000_i1027" type="#_x0000_t75" style="width:50.4pt;height:39pt;visibility:visible;mso-wrap-style:square">
                  <v:imagedata r:id="rId10" o:title="UNESCO (black)"/>
                </v:shape>
              </w:pict>
            </w:r>
          </w:p>
        </w:tc>
        <w:tc>
          <w:tcPr>
            <w:tcW w:w="971" w:type="dxa"/>
            <w:tcBorders>
              <w:left w:val="nil"/>
            </w:tcBorders>
          </w:tcPr>
          <w:p w14:paraId="2DF8110C" w14:textId="026FFC8C" w:rsidR="002940F8" w:rsidRPr="00D52924" w:rsidRDefault="00235DAA" w:rsidP="002940F8">
            <w:pPr>
              <w:spacing w:after="0" w:line="240" w:lineRule="auto"/>
              <w:jc w:val="right"/>
              <w:rPr>
                <w:rFonts w:ascii="Times New Roman" w:hAnsi="Times New Roman"/>
                <w:sz w:val="20"/>
                <w:szCs w:val="20"/>
                <w:lang w:val="en-GB"/>
              </w:rPr>
            </w:pPr>
            <w:r>
              <w:rPr>
                <w:rFonts w:ascii="Times New Roman" w:hAnsi="Times New Roman"/>
                <w:noProof/>
                <w:sz w:val="20"/>
                <w:szCs w:val="20"/>
                <w:lang w:val="en-GB"/>
              </w:rPr>
              <w:pict w14:anchorId="7F0F20F3">
                <v:shape id="Picture 69" o:spid="_x0000_i1028" type="#_x0000_t75" alt="Description: !OLEGENE" style="width:43.2pt;height:43.2pt;visibility:visible;mso-wrap-style:square">
                  <v:imagedata r:id="rId11" o:title=" !OLEGENE"/>
                </v:shape>
              </w:pict>
            </w:r>
          </w:p>
        </w:tc>
        <w:tc>
          <w:tcPr>
            <w:tcW w:w="1245" w:type="dxa"/>
            <w:tcBorders>
              <w:left w:val="nil"/>
            </w:tcBorders>
          </w:tcPr>
          <w:p w14:paraId="12E332BF" w14:textId="77777777" w:rsidR="002940F8" w:rsidRDefault="002940F8" w:rsidP="002940F8">
            <w:pPr>
              <w:tabs>
                <w:tab w:val="left" w:pos="1247"/>
                <w:tab w:val="left" w:pos="1814"/>
                <w:tab w:val="left" w:pos="2381"/>
                <w:tab w:val="left" w:pos="2948"/>
                <w:tab w:val="left" w:pos="3515"/>
              </w:tabs>
              <w:spacing w:before="120" w:after="0" w:line="240" w:lineRule="auto"/>
              <w:rPr>
                <w:rFonts w:ascii="SimHei" w:eastAsia="SimHei" w:hAnsi="SimHei"/>
                <w:b/>
                <w:sz w:val="24"/>
                <w:szCs w:val="24"/>
                <w:lang w:val="en-GB"/>
              </w:rPr>
            </w:pPr>
            <w:r>
              <w:rPr>
                <w:rFonts w:ascii="SimHei" w:eastAsia="SimHei" w:hAnsi="SimHei" w:hint="eastAsia"/>
                <w:b/>
                <w:sz w:val="24"/>
                <w:szCs w:val="24"/>
                <w:lang w:val="en-GB"/>
              </w:rPr>
              <w:t>联合国</w:t>
            </w:r>
          </w:p>
          <w:p w14:paraId="311E7658" w14:textId="77777777" w:rsidR="002940F8" w:rsidRDefault="002940F8" w:rsidP="002940F8">
            <w:pPr>
              <w:tabs>
                <w:tab w:val="left" w:pos="1247"/>
                <w:tab w:val="left" w:pos="1814"/>
                <w:tab w:val="left" w:pos="2381"/>
                <w:tab w:val="left" w:pos="2948"/>
                <w:tab w:val="left" w:pos="3515"/>
              </w:tabs>
              <w:spacing w:after="0" w:line="240" w:lineRule="auto"/>
              <w:rPr>
                <w:rFonts w:ascii="SimHei" w:eastAsia="SimHei" w:hAnsi="SimHei"/>
                <w:b/>
                <w:sz w:val="24"/>
                <w:szCs w:val="24"/>
              </w:rPr>
            </w:pPr>
            <w:r>
              <w:rPr>
                <w:rFonts w:ascii="SimHei" w:eastAsia="SimHei" w:hAnsi="SimHei" w:hint="eastAsia"/>
                <w:b/>
                <w:sz w:val="24"/>
                <w:szCs w:val="24"/>
                <w:lang w:val="en-GB"/>
              </w:rPr>
              <w:t>粮食及</w:t>
            </w:r>
          </w:p>
          <w:p w14:paraId="3DE76D5A" w14:textId="78AEE735" w:rsidR="002940F8" w:rsidRPr="00D52924" w:rsidRDefault="002940F8" w:rsidP="002940F8">
            <w:pPr>
              <w:spacing w:after="0" w:line="240" w:lineRule="auto"/>
              <w:rPr>
                <w:rFonts w:ascii="Times New Roman" w:hAnsi="Times New Roman"/>
                <w:sz w:val="20"/>
                <w:szCs w:val="20"/>
                <w:lang w:val="en-GB"/>
              </w:rPr>
            </w:pPr>
            <w:r>
              <w:rPr>
                <w:rFonts w:ascii="SimHei" w:eastAsia="SimHei" w:hAnsi="SimHei" w:hint="eastAsia"/>
                <w:b/>
                <w:sz w:val="24"/>
                <w:szCs w:val="24"/>
                <w:lang w:val="en-GB"/>
              </w:rPr>
              <w:t>农业组织</w:t>
            </w:r>
          </w:p>
        </w:tc>
        <w:tc>
          <w:tcPr>
            <w:tcW w:w="696" w:type="dxa"/>
            <w:tcBorders>
              <w:left w:val="nil"/>
            </w:tcBorders>
          </w:tcPr>
          <w:p w14:paraId="725AD8D4" w14:textId="7FF1B8C2" w:rsidR="002940F8" w:rsidRPr="00D52924" w:rsidRDefault="00235DAA" w:rsidP="002940F8">
            <w:pPr>
              <w:spacing w:after="0" w:line="240" w:lineRule="auto"/>
              <w:jc w:val="center"/>
              <w:rPr>
                <w:rFonts w:ascii="Times New Roman" w:hAnsi="Times New Roman"/>
                <w:sz w:val="20"/>
                <w:szCs w:val="20"/>
                <w:lang w:val="en-GB"/>
              </w:rPr>
            </w:pPr>
            <w:r>
              <w:rPr>
                <w:rFonts w:ascii="Times New Roman" w:hAnsi="Times New Roman"/>
                <w:noProof/>
                <w:sz w:val="20"/>
                <w:szCs w:val="20"/>
                <w:lang w:val="en-GB"/>
              </w:rPr>
              <w:pict w14:anchorId="448A126D">
                <v:shape id="Picture 68" o:spid="_x0000_i1029" type="#_x0000_t75" style="width:25.2pt;height:50.4pt;visibility:visible;mso-wrap-style:square">
                  <v:imagedata r:id="rId12" o:title="UNDP (blck)"/>
                </v:shape>
              </w:pict>
            </w:r>
          </w:p>
        </w:tc>
        <w:tc>
          <w:tcPr>
            <w:tcW w:w="284" w:type="dxa"/>
          </w:tcPr>
          <w:p w14:paraId="223D33A1" w14:textId="77777777" w:rsidR="002940F8" w:rsidRPr="008B45CE" w:rsidRDefault="002940F8" w:rsidP="002940F8">
            <w:pPr>
              <w:spacing w:after="0" w:line="240" w:lineRule="auto"/>
              <w:jc w:val="center"/>
              <w:rPr>
                <w:rFonts w:ascii="Times New Roman" w:hAnsi="Times New Roman"/>
                <w:sz w:val="20"/>
                <w:szCs w:val="20"/>
                <w:lang w:val="en-GB"/>
              </w:rPr>
            </w:pPr>
          </w:p>
        </w:tc>
        <w:tc>
          <w:tcPr>
            <w:tcW w:w="1761" w:type="dxa"/>
          </w:tcPr>
          <w:p w14:paraId="20F26FA5" w14:textId="6A9D1CDE" w:rsidR="002940F8" w:rsidRPr="00487663" w:rsidRDefault="002940F8" w:rsidP="002940F8">
            <w:pPr>
              <w:keepNext/>
              <w:spacing w:before="40" w:after="0" w:line="240" w:lineRule="auto"/>
              <w:jc w:val="right"/>
              <w:outlineLvl w:val="1"/>
              <w:rPr>
                <w:rFonts w:ascii="Arial" w:hAnsi="Arial" w:cs="Arial"/>
                <w:b/>
                <w:sz w:val="64"/>
                <w:szCs w:val="64"/>
                <w:lang w:val="en-GB"/>
              </w:rPr>
            </w:pPr>
            <w:r>
              <w:rPr>
                <w:rFonts w:ascii="Arial" w:hAnsi="Arial" w:cs="Arial"/>
                <w:b/>
                <w:sz w:val="64"/>
                <w:szCs w:val="64"/>
                <w:lang w:val="en-GB"/>
              </w:rPr>
              <w:t>BES</w:t>
            </w:r>
          </w:p>
        </w:tc>
      </w:tr>
      <w:tr w:rsidR="007034E6" w:rsidRPr="00487663" w14:paraId="71A9B1EC" w14:textId="77777777" w:rsidTr="002940F8">
        <w:trPr>
          <w:cantSplit/>
          <w:trHeight w:val="282"/>
          <w:jc w:val="right"/>
        </w:trPr>
        <w:tc>
          <w:tcPr>
            <w:tcW w:w="1213" w:type="dxa"/>
            <w:tcBorders>
              <w:bottom w:val="single" w:sz="2" w:space="0" w:color="auto"/>
            </w:tcBorders>
          </w:tcPr>
          <w:p w14:paraId="36797DA2" w14:textId="77777777" w:rsidR="007034E6" w:rsidRPr="00487663" w:rsidRDefault="007034E6" w:rsidP="00D52924">
            <w:pPr>
              <w:spacing w:after="0" w:line="240" w:lineRule="auto"/>
              <w:rPr>
                <w:rFonts w:ascii="Times New Roman" w:hAnsi="Times New Roman"/>
                <w:noProof/>
                <w:sz w:val="20"/>
                <w:szCs w:val="20"/>
                <w:lang w:val="en-GB"/>
              </w:rPr>
            </w:pPr>
          </w:p>
        </w:tc>
        <w:tc>
          <w:tcPr>
            <w:tcW w:w="6522" w:type="dxa"/>
            <w:gridSpan w:val="7"/>
            <w:tcBorders>
              <w:bottom w:val="single" w:sz="2" w:space="0" w:color="auto"/>
            </w:tcBorders>
          </w:tcPr>
          <w:p w14:paraId="6DD57263" w14:textId="77777777" w:rsidR="007034E6" w:rsidRPr="00487663" w:rsidRDefault="007034E6" w:rsidP="00D52924">
            <w:pPr>
              <w:spacing w:after="0" w:line="240" w:lineRule="auto"/>
              <w:rPr>
                <w:rFonts w:ascii="Univers" w:hAnsi="Univers"/>
                <w:b/>
                <w:sz w:val="24"/>
                <w:szCs w:val="20"/>
                <w:lang w:val="en-GB"/>
              </w:rPr>
            </w:pPr>
          </w:p>
        </w:tc>
        <w:tc>
          <w:tcPr>
            <w:tcW w:w="1761" w:type="dxa"/>
            <w:tcBorders>
              <w:bottom w:val="single" w:sz="2" w:space="0" w:color="auto"/>
            </w:tcBorders>
          </w:tcPr>
          <w:p w14:paraId="30922532" w14:textId="0CC39712" w:rsidR="007034E6" w:rsidRPr="00487663" w:rsidRDefault="00B95091" w:rsidP="008B45CE">
            <w:pPr>
              <w:spacing w:after="0" w:line="240" w:lineRule="auto"/>
              <w:rPr>
                <w:rFonts w:ascii="Times New Roman" w:eastAsiaTheme="minorEastAsia" w:hAnsi="Times New Roman"/>
                <w:b/>
                <w:sz w:val="24"/>
                <w:szCs w:val="24"/>
                <w:lang w:val="en-GB"/>
              </w:rPr>
            </w:pPr>
            <w:r w:rsidRPr="00487663">
              <w:rPr>
                <w:rFonts w:ascii="Times New Roman" w:eastAsia="Times New Roman" w:hAnsi="Times New Roman"/>
                <w:b/>
                <w:sz w:val="24"/>
                <w:szCs w:val="24"/>
                <w:lang w:val="en-GB"/>
              </w:rPr>
              <w:t>IPBES</w:t>
            </w:r>
            <w:r w:rsidR="00BF0327" w:rsidRPr="00487663">
              <w:rPr>
                <w:rFonts w:ascii="Times New Roman" w:eastAsia="Times New Roman" w:hAnsi="Times New Roman"/>
                <w:sz w:val="20"/>
                <w:szCs w:val="20"/>
                <w:lang w:val="en-GB"/>
              </w:rPr>
              <w:t>/6/INF/9</w:t>
            </w:r>
            <w:r w:rsidR="00936471" w:rsidRPr="00487663">
              <w:rPr>
                <w:rFonts w:ascii="Times New Roman" w:eastAsia="Times New Roman" w:hAnsi="Times New Roman"/>
                <w:sz w:val="20"/>
                <w:szCs w:val="20"/>
                <w:lang w:val="en-GB"/>
              </w:rPr>
              <w:t xml:space="preserve">       </w:t>
            </w:r>
          </w:p>
        </w:tc>
      </w:tr>
      <w:tr w:rsidR="007034E6" w:rsidRPr="00487663" w14:paraId="7FA4374E" w14:textId="77777777" w:rsidTr="002940F8">
        <w:trPr>
          <w:cantSplit/>
          <w:trHeight w:val="1433"/>
          <w:jc w:val="right"/>
        </w:trPr>
        <w:tc>
          <w:tcPr>
            <w:tcW w:w="2323" w:type="dxa"/>
            <w:gridSpan w:val="2"/>
            <w:tcBorders>
              <w:top w:val="single" w:sz="2" w:space="0" w:color="auto"/>
              <w:bottom w:val="single" w:sz="24" w:space="0" w:color="auto"/>
            </w:tcBorders>
          </w:tcPr>
          <w:p w14:paraId="161BA4DF" w14:textId="77777777" w:rsidR="007034E6" w:rsidRPr="00D52924" w:rsidRDefault="007034E6" w:rsidP="00D52924">
            <w:pPr>
              <w:spacing w:before="240" w:after="240" w:line="240" w:lineRule="auto"/>
              <w:rPr>
                <w:rFonts w:ascii="Arial" w:hAnsi="Arial" w:cs="Arial"/>
                <w:b/>
                <w:sz w:val="28"/>
                <w:szCs w:val="28"/>
                <w:lang w:val="en-GB"/>
              </w:rPr>
            </w:pPr>
            <w:r w:rsidRPr="00D52924">
              <w:rPr>
                <w:rFonts w:ascii="Arial" w:hAnsi="Arial" w:cs="Arial"/>
                <w:b/>
                <w:noProof/>
                <w:sz w:val="28"/>
                <w:szCs w:val="28"/>
                <w:lang w:val="en-GB"/>
              </w:rPr>
              <w:drawing>
                <wp:inline distT="0" distB="0" distL="0" distR="0" wp14:anchorId="6E89F493" wp14:editId="3D78A8FC">
                  <wp:extent cx="1111406" cy="51937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BES Logo MONO 2015-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1408" cy="519380"/>
                          </a:xfrm>
                          <a:prstGeom prst="rect">
                            <a:avLst/>
                          </a:prstGeom>
                        </pic:spPr>
                      </pic:pic>
                    </a:graphicData>
                  </a:graphic>
                </wp:inline>
              </w:drawing>
            </w:r>
          </w:p>
        </w:tc>
        <w:tc>
          <w:tcPr>
            <w:tcW w:w="5412" w:type="dxa"/>
            <w:gridSpan w:val="6"/>
            <w:tcBorders>
              <w:top w:val="single" w:sz="2" w:space="0" w:color="auto"/>
              <w:bottom w:val="single" w:sz="24" w:space="0" w:color="auto"/>
            </w:tcBorders>
          </w:tcPr>
          <w:p w14:paraId="3B33E744" w14:textId="77777777" w:rsidR="003B193E" w:rsidRPr="00D52924" w:rsidRDefault="003B193E" w:rsidP="00D52924">
            <w:pPr>
              <w:spacing w:after="0" w:line="240" w:lineRule="auto"/>
              <w:rPr>
                <w:rFonts w:ascii="SimHei" w:eastAsia="SimHei" w:hAnsi="SimHei"/>
                <w:b/>
                <w:sz w:val="28"/>
                <w:szCs w:val="28"/>
                <w:lang w:val="en-GB"/>
              </w:rPr>
            </w:pPr>
          </w:p>
          <w:p w14:paraId="3D90B556" w14:textId="77777777" w:rsidR="007034E6" w:rsidRPr="008B45CE" w:rsidRDefault="007034E6" w:rsidP="00235DAA">
            <w:pPr>
              <w:spacing w:before="120" w:line="240" w:lineRule="auto"/>
              <w:rPr>
                <w:rFonts w:ascii="SimHei" w:eastAsia="SimHei" w:hAnsi="SimHei"/>
                <w:b/>
                <w:sz w:val="28"/>
                <w:szCs w:val="28"/>
                <w:lang w:val="en-GB"/>
              </w:rPr>
            </w:pPr>
            <w:r w:rsidRPr="008B45CE">
              <w:rPr>
                <w:rFonts w:ascii="SimHei" w:eastAsia="SimHei" w:hAnsi="SimHei"/>
                <w:b/>
                <w:sz w:val="28"/>
                <w:szCs w:val="28"/>
                <w:lang w:val="en-GB"/>
              </w:rPr>
              <w:t>生物多样性和生态系统服务</w:t>
            </w:r>
          </w:p>
          <w:p w14:paraId="7389722A" w14:textId="77777777" w:rsidR="007034E6" w:rsidRPr="00487663" w:rsidRDefault="007034E6" w:rsidP="00235DAA">
            <w:pPr>
              <w:spacing w:before="120" w:line="240" w:lineRule="auto"/>
              <w:rPr>
                <w:rFonts w:ascii="Arial" w:hAnsi="Arial" w:cs="Arial"/>
                <w:b/>
                <w:sz w:val="28"/>
                <w:szCs w:val="28"/>
                <w:lang w:val="en-GB"/>
              </w:rPr>
            </w:pPr>
            <w:r w:rsidRPr="00487663">
              <w:rPr>
                <w:rFonts w:ascii="SimHei" w:eastAsia="SimHei" w:hAnsi="SimHei"/>
                <w:b/>
                <w:sz w:val="28"/>
                <w:szCs w:val="28"/>
                <w:lang w:val="en-GB"/>
              </w:rPr>
              <w:t>政府间科学政策平台</w:t>
            </w:r>
          </w:p>
        </w:tc>
        <w:tc>
          <w:tcPr>
            <w:tcW w:w="1761" w:type="dxa"/>
            <w:tcBorders>
              <w:top w:val="single" w:sz="2" w:space="0" w:color="auto"/>
              <w:bottom w:val="single" w:sz="24" w:space="0" w:color="auto"/>
            </w:tcBorders>
          </w:tcPr>
          <w:p w14:paraId="7AEDB1DC" w14:textId="77777777" w:rsidR="007034E6" w:rsidRPr="00487663" w:rsidRDefault="007034E6" w:rsidP="00487663">
            <w:pPr>
              <w:spacing w:beforeLines="50" w:before="120" w:after="0" w:line="240" w:lineRule="auto"/>
              <w:rPr>
                <w:rFonts w:ascii="Times New Roman" w:hAnsi="Times New Roman"/>
                <w:sz w:val="20"/>
                <w:szCs w:val="20"/>
                <w:lang w:val="en-GB"/>
              </w:rPr>
            </w:pPr>
            <w:r w:rsidRPr="00487663">
              <w:rPr>
                <w:rFonts w:ascii="Times New Roman" w:hAnsi="Times New Roman"/>
                <w:sz w:val="20"/>
                <w:szCs w:val="20"/>
                <w:lang w:val="en-GB"/>
              </w:rPr>
              <w:t>Distr.: General</w:t>
            </w:r>
          </w:p>
          <w:p w14:paraId="5D4929B7" w14:textId="637943E7" w:rsidR="007034E6" w:rsidRPr="00487663" w:rsidRDefault="00B95091" w:rsidP="00487663">
            <w:pPr>
              <w:spacing w:after="0" w:line="240" w:lineRule="auto"/>
              <w:rPr>
                <w:rFonts w:ascii="Times New Roman" w:eastAsia="Times New Roman" w:hAnsi="Times New Roman"/>
                <w:sz w:val="20"/>
                <w:szCs w:val="20"/>
                <w:lang w:val="en-GB"/>
              </w:rPr>
            </w:pPr>
            <w:r w:rsidRPr="00487663">
              <w:rPr>
                <w:rFonts w:ascii="Times New Roman" w:eastAsia="Times New Roman" w:hAnsi="Times New Roman"/>
                <w:sz w:val="20"/>
                <w:szCs w:val="20"/>
                <w:lang w:val="en-GB"/>
              </w:rPr>
              <w:t>1</w:t>
            </w:r>
            <w:r w:rsidR="00BF0327" w:rsidRPr="00487663">
              <w:rPr>
                <w:rFonts w:ascii="Times New Roman" w:eastAsia="Times New Roman" w:hAnsi="Times New Roman"/>
                <w:sz w:val="20"/>
                <w:szCs w:val="20"/>
                <w:lang w:val="en-GB"/>
              </w:rPr>
              <w:t>5</w:t>
            </w:r>
            <w:r w:rsidRPr="00487663">
              <w:rPr>
                <w:rFonts w:ascii="Times New Roman" w:eastAsia="Times New Roman" w:hAnsi="Times New Roman"/>
                <w:sz w:val="20"/>
                <w:szCs w:val="20"/>
                <w:lang w:val="en-GB"/>
              </w:rPr>
              <w:t xml:space="preserve"> January 201</w:t>
            </w:r>
            <w:r w:rsidR="00BF0327" w:rsidRPr="00487663">
              <w:rPr>
                <w:rFonts w:ascii="Times New Roman" w:eastAsia="Times New Roman" w:hAnsi="Times New Roman"/>
                <w:sz w:val="20"/>
                <w:szCs w:val="20"/>
                <w:lang w:val="en-GB"/>
              </w:rPr>
              <w:t>8</w:t>
            </w:r>
          </w:p>
          <w:p w14:paraId="40A2C80F" w14:textId="77777777" w:rsidR="00B95091" w:rsidRPr="00487663" w:rsidRDefault="00B95091" w:rsidP="00487663">
            <w:pPr>
              <w:spacing w:after="0" w:line="240" w:lineRule="auto"/>
              <w:rPr>
                <w:rFonts w:ascii="Times New Roman" w:eastAsiaTheme="minorEastAsia" w:hAnsi="Times New Roman"/>
                <w:sz w:val="20"/>
                <w:szCs w:val="20"/>
                <w:lang w:val="en-GB"/>
              </w:rPr>
            </w:pPr>
          </w:p>
          <w:p w14:paraId="5AD236EF" w14:textId="77777777" w:rsidR="007034E6" w:rsidRPr="00487663" w:rsidRDefault="007034E6" w:rsidP="00487663">
            <w:pPr>
              <w:spacing w:after="0" w:line="240" w:lineRule="auto"/>
              <w:rPr>
                <w:rFonts w:ascii="Times New Roman" w:eastAsiaTheme="minorEastAsia" w:hAnsi="Times New Roman"/>
                <w:sz w:val="20"/>
                <w:szCs w:val="20"/>
                <w:lang w:val="en-GB"/>
              </w:rPr>
            </w:pPr>
            <w:r w:rsidRPr="00487663">
              <w:rPr>
                <w:rFonts w:ascii="Times New Roman" w:eastAsiaTheme="minorEastAsia" w:hAnsi="Times New Roman" w:hint="eastAsia"/>
                <w:sz w:val="20"/>
                <w:szCs w:val="20"/>
                <w:lang w:val="en-GB"/>
              </w:rPr>
              <w:t>Chinese</w:t>
            </w:r>
          </w:p>
          <w:p w14:paraId="4D92466A" w14:textId="77777777" w:rsidR="007034E6" w:rsidRPr="00487663" w:rsidRDefault="007034E6" w:rsidP="00487663">
            <w:pPr>
              <w:spacing w:after="0" w:line="240" w:lineRule="auto"/>
              <w:rPr>
                <w:rFonts w:ascii="Times New Roman" w:hAnsi="Times New Roman"/>
                <w:sz w:val="20"/>
                <w:szCs w:val="20"/>
                <w:lang w:val="en-GB"/>
              </w:rPr>
            </w:pPr>
            <w:r w:rsidRPr="00487663">
              <w:rPr>
                <w:rFonts w:ascii="Times New Roman" w:hAnsi="Times New Roman"/>
                <w:sz w:val="20"/>
                <w:szCs w:val="20"/>
                <w:lang w:val="en-GB"/>
              </w:rPr>
              <w:t>Original: English</w:t>
            </w:r>
          </w:p>
        </w:tc>
      </w:tr>
    </w:tbl>
    <w:p w14:paraId="59EAB3A1" w14:textId="77777777" w:rsidR="007034E6" w:rsidRPr="00487663" w:rsidRDefault="007034E6" w:rsidP="00D52924">
      <w:pPr>
        <w:tabs>
          <w:tab w:val="left" w:pos="1247"/>
          <w:tab w:val="left" w:pos="1814"/>
          <w:tab w:val="left" w:pos="2381"/>
          <w:tab w:val="left" w:pos="2948"/>
          <w:tab w:val="left" w:pos="3515"/>
        </w:tabs>
        <w:suppressAutoHyphens/>
        <w:spacing w:after="0" w:line="240" w:lineRule="auto"/>
        <w:ind w:right="3402"/>
        <w:rPr>
          <w:rFonts w:ascii="SimHei" w:eastAsia="SimHei" w:hAnsi="SimHei"/>
          <w:b/>
          <w:sz w:val="24"/>
          <w:szCs w:val="24"/>
          <w:lang w:val="en-GB"/>
        </w:rPr>
      </w:pPr>
      <w:r w:rsidRPr="00487663">
        <w:rPr>
          <w:rFonts w:ascii="SimHei" w:eastAsia="SimHei" w:hAnsi="SimHei"/>
          <w:b/>
          <w:sz w:val="24"/>
          <w:szCs w:val="24"/>
          <w:lang w:val="en-GB"/>
        </w:rPr>
        <w:t>生物多样性和生态系统服务政府间</w:t>
      </w:r>
    </w:p>
    <w:p w14:paraId="1BFA10EA" w14:textId="77777777" w:rsidR="007034E6" w:rsidRPr="00487663" w:rsidRDefault="007034E6" w:rsidP="00D52924">
      <w:pPr>
        <w:tabs>
          <w:tab w:val="left" w:pos="1247"/>
          <w:tab w:val="left" w:pos="1814"/>
          <w:tab w:val="left" w:pos="2381"/>
          <w:tab w:val="left" w:pos="2948"/>
          <w:tab w:val="left" w:pos="3515"/>
        </w:tabs>
        <w:suppressAutoHyphens/>
        <w:spacing w:after="0" w:line="240" w:lineRule="auto"/>
        <w:ind w:right="3402"/>
        <w:rPr>
          <w:rFonts w:ascii="SimHei" w:eastAsia="SimHei" w:hAnsi="SimHei"/>
          <w:b/>
          <w:sz w:val="24"/>
          <w:szCs w:val="24"/>
          <w:lang w:val="en-GB"/>
        </w:rPr>
      </w:pPr>
      <w:r w:rsidRPr="00487663">
        <w:rPr>
          <w:rFonts w:ascii="SimHei" w:eastAsia="SimHei" w:hAnsi="SimHei"/>
          <w:b/>
          <w:sz w:val="24"/>
          <w:szCs w:val="24"/>
          <w:lang w:val="en-GB"/>
        </w:rPr>
        <w:t>科学政策平台全体会议</w:t>
      </w:r>
    </w:p>
    <w:p w14:paraId="7987F823" w14:textId="77777777" w:rsidR="001C34BA" w:rsidRPr="00487663" w:rsidRDefault="001C34BA" w:rsidP="00D52924">
      <w:pPr>
        <w:tabs>
          <w:tab w:val="left" w:pos="1247"/>
          <w:tab w:val="left" w:pos="1814"/>
          <w:tab w:val="left" w:pos="2381"/>
          <w:tab w:val="left" w:pos="2948"/>
          <w:tab w:val="left" w:pos="3515"/>
        </w:tabs>
        <w:suppressAutoHyphens/>
        <w:spacing w:after="0" w:line="240" w:lineRule="auto"/>
        <w:ind w:right="3402"/>
        <w:rPr>
          <w:rFonts w:ascii="SimHei" w:eastAsia="SimHei" w:hAnsi="SimHei"/>
          <w:b/>
          <w:sz w:val="24"/>
          <w:szCs w:val="24"/>
          <w:lang w:val="en-GB"/>
        </w:rPr>
      </w:pPr>
      <w:r w:rsidRPr="00487663">
        <w:rPr>
          <w:rFonts w:ascii="SimHei" w:eastAsia="SimHei" w:hAnsi="SimHei" w:hint="eastAsia"/>
          <w:b/>
          <w:sz w:val="24"/>
          <w:szCs w:val="24"/>
          <w:lang w:val="en-GB"/>
        </w:rPr>
        <w:t>第六届会议</w:t>
      </w:r>
    </w:p>
    <w:p w14:paraId="70474E86" w14:textId="77777777" w:rsidR="001C34BA" w:rsidRPr="00487663" w:rsidRDefault="001C34BA" w:rsidP="008B45CE">
      <w:pPr>
        <w:suppressAutoHyphens/>
        <w:spacing w:after="0" w:line="240" w:lineRule="auto"/>
        <w:ind w:right="3402"/>
        <w:rPr>
          <w:rFonts w:ascii="Times New Roman" w:eastAsia="SimSun" w:hAnsi="Times New Roman"/>
          <w:sz w:val="24"/>
          <w:szCs w:val="24"/>
          <w:lang w:val="en-GB"/>
        </w:rPr>
      </w:pPr>
      <w:r w:rsidRPr="00487663">
        <w:rPr>
          <w:rFonts w:ascii="Times New Roman" w:eastAsia="SimSun" w:hAnsi="Times New Roman"/>
          <w:sz w:val="24"/>
          <w:szCs w:val="24"/>
          <w:lang w:val="en-GB"/>
        </w:rPr>
        <w:t>2018</w:t>
      </w:r>
      <w:r w:rsidRPr="00487663">
        <w:rPr>
          <w:rFonts w:ascii="Times New Roman" w:eastAsia="SimSun" w:hAnsi="Times New Roman"/>
          <w:sz w:val="24"/>
          <w:szCs w:val="24"/>
          <w:lang w:val="en-GB"/>
        </w:rPr>
        <w:t>年</w:t>
      </w:r>
      <w:r w:rsidRPr="00487663">
        <w:rPr>
          <w:rFonts w:ascii="Times New Roman" w:eastAsia="SimSun" w:hAnsi="Times New Roman"/>
          <w:sz w:val="24"/>
          <w:szCs w:val="24"/>
          <w:lang w:val="en-GB"/>
        </w:rPr>
        <w:t>3</w:t>
      </w:r>
      <w:r w:rsidRPr="00487663">
        <w:rPr>
          <w:rFonts w:ascii="Times New Roman" w:eastAsia="SimSun" w:hAnsi="Times New Roman"/>
          <w:sz w:val="24"/>
          <w:szCs w:val="24"/>
          <w:lang w:val="en-GB"/>
        </w:rPr>
        <w:t>月</w:t>
      </w:r>
      <w:r w:rsidRPr="00487663">
        <w:rPr>
          <w:rFonts w:ascii="Times New Roman" w:eastAsia="SimSun" w:hAnsi="Times New Roman"/>
          <w:sz w:val="24"/>
          <w:szCs w:val="24"/>
          <w:lang w:val="en-GB"/>
        </w:rPr>
        <w:t>18</w:t>
      </w:r>
      <w:r w:rsidRPr="00487663">
        <w:rPr>
          <w:rFonts w:ascii="Times New Roman" w:eastAsia="SimSun" w:hAnsi="Times New Roman"/>
          <w:sz w:val="24"/>
          <w:szCs w:val="24"/>
          <w:lang w:val="en-GB"/>
        </w:rPr>
        <w:t>日至</w:t>
      </w:r>
      <w:r w:rsidRPr="00487663">
        <w:rPr>
          <w:rFonts w:ascii="Times New Roman" w:eastAsia="SimSun" w:hAnsi="Times New Roman"/>
          <w:sz w:val="24"/>
          <w:szCs w:val="24"/>
          <w:lang w:val="en-GB"/>
        </w:rPr>
        <w:t>24</w:t>
      </w:r>
      <w:r w:rsidRPr="00487663">
        <w:rPr>
          <w:rFonts w:ascii="Times New Roman" w:eastAsia="SimSun" w:hAnsi="Times New Roman"/>
          <w:sz w:val="24"/>
          <w:szCs w:val="24"/>
          <w:lang w:val="en-GB"/>
        </w:rPr>
        <w:t>日，哥伦比亚麦</w:t>
      </w:r>
      <w:bookmarkStart w:id="0" w:name="_GoBack"/>
      <w:bookmarkEnd w:id="0"/>
      <w:r w:rsidRPr="00487663">
        <w:rPr>
          <w:rFonts w:ascii="Times New Roman" w:eastAsia="SimSun" w:hAnsi="Times New Roman"/>
          <w:sz w:val="24"/>
          <w:szCs w:val="24"/>
          <w:lang w:val="en-GB"/>
        </w:rPr>
        <w:t>德林</w:t>
      </w:r>
    </w:p>
    <w:p w14:paraId="7A9C5599" w14:textId="77777777" w:rsidR="001C34BA" w:rsidRPr="00487663" w:rsidRDefault="001C34BA" w:rsidP="00487663">
      <w:pPr>
        <w:pStyle w:val="AATitle"/>
        <w:keepNext w:val="0"/>
        <w:keepLines w:val="0"/>
        <w:tabs>
          <w:tab w:val="left" w:pos="624"/>
          <w:tab w:val="left" w:pos="1871"/>
          <w:tab w:val="left" w:pos="2495"/>
          <w:tab w:val="left" w:pos="3119"/>
          <w:tab w:val="left" w:pos="3742"/>
        </w:tabs>
        <w:rPr>
          <w:b w:val="0"/>
          <w:color w:val="000000"/>
          <w:sz w:val="24"/>
          <w:szCs w:val="24"/>
          <w:lang w:eastAsia="zh-CN"/>
        </w:rPr>
      </w:pPr>
      <w:r w:rsidRPr="00487663">
        <w:rPr>
          <w:b w:val="0"/>
          <w:color w:val="000000"/>
          <w:sz w:val="24"/>
          <w:szCs w:val="24"/>
          <w:lang w:eastAsia="zh-CN"/>
        </w:rPr>
        <w:t>临时议程</w:t>
      </w:r>
      <w:r w:rsidRPr="00487663">
        <w:rPr>
          <w:sz w:val="24"/>
          <w:szCs w:val="24"/>
          <w:lang w:eastAsia="zh-CN"/>
        </w:rPr>
        <w:footnoteReference w:customMarkFollows="1" w:id="1"/>
        <w:t>*</w:t>
      </w:r>
      <w:r w:rsidRPr="00487663">
        <w:rPr>
          <w:b w:val="0"/>
          <w:color w:val="000000"/>
          <w:sz w:val="24"/>
          <w:szCs w:val="24"/>
          <w:lang w:eastAsia="zh-CN"/>
        </w:rPr>
        <w:t>项目</w:t>
      </w:r>
      <w:r w:rsidRPr="00487663">
        <w:rPr>
          <w:b w:val="0"/>
          <w:color w:val="000000"/>
          <w:sz w:val="24"/>
          <w:szCs w:val="24"/>
          <w:lang w:eastAsia="zh-CN"/>
        </w:rPr>
        <w:t>8</w:t>
      </w:r>
    </w:p>
    <w:p w14:paraId="5A8CD693" w14:textId="77777777" w:rsidR="001C34BA" w:rsidRPr="00487663" w:rsidRDefault="001C34BA" w:rsidP="00487663">
      <w:pPr>
        <w:pStyle w:val="AATitle2"/>
        <w:rPr>
          <w:rFonts w:eastAsia="SimHei"/>
          <w:color w:val="000000"/>
          <w:sz w:val="24"/>
          <w:szCs w:val="24"/>
          <w:lang w:val="en-US" w:eastAsia="zh-CN"/>
        </w:rPr>
      </w:pPr>
      <w:r w:rsidRPr="00487663">
        <w:rPr>
          <w:rFonts w:eastAsia="SimHei"/>
          <w:color w:val="000000"/>
          <w:sz w:val="24"/>
          <w:szCs w:val="24"/>
          <w:lang w:val="en-US" w:eastAsia="zh-CN"/>
        </w:rPr>
        <w:t>待开展的评估：野生物种可持续利用的专题评估、自然及其惠益所具多重价值之多元概念化的方法评估以及外来入侵物种的专题评估</w:t>
      </w:r>
    </w:p>
    <w:p w14:paraId="049E13B1" w14:textId="7261DE40" w:rsidR="00C11F7E" w:rsidRPr="00487663" w:rsidRDefault="00C11F7E" w:rsidP="003F49E4">
      <w:pPr>
        <w:pStyle w:val="BBTitle"/>
        <w:tabs>
          <w:tab w:val="clear" w:pos="4082"/>
        </w:tabs>
        <w:ind w:right="-2"/>
        <w:rPr>
          <w:rFonts w:ascii="SimHei" w:eastAsia="SimHei" w:cs="SimHei"/>
          <w:bCs/>
          <w:sz w:val="32"/>
          <w:szCs w:val="32"/>
          <w:lang w:eastAsia="zh-CN"/>
        </w:rPr>
      </w:pPr>
      <w:r w:rsidRPr="00487663">
        <w:rPr>
          <w:rFonts w:ascii="SimHei" w:eastAsia="SimHei" w:cs="SimHei"/>
          <w:bCs/>
          <w:sz w:val="32"/>
          <w:szCs w:val="32"/>
          <w:lang w:eastAsia="zh-CN"/>
        </w:rPr>
        <w:t>关于自然及其惠益（包括生物多样性和生态系统服务）之多重价值的多元概念化方法评估的范围界定（交付品</w:t>
      </w:r>
      <w:r w:rsidRPr="00487663">
        <w:rPr>
          <w:rFonts w:eastAsia="SimHei"/>
          <w:bCs/>
          <w:sz w:val="32"/>
          <w:szCs w:val="32"/>
          <w:lang w:eastAsia="zh-CN"/>
        </w:rPr>
        <w:t>3 (d)</w:t>
      </w:r>
      <w:r w:rsidRPr="00487663">
        <w:rPr>
          <w:rFonts w:ascii="SimHei" w:eastAsia="SimHei" w:cs="SimHei"/>
          <w:bCs/>
          <w:sz w:val="32"/>
          <w:szCs w:val="32"/>
          <w:lang w:eastAsia="zh-CN"/>
        </w:rPr>
        <w:t>）的信息</w:t>
      </w:r>
    </w:p>
    <w:p w14:paraId="3F66146A" w14:textId="77777777" w:rsidR="00C11F7E" w:rsidRPr="00487663" w:rsidRDefault="00C11F7E" w:rsidP="00D52924">
      <w:pPr>
        <w:pStyle w:val="CH2"/>
      </w:pPr>
      <w:r w:rsidRPr="00487663">
        <w:rPr>
          <w:lang w:val="zh-CN" w:eastAsia="zh-CN"/>
        </w:rPr>
        <w:tab/>
      </w:r>
      <w:r w:rsidRPr="00487663">
        <w:rPr>
          <w:lang w:val="zh-CN" w:eastAsia="zh-CN"/>
        </w:rPr>
        <w:tab/>
      </w:r>
      <w:r w:rsidRPr="00487663">
        <w:rPr>
          <w:rFonts w:ascii="SimHei" w:eastAsia="SimHei" w:hAnsi="SimHei"/>
          <w:lang w:val="zh-CN" w:eastAsia="zh-CN"/>
        </w:rPr>
        <w:t>秘书处的说明</w:t>
      </w:r>
    </w:p>
    <w:p w14:paraId="4A29F94E" w14:textId="2DCF0887" w:rsidR="00C11F7E" w:rsidRPr="00487663" w:rsidRDefault="008030F8" w:rsidP="00487663">
      <w:pPr>
        <w:pStyle w:val="Normalnumber"/>
        <w:jc w:val="both"/>
        <w:rPr>
          <w:sz w:val="24"/>
          <w:lang w:eastAsia="zh-CN"/>
        </w:rPr>
      </w:pPr>
      <w:r w:rsidRPr="00487663">
        <w:rPr>
          <w:sz w:val="24"/>
          <w:lang w:val="zh-CN" w:eastAsia="zh-CN"/>
        </w:rPr>
        <w:t>在</w:t>
      </w:r>
      <w:r w:rsidRPr="00487663">
        <w:rPr>
          <w:sz w:val="24"/>
          <w:lang w:val="zh-CN" w:eastAsia="zh-CN"/>
        </w:rPr>
        <w:t>IPBES-4/1</w:t>
      </w:r>
      <w:r w:rsidRPr="00487663">
        <w:rPr>
          <w:sz w:val="24"/>
          <w:lang w:val="zh-CN" w:eastAsia="zh-CN"/>
        </w:rPr>
        <w:t>号决定第五节</w:t>
      </w:r>
      <w:r w:rsidR="00BF0327" w:rsidRPr="00487663">
        <w:rPr>
          <w:rFonts w:hint="eastAsia"/>
          <w:sz w:val="24"/>
          <w:lang w:val="zh-CN" w:eastAsia="zh-CN"/>
        </w:rPr>
        <w:t>第</w:t>
      </w:r>
      <w:r w:rsidR="00BF0327" w:rsidRPr="00487663">
        <w:rPr>
          <w:rFonts w:hint="eastAsia"/>
          <w:sz w:val="24"/>
          <w:lang w:val="zh-CN" w:eastAsia="zh-CN"/>
        </w:rPr>
        <w:t>4</w:t>
      </w:r>
      <w:r w:rsidR="00BF0327" w:rsidRPr="00487663">
        <w:rPr>
          <w:rFonts w:hint="eastAsia"/>
          <w:sz w:val="24"/>
          <w:lang w:val="zh-CN" w:eastAsia="zh-CN"/>
        </w:rPr>
        <w:t>段</w:t>
      </w:r>
      <w:r w:rsidRPr="00487663">
        <w:rPr>
          <w:sz w:val="24"/>
          <w:lang w:val="zh-CN" w:eastAsia="zh-CN"/>
        </w:rPr>
        <w:t>，生物多样性和生态系统服务政府间科学政策平</w:t>
      </w:r>
      <w:r w:rsidR="008F0E8A" w:rsidRPr="00487663">
        <w:rPr>
          <w:sz w:val="24"/>
          <w:lang w:val="zh-CN" w:eastAsia="zh-CN"/>
        </w:rPr>
        <w:t>台全体会议核准了关于自然及其惠益（包括生物多样性和生态系统</w:t>
      </w:r>
      <w:r w:rsidRPr="00487663">
        <w:rPr>
          <w:sz w:val="24"/>
          <w:lang w:val="zh-CN" w:eastAsia="zh-CN"/>
        </w:rPr>
        <w:t>服务）之多重价值的多元概念化方法评估的范围界定报告</w:t>
      </w:r>
      <w:r w:rsidR="00EB56B5" w:rsidRPr="00487663">
        <w:rPr>
          <w:rFonts w:hint="eastAsia"/>
          <w:sz w:val="24"/>
          <w:lang w:val="zh-CN" w:eastAsia="zh-CN"/>
        </w:rPr>
        <w:t>（</w:t>
      </w:r>
      <w:r w:rsidRPr="00487663">
        <w:rPr>
          <w:sz w:val="24"/>
          <w:lang w:val="zh-CN" w:eastAsia="zh-CN"/>
        </w:rPr>
        <w:t>载于</w:t>
      </w:r>
      <w:r w:rsidR="003B193E" w:rsidRPr="00487663">
        <w:rPr>
          <w:rFonts w:hint="eastAsia"/>
          <w:sz w:val="24"/>
          <w:lang w:val="zh-CN" w:eastAsia="zh-CN"/>
        </w:rPr>
        <w:t>该</w:t>
      </w:r>
      <w:r w:rsidRPr="00487663">
        <w:rPr>
          <w:sz w:val="24"/>
          <w:lang w:val="zh-CN" w:eastAsia="zh-CN"/>
        </w:rPr>
        <w:t>决定附件六</w:t>
      </w:r>
      <w:r w:rsidR="00EB56B5" w:rsidRPr="00487663">
        <w:rPr>
          <w:rFonts w:hint="eastAsia"/>
          <w:sz w:val="24"/>
          <w:lang w:val="zh-CN" w:eastAsia="zh-CN"/>
        </w:rPr>
        <w:t>）</w:t>
      </w:r>
      <w:r w:rsidRPr="00487663">
        <w:rPr>
          <w:sz w:val="24"/>
          <w:lang w:val="zh-CN" w:eastAsia="zh-CN"/>
        </w:rPr>
        <w:t>。</w:t>
      </w:r>
      <w:r w:rsidR="008F0E8A" w:rsidRPr="00487663">
        <w:rPr>
          <w:rFonts w:hint="eastAsia"/>
          <w:sz w:val="24"/>
          <w:szCs w:val="24"/>
          <w:lang w:val="zh-CN" w:eastAsia="zh-CN"/>
        </w:rPr>
        <w:t>在</w:t>
      </w:r>
      <w:r w:rsidR="008F0E8A" w:rsidRPr="00487663">
        <w:rPr>
          <w:sz w:val="24"/>
          <w:szCs w:val="24"/>
          <w:lang w:val="zh-CN" w:eastAsia="zh-CN"/>
        </w:rPr>
        <w:t>关于</w:t>
      </w:r>
      <w:r w:rsidR="008F0E8A" w:rsidRPr="00487663">
        <w:rPr>
          <w:rFonts w:hint="eastAsia"/>
          <w:sz w:val="24"/>
          <w:szCs w:val="24"/>
          <w:lang w:val="zh-CN" w:eastAsia="zh-CN"/>
        </w:rPr>
        <w:t>财政和预算安排的</w:t>
      </w:r>
      <w:r w:rsidR="008F0E8A" w:rsidRPr="00487663">
        <w:rPr>
          <w:sz w:val="24"/>
          <w:szCs w:val="24"/>
          <w:lang w:val="zh-CN" w:eastAsia="zh-CN"/>
        </w:rPr>
        <w:t>IPBES-5/6</w:t>
      </w:r>
      <w:r w:rsidR="008F0E8A" w:rsidRPr="00487663">
        <w:rPr>
          <w:sz w:val="24"/>
          <w:szCs w:val="24"/>
          <w:lang w:val="zh-CN" w:eastAsia="zh-CN"/>
        </w:rPr>
        <w:t>号决定</w:t>
      </w:r>
      <w:r w:rsidR="008F0E8A" w:rsidRPr="00487663">
        <w:rPr>
          <w:rFonts w:hint="eastAsia"/>
          <w:sz w:val="24"/>
          <w:szCs w:val="24"/>
          <w:lang w:val="zh-CN" w:eastAsia="zh-CN"/>
        </w:rPr>
        <w:t>第</w:t>
      </w:r>
      <w:r w:rsidR="008F0E8A" w:rsidRPr="00487663">
        <w:rPr>
          <w:rFonts w:hint="eastAsia"/>
          <w:sz w:val="24"/>
          <w:szCs w:val="24"/>
          <w:lang w:val="zh-CN" w:eastAsia="zh-CN"/>
        </w:rPr>
        <w:t>5</w:t>
      </w:r>
      <w:r w:rsidR="008F0E8A" w:rsidRPr="00487663">
        <w:rPr>
          <w:rFonts w:hint="eastAsia"/>
          <w:sz w:val="24"/>
          <w:szCs w:val="24"/>
          <w:lang w:val="zh-CN" w:eastAsia="zh-CN"/>
        </w:rPr>
        <w:t>段</w:t>
      </w:r>
      <w:r w:rsidR="008F0E8A" w:rsidRPr="00487663">
        <w:rPr>
          <w:sz w:val="24"/>
          <w:szCs w:val="24"/>
          <w:lang w:val="zh-CN" w:eastAsia="zh-CN"/>
        </w:rPr>
        <w:t>，</w:t>
      </w:r>
      <w:r w:rsidR="0040237C" w:rsidRPr="0085019E">
        <w:rPr>
          <w:sz w:val="24"/>
          <w:szCs w:val="24"/>
          <w:lang w:val="zh-CN" w:eastAsia="zh-CN"/>
        </w:rPr>
        <w:t>全体会议决定</w:t>
      </w:r>
      <w:r w:rsidR="0040237C" w:rsidRPr="00D16FEC">
        <w:rPr>
          <w:sz w:val="24"/>
          <w:szCs w:val="24"/>
          <w:lang w:val="zh-CN" w:eastAsia="zh-CN"/>
        </w:rPr>
        <w:t>在其第六届会议</w:t>
      </w:r>
      <w:r w:rsidR="0040237C" w:rsidRPr="00D16FEC">
        <w:rPr>
          <w:rFonts w:hint="eastAsia"/>
          <w:sz w:val="24"/>
          <w:szCs w:val="24"/>
          <w:lang w:val="zh-CN" w:eastAsia="zh-CN"/>
        </w:rPr>
        <w:t>上</w:t>
      </w:r>
      <w:r w:rsidR="0040237C" w:rsidRPr="00D16FEC">
        <w:rPr>
          <w:sz w:val="24"/>
          <w:szCs w:val="24"/>
          <w:lang w:val="zh-CN" w:eastAsia="zh-CN"/>
        </w:rPr>
        <w:t>审议</w:t>
      </w:r>
      <w:r w:rsidR="0040237C" w:rsidRPr="006F0608">
        <w:rPr>
          <w:rFonts w:hint="eastAsia"/>
          <w:sz w:val="24"/>
          <w:szCs w:val="24"/>
          <w:lang w:val="zh-CN" w:eastAsia="zh-CN"/>
        </w:rPr>
        <w:t>有</w:t>
      </w:r>
      <w:r w:rsidR="0040237C" w:rsidRPr="00D16FEC">
        <w:rPr>
          <w:rFonts w:hint="eastAsia"/>
          <w:sz w:val="24"/>
          <w:szCs w:val="24"/>
          <w:lang w:val="zh-CN" w:eastAsia="zh-CN"/>
        </w:rPr>
        <w:t>待在</w:t>
      </w:r>
      <w:r w:rsidR="0040237C" w:rsidRPr="006F0608">
        <w:rPr>
          <w:rFonts w:hint="eastAsia"/>
          <w:sz w:val="24"/>
          <w:szCs w:val="24"/>
          <w:lang w:val="zh-CN" w:eastAsia="zh-CN"/>
        </w:rPr>
        <w:t>具备</w:t>
      </w:r>
      <w:r w:rsidR="0040237C" w:rsidRPr="00D16FEC">
        <w:rPr>
          <w:rFonts w:hint="eastAsia"/>
          <w:sz w:val="24"/>
          <w:szCs w:val="24"/>
          <w:lang w:val="zh-CN" w:eastAsia="zh-CN"/>
        </w:rPr>
        <w:t>足够</w:t>
      </w:r>
      <w:r w:rsidR="0040237C" w:rsidRPr="00D16FEC">
        <w:rPr>
          <w:sz w:val="24"/>
          <w:szCs w:val="24"/>
          <w:lang w:val="zh-CN" w:eastAsia="zh-CN"/>
        </w:rPr>
        <w:t>资金情况下</w:t>
      </w:r>
      <w:r w:rsidR="0040237C" w:rsidRPr="0085019E">
        <w:rPr>
          <w:rFonts w:hint="eastAsia"/>
          <w:sz w:val="24"/>
          <w:szCs w:val="24"/>
          <w:lang w:val="zh-CN" w:eastAsia="zh-CN"/>
        </w:rPr>
        <w:t>开展</w:t>
      </w:r>
      <w:r w:rsidR="0040237C" w:rsidRPr="0085019E">
        <w:rPr>
          <w:sz w:val="24"/>
          <w:szCs w:val="24"/>
          <w:lang w:val="zh-CN" w:eastAsia="zh-CN"/>
        </w:rPr>
        <w:t>的</w:t>
      </w:r>
      <w:r w:rsidR="0040237C">
        <w:rPr>
          <w:rFonts w:hint="eastAsia"/>
          <w:sz w:val="24"/>
          <w:szCs w:val="24"/>
          <w:lang w:val="zh-CN" w:eastAsia="zh-CN"/>
        </w:rPr>
        <w:t>各项评估：</w:t>
      </w:r>
      <w:r w:rsidR="0040237C" w:rsidRPr="006F0608">
        <w:rPr>
          <w:sz w:val="24"/>
          <w:szCs w:val="24"/>
          <w:lang w:val="zh-CN" w:eastAsia="zh-CN"/>
        </w:rPr>
        <w:t>野生物种可持续利用的专题评估、</w:t>
      </w:r>
      <w:r w:rsidR="0040237C" w:rsidRPr="0085019E">
        <w:rPr>
          <w:sz w:val="24"/>
          <w:szCs w:val="24"/>
          <w:lang w:val="en-US" w:eastAsia="zh-CN"/>
        </w:rPr>
        <w:t>自然及其惠益所具多重价值之多元概念化的方法评估以及外来入侵物种的专题评估</w:t>
      </w:r>
      <w:r w:rsidR="0040237C" w:rsidRPr="0085019E">
        <w:rPr>
          <w:rFonts w:hint="eastAsia"/>
          <w:sz w:val="24"/>
          <w:szCs w:val="24"/>
          <w:lang w:val="en-US" w:eastAsia="zh-CN"/>
        </w:rPr>
        <w:t>。</w:t>
      </w:r>
    </w:p>
    <w:p w14:paraId="4869D84C" w14:textId="46BB8DCE" w:rsidR="0061017D" w:rsidRPr="00487663" w:rsidRDefault="00840E7A" w:rsidP="00487663">
      <w:pPr>
        <w:pStyle w:val="Normalnumber"/>
        <w:tabs>
          <w:tab w:val="clear" w:pos="1134"/>
        </w:tabs>
        <w:jc w:val="both"/>
        <w:rPr>
          <w:sz w:val="24"/>
          <w:lang w:eastAsia="zh-CN"/>
        </w:rPr>
      </w:pPr>
      <w:r w:rsidRPr="00487663">
        <w:rPr>
          <w:sz w:val="24"/>
          <w:lang w:val="zh-CN" w:eastAsia="zh-CN"/>
        </w:rPr>
        <w:t>全体会议在其第</w:t>
      </w:r>
      <w:r w:rsidR="0061017D" w:rsidRPr="00487663">
        <w:rPr>
          <w:rFonts w:hint="eastAsia"/>
          <w:sz w:val="24"/>
          <w:lang w:val="zh-CN" w:eastAsia="zh-CN"/>
        </w:rPr>
        <w:t>六</w:t>
      </w:r>
      <w:r w:rsidRPr="00487663">
        <w:rPr>
          <w:sz w:val="24"/>
          <w:lang w:val="zh-CN" w:eastAsia="zh-CN"/>
        </w:rPr>
        <w:t>届会议上将应邀审议关于自然及其惠益（包括生物多样性和生态系统服务）之多重价值的多元概念化评估的开展情况，其审议的依据是</w:t>
      </w:r>
      <w:r w:rsidR="0061017D" w:rsidRPr="00487663">
        <w:rPr>
          <w:sz w:val="24"/>
          <w:lang w:val="zh-CN" w:eastAsia="zh-CN"/>
        </w:rPr>
        <w:t>未经正式编辑转载于本说明附件</w:t>
      </w:r>
      <w:r w:rsidRPr="00487663">
        <w:rPr>
          <w:sz w:val="24"/>
          <w:lang w:val="zh-CN" w:eastAsia="zh-CN"/>
        </w:rPr>
        <w:t>的已核准的范围界定报告</w:t>
      </w:r>
      <w:r w:rsidR="0061017D" w:rsidRPr="00487663">
        <w:rPr>
          <w:rFonts w:hint="eastAsia"/>
          <w:sz w:val="24"/>
          <w:lang w:val="zh-CN" w:eastAsia="zh-CN"/>
        </w:rPr>
        <w:t>。</w:t>
      </w:r>
      <w:r w:rsidR="0061017D" w:rsidRPr="00487663">
        <w:rPr>
          <w:sz w:val="24"/>
          <w:szCs w:val="24"/>
          <w:lang w:val="zh-CN" w:eastAsia="zh-CN"/>
        </w:rPr>
        <w:t>范围界定报告</w:t>
      </w:r>
      <w:r w:rsidR="0061017D" w:rsidRPr="00487663">
        <w:rPr>
          <w:rFonts w:hint="eastAsia"/>
          <w:sz w:val="24"/>
          <w:szCs w:val="24"/>
          <w:lang w:val="zh-CN" w:eastAsia="zh-CN"/>
        </w:rPr>
        <w:t>中</w:t>
      </w:r>
      <w:r w:rsidR="0061017D" w:rsidRPr="00487663">
        <w:rPr>
          <w:sz w:val="24"/>
          <w:szCs w:val="24"/>
          <w:lang w:val="zh-CN" w:eastAsia="zh-CN"/>
        </w:rPr>
        <w:t>关于</w:t>
      </w:r>
      <w:r w:rsidR="0061017D" w:rsidRPr="00487663">
        <w:rPr>
          <w:rFonts w:hint="eastAsia"/>
          <w:sz w:val="24"/>
          <w:szCs w:val="24"/>
          <w:lang w:val="zh-CN" w:eastAsia="zh-CN"/>
        </w:rPr>
        <w:t>进程与</w:t>
      </w:r>
      <w:r w:rsidR="0061017D" w:rsidRPr="00487663">
        <w:rPr>
          <w:sz w:val="24"/>
          <w:szCs w:val="24"/>
          <w:lang w:val="zh-CN" w:eastAsia="zh-CN"/>
        </w:rPr>
        <w:t>时间表</w:t>
      </w:r>
      <w:r w:rsidR="0061017D" w:rsidRPr="00487663">
        <w:rPr>
          <w:rFonts w:hint="eastAsia"/>
          <w:sz w:val="24"/>
          <w:szCs w:val="24"/>
          <w:lang w:val="zh-CN" w:eastAsia="zh-CN"/>
        </w:rPr>
        <w:t>的</w:t>
      </w:r>
      <w:r w:rsidR="0061017D" w:rsidRPr="00487663">
        <w:rPr>
          <w:sz w:val="24"/>
          <w:szCs w:val="24"/>
          <w:lang w:val="zh-CN" w:eastAsia="zh-CN"/>
        </w:rPr>
        <w:t>第</w:t>
      </w:r>
      <w:r w:rsidR="00B8086E" w:rsidRPr="00487663">
        <w:rPr>
          <w:rFonts w:hint="eastAsia"/>
          <w:sz w:val="24"/>
          <w:szCs w:val="24"/>
          <w:lang w:val="zh-CN" w:eastAsia="zh-CN"/>
        </w:rPr>
        <w:t>五</w:t>
      </w:r>
      <w:r w:rsidR="0061017D" w:rsidRPr="00487663">
        <w:rPr>
          <w:sz w:val="24"/>
          <w:szCs w:val="24"/>
          <w:lang w:val="zh-CN" w:eastAsia="zh-CN"/>
        </w:rPr>
        <w:t>节</w:t>
      </w:r>
      <w:r w:rsidR="0061017D" w:rsidRPr="00487663">
        <w:rPr>
          <w:rFonts w:hint="eastAsia"/>
          <w:sz w:val="24"/>
          <w:szCs w:val="24"/>
          <w:lang w:val="zh-CN" w:eastAsia="zh-CN"/>
        </w:rPr>
        <w:t>以及</w:t>
      </w:r>
      <w:r w:rsidR="0061017D" w:rsidRPr="00487663">
        <w:rPr>
          <w:sz w:val="24"/>
          <w:szCs w:val="24"/>
          <w:lang w:val="zh-CN" w:eastAsia="zh-CN"/>
        </w:rPr>
        <w:t>关于</w:t>
      </w:r>
      <w:r w:rsidR="0061017D" w:rsidRPr="00487663">
        <w:rPr>
          <w:rFonts w:hint="eastAsia"/>
          <w:sz w:val="24"/>
          <w:szCs w:val="24"/>
          <w:lang w:val="zh-CN" w:eastAsia="zh-CN"/>
        </w:rPr>
        <w:t>成本估算</w:t>
      </w:r>
      <w:r w:rsidR="0061017D" w:rsidRPr="00487663">
        <w:rPr>
          <w:sz w:val="24"/>
          <w:szCs w:val="24"/>
          <w:lang w:val="zh-CN" w:eastAsia="zh-CN"/>
        </w:rPr>
        <w:t>的</w:t>
      </w:r>
      <w:r w:rsidR="0061017D" w:rsidRPr="00487663">
        <w:rPr>
          <w:rFonts w:hint="eastAsia"/>
          <w:sz w:val="24"/>
          <w:szCs w:val="24"/>
          <w:lang w:val="zh-CN" w:eastAsia="zh-CN"/>
        </w:rPr>
        <w:t>第</w:t>
      </w:r>
      <w:r w:rsidR="00B8086E" w:rsidRPr="00487663">
        <w:rPr>
          <w:rFonts w:hint="eastAsia"/>
          <w:sz w:val="24"/>
          <w:szCs w:val="24"/>
          <w:lang w:val="zh-CN" w:eastAsia="zh-CN"/>
        </w:rPr>
        <w:t>六</w:t>
      </w:r>
      <w:r w:rsidR="0061017D" w:rsidRPr="00487663">
        <w:rPr>
          <w:sz w:val="24"/>
          <w:szCs w:val="24"/>
          <w:lang w:val="zh-CN" w:eastAsia="zh-CN"/>
        </w:rPr>
        <w:t>节已</w:t>
      </w:r>
      <w:r w:rsidR="0061017D" w:rsidRPr="00487663">
        <w:rPr>
          <w:rFonts w:hint="eastAsia"/>
          <w:sz w:val="24"/>
          <w:szCs w:val="24"/>
          <w:lang w:val="zh-CN" w:eastAsia="zh-CN"/>
        </w:rPr>
        <w:t>作</w:t>
      </w:r>
      <w:r w:rsidR="0061017D" w:rsidRPr="00487663">
        <w:rPr>
          <w:sz w:val="24"/>
          <w:szCs w:val="24"/>
          <w:lang w:val="zh-CN" w:eastAsia="zh-CN"/>
        </w:rPr>
        <w:t>修订，从而将</w:t>
      </w:r>
      <w:r w:rsidR="0061017D" w:rsidRPr="00487663">
        <w:rPr>
          <w:rFonts w:hint="eastAsia"/>
          <w:sz w:val="24"/>
          <w:szCs w:val="24"/>
          <w:lang w:val="zh-CN" w:eastAsia="zh-CN"/>
        </w:rPr>
        <w:t>秘书处关于</w:t>
      </w:r>
      <w:r w:rsidR="0061017D" w:rsidRPr="00487663">
        <w:rPr>
          <w:sz w:val="24"/>
          <w:szCs w:val="24"/>
          <w:lang w:val="zh-CN" w:eastAsia="zh-CN"/>
        </w:rPr>
        <w:t>待开展评估相关考虑</w:t>
      </w:r>
      <w:r w:rsidR="0061017D" w:rsidRPr="00487663">
        <w:rPr>
          <w:rFonts w:hint="eastAsia"/>
          <w:sz w:val="24"/>
          <w:szCs w:val="24"/>
          <w:lang w:val="zh-CN" w:eastAsia="zh-CN"/>
        </w:rPr>
        <w:t>因素（包括</w:t>
      </w:r>
      <w:r w:rsidR="0061017D" w:rsidRPr="00487663">
        <w:rPr>
          <w:sz w:val="24"/>
          <w:szCs w:val="24"/>
          <w:lang w:val="zh-CN" w:eastAsia="zh-CN"/>
        </w:rPr>
        <w:t>建议的</w:t>
      </w:r>
      <w:r w:rsidR="0061017D" w:rsidRPr="00487663">
        <w:rPr>
          <w:rFonts w:hint="eastAsia"/>
          <w:sz w:val="24"/>
          <w:szCs w:val="24"/>
          <w:lang w:val="zh-CN" w:eastAsia="zh-CN"/>
        </w:rPr>
        <w:t>修订</w:t>
      </w:r>
      <w:r w:rsidR="0061017D" w:rsidRPr="00487663">
        <w:rPr>
          <w:sz w:val="24"/>
          <w:szCs w:val="24"/>
          <w:lang w:val="zh-CN" w:eastAsia="zh-CN"/>
        </w:rPr>
        <w:t>进程、时间</w:t>
      </w:r>
      <w:r w:rsidR="0061017D" w:rsidRPr="00487663">
        <w:rPr>
          <w:rFonts w:hint="eastAsia"/>
          <w:sz w:val="24"/>
          <w:szCs w:val="24"/>
          <w:lang w:val="zh-CN" w:eastAsia="zh-CN"/>
        </w:rPr>
        <w:t>表</w:t>
      </w:r>
      <w:r w:rsidR="0061017D" w:rsidRPr="00487663">
        <w:rPr>
          <w:sz w:val="24"/>
          <w:szCs w:val="24"/>
          <w:lang w:val="zh-CN" w:eastAsia="zh-CN"/>
        </w:rPr>
        <w:t>和预算</w:t>
      </w:r>
      <w:r w:rsidR="0061017D" w:rsidRPr="00487663">
        <w:rPr>
          <w:rFonts w:hint="eastAsia"/>
          <w:sz w:val="24"/>
          <w:szCs w:val="24"/>
          <w:lang w:val="zh-CN" w:eastAsia="zh-CN"/>
        </w:rPr>
        <w:t>）的说明</w:t>
      </w:r>
      <w:r w:rsidR="0061017D" w:rsidRPr="00487663">
        <w:rPr>
          <w:sz w:val="24"/>
          <w:szCs w:val="24"/>
          <w:lang w:val="zh-CN" w:eastAsia="zh-CN"/>
        </w:rPr>
        <w:t>（</w:t>
      </w:r>
      <w:r w:rsidR="0061017D" w:rsidRPr="00487663">
        <w:rPr>
          <w:sz w:val="24"/>
          <w:szCs w:val="24"/>
          <w:lang w:val="zh-CN" w:eastAsia="zh-CN"/>
        </w:rPr>
        <w:t>IPBES/6/8</w:t>
      </w:r>
      <w:r w:rsidR="0061017D" w:rsidRPr="00487663">
        <w:rPr>
          <w:sz w:val="24"/>
          <w:szCs w:val="24"/>
          <w:lang w:val="zh-CN" w:eastAsia="zh-CN"/>
        </w:rPr>
        <w:t>）</w:t>
      </w:r>
      <w:r w:rsidR="0061017D" w:rsidRPr="00487663">
        <w:rPr>
          <w:rFonts w:hint="eastAsia"/>
          <w:sz w:val="24"/>
          <w:szCs w:val="24"/>
          <w:lang w:val="zh-CN" w:eastAsia="zh-CN"/>
        </w:rPr>
        <w:t>所载</w:t>
      </w:r>
      <w:r w:rsidR="0061017D" w:rsidRPr="00487663">
        <w:rPr>
          <w:sz w:val="24"/>
          <w:szCs w:val="24"/>
          <w:lang w:val="zh-CN" w:eastAsia="zh-CN"/>
        </w:rPr>
        <w:t>资料纳入考虑。</w:t>
      </w:r>
    </w:p>
    <w:p w14:paraId="37B89F71" w14:textId="3B248A9A" w:rsidR="00F05E31" w:rsidRPr="00487663" w:rsidRDefault="00F05E31" w:rsidP="00D52924">
      <w:pPr>
        <w:pStyle w:val="Normal-pool"/>
        <w:rPr>
          <w:b/>
          <w:lang w:eastAsia="zh-CN"/>
        </w:rPr>
      </w:pPr>
    </w:p>
    <w:p w14:paraId="03E60D2A" w14:textId="77777777" w:rsidR="00E922B6" w:rsidRPr="00487663" w:rsidRDefault="00E922B6" w:rsidP="00487663">
      <w:pPr>
        <w:pStyle w:val="Normal-pool"/>
        <w:rPr>
          <w:b/>
          <w:lang w:eastAsia="zh-CN"/>
        </w:rPr>
        <w:sectPr w:rsidR="00E922B6" w:rsidRPr="00487663" w:rsidSect="00C11F7E">
          <w:headerReference w:type="even" r:id="rId14"/>
          <w:headerReference w:type="default" r:id="rId15"/>
          <w:footerReference w:type="even" r:id="rId16"/>
          <w:headerReference w:type="first" r:id="rId17"/>
          <w:footerReference w:type="first" r:id="rId18"/>
          <w:type w:val="continuous"/>
          <w:pgSz w:w="11906" w:h="16838" w:code="9"/>
          <w:pgMar w:top="907" w:right="992" w:bottom="1418" w:left="1418" w:header="539" w:footer="975" w:gutter="0"/>
          <w:cols w:space="539"/>
          <w:titlePg/>
          <w:docGrid w:linePitch="360"/>
        </w:sectPr>
      </w:pPr>
    </w:p>
    <w:p w14:paraId="6E8C4BE7" w14:textId="1B283549" w:rsidR="00BF237D" w:rsidRPr="00487663" w:rsidRDefault="009D1B0F" w:rsidP="00487663">
      <w:pPr>
        <w:pStyle w:val="ZZAnxheader"/>
        <w:rPr>
          <w:rFonts w:ascii="SimHei" w:eastAsia="SimHei" w:hAnsi="SimHei"/>
          <w:sz w:val="32"/>
          <w:szCs w:val="32"/>
          <w:lang w:eastAsia="zh-CN"/>
        </w:rPr>
      </w:pPr>
      <w:r w:rsidRPr="00487663">
        <w:rPr>
          <w:rFonts w:ascii="SimHei" w:eastAsia="SimHei" w:hAnsi="SimHei" w:hint="eastAsia"/>
          <w:sz w:val="32"/>
          <w:szCs w:val="32"/>
          <w:lang w:eastAsia="zh-CN"/>
        </w:rPr>
        <w:lastRenderedPageBreak/>
        <w:t>附件</w:t>
      </w:r>
    </w:p>
    <w:p w14:paraId="7834DED7" w14:textId="77777777" w:rsidR="009D1B0F" w:rsidRPr="00487663" w:rsidRDefault="009D1B0F" w:rsidP="00487663">
      <w:pPr>
        <w:pStyle w:val="BBTitle"/>
        <w:tabs>
          <w:tab w:val="clear" w:pos="1247"/>
          <w:tab w:val="clear" w:pos="1814"/>
          <w:tab w:val="clear" w:pos="2381"/>
          <w:tab w:val="clear" w:pos="2948"/>
          <w:tab w:val="clear" w:pos="3515"/>
          <w:tab w:val="clear" w:pos="4082"/>
        </w:tabs>
        <w:ind w:right="-2"/>
        <w:rPr>
          <w:rFonts w:eastAsia="MS Mincho"/>
          <w:sz w:val="32"/>
          <w:szCs w:val="32"/>
          <w:lang w:eastAsia="zh-CN"/>
        </w:rPr>
      </w:pPr>
      <w:r w:rsidRPr="00487663">
        <w:rPr>
          <w:rFonts w:eastAsia="SimHei" w:hint="eastAsia"/>
          <w:sz w:val="32"/>
          <w:szCs w:val="32"/>
          <w:lang w:eastAsia="zh-CN"/>
        </w:rPr>
        <w:t>自然及其惠益（包括生物多样性和生态系统服务）所具多重价值之多元概念化方法评估的范围界定（交付品</w:t>
      </w:r>
      <w:r w:rsidRPr="00487663">
        <w:rPr>
          <w:rFonts w:eastAsia="SimHei"/>
          <w:sz w:val="32"/>
          <w:szCs w:val="32"/>
          <w:lang w:eastAsia="zh-CN"/>
        </w:rPr>
        <w:t>3 (d)</w:t>
      </w:r>
      <w:r w:rsidRPr="00487663">
        <w:rPr>
          <w:rFonts w:eastAsia="SimHei" w:hint="eastAsia"/>
          <w:sz w:val="32"/>
          <w:szCs w:val="32"/>
          <w:lang w:eastAsia="zh-CN"/>
        </w:rPr>
        <w:t>）</w:t>
      </w:r>
    </w:p>
    <w:p w14:paraId="1F55DCA9" w14:textId="77777777" w:rsidR="009D1B0F" w:rsidRPr="00487663" w:rsidRDefault="009D1B0F" w:rsidP="00D52924">
      <w:pPr>
        <w:pStyle w:val="CH1"/>
        <w:keepLines w:val="0"/>
        <w:jc w:val="both"/>
        <w:rPr>
          <w:rFonts w:eastAsia="SimHei"/>
          <w:b w:val="0"/>
          <w:sz w:val="24"/>
          <w:szCs w:val="24"/>
          <w:lang w:eastAsia="zh-CN"/>
        </w:rPr>
      </w:pPr>
      <w:r w:rsidRPr="00D52924">
        <w:rPr>
          <w:rFonts w:eastAsia="SimHei"/>
          <w:lang w:eastAsia="zh-CN"/>
        </w:rPr>
        <w:tab/>
      </w:r>
      <w:r w:rsidRPr="00D52924">
        <w:rPr>
          <w:rFonts w:eastAsia="SimHei" w:hint="eastAsia"/>
          <w:lang w:eastAsia="zh-CN"/>
        </w:rPr>
        <w:t>一、</w:t>
      </w:r>
      <w:r w:rsidRPr="00487663">
        <w:rPr>
          <w:rFonts w:eastAsia="SimHei"/>
          <w:lang w:eastAsia="zh-CN"/>
        </w:rPr>
        <w:tab/>
      </w:r>
      <w:r w:rsidRPr="00487663">
        <w:rPr>
          <w:rFonts w:eastAsia="SimHei" w:hint="eastAsia"/>
          <w:lang w:eastAsia="zh-CN"/>
        </w:rPr>
        <w:t>范围、原理、功用和假设</w:t>
      </w:r>
    </w:p>
    <w:p w14:paraId="3BFF114B" w14:textId="77777777" w:rsidR="009D1B0F" w:rsidRPr="00487663" w:rsidRDefault="009D1B0F" w:rsidP="00D52924">
      <w:pPr>
        <w:pStyle w:val="CH2"/>
        <w:keepLines w:val="0"/>
        <w:tabs>
          <w:tab w:val="clear" w:pos="851"/>
          <w:tab w:val="right" w:pos="720"/>
        </w:tabs>
        <w:jc w:val="both"/>
        <w:rPr>
          <w:rFonts w:eastAsia="MS Mincho"/>
          <w:lang w:eastAsia="zh-CN"/>
        </w:rPr>
      </w:pPr>
      <w:r w:rsidRPr="00487663">
        <w:rPr>
          <w:rFonts w:eastAsia="MS Mincho"/>
          <w:lang w:eastAsia="zh-CN"/>
        </w:rPr>
        <w:tab/>
        <w:t>A.</w:t>
      </w:r>
      <w:r w:rsidRPr="00487663">
        <w:rPr>
          <w:rFonts w:eastAsia="MS Mincho"/>
          <w:lang w:eastAsia="zh-CN"/>
        </w:rPr>
        <w:tab/>
      </w:r>
      <w:r w:rsidRPr="00487663">
        <w:rPr>
          <w:rFonts w:eastAsia="SimHei" w:hint="eastAsia"/>
          <w:lang w:eastAsia="zh-CN"/>
        </w:rPr>
        <w:t>范围</w:t>
      </w:r>
    </w:p>
    <w:p w14:paraId="4347322D" w14:textId="2215691F" w:rsidR="009D1B0F" w:rsidRPr="00D52924" w:rsidRDefault="009D1B0F" w:rsidP="00D52924">
      <w:pPr>
        <w:pStyle w:val="Normalnumber"/>
        <w:numPr>
          <w:ilvl w:val="0"/>
          <w:numId w:val="63"/>
        </w:numPr>
        <w:tabs>
          <w:tab w:val="clear" w:pos="624"/>
          <w:tab w:val="left" w:pos="1247"/>
          <w:tab w:val="left" w:pos="1814"/>
          <w:tab w:val="left" w:pos="2381"/>
          <w:tab w:val="left" w:pos="2948"/>
          <w:tab w:val="left" w:pos="3515"/>
          <w:tab w:val="left" w:pos="4082"/>
        </w:tabs>
        <w:jc w:val="both"/>
        <w:rPr>
          <w:rFonts w:eastAsia="MS Mincho"/>
          <w:sz w:val="24"/>
          <w:szCs w:val="24"/>
          <w:lang w:eastAsia="zh-CN"/>
        </w:rPr>
      </w:pPr>
      <w:r w:rsidRPr="00487663">
        <w:rPr>
          <w:rFonts w:hint="eastAsia"/>
          <w:sz w:val="24"/>
          <w:szCs w:val="24"/>
          <w:lang w:eastAsia="zh-CN"/>
        </w:rPr>
        <w:t>拟议方法评估的目标是评估：</w:t>
      </w:r>
      <w:r w:rsidRPr="00487663">
        <w:rPr>
          <w:rFonts w:eastAsia="MS Mincho"/>
          <w:sz w:val="24"/>
          <w:szCs w:val="24"/>
          <w:lang w:eastAsia="zh-CN"/>
        </w:rPr>
        <w:t>(a)</w:t>
      </w:r>
      <w:r w:rsidRPr="00487663">
        <w:rPr>
          <w:sz w:val="24"/>
          <w:szCs w:val="24"/>
          <w:lang w:eastAsia="zh-CN"/>
        </w:rPr>
        <w:t xml:space="preserve"> </w:t>
      </w:r>
      <w:r w:rsidRPr="00487663">
        <w:rPr>
          <w:rFonts w:hint="eastAsia"/>
          <w:sz w:val="24"/>
          <w:szCs w:val="24"/>
          <w:lang w:eastAsia="zh-CN"/>
        </w:rPr>
        <w:t>根据平台的概念框架，对自然及其惠益，包括生物多样性和生态系统服务（供给、调节和文化方面）所具价值的多元构想；</w:t>
      </w:r>
      <w:r w:rsidR="0086162E" w:rsidRPr="00487663">
        <w:rPr>
          <w:rStyle w:val="FootnoteReference"/>
          <w:spacing w:val="0"/>
          <w:w w:val="100"/>
          <w:position w:val="0"/>
          <w:sz w:val="24"/>
          <w:szCs w:val="24"/>
          <w:lang w:eastAsia="zh-CN"/>
        </w:rPr>
        <w:footnoteReference w:customMarkFollows="1" w:id="2"/>
        <w:t>1</w:t>
      </w:r>
      <w:r w:rsidRPr="00D52924">
        <w:rPr>
          <w:rFonts w:eastAsia="MS Mincho"/>
          <w:sz w:val="24"/>
          <w:szCs w:val="24"/>
          <w:lang w:eastAsia="zh-CN"/>
        </w:rPr>
        <w:t xml:space="preserve"> (b) </w:t>
      </w:r>
      <w:r w:rsidRPr="00D52924">
        <w:rPr>
          <w:rFonts w:hint="eastAsia"/>
          <w:sz w:val="24"/>
          <w:szCs w:val="24"/>
          <w:lang w:eastAsia="zh-CN"/>
        </w:rPr>
        <w:t>不同的评估方法和方式；</w:t>
      </w:r>
      <w:r w:rsidRPr="00D52924">
        <w:rPr>
          <w:rFonts w:eastAsia="MS Mincho"/>
          <w:sz w:val="24"/>
          <w:szCs w:val="24"/>
          <w:lang w:eastAsia="zh-CN"/>
        </w:rPr>
        <w:t xml:space="preserve">(c) </w:t>
      </w:r>
      <w:r w:rsidRPr="00D52924">
        <w:rPr>
          <w:rFonts w:hint="eastAsia"/>
          <w:sz w:val="24"/>
          <w:szCs w:val="24"/>
          <w:lang w:eastAsia="zh-CN"/>
        </w:rPr>
        <w:t>认可、衔接和整合不同价值和价值评估方法以提供政策和决策支持的不同办法；</w:t>
      </w:r>
      <w:r w:rsidRPr="00D52924">
        <w:rPr>
          <w:rFonts w:eastAsia="MS Mincho"/>
          <w:sz w:val="24"/>
          <w:szCs w:val="24"/>
          <w:lang w:eastAsia="zh-CN"/>
        </w:rPr>
        <w:t>(d)</w:t>
      </w:r>
      <w:r w:rsidRPr="00D52924">
        <w:rPr>
          <w:rFonts w:hint="eastAsia"/>
          <w:sz w:val="24"/>
          <w:szCs w:val="24"/>
          <w:lang w:eastAsia="zh-CN"/>
        </w:rPr>
        <w:t>知识和数据缺口及不确定</w:t>
      </w:r>
      <w:r w:rsidRPr="00D52924">
        <w:rPr>
          <w:rFonts w:hint="eastAsia"/>
          <w:sz w:val="24"/>
          <w:szCs w:val="24"/>
          <w:lang w:val="en-US" w:eastAsia="zh-CN"/>
        </w:rPr>
        <w:t>问题。</w:t>
      </w:r>
      <w:r w:rsidR="0086162E" w:rsidRPr="00487663">
        <w:rPr>
          <w:rStyle w:val="FootnoteReference"/>
          <w:spacing w:val="0"/>
          <w:w w:val="100"/>
          <w:position w:val="0"/>
          <w:sz w:val="24"/>
          <w:szCs w:val="24"/>
          <w:lang w:eastAsia="zh-CN"/>
        </w:rPr>
        <w:footnoteReference w:customMarkFollows="1" w:id="3"/>
        <w:t>2</w:t>
      </w:r>
      <w:r w:rsidRPr="00D52924">
        <w:rPr>
          <w:rFonts w:eastAsia="MS Mincho"/>
          <w:sz w:val="24"/>
          <w:szCs w:val="24"/>
          <w:lang w:eastAsia="zh-CN"/>
        </w:rPr>
        <w:t xml:space="preserve"> </w:t>
      </w:r>
    </w:p>
    <w:p w14:paraId="1D5CD093" w14:textId="77777777" w:rsidR="009D1B0F" w:rsidRPr="00D52924" w:rsidRDefault="009D1B0F" w:rsidP="00D52924">
      <w:pPr>
        <w:pStyle w:val="CH2"/>
        <w:tabs>
          <w:tab w:val="clear" w:pos="851"/>
          <w:tab w:val="right" w:pos="720"/>
        </w:tabs>
        <w:jc w:val="both"/>
        <w:rPr>
          <w:rFonts w:eastAsia="MS Mincho"/>
          <w:lang w:eastAsia="en-US"/>
        </w:rPr>
      </w:pPr>
      <w:r w:rsidRPr="00D52924">
        <w:rPr>
          <w:rFonts w:eastAsia="MS Mincho"/>
          <w:lang w:eastAsia="zh-CN"/>
        </w:rPr>
        <w:tab/>
      </w:r>
      <w:r w:rsidRPr="00D52924">
        <w:rPr>
          <w:rFonts w:eastAsia="MS Mincho"/>
        </w:rPr>
        <w:t>B.</w:t>
      </w:r>
      <w:r w:rsidRPr="00D52924">
        <w:rPr>
          <w:rFonts w:eastAsia="MS Mincho"/>
        </w:rPr>
        <w:tab/>
      </w:r>
      <w:r w:rsidRPr="00D52924">
        <w:rPr>
          <w:rFonts w:eastAsia="SimHei" w:hint="eastAsia"/>
          <w:lang w:eastAsia="zh-CN"/>
        </w:rPr>
        <w:t>评估的地理界限</w:t>
      </w:r>
    </w:p>
    <w:p w14:paraId="0CBA6448" w14:textId="77777777" w:rsidR="009D1B0F" w:rsidRPr="00487663" w:rsidRDefault="009D1B0F" w:rsidP="00487663">
      <w:pPr>
        <w:pStyle w:val="Normalnumber"/>
        <w:keepNext/>
        <w:keepLines/>
        <w:numPr>
          <w:ilvl w:val="0"/>
          <w:numId w:val="62"/>
        </w:numPr>
        <w:tabs>
          <w:tab w:val="clear" w:pos="624"/>
          <w:tab w:val="left" w:pos="1247"/>
          <w:tab w:val="left" w:pos="1814"/>
          <w:tab w:val="left" w:pos="2381"/>
          <w:tab w:val="left" w:pos="2948"/>
          <w:tab w:val="left" w:pos="3515"/>
          <w:tab w:val="left" w:pos="4082"/>
        </w:tabs>
        <w:jc w:val="both"/>
        <w:rPr>
          <w:rFonts w:eastAsia="MS Mincho"/>
          <w:lang w:eastAsia="zh-CN"/>
        </w:rPr>
      </w:pPr>
      <w:r w:rsidRPr="00487663">
        <w:rPr>
          <w:rFonts w:hint="eastAsia"/>
          <w:sz w:val="24"/>
          <w:szCs w:val="24"/>
          <w:lang w:eastAsia="zh-CN"/>
        </w:rPr>
        <w:t>本评估促进将价值评估纳入从地方到全球任何地理范围的决策。</w:t>
      </w:r>
    </w:p>
    <w:p w14:paraId="65A5DF91" w14:textId="77777777" w:rsidR="009D1B0F" w:rsidRPr="00487663" w:rsidRDefault="009D1B0F" w:rsidP="00487663">
      <w:pPr>
        <w:pStyle w:val="CH2"/>
        <w:keepNext w:val="0"/>
        <w:keepLines w:val="0"/>
        <w:tabs>
          <w:tab w:val="clear" w:pos="851"/>
          <w:tab w:val="right" w:pos="720"/>
        </w:tabs>
        <w:ind w:left="1248"/>
        <w:jc w:val="both"/>
        <w:rPr>
          <w:rFonts w:eastAsia="MS Mincho"/>
          <w:lang w:eastAsia="en-US"/>
        </w:rPr>
      </w:pPr>
      <w:r w:rsidRPr="00487663">
        <w:rPr>
          <w:rFonts w:eastAsia="MS Mincho"/>
          <w:lang w:eastAsia="zh-CN"/>
        </w:rPr>
        <w:tab/>
      </w:r>
      <w:r w:rsidRPr="00487663">
        <w:rPr>
          <w:rFonts w:eastAsia="MS Mincho"/>
        </w:rPr>
        <w:t>C.</w:t>
      </w:r>
      <w:r w:rsidRPr="00487663">
        <w:rPr>
          <w:rFonts w:eastAsia="MS Mincho"/>
        </w:rPr>
        <w:tab/>
      </w:r>
      <w:r w:rsidRPr="00487663">
        <w:rPr>
          <w:rFonts w:eastAsia="SimHei" w:hint="eastAsia"/>
          <w:lang w:eastAsia="zh-CN"/>
        </w:rPr>
        <w:t>原理</w:t>
      </w:r>
    </w:p>
    <w:p w14:paraId="277EAD78" w14:textId="3F44E8DF" w:rsidR="009D1B0F" w:rsidRPr="00487663" w:rsidRDefault="009D1B0F" w:rsidP="00487663">
      <w:pPr>
        <w:pStyle w:val="Normalnumber"/>
        <w:numPr>
          <w:ilvl w:val="0"/>
          <w:numId w:val="62"/>
        </w:numPr>
        <w:tabs>
          <w:tab w:val="clear" w:pos="624"/>
          <w:tab w:val="left" w:pos="1247"/>
          <w:tab w:val="left" w:pos="1814"/>
          <w:tab w:val="left" w:pos="2381"/>
          <w:tab w:val="left" w:pos="2948"/>
          <w:tab w:val="left" w:pos="3515"/>
          <w:tab w:val="left" w:pos="4082"/>
        </w:tabs>
        <w:jc w:val="both"/>
        <w:rPr>
          <w:rFonts w:eastAsia="MS Mincho"/>
          <w:lang w:eastAsia="zh-CN"/>
        </w:rPr>
      </w:pPr>
      <w:r w:rsidRPr="00487663">
        <w:rPr>
          <w:rFonts w:hint="eastAsia"/>
          <w:sz w:val="24"/>
          <w:szCs w:val="24"/>
          <w:lang w:eastAsia="zh-CN"/>
        </w:rPr>
        <w:t>目前，治理、机构和政策的设计很少考虑到自然及其对人类惠益所具多重价值的多元概念化。</w:t>
      </w:r>
      <w:r w:rsidR="0086162E" w:rsidRPr="00487663">
        <w:rPr>
          <w:rStyle w:val="FootnoteReference"/>
          <w:spacing w:val="0"/>
          <w:w w:val="100"/>
          <w:position w:val="0"/>
          <w:sz w:val="24"/>
          <w:szCs w:val="24"/>
          <w:lang w:eastAsia="zh-CN"/>
        </w:rPr>
        <w:footnoteReference w:customMarkFollows="1" w:id="4"/>
        <w:t>3</w:t>
      </w:r>
      <w:r w:rsidRPr="00D52924">
        <w:rPr>
          <w:rFonts w:eastAsia="MS Mincho"/>
          <w:sz w:val="24"/>
          <w:szCs w:val="24"/>
          <w:lang w:eastAsia="zh-CN"/>
        </w:rPr>
        <w:t xml:space="preserve"> </w:t>
      </w:r>
      <w:r w:rsidRPr="00D52924">
        <w:rPr>
          <w:rFonts w:hint="eastAsia"/>
          <w:sz w:val="24"/>
          <w:szCs w:val="24"/>
          <w:lang w:eastAsia="zh-CN"/>
        </w:rPr>
        <w:t>将这些多重价值的多样性和复杂性纳入考虑的优势包括：</w:t>
      </w:r>
      <w:r w:rsidRPr="00D52924">
        <w:rPr>
          <w:rFonts w:eastAsia="MS Mincho"/>
          <w:sz w:val="24"/>
          <w:szCs w:val="24"/>
          <w:lang w:eastAsia="zh-CN"/>
        </w:rPr>
        <w:t xml:space="preserve">(a) </w:t>
      </w:r>
      <w:r w:rsidRPr="00D52924">
        <w:rPr>
          <w:rFonts w:hint="eastAsia"/>
          <w:sz w:val="24"/>
          <w:szCs w:val="24"/>
          <w:lang w:eastAsia="zh-CN"/>
        </w:rPr>
        <w:t>体现价值的不同类型和自然惠益的广泛性；</w:t>
      </w:r>
      <w:r w:rsidRPr="00D52924">
        <w:rPr>
          <w:rFonts w:eastAsia="MS Mincho"/>
          <w:sz w:val="24"/>
          <w:szCs w:val="24"/>
          <w:lang w:eastAsia="zh-CN"/>
        </w:rPr>
        <w:t xml:space="preserve">(b) </w:t>
      </w:r>
      <w:r w:rsidRPr="00D52924">
        <w:rPr>
          <w:rFonts w:hint="eastAsia"/>
          <w:sz w:val="24"/>
          <w:szCs w:val="24"/>
          <w:lang w:eastAsia="zh-CN"/>
        </w:rPr>
        <w:t>选择和设计适当的价值评估方法和方式；</w:t>
      </w:r>
      <w:r w:rsidRPr="00D52924">
        <w:rPr>
          <w:rFonts w:eastAsia="MS Mincho"/>
          <w:sz w:val="24"/>
          <w:szCs w:val="24"/>
          <w:lang w:eastAsia="zh-CN"/>
        </w:rPr>
        <w:t xml:space="preserve">(c) </w:t>
      </w:r>
      <w:r w:rsidRPr="00D52924">
        <w:rPr>
          <w:rFonts w:hint="eastAsia"/>
          <w:sz w:val="24"/>
          <w:szCs w:val="24"/>
          <w:lang w:eastAsia="zh-CN"/>
        </w:rPr>
        <w:t>找出并解决由于对价值和价值评估的看法不同而可能导致的内在冲突；</w:t>
      </w:r>
      <w:r w:rsidRPr="00D52924">
        <w:rPr>
          <w:rFonts w:eastAsia="MS Mincho"/>
          <w:sz w:val="24"/>
          <w:szCs w:val="24"/>
          <w:lang w:eastAsia="zh-CN"/>
        </w:rPr>
        <w:t xml:space="preserve">(d) </w:t>
      </w:r>
      <w:r w:rsidRPr="00D52924">
        <w:rPr>
          <w:rFonts w:hint="eastAsia"/>
          <w:sz w:val="24"/>
          <w:szCs w:val="24"/>
          <w:lang w:eastAsia="zh-CN"/>
        </w:rPr>
        <w:t>赋予那些在价值讨论中通常无法表达意见或被忽略的个人和群体更多权利；</w:t>
      </w:r>
      <w:r w:rsidRPr="008B45CE">
        <w:rPr>
          <w:sz w:val="24"/>
          <w:szCs w:val="24"/>
          <w:lang w:eastAsia="zh-CN"/>
        </w:rPr>
        <w:t xml:space="preserve">(e) </w:t>
      </w:r>
      <w:r w:rsidRPr="008B45CE">
        <w:rPr>
          <w:rFonts w:hint="eastAsia"/>
          <w:sz w:val="24"/>
          <w:szCs w:val="24"/>
          <w:lang w:eastAsia="zh-CN"/>
        </w:rPr>
        <w:t>对为有助于从现有多重价值构建价值观的机制提供一种广义平衡的观点，使价值评估不再限于常规的经济考量方法。价值评估若以一种对背景和环境敏感的方式展开，则可成为各类决策者——包括政府、民间社会组织、土著人口和地方社区、陆地和海洋生态系统的管理者以及私营部门——作出知情决策的重要资源。</w:t>
      </w:r>
    </w:p>
    <w:p w14:paraId="41D1AEBC" w14:textId="77777777" w:rsidR="009D1B0F" w:rsidRPr="00487663" w:rsidRDefault="009D1B0F" w:rsidP="00487663">
      <w:pPr>
        <w:pStyle w:val="Normalnumber"/>
        <w:numPr>
          <w:ilvl w:val="0"/>
          <w:numId w:val="62"/>
        </w:numPr>
        <w:tabs>
          <w:tab w:val="clear" w:pos="624"/>
          <w:tab w:val="left" w:pos="1247"/>
          <w:tab w:val="left" w:pos="1814"/>
          <w:tab w:val="left" w:pos="2381"/>
          <w:tab w:val="left" w:pos="2948"/>
          <w:tab w:val="left" w:pos="3515"/>
          <w:tab w:val="left" w:pos="4082"/>
        </w:tabs>
        <w:jc w:val="both"/>
        <w:rPr>
          <w:rFonts w:eastAsia="MS Mincho"/>
          <w:lang w:eastAsia="zh-CN"/>
        </w:rPr>
      </w:pPr>
      <w:r w:rsidRPr="00487663">
        <w:rPr>
          <w:rFonts w:hint="eastAsia"/>
          <w:sz w:val="24"/>
          <w:szCs w:val="24"/>
          <w:lang w:eastAsia="zh-CN"/>
        </w:rPr>
        <w:t>因此，在自然（包括生物多样性和生态系统的结构和功能）及其惠益（包括生态系统服务）所具多重价值的多元概念化方面，对相关概念和方法的优点和缺点进行严格评估，将提供一个知识基础，为现有政策支持工具的使用和此类工具的进一步制定提供指导，也有助于对供评估信息的来源进行评估，同时考虑到不同的世界观、文化传统、国家政策框架和国情。该评估将考虑对各种价值和价值评估方法的信任度。</w:t>
      </w:r>
    </w:p>
    <w:p w14:paraId="2429297B" w14:textId="6B7BB85F" w:rsidR="009D1B0F" w:rsidRPr="00D52924" w:rsidRDefault="009D1B0F" w:rsidP="00487663">
      <w:pPr>
        <w:pStyle w:val="Normalnumber"/>
        <w:numPr>
          <w:ilvl w:val="0"/>
          <w:numId w:val="62"/>
        </w:numPr>
        <w:tabs>
          <w:tab w:val="clear" w:pos="624"/>
          <w:tab w:val="left" w:pos="1247"/>
          <w:tab w:val="left" w:pos="1814"/>
          <w:tab w:val="left" w:pos="2381"/>
          <w:tab w:val="left" w:pos="2948"/>
          <w:tab w:val="left" w:pos="3515"/>
          <w:tab w:val="left" w:pos="4082"/>
        </w:tabs>
        <w:jc w:val="both"/>
        <w:rPr>
          <w:rFonts w:eastAsia="MS Mincho"/>
          <w:lang w:eastAsia="zh-CN"/>
        </w:rPr>
      </w:pPr>
      <w:r w:rsidRPr="00487663">
        <w:rPr>
          <w:rFonts w:hint="eastAsia"/>
          <w:spacing w:val="6"/>
          <w:sz w:val="24"/>
          <w:szCs w:val="24"/>
          <w:lang w:eastAsia="zh-CN"/>
        </w:rPr>
        <w:t>本评估将基于自然及其惠益所具多重价值的方法评估初步指导意见修订版。</w:t>
      </w:r>
      <w:r w:rsidR="0086162E" w:rsidRPr="00487663">
        <w:rPr>
          <w:rStyle w:val="FootnoteReference"/>
          <w:spacing w:val="0"/>
          <w:w w:val="100"/>
          <w:position w:val="0"/>
          <w:sz w:val="24"/>
          <w:szCs w:val="24"/>
          <w:lang w:eastAsia="zh-CN"/>
        </w:rPr>
        <w:footnoteReference w:customMarkFollows="1" w:id="5"/>
        <w:t>4</w:t>
      </w:r>
      <w:r w:rsidRPr="00D52924">
        <w:rPr>
          <w:rFonts w:hint="eastAsia"/>
          <w:sz w:val="24"/>
          <w:szCs w:val="24"/>
          <w:lang w:eastAsia="zh-CN"/>
        </w:rPr>
        <w:t>初步指导意见未就以下事项进行严格评估：不同的价值评估方法和方式，如何酌情纳入和衔接多元价值，以及不同的世界观和价值观如何被纳入决策或导致了对政策支持工具和政策选项的评估。本评估还将借鉴在各项区域和主题评估期间所汲取的经验，并形成一份经修订的实用指南。</w:t>
      </w:r>
    </w:p>
    <w:p w14:paraId="5A291C96" w14:textId="77777777" w:rsidR="009D1B0F" w:rsidRPr="00D52924" w:rsidRDefault="009D1B0F" w:rsidP="00487663">
      <w:pPr>
        <w:pStyle w:val="Normalnumber"/>
        <w:numPr>
          <w:ilvl w:val="0"/>
          <w:numId w:val="62"/>
        </w:numPr>
        <w:tabs>
          <w:tab w:val="clear" w:pos="624"/>
          <w:tab w:val="left" w:pos="1247"/>
          <w:tab w:val="left" w:pos="1814"/>
          <w:tab w:val="left" w:pos="2381"/>
          <w:tab w:val="left" w:pos="2948"/>
          <w:tab w:val="left" w:pos="3515"/>
          <w:tab w:val="left" w:pos="4082"/>
        </w:tabs>
        <w:ind w:left="1248"/>
        <w:jc w:val="both"/>
        <w:rPr>
          <w:rFonts w:eastAsia="MS Mincho"/>
          <w:lang w:eastAsia="zh-CN"/>
        </w:rPr>
      </w:pPr>
      <w:r w:rsidRPr="00D52924">
        <w:rPr>
          <w:rFonts w:hint="eastAsia"/>
          <w:sz w:val="24"/>
          <w:szCs w:val="24"/>
          <w:lang w:eastAsia="zh-CN"/>
        </w:rPr>
        <w:t>本评估和修订版指导意见以评估结果对各类利益攸关方而言的相关性为重点考虑，将促进以连贯一致的方式开展平台评估工作和其他活动。本评估和修</w:t>
      </w:r>
      <w:r w:rsidRPr="00D52924">
        <w:rPr>
          <w:rFonts w:hint="eastAsia"/>
          <w:sz w:val="24"/>
          <w:szCs w:val="24"/>
          <w:lang w:eastAsia="zh-CN"/>
        </w:rPr>
        <w:lastRenderedPageBreak/>
        <w:t>订版指导意见还应促进各项国家评估、国家和国际政策的制定及实施，包括与爱知生物多样性目标有关的方面。</w:t>
      </w:r>
    </w:p>
    <w:p w14:paraId="763A9C94" w14:textId="77777777" w:rsidR="009D1B0F" w:rsidRPr="008B45CE" w:rsidRDefault="009D1B0F" w:rsidP="00487663">
      <w:pPr>
        <w:pStyle w:val="Normalnumber"/>
        <w:numPr>
          <w:ilvl w:val="0"/>
          <w:numId w:val="62"/>
        </w:numPr>
        <w:tabs>
          <w:tab w:val="clear" w:pos="624"/>
          <w:tab w:val="left" w:pos="1247"/>
          <w:tab w:val="left" w:pos="1814"/>
          <w:tab w:val="left" w:pos="2381"/>
          <w:tab w:val="left" w:pos="2948"/>
          <w:tab w:val="left" w:pos="3515"/>
          <w:tab w:val="left" w:pos="4082"/>
        </w:tabs>
        <w:ind w:left="1248"/>
        <w:jc w:val="both"/>
        <w:rPr>
          <w:rFonts w:eastAsia="MS Mincho"/>
          <w:lang w:eastAsia="zh-CN"/>
        </w:rPr>
      </w:pPr>
      <w:r w:rsidRPr="00D52924">
        <w:rPr>
          <w:rFonts w:hint="eastAsia"/>
          <w:sz w:val="24"/>
          <w:szCs w:val="24"/>
          <w:lang w:eastAsia="zh-CN"/>
        </w:rPr>
        <w:t>评估将可推动制定工具和方法，使生物物理、社会和文化、经济、健康和整体（包括基于土著和地方社区的价值）等多重价值以适当组合的形式纳入各类利益攸关方的决策过程，包括各国政府、民间社会组织、土著人口和地方社区、生态系统的管理者以及私营部门。根据初步指导意见，在评估工作中将承认生物物理价值，但不会详细评估生态系统各项过程和功能与带给人类的惠益之间的机械联系，这是平台其他评估工作的主题。</w:t>
      </w:r>
    </w:p>
    <w:p w14:paraId="4195BDCC" w14:textId="77777777" w:rsidR="009D1B0F" w:rsidRPr="00487663" w:rsidRDefault="009D1B0F" w:rsidP="00487663">
      <w:pPr>
        <w:pStyle w:val="Normalnumber"/>
        <w:numPr>
          <w:ilvl w:val="0"/>
          <w:numId w:val="62"/>
        </w:numPr>
        <w:tabs>
          <w:tab w:val="clear" w:pos="624"/>
          <w:tab w:val="left" w:pos="1247"/>
          <w:tab w:val="left" w:pos="1814"/>
          <w:tab w:val="left" w:pos="2381"/>
          <w:tab w:val="left" w:pos="2948"/>
          <w:tab w:val="left" w:pos="3515"/>
          <w:tab w:val="left" w:pos="4082"/>
        </w:tabs>
        <w:ind w:left="1248"/>
        <w:jc w:val="both"/>
        <w:rPr>
          <w:rFonts w:eastAsia="MS Mincho"/>
          <w:lang w:eastAsia="zh-CN"/>
        </w:rPr>
      </w:pPr>
      <w:r w:rsidRPr="008B45CE">
        <w:rPr>
          <w:rFonts w:hint="eastAsia"/>
          <w:sz w:val="24"/>
          <w:szCs w:val="24"/>
          <w:lang w:eastAsia="zh-CN"/>
        </w:rPr>
        <w:t>本评估将直接适用于平台的工作。评估将有助于发现在知识（包括科学知识和基于土著和地方社区的知识）、实际决策和能力建设需求方面的相关缺口。评估还将突出强调那些特别有助于承认和衔接自</w:t>
      </w:r>
      <w:r w:rsidRPr="00487663">
        <w:rPr>
          <w:rFonts w:hint="eastAsia"/>
          <w:sz w:val="24"/>
          <w:szCs w:val="24"/>
          <w:lang w:eastAsia="zh-CN"/>
        </w:rPr>
        <w:t>然及其对人类惠益所具多重价值的多元概念化的办法和方法，包括设想与模型。</w:t>
      </w:r>
    </w:p>
    <w:p w14:paraId="289F0178" w14:textId="77777777" w:rsidR="009D1B0F" w:rsidRPr="00487663" w:rsidRDefault="009D1B0F" w:rsidP="00487663">
      <w:pPr>
        <w:pStyle w:val="Normalnumber"/>
        <w:numPr>
          <w:ilvl w:val="0"/>
          <w:numId w:val="62"/>
        </w:numPr>
        <w:tabs>
          <w:tab w:val="clear" w:pos="624"/>
          <w:tab w:val="left" w:pos="1247"/>
          <w:tab w:val="left" w:pos="1814"/>
          <w:tab w:val="left" w:pos="2381"/>
          <w:tab w:val="left" w:pos="2948"/>
          <w:tab w:val="left" w:pos="3515"/>
          <w:tab w:val="left" w:pos="4082"/>
        </w:tabs>
        <w:ind w:left="1248"/>
        <w:jc w:val="both"/>
        <w:rPr>
          <w:rFonts w:eastAsia="MS Mincho"/>
          <w:lang w:eastAsia="zh-CN"/>
        </w:rPr>
      </w:pPr>
      <w:r w:rsidRPr="00487663">
        <w:rPr>
          <w:rFonts w:hint="eastAsia"/>
          <w:sz w:val="24"/>
          <w:szCs w:val="24"/>
          <w:lang w:eastAsia="zh-CN"/>
        </w:rPr>
        <w:t>评估将以平台的概念框架为背景，并以承认不同文化的世界观以及不同文化对优质生活的不同愿景和实现办法作为评估基础。</w:t>
      </w:r>
    </w:p>
    <w:p w14:paraId="77082192" w14:textId="77777777" w:rsidR="009D1B0F" w:rsidRPr="00487663" w:rsidRDefault="009D1B0F" w:rsidP="008B45CE">
      <w:pPr>
        <w:pStyle w:val="CH2"/>
        <w:jc w:val="both"/>
        <w:rPr>
          <w:rFonts w:eastAsia="MS Mincho"/>
          <w:lang w:eastAsia="en-US"/>
        </w:rPr>
      </w:pPr>
      <w:r w:rsidRPr="00487663">
        <w:rPr>
          <w:rFonts w:eastAsia="MS Mincho"/>
          <w:lang w:eastAsia="zh-CN"/>
        </w:rPr>
        <w:tab/>
      </w:r>
      <w:r w:rsidRPr="00487663">
        <w:rPr>
          <w:rFonts w:eastAsia="MS Mincho"/>
        </w:rPr>
        <w:t>D.</w:t>
      </w:r>
      <w:r w:rsidRPr="00487663">
        <w:rPr>
          <w:rFonts w:eastAsia="MS Mincho"/>
        </w:rPr>
        <w:tab/>
      </w:r>
      <w:r w:rsidRPr="00487663">
        <w:rPr>
          <w:rFonts w:eastAsia="SimHei" w:hint="eastAsia"/>
          <w:lang w:eastAsia="zh-CN"/>
        </w:rPr>
        <w:t>假设</w:t>
      </w:r>
    </w:p>
    <w:p w14:paraId="0DFCDB19" w14:textId="77777777" w:rsidR="009D1B0F" w:rsidRPr="00487663" w:rsidRDefault="009D1B0F" w:rsidP="004B5CE4">
      <w:pPr>
        <w:pStyle w:val="Normalnumber"/>
        <w:numPr>
          <w:ilvl w:val="0"/>
          <w:numId w:val="62"/>
        </w:numPr>
        <w:tabs>
          <w:tab w:val="clear" w:pos="624"/>
          <w:tab w:val="left" w:pos="1247"/>
          <w:tab w:val="left" w:pos="1814"/>
          <w:tab w:val="left" w:pos="2381"/>
          <w:tab w:val="left" w:pos="2948"/>
          <w:tab w:val="left" w:pos="3515"/>
          <w:tab w:val="left" w:pos="4082"/>
        </w:tabs>
        <w:jc w:val="both"/>
        <w:rPr>
          <w:rFonts w:eastAsia="MS Mincho"/>
          <w:lang w:eastAsia="zh-CN"/>
        </w:rPr>
      </w:pPr>
      <w:r w:rsidRPr="00487663">
        <w:rPr>
          <w:rFonts w:hint="eastAsia"/>
          <w:sz w:val="24"/>
          <w:szCs w:val="24"/>
          <w:lang w:eastAsia="zh-CN"/>
        </w:rPr>
        <w:t>评估工作将由一个多学科专家组开展，专家应来自不同背景，如人类学、生物学、传播学、生态学、经济学、环境科学、地理、法律、哲学、政治学、政策执行、心理学、社会学等等以及跨学科研究的相关领域，并包括生物多样性和生态系统服务相关决定的利益攸关方和从业者（如企业、政府和非政府组织），以及了解土著和地方知识以及各种文化传统的专家。这些专家将由各国政府和平台利益攸关方提名，并由多学科专家研究小组根据平台交付品编写程序选出，评估工作将基于过去和目前正在开展的相关倡议（见第</w:t>
      </w:r>
      <w:r w:rsidRPr="00487663">
        <w:rPr>
          <w:sz w:val="24"/>
          <w:szCs w:val="24"/>
          <w:lang w:eastAsia="zh-CN"/>
        </w:rPr>
        <w:t>19</w:t>
      </w:r>
      <w:r w:rsidRPr="00487663">
        <w:rPr>
          <w:rFonts w:hint="eastAsia"/>
          <w:sz w:val="24"/>
          <w:szCs w:val="24"/>
          <w:lang w:eastAsia="zh-CN"/>
        </w:rPr>
        <w:t>和</w:t>
      </w:r>
      <w:r w:rsidRPr="00487663">
        <w:rPr>
          <w:sz w:val="24"/>
          <w:szCs w:val="24"/>
          <w:lang w:eastAsia="zh-CN"/>
        </w:rPr>
        <w:t>20</w:t>
      </w:r>
      <w:r w:rsidRPr="00487663">
        <w:rPr>
          <w:rFonts w:hint="eastAsia"/>
          <w:sz w:val="24"/>
          <w:szCs w:val="24"/>
          <w:lang w:eastAsia="zh-CN"/>
        </w:rPr>
        <w:t>段）。</w:t>
      </w:r>
    </w:p>
    <w:p w14:paraId="386E07B4" w14:textId="77777777" w:rsidR="009D1B0F" w:rsidRPr="00487663" w:rsidRDefault="009D1B0F" w:rsidP="00487663">
      <w:pPr>
        <w:pStyle w:val="CH1"/>
        <w:jc w:val="both"/>
        <w:rPr>
          <w:rFonts w:ascii="SimHei" w:eastAsia="SimHei" w:hAnsi="SimHei"/>
          <w:szCs w:val="24"/>
          <w:lang w:eastAsia="en-US"/>
        </w:rPr>
      </w:pPr>
      <w:r w:rsidRPr="00487663">
        <w:rPr>
          <w:rFonts w:ascii="SimHei" w:eastAsia="SimHei" w:hAnsi="SimHei" w:hint="eastAsia"/>
          <w:lang w:eastAsia="zh-CN"/>
        </w:rPr>
        <w:tab/>
        <w:t>二、</w:t>
      </w:r>
      <w:r w:rsidRPr="00487663">
        <w:rPr>
          <w:rFonts w:ascii="SimHei" w:eastAsia="SimHei" w:hAnsi="SimHei" w:hint="eastAsia"/>
        </w:rPr>
        <w:tab/>
      </w:r>
      <w:r w:rsidRPr="00487663">
        <w:rPr>
          <w:rFonts w:ascii="SimHei" w:eastAsia="SimHei" w:hAnsi="SimHei" w:hint="eastAsia"/>
          <w:lang w:eastAsia="zh-CN"/>
        </w:rPr>
        <w:t>评估报告概要</w:t>
      </w:r>
    </w:p>
    <w:p w14:paraId="702A5204" w14:textId="77777777" w:rsidR="009D1B0F" w:rsidRPr="00487663" w:rsidRDefault="009D1B0F" w:rsidP="00487663">
      <w:pPr>
        <w:pStyle w:val="Normalnumber"/>
        <w:numPr>
          <w:ilvl w:val="0"/>
          <w:numId w:val="62"/>
        </w:numPr>
        <w:tabs>
          <w:tab w:val="clear" w:pos="624"/>
          <w:tab w:val="left" w:pos="1247"/>
          <w:tab w:val="left" w:pos="1814"/>
          <w:tab w:val="left" w:pos="2381"/>
          <w:tab w:val="left" w:pos="2948"/>
          <w:tab w:val="left" w:pos="3515"/>
          <w:tab w:val="left" w:pos="4082"/>
        </w:tabs>
        <w:ind w:left="1248"/>
        <w:jc w:val="both"/>
        <w:rPr>
          <w:rFonts w:eastAsia="MS Mincho"/>
          <w:lang w:eastAsia="zh-CN"/>
        </w:rPr>
      </w:pPr>
      <w:r w:rsidRPr="00487663">
        <w:rPr>
          <w:rFonts w:hint="eastAsia"/>
          <w:sz w:val="24"/>
          <w:szCs w:val="24"/>
          <w:lang w:eastAsia="zh-CN"/>
        </w:rPr>
        <w:t>评估报告将由一份决策者摘要和六个章节组成，每一章都包括与决策者最相关的主要结果和信息的执行摘要。</w:t>
      </w:r>
    </w:p>
    <w:p w14:paraId="22994430" w14:textId="3151716C" w:rsidR="009D1B0F" w:rsidRPr="00D52924" w:rsidRDefault="009D1B0F" w:rsidP="00487663">
      <w:pPr>
        <w:pStyle w:val="Normalnumber"/>
        <w:numPr>
          <w:ilvl w:val="0"/>
          <w:numId w:val="62"/>
        </w:numPr>
        <w:tabs>
          <w:tab w:val="clear" w:pos="624"/>
          <w:tab w:val="left" w:pos="1247"/>
          <w:tab w:val="left" w:pos="1814"/>
          <w:tab w:val="left" w:pos="2381"/>
          <w:tab w:val="left" w:pos="2948"/>
          <w:tab w:val="left" w:pos="3515"/>
          <w:tab w:val="left" w:pos="4082"/>
        </w:tabs>
        <w:jc w:val="both"/>
        <w:rPr>
          <w:rFonts w:eastAsia="MS Mincho"/>
          <w:lang w:eastAsia="zh-CN"/>
        </w:rPr>
      </w:pPr>
      <w:r w:rsidRPr="00487663">
        <w:rPr>
          <w:rFonts w:hint="eastAsia"/>
          <w:sz w:val="24"/>
          <w:szCs w:val="24"/>
          <w:lang w:eastAsia="zh-CN"/>
        </w:rPr>
        <w:t>第一章导论将明确自然及其惠益所具价值的多元概念化对治理、机构和政策设计而言在不同决策背景下的相关性，并阐述评估与概念框架之间的联系。</w:t>
      </w:r>
      <w:r w:rsidRPr="00487663">
        <w:rPr>
          <w:rFonts w:ascii="SimSun" w:hAnsi="SimSun" w:cs="SimSun" w:hint="eastAsia"/>
          <w:sz w:val="24"/>
          <w:szCs w:val="24"/>
          <w:lang w:eastAsia="zh-CN"/>
        </w:rPr>
        <w:t>该章还将说明可如何结合平台的政策支持工具与方法目录</w:t>
      </w:r>
      <w:r w:rsidR="0086162E" w:rsidRPr="00487663">
        <w:rPr>
          <w:rStyle w:val="FootnoteReference"/>
          <w:rFonts w:cs="SimSun"/>
          <w:spacing w:val="0"/>
          <w:w w:val="100"/>
          <w:position w:val="0"/>
          <w:sz w:val="24"/>
          <w:szCs w:val="24"/>
          <w:lang w:eastAsia="zh-CN"/>
        </w:rPr>
        <w:footnoteReference w:customMarkFollows="1" w:id="6"/>
        <w:t>5</w:t>
      </w:r>
      <w:r w:rsidRPr="00D52924">
        <w:rPr>
          <w:rFonts w:ascii="SimSun" w:hAnsi="SimSun" w:cs="SimSun" w:hint="eastAsia"/>
          <w:sz w:val="24"/>
          <w:szCs w:val="24"/>
          <w:lang w:eastAsia="zh-CN"/>
        </w:rPr>
        <w:t>（交付品</w:t>
      </w:r>
      <w:r w:rsidRPr="00D52924">
        <w:rPr>
          <w:rFonts w:eastAsia="MS Mincho"/>
          <w:sz w:val="24"/>
          <w:szCs w:val="24"/>
          <w:lang w:eastAsia="zh-CN"/>
        </w:rPr>
        <w:t>4 (c)</w:t>
      </w:r>
      <w:r w:rsidRPr="00D52924">
        <w:rPr>
          <w:rFonts w:ascii="SimSun" w:hAnsi="SimSun" w:cs="SimSun" w:hint="eastAsia"/>
          <w:sz w:val="24"/>
          <w:szCs w:val="24"/>
          <w:lang w:eastAsia="zh-CN"/>
        </w:rPr>
        <w:t>）使用评估报告。</w:t>
      </w:r>
    </w:p>
    <w:p w14:paraId="6CD9AC18" w14:textId="77777777" w:rsidR="009D1B0F" w:rsidRPr="008B45CE" w:rsidRDefault="009D1B0F" w:rsidP="00487663">
      <w:pPr>
        <w:pStyle w:val="Normalnumber"/>
        <w:numPr>
          <w:ilvl w:val="0"/>
          <w:numId w:val="62"/>
        </w:numPr>
        <w:tabs>
          <w:tab w:val="clear" w:pos="624"/>
          <w:tab w:val="left" w:pos="1247"/>
          <w:tab w:val="left" w:pos="1814"/>
          <w:tab w:val="left" w:pos="2381"/>
          <w:tab w:val="left" w:pos="2948"/>
          <w:tab w:val="left" w:pos="3515"/>
          <w:tab w:val="left" w:pos="4082"/>
        </w:tabs>
        <w:jc w:val="both"/>
        <w:rPr>
          <w:rFonts w:eastAsia="MS Mincho"/>
          <w:lang w:eastAsia="zh-CN"/>
        </w:rPr>
      </w:pPr>
      <w:r w:rsidRPr="00D52924">
        <w:rPr>
          <w:rFonts w:hint="eastAsia"/>
          <w:sz w:val="24"/>
          <w:szCs w:val="24"/>
          <w:lang w:eastAsia="zh-CN"/>
        </w:rPr>
        <w:t>第二章将根据平台的平台概念框架和初步指导意见，评估对自然及其对人类惠益方面所具价值的多元概念化的记录情况。该评估将在系统性审查和整合分析等工作中使用科学文献。该评估还将利用与土著和地方知识以及实际决策相关的定性个案研究等其他信息来源。这项工作将确定与不同价值类型相关的不同世界观是如何被纳入决策背景的。根据平台概念框架和初步指导意见，所审查的价值将重点关注自然、自然对人类的惠益以及良好的生活质量，</w:t>
      </w:r>
      <w:r w:rsidRPr="00D52924">
        <w:rPr>
          <w:rFonts w:eastAsia="MS Mincho" w:hint="eastAsia"/>
          <w:sz w:val="24"/>
          <w:szCs w:val="24"/>
          <w:lang w:eastAsia="zh-CN"/>
        </w:rPr>
        <w:t xml:space="preserve"> </w:t>
      </w:r>
      <w:r w:rsidRPr="00D52924">
        <w:rPr>
          <w:rFonts w:hint="eastAsia"/>
          <w:sz w:val="24"/>
          <w:szCs w:val="24"/>
          <w:lang w:eastAsia="zh-CN"/>
        </w:rPr>
        <w:t>将具有内在性和工具性（包括使用和非使用价值、遗赠价值、选择价值等）和关系性价值。</w:t>
      </w:r>
      <w:r w:rsidRPr="008B45CE">
        <w:rPr>
          <w:rFonts w:eastAsia="MS Mincho" w:hint="eastAsia"/>
          <w:sz w:val="24"/>
          <w:szCs w:val="24"/>
          <w:lang w:eastAsia="zh-CN"/>
        </w:rPr>
        <w:t xml:space="preserve"> </w:t>
      </w:r>
      <w:r w:rsidRPr="008B45CE">
        <w:rPr>
          <w:rFonts w:hint="eastAsia"/>
          <w:sz w:val="24"/>
          <w:szCs w:val="24"/>
          <w:lang w:eastAsia="zh-CN"/>
        </w:rPr>
        <w:t>该评估将审查与具不确定性情况和灾难性事件风险相关的价值。</w:t>
      </w:r>
    </w:p>
    <w:p w14:paraId="75ABF992" w14:textId="77777777" w:rsidR="009D1B0F" w:rsidRPr="00487663" w:rsidRDefault="009D1B0F" w:rsidP="00487663">
      <w:pPr>
        <w:pStyle w:val="Normalnumber"/>
        <w:numPr>
          <w:ilvl w:val="0"/>
          <w:numId w:val="62"/>
        </w:numPr>
        <w:tabs>
          <w:tab w:val="clear" w:pos="624"/>
          <w:tab w:val="left" w:pos="1247"/>
          <w:tab w:val="left" w:pos="1814"/>
          <w:tab w:val="left" w:pos="2381"/>
          <w:tab w:val="left" w:pos="2948"/>
          <w:tab w:val="left" w:pos="3515"/>
          <w:tab w:val="left" w:pos="4082"/>
        </w:tabs>
        <w:jc w:val="both"/>
        <w:rPr>
          <w:rFonts w:eastAsia="MS Mincho"/>
          <w:lang w:eastAsia="zh-CN"/>
        </w:rPr>
      </w:pPr>
      <w:r w:rsidRPr="000C3A84">
        <w:rPr>
          <w:rFonts w:hint="eastAsia"/>
          <w:sz w:val="24"/>
          <w:szCs w:val="24"/>
          <w:lang w:eastAsia="zh-CN"/>
        </w:rPr>
        <w:t>第三章将评估不同的价值评估方法和方式，包括：</w:t>
      </w:r>
      <w:r w:rsidRPr="000C3A84">
        <w:rPr>
          <w:sz w:val="24"/>
          <w:szCs w:val="24"/>
          <w:lang w:eastAsia="zh-CN"/>
        </w:rPr>
        <w:t xml:space="preserve">(a) </w:t>
      </w:r>
      <w:r w:rsidRPr="000C3A84">
        <w:rPr>
          <w:rFonts w:hint="eastAsia"/>
          <w:sz w:val="24"/>
          <w:szCs w:val="24"/>
          <w:lang w:eastAsia="zh-CN"/>
        </w:rPr>
        <w:t>生物物理、社会文化、经济、健康和整体（包括基于土著和地方社区的价值评估）方法和方式；</w:t>
      </w:r>
      <w:r w:rsidRPr="00487663">
        <w:rPr>
          <w:sz w:val="24"/>
          <w:szCs w:val="24"/>
          <w:lang w:eastAsia="zh-CN"/>
        </w:rPr>
        <w:t xml:space="preserve"> (b) </w:t>
      </w:r>
      <w:r w:rsidRPr="00487663">
        <w:rPr>
          <w:rFonts w:hint="eastAsia"/>
          <w:sz w:val="24"/>
          <w:szCs w:val="24"/>
          <w:lang w:eastAsia="zh-CN"/>
        </w:rPr>
        <w:t>整合和衔接不同类型价值的办法。不同性别和不同年代人的观点也将被纳入</w:t>
      </w:r>
      <w:r w:rsidRPr="00487663">
        <w:rPr>
          <w:rFonts w:hint="eastAsia"/>
          <w:sz w:val="24"/>
          <w:szCs w:val="24"/>
          <w:lang w:eastAsia="zh-CN"/>
        </w:rPr>
        <w:lastRenderedPageBreak/>
        <w:t>考虑。</w:t>
      </w:r>
      <w:r w:rsidRPr="00487663">
        <w:rPr>
          <w:rFonts w:ascii="SimSun" w:hAnsi="SimSun" w:cs="SimSun" w:hint="eastAsia"/>
          <w:sz w:val="24"/>
          <w:szCs w:val="24"/>
          <w:lang w:eastAsia="zh-CN"/>
        </w:rPr>
        <w:t>第三章将对已应用于各类专门信息来源的价值评估方法和方式进行广泛审查，并突出强调那些能够被阐明、能够与其他价值评估方法整合和衔接、并且能够承认不同的价值评估办法因其考量的世界观和知识体系不同而存在内在差异的方法和方式。</w:t>
      </w:r>
      <w:r w:rsidRPr="00487663">
        <w:rPr>
          <w:rFonts w:hint="eastAsia"/>
          <w:sz w:val="24"/>
          <w:szCs w:val="24"/>
          <w:lang w:eastAsia="zh-CN"/>
        </w:rPr>
        <w:t>此项工作将包括审查不同的方法和方式如何有助于承认和处理自然的不同方面对不同利益攸关方和部门而言所具有的不同价值之间的潜在冲突、协同增效或折衷。第三章将列出各项重要发现，尤其是关于评估不同世界观基础上的不同类型价值之间的联系，以及在自然、自然的惠益和良好生活质量之间建立联系的重要发现。</w:t>
      </w:r>
    </w:p>
    <w:p w14:paraId="6192429C" w14:textId="77777777" w:rsidR="009D1B0F" w:rsidRPr="00487663" w:rsidRDefault="009D1B0F" w:rsidP="00487663">
      <w:pPr>
        <w:pStyle w:val="Normalnumber"/>
        <w:numPr>
          <w:ilvl w:val="0"/>
          <w:numId w:val="62"/>
        </w:numPr>
        <w:tabs>
          <w:tab w:val="clear" w:pos="624"/>
          <w:tab w:val="left" w:pos="1247"/>
          <w:tab w:val="left" w:pos="1814"/>
          <w:tab w:val="left" w:pos="2381"/>
          <w:tab w:val="left" w:pos="2948"/>
          <w:tab w:val="left" w:pos="3515"/>
          <w:tab w:val="left" w:pos="4082"/>
        </w:tabs>
        <w:jc w:val="both"/>
        <w:rPr>
          <w:rFonts w:eastAsia="MS Mincho"/>
          <w:u w:val="single"/>
          <w:lang w:eastAsia="zh-CN"/>
        </w:rPr>
      </w:pPr>
      <w:r w:rsidRPr="00487663">
        <w:rPr>
          <w:rFonts w:hint="eastAsia"/>
          <w:sz w:val="24"/>
          <w:szCs w:val="24"/>
          <w:lang w:eastAsia="zh-CN"/>
        </w:rPr>
        <w:t>第四章将定量和定性地评估第二和第三章中述及的价值评估方法和方式的相关主要发现和相关经验教训，为不同级别和不同背景（包括社区、私营和公共）的决策和政策制定过程提供参考。由此将确定旨在使自然及其惠益所具多重价值的多元概念化与治理、机构和政策设计相关联的最常用方法和在各种限制条件下（如资金和时间限制）仍可能有效使用的此类方法。第四章还将评估和解读价值评估方法和方式如何处理各种社会共通价值观，包括与有关代内和代际公平（包括程序、认可和分配方面）的不同观念相关的价值观，以及在不同社会行为体以不同方式评估某一实体（即自然及其惠益）的价值，即使他们能够对价值评估过程所基于的价值类型达成共识的情况下，解决这些社会行为体之间的公平问题的方法论意义。将特别重视那些在特定背景或在特定的空间、时间或社会组织尺度上已被决策者视为成功的方法。第四章将列出各项重要发现，尤其是与识别政策支持工具（如设想和模型）以及其他经过验证的成功做法有关的发现。第四章还将审查生态系统账户如何根据国情被纳入国家政策、核算和报告制度以及相关核算标准。该章还将从以下方面介绍有关在决策过程中纳入多重价值的定性和定量信息：</w:t>
      </w:r>
      <w:r w:rsidRPr="00487663">
        <w:rPr>
          <w:sz w:val="24"/>
          <w:szCs w:val="24"/>
          <w:lang w:eastAsia="zh-CN"/>
        </w:rPr>
        <w:t xml:space="preserve">(a) </w:t>
      </w:r>
      <w:r w:rsidRPr="00487663">
        <w:rPr>
          <w:rFonts w:hint="eastAsia"/>
          <w:sz w:val="24"/>
          <w:szCs w:val="24"/>
          <w:lang w:eastAsia="zh-CN"/>
        </w:rPr>
        <w:t>空间尺度，</w:t>
      </w:r>
      <w:r w:rsidRPr="00487663">
        <w:rPr>
          <w:sz w:val="24"/>
          <w:szCs w:val="24"/>
          <w:lang w:eastAsia="zh-CN"/>
        </w:rPr>
        <w:t xml:space="preserve">(b) </w:t>
      </w:r>
      <w:r w:rsidRPr="00487663">
        <w:rPr>
          <w:rFonts w:hint="eastAsia"/>
          <w:sz w:val="24"/>
          <w:szCs w:val="24"/>
          <w:lang w:eastAsia="zh-CN"/>
        </w:rPr>
        <w:t>时间尺度，</w:t>
      </w:r>
      <w:r w:rsidRPr="00487663">
        <w:rPr>
          <w:sz w:val="24"/>
          <w:szCs w:val="24"/>
          <w:lang w:eastAsia="zh-CN"/>
        </w:rPr>
        <w:t xml:space="preserve">(c) </w:t>
      </w:r>
      <w:r w:rsidRPr="00487663">
        <w:rPr>
          <w:rFonts w:hint="eastAsia"/>
          <w:sz w:val="24"/>
          <w:szCs w:val="24"/>
          <w:lang w:eastAsia="zh-CN"/>
        </w:rPr>
        <w:t>社会组织尺度，</w:t>
      </w:r>
      <w:r w:rsidRPr="00487663">
        <w:rPr>
          <w:sz w:val="24"/>
          <w:szCs w:val="24"/>
          <w:lang w:eastAsia="zh-CN"/>
        </w:rPr>
        <w:t xml:space="preserve">(d) </w:t>
      </w:r>
      <w:r w:rsidRPr="00487663">
        <w:rPr>
          <w:rFonts w:hint="eastAsia"/>
          <w:sz w:val="24"/>
          <w:szCs w:val="24"/>
          <w:lang w:eastAsia="zh-CN"/>
        </w:rPr>
        <w:t>利益攸关方的类型及人口的多样性，以及下述影响是如何对决策过程中的价值利害关系产生作用的：</w:t>
      </w:r>
      <w:r w:rsidRPr="00487663">
        <w:rPr>
          <w:sz w:val="24"/>
          <w:szCs w:val="24"/>
          <w:lang w:eastAsia="zh-CN"/>
        </w:rPr>
        <w:t xml:space="preserve">(a) </w:t>
      </w:r>
      <w:r w:rsidRPr="00487663">
        <w:rPr>
          <w:rFonts w:hint="eastAsia"/>
          <w:sz w:val="24"/>
          <w:szCs w:val="24"/>
          <w:lang w:eastAsia="zh-CN"/>
        </w:rPr>
        <w:t>环境变化，</w:t>
      </w:r>
      <w:r w:rsidRPr="00487663">
        <w:rPr>
          <w:sz w:val="24"/>
          <w:szCs w:val="24"/>
          <w:lang w:eastAsia="zh-CN"/>
        </w:rPr>
        <w:t>(b)</w:t>
      </w:r>
      <w:r w:rsidRPr="00487663">
        <w:rPr>
          <w:rFonts w:hint="eastAsia"/>
          <w:sz w:val="24"/>
          <w:szCs w:val="24"/>
          <w:lang w:eastAsia="zh-CN"/>
        </w:rPr>
        <w:t>社会变化和社会学习，</w:t>
      </w:r>
      <w:r w:rsidRPr="00487663">
        <w:rPr>
          <w:sz w:val="24"/>
          <w:szCs w:val="24"/>
          <w:lang w:eastAsia="zh-CN"/>
        </w:rPr>
        <w:t xml:space="preserve">(c) </w:t>
      </w:r>
      <w:r w:rsidRPr="00487663">
        <w:rPr>
          <w:rFonts w:hint="eastAsia"/>
          <w:sz w:val="24"/>
          <w:szCs w:val="24"/>
          <w:lang w:eastAsia="zh-CN"/>
        </w:rPr>
        <w:t>权力关系，</w:t>
      </w:r>
      <w:r w:rsidRPr="00487663">
        <w:rPr>
          <w:sz w:val="24"/>
          <w:szCs w:val="24"/>
          <w:lang w:eastAsia="zh-CN"/>
        </w:rPr>
        <w:t xml:space="preserve">(d) </w:t>
      </w:r>
      <w:r w:rsidRPr="00487663">
        <w:rPr>
          <w:rFonts w:hint="eastAsia"/>
          <w:sz w:val="24"/>
          <w:szCs w:val="24"/>
          <w:lang w:eastAsia="zh-CN"/>
        </w:rPr>
        <w:t>包容和媒介，</w:t>
      </w:r>
      <w:r w:rsidRPr="00487663">
        <w:rPr>
          <w:sz w:val="24"/>
          <w:szCs w:val="24"/>
          <w:lang w:eastAsia="zh-CN"/>
        </w:rPr>
        <w:t xml:space="preserve">(e) </w:t>
      </w:r>
      <w:r w:rsidRPr="00487663">
        <w:rPr>
          <w:rFonts w:hint="eastAsia"/>
          <w:sz w:val="24"/>
          <w:szCs w:val="24"/>
          <w:lang w:eastAsia="zh-CN"/>
        </w:rPr>
        <w:t>机构（正式和非正式）。此外，将查明接受所吸取的经验为决策过程带来的机遇。</w:t>
      </w:r>
    </w:p>
    <w:p w14:paraId="43123C27" w14:textId="77777777" w:rsidR="009D1B0F" w:rsidRPr="00487663" w:rsidRDefault="009D1B0F" w:rsidP="00487663">
      <w:pPr>
        <w:pStyle w:val="Normalnumber"/>
        <w:numPr>
          <w:ilvl w:val="0"/>
          <w:numId w:val="62"/>
        </w:numPr>
        <w:tabs>
          <w:tab w:val="clear" w:pos="624"/>
          <w:tab w:val="left" w:pos="1247"/>
          <w:tab w:val="left" w:pos="1814"/>
          <w:tab w:val="left" w:pos="2381"/>
          <w:tab w:val="left" w:pos="2948"/>
          <w:tab w:val="left" w:pos="3515"/>
          <w:tab w:val="left" w:pos="4082"/>
        </w:tabs>
        <w:jc w:val="both"/>
        <w:rPr>
          <w:rFonts w:eastAsia="MS Mincho"/>
          <w:lang w:eastAsia="zh-CN"/>
        </w:rPr>
      </w:pPr>
      <w:r w:rsidRPr="00487663">
        <w:rPr>
          <w:rFonts w:hint="eastAsia"/>
          <w:sz w:val="24"/>
          <w:szCs w:val="24"/>
          <w:lang w:eastAsia="zh-CN"/>
        </w:rPr>
        <w:t>第五章将强调在政策制定和决策方面，把自然及其对人类惠益所具价值的多元概念化衔接和整合到治理、机构和政策设计中去的知识和数据缺口和不确定问题。</w:t>
      </w:r>
      <w:r w:rsidRPr="00487663">
        <w:rPr>
          <w:rFonts w:ascii="SimSun" w:hAnsi="SimSun" w:cs="SimSun" w:hint="eastAsia"/>
          <w:sz w:val="24"/>
          <w:szCs w:val="24"/>
          <w:lang w:eastAsia="zh-CN"/>
        </w:rPr>
        <w:t>该章将重点阐述：</w:t>
      </w:r>
      <w:r w:rsidRPr="00487663">
        <w:rPr>
          <w:rFonts w:eastAsia="MS Mincho"/>
          <w:sz w:val="24"/>
          <w:szCs w:val="24"/>
          <w:lang w:eastAsia="zh-CN"/>
        </w:rPr>
        <w:t xml:space="preserve">(a) </w:t>
      </w:r>
      <w:r w:rsidRPr="00487663">
        <w:rPr>
          <w:rFonts w:hint="eastAsia"/>
          <w:sz w:val="24"/>
          <w:szCs w:val="24"/>
          <w:lang w:eastAsia="zh-CN"/>
        </w:rPr>
        <w:t>在各类对自然及其对人类惠益所具价值的多元构想中，那些尚未得到明确认可或尚未被明确纳入决策的多元构想类型；</w:t>
      </w:r>
      <w:r w:rsidRPr="00487663">
        <w:rPr>
          <w:rFonts w:eastAsia="MS Mincho"/>
          <w:sz w:val="24"/>
          <w:szCs w:val="24"/>
          <w:lang w:eastAsia="zh-CN"/>
        </w:rPr>
        <w:t xml:space="preserve"> (b)</w:t>
      </w:r>
      <w:r w:rsidRPr="00487663">
        <w:rPr>
          <w:sz w:val="24"/>
          <w:szCs w:val="24"/>
          <w:lang w:eastAsia="zh-CN"/>
        </w:rPr>
        <w:t xml:space="preserve"> </w:t>
      </w:r>
      <w:r w:rsidRPr="00487663">
        <w:rPr>
          <w:rFonts w:hint="eastAsia"/>
          <w:sz w:val="24"/>
          <w:szCs w:val="24"/>
          <w:lang w:eastAsia="zh-CN"/>
        </w:rPr>
        <w:t>在各类价值评估办法中，那些就其本身而言或对其的阐述、整合和衔接尚有待完善或尚未被明确纳入决策的价值评估办法类型；</w:t>
      </w:r>
      <w:r w:rsidRPr="00487663">
        <w:rPr>
          <w:rFonts w:eastAsia="MS Mincho"/>
          <w:sz w:val="24"/>
          <w:szCs w:val="24"/>
          <w:lang w:eastAsia="zh-CN"/>
        </w:rPr>
        <w:t>(c)</w:t>
      </w:r>
      <w:r w:rsidRPr="00487663">
        <w:rPr>
          <w:sz w:val="24"/>
          <w:szCs w:val="24"/>
          <w:lang w:eastAsia="zh-CN"/>
        </w:rPr>
        <w:t xml:space="preserve"> </w:t>
      </w:r>
      <w:r w:rsidRPr="00487663">
        <w:rPr>
          <w:rFonts w:hint="eastAsia"/>
          <w:sz w:val="24"/>
          <w:szCs w:val="24"/>
          <w:lang w:eastAsia="zh-CN"/>
        </w:rPr>
        <w:t>令自然及其惠益所具价值的多元概念化难以被纳入不同背景和级别的决策和政策制定过程的各种挑战，及其对可持续性的影响；</w:t>
      </w:r>
      <w:r w:rsidRPr="00487663">
        <w:rPr>
          <w:rFonts w:hint="eastAsia"/>
          <w:sz w:val="24"/>
          <w:szCs w:val="24"/>
          <w:lang w:eastAsia="zh-CN"/>
        </w:rPr>
        <w:t xml:space="preserve"> </w:t>
      </w:r>
      <w:r w:rsidRPr="00487663">
        <w:rPr>
          <w:rFonts w:eastAsia="MS Mincho"/>
          <w:sz w:val="24"/>
          <w:szCs w:val="24"/>
          <w:lang w:eastAsia="zh-CN"/>
        </w:rPr>
        <w:t xml:space="preserve">(d) </w:t>
      </w:r>
      <w:r w:rsidRPr="00487663">
        <w:rPr>
          <w:rFonts w:hint="eastAsia"/>
          <w:sz w:val="24"/>
          <w:szCs w:val="24"/>
          <w:lang w:eastAsia="zh-CN"/>
        </w:rPr>
        <w:t>在相关的生物物理、经济、健康及整体（包括基于土著和地方社区）价值面临风险时，仅考量某一组价值而非全部相关价值对不同利益攸关方而言的影响。</w:t>
      </w:r>
    </w:p>
    <w:p w14:paraId="2D9A8A12" w14:textId="77777777" w:rsidR="009D1B0F" w:rsidRPr="00487663" w:rsidRDefault="009D1B0F" w:rsidP="00487663">
      <w:pPr>
        <w:pStyle w:val="Normalnumber"/>
        <w:numPr>
          <w:ilvl w:val="0"/>
          <w:numId w:val="62"/>
        </w:numPr>
        <w:tabs>
          <w:tab w:val="clear" w:pos="624"/>
          <w:tab w:val="left" w:pos="1247"/>
          <w:tab w:val="left" w:pos="1814"/>
          <w:tab w:val="left" w:pos="2381"/>
          <w:tab w:val="left" w:pos="2948"/>
          <w:tab w:val="left" w:pos="3515"/>
          <w:tab w:val="left" w:pos="4082"/>
        </w:tabs>
        <w:jc w:val="both"/>
        <w:rPr>
          <w:rFonts w:eastAsia="MS Mincho"/>
          <w:lang w:eastAsia="zh-CN"/>
        </w:rPr>
      </w:pPr>
      <w:r w:rsidRPr="00487663">
        <w:rPr>
          <w:rFonts w:hint="eastAsia"/>
          <w:sz w:val="24"/>
          <w:szCs w:val="24"/>
          <w:lang w:eastAsia="zh-CN"/>
        </w:rPr>
        <w:t>第六章将强调能力建设需求（包括政策采用、制定和执行能力）以及应对这些需求所需的步骤。该章将以前几章的结论为基础，强调以下方面所需的能力建设：</w:t>
      </w:r>
      <w:r w:rsidRPr="00487663">
        <w:rPr>
          <w:rFonts w:eastAsia="MS Mincho"/>
          <w:sz w:val="24"/>
          <w:szCs w:val="24"/>
          <w:lang w:eastAsia="zh-CN"/>
        </w:rPr>
        <w:t xml:space="preserve">(a) </w:t>
      </w:r>
      <w:r w:rsidRPr="00487663">
        <w:rPr>
          <w:rFonts w:hint="eastAsia"/>
          <w:sz w:val="24"/>
          <w:szCs w:val="24"/>
          <w:lang w:eastAsia="zh-CN"/>
        </w:rPr>
        <w:t>明确承认自然及其惠益的不同类型概念化；</w:t>
      </w:r>
      <w:r w:rsidRPr="00487663">
        <w:rPr>
          <w:rFonts w:eastAsia="MS Mincho"/>
          <w:sz w:val="24"/>
          <w:szCs w:val="24"/>
          <w:lang w:eastAsia="zh-CN"/>
        </w:rPr>
        <w:t xml:space="preserve">(b) </w:t>
      </w:r>
      <w:r w:rsidRPr="00487663">
        <w:rPr>
          <w:rFonts w:hint="eastAsia"/>
          <w:sz w:val="24"/>
          <w:szCs w:val="24"/>
          <w:lang w:eastAsia="zh-CN"/>
        </w:rPr>
        <w:t>反映不同类型概念化所需的不同类型的价值评估方法和方式；</w:t>
      </w:r>
      <w:r w:rsidRPr="00487663">
        <w:rPr>
          <w:rFonts w:eastAsia="MS Mincho"/>
          <w:sz w:val="24"/>
          <w:szCs w:val="24"/>
          <w:lang w:eastAsia="zh-CN"/>
        </w:rPr>
        <w:t xml:space="preserve"> (c)</w:t>
      </w:r>
      <w:r w:rsidRPr="00487663">
        <w:rPr>
          <w:sz w:val="24"/>
          <w:szCs w:val="24"/>
          <w:lang w:eastAsia="zh-CN"/>
        </w:rPr>
        <w:t xml:space="preserve"> </w:t>
      </w:r>
      <w:r w:rsidRPr="00487663">
        <w:rPr>
          <w:rFonts w:hint="eastAsia"/>
          <w:sz w:val="24"/>
          <w:szCs w:val="24"/>
          <w:lang w:eastAsia="zh-CN"/>
        </w:rPr>
        <w:t>将其明确纳入不同级别和不同背景的决策和政策制定过程。</w:t>
      </w:r>
    </w:p>
    <w:p w14:paraId="1CAFAF94" w14:textId="77777777" w:rsidR="009D1B0F" w:rsidRPr="00487663" w:rsidRDefault="009D1B0F" w:rsidP="004B5CE4">
      <w:pPr>
        <w:pStyle w:val="CH1"/>
        <w:keepLines w:val="0"/>
        <w:ind w:left="1253" w:right="289" w:hanging="1253"/>
        <w:jc w:val="both"/>
        <w:rPr>
          <w:rFonts w:ascii="SimHei" w:eastAsia="SimHei" w:hAnsi="SimHei"/>
          <w:lang w:eastAsia="en-US"/>
        </w:rPr>
      </w:pPr>
      <w:r w:rsidRPr="00487663">
        <w:rPr>
          <w:rFonts w:ascii="SimHei" w:eastAsia="SimHei" w:hAnsi="SimHei" w:hint="eastAsia"/>
          <w:lang w:eastAsia="zh-CN"/>
        </w:rPr>
        <w:lastRenderedPageBreak/>
        <w:tab/>
        <w:t>三、</w:t>
      </w:r>
      <w:r w:rsidRPr="00487663">
        <w:rPr>
          <w:rFonts w:ascii="SimHei" w:eastAsia="SimHei" w:hAnsi="SimHei" w:hint="eastAsia"/>
        </w:rPr>
        <w:tab/>
      </w:r>
      <w:r w:rsidRPr="00487663">
        <w:rPr>
          <w:rFonts w:ascii="SimHei" w:eastAsia="SimHei" w:hAnsi="SimHei" w:hint="eastAsia"/>
          <w:lang w:eastAsia="zh-CN"/>
        </w:rPr>
        <w:t>评估的主要信息</w:t>
      </w:r>
    </w:p>
    <w:p w14:paraId="1AEF8ED8" w14:textId="77777777" w:rsidR="009D1B0F" w:rsidRPr="00487663" w:rsidRDefault="009D1B0F" w:rsidP="004B5CE4">
      <w:pPr>
        <w:pStyle w:val="Normalnumber"/>
        <w:keepNext/>
        <w:numPr>
          <w:ilvl w:val="0"/>
          <w:numId w:val="62"/>
        </w:numPr>
        <w:tabs>
          <w:tab w:val="clear" w:pos="624"/>
          <w:tab w:val="left" w:pos="1247"/>
          <w:tab w:val="left" w:pos="1814"/>
          <w:tab w:val="left" w:pos="2381"/>
          <w:tab w:val="left" w:pos="2948"/>
          <w:tab w:val="left" w:pos="3515"/>
          <w:tab w:val="left" w:pos="4082"/>
        </w:tabs>
        <w:jc w:val="both"/>
        <w:rPr>
          <w:rFonts w:eastAsia="MS Mincho"/>
          <w:lang w:eastAsia="zh-CN"/>
        </w:rPr>
      </w:pPr>
      <w:r w:rsidRPr="00487663">
        <w:rPr>
          <w:rFonts w:hint="eastAsia"/>
          <w:sz w:val="24"/>
          <w:szCs w:val="24"/>
          <w:lang w:eastAsia="zh-CN"/>
        </w:rPr>
        <w:t>将评估所有来源的相关信息，包括同行评审文献、灰色文献以及土著和地方知识。</w:t>
      </w:r>
    </w:p>
    <w:p w14:paraId="7347B248" w14:textId="77777777" w:rsidR="009D1B0F" w:rsidRPr="00487663" w:rsidRDefault="009D1B0F" w:rsidP="00487663">
      <w:pPr>
        <w:pStyle w:val="CH1"/>
        <w:keepLines w:val="0"/>
        <w:ind w:left="1253" w:right="289" w:hanging="1253"/>
        <w:jc w:val="both"/>
        <w:rPr>
          <w:rFonts w:ascii="SimHei" w:eastAsia="SimHei" w:hAnsi="SimHei"/>
          <w:lang w:eastAsia="en-US"/>
        </w:rPr>
      </w:pPr>
      <w:r w:rsidRPr="00487663">
        <w:rPr>
          <w:rFonts w:ascii="SimHei" w:eastAsia="SimHei" w:hAnsi="SimHei" w:hint="eastAsia"/>
          <w:lang w:eastAsia="zh-CN"/>
        </w:rPr>
        <w:tab/>
        <w:t>四、</w:t>
      </w:r>
      <w:r w:rsidRPr="00487663">
        <w:rPr>
          <w:rFonts w:ascii="SimHei" w:eastAsia="SimHei" w:hAnsi="SimHei" w:hint="eastAsia"/>
        </w:rPr>
        <w:tab/>
      </w:r>
      <w:r w:rsidRPr="00487663">
        <w:rPr>
          <w:rFonts w:ascii="SimHei" w:eastAsia="SimHei" w:hAnsi="SimHei" w:hint="eastAsia"/>
          <w:lang w:eastAsia="zh-CN"/>
        </w:rPr>
        <w:t>业务结构</w:t>
      </w:r>
    </w:p>
    <w:p w14:paraId="208F6EBE" w14:textId="77777777" w:rsidR="009D1B0F" w:rsidRPr="00487663" w:rsidRDefault="009D1B0F" w:rsidP="000C3A84">
      <w:pPr>
        <w:pStyle w:val="Normalnumber"/>
        <w:numPr>
          <w:ilvl w:val="0"/>
          <w:numId w:val="62"/>
        </w:numPr>
        <w:tabs>
          <w:tab w:val="clear" w:pos="624"/>
          <w:tab w:val="left" w:pos="1247"/>
          <w:tab w:val="left" w:pos="1814"/>
          <w:tab w:val="left" w:pos="2381"/>
          <w:tab w:val="left" w:pos="2948"/>
          <w:tab w:val="left" w:pos="3515"/>
          <w:tab w:val="left" w:pos="4082"/>
        </w:tabs>
        <w:jc w:val="both"/>
        <w:rPr>
          <w:rFonts w:eastAsia="MS Mincho"/>
          <w:lang w:eastAsia="zh-CN"/>
        </w:rPr>
      </w:pPr>
      <w:r w:rsidRPr="00487663">
        <w:rPr>
          <w:rFonts w:hint="eastAsia"/>
          <w:sz w:val="24"/>
          <w:szCs w:val="24"/>
          <w:lang w:eastAsia="zh-CN"/>
        </w:rPr>
        <w:t>业务结构将包括一个技术支持小组（至少</w:t>
      </w:r>
      <w:r w:rsidRPr="00487663">
        <w:rPr>
          <w:sz w:val="24"/>
          <w:szCs w:val="24"/>
          <w:lang w:eastAsia="zh-CN"/>
        </w:rPr>
        <w:t>1</w:t>
      </w:r>
      <w:r w:rsidRPr="00487663">
        <w:rPr>
          <w:rFonts w:hint="eastAsia"/>
          <w:sz w:val="24"/>
          <w:szCs w:val="24"/>
          <w:lang w:eastAsia="zh-CN"/>
        </w:rPr>
        <w:t>位全职等效专业工作人员和</w:t>
      </w:r>
      <w:r w:rsidRPr="00487663">
        <w:rPr>
          <w:sz w:val="24"/>
          <w:szCs w:val="24"/>
          <w:lang w:eastAsia="zh-CN"/>
        </w:rPr>
        <w:t>1</w:t>
      </w:r>
      <w:r w:rsidRPr="00487663">
        <w:rPr>
          <w:rFonts w:hint="eastAsia"/>
          <w:sz w:val="24"/>
          <w:szCs w:val="24"/>
          <w:lang w:eastAsia="zh-CN"/>
        </w:rPr>
        <w:t>位全职等效行政工作人员）。多学科专家小组将根据平台交付品编写程序，遴选</w:t>
      </w:r>
      <w:r w:rsidRPr="00487663">
        <w:rPr>
          <w:sz w:val="24"/>
          <w:szCs w:val="24"/>
          <w:lang w:eastAsia="zh-CN"/>
        </w:rPr>
        <w:t>2</w:t>
      </w:r>
      <w:r w:rsidRPr="00487663">
        <w:rPr>
          <w:rFonts w:hint="eastAsia"/>
          <w:sz w:val="24"/>
          <w:szCs w:val="24"/>
          <w:lang w:eastAsia="zh-CN"/>
        </w:rPr>
        <w:t>到</w:t>
      </w:r>
      <w:r w:rsidRPr="00487663">
        <w:rPr>
          <w:sz w:val="24"/>
          <w:szCs w:val="24"/>
          <w:lang w:eastAsia="zh-CN"/>
        </w:rPr>
        <w:t>3</w:t>
      </w:r>
      <w:r w:rsidRPr="00487663">
        <w:rPr>
          <w:rFonts w:hint="eastAsia"/>
          <w:sz w:val="24"/>
          <w:szCs w:val="24"/>
          <w:lang w:eastAsia="zh-CN"/>
        </w:rPr>
        <w:t>位共同主席、</w:t>
      </w:r>
      <w:r w:rsidRPr="00487663">
        <w:rPr>
          <w:sz w:val="24"/>
          <w:szCs w:val="24"/>
          <w:lang w:eastAsia="zh-CN"/>
        </w:rPr>
        <w:t>60</w:t>
      </w:r>
      <w:r w:rsidRPr="00487663">
        <w:rPr>
          <w:rFonts w:hint="eastAsia"/>
          <w:sz w:val="24"/>
          <w:szCs w:val="24"/>
          <w:lang w:eastAsia="zh-CN"/>
        </w:rPr>
        <w:t>位作者和</w:t>
      </w:r>
      <w:r w:rsidRPr="00487663">
        <w:rPr>
          <w:sz w:val="24"/>
          <w:szCs w:val="24"/>
          <w:lang w:eastAsia="zh-CN"/>
        </w:rPr>
        <w:t>12</w:t>
      </w:r>
      <w:r w:rsidRPr="00487663">
        <w:rPr>
          <w:rFonts w:hint="eastAsia"/>
          <w:sz w:val="24"/>
          <w:szCs w:val="24"/>
          <w:lang w:eastAsia="zh-CN"/>
        </w:rPr>
        <w:t>位编审。共同主席和技术支持小组应具有较高的协调和运作能力，以确保不同学科和部门之间的交流，以及参与者具备的不同类型知识能够被纳入评估工作。</w:t>
      </w:r>
    </w:p>
    <w:p w14:paraId="399828CB" w14:textId="77777777" w:rsidR="009D1B0F" w:rsidRPr="00487663" w:rsidRDefault="009D1B0F" w:rsidP="00487663">
      <w:pPr>
        <w:pStyle w:val="Normalnumber"/>
        <w:numPr>
          <w:ilvl w:val="0"/>
          <w:numId w:val="62"/>
        </w:numPr>
        <w:tabs>
          <w:tab w:val="clear" w:pos="624"/>
          <w:tab w:val="left" w:pos="1247"/>
          <w:tab w:val="left" w:pos="1814"/>
          <w:tab w:val="left" w:pos="2381"/>
          <w:tab w:val="left" w:pos="2948"/>
          <w:tab w:val="left" w:pos="3515"/>
          <w:tab w:val="left" w:pos="4082"/>
        </w:tabs>
        <w:jc w:val="both"/>
        <w:rPr>
          <w:rFonts w:eastAsia="MS Mincho"/>
          <w:lang w:eastAsia="zh-CN"/>
        </w:rPr>
      </w:pPr>
      <w:r w:rsidRPr="00487663">
        <w:rPr>
          <w:rFonts w:hint="eastAsia"/>
          <w:sz w:val="24"/>
          <w:szCs w:val="24"/>
          <w:lang w:eastAsia="zh-CN"/>
        </w:rPr>
        <w:t>共同主席将来自不同背景，即生物物理</w:t>
      </w:r>
      <w:r w:rsidRPr="00487663">
        <w:rPr>
          <w:sz w:val="24"/>
          <w:szCs w:val="24"/>
          <w:lang w:eastAsia="zh-CN"/>
        </w:rPr>
        <w:t>/</w:t>
      </w:r>
      <w:r w:rsidRPr="00487663">
        <w:rPr>
          <w:rFonts w:hint="eastAsia"/>
          <w:sz w:val="24"/>
          <w:szCs w:val="24"/>
          <w:lang w:eastAsia="zh-CN"/>
        </w:rPr>
        <w:t>地理、社会科学和人文学科，并在自然及其惠益的价值多样性的整合方面具有丰富经验。每一章的编写团队将包括</w:t>
      </w:r>
      <w:r w:rsidRPr="00487663">
        <w:rPr>
          <w:sz w:val="24"/>
          <w:szCs w:val="24"/>
          <w:lang w:eastAsia="zh-CN"/>
        </w:rPr>
        <w:t>2</w:t>
      </w:r>
      <w:r w:rsidRPr="00487663">
        <w:rPr>
          <w:rFonts w:hint="eastAsia"/>
          <w:sz w:val="24"/>
          <w:szCs w:val="24"/>
          <w:lang w:eastAsia="zh-CN"/>
        </w:rPr>
        <w:t>到</w:t>
      </w:r>
      <w:r w:rsidRPr="00487663">
        <w:rPr>
          <w:sz w:val="24"/>
          <w:szCs w:val="24"/>
          <w:lang w:eastAsia="zh-CN"/>
        </w:rPr>
        <w:t>3</w:t>
      </w:r>
      <w:r w:rsidRPr="00487663">
        <w:rPr>
          <w:rFonts w:hint="eastAsia"/>
          <w:sz w:val="24"/>
          <w:szCs w:val="24"/>
          <w:lang w:eastAsia="zh-CN"/>
        </w:rPr>
        <w:t>位牵头作者协调人、</w:t>
      </w:r>
      <w:r w:rsidRPr="00487663">
        <w:rPr>
          <w:sz w:val="24"/>
          <w:szCs w:val="24"/>
          <w:lang w:eastAsia="zh-CN"/>
        </w:rPr>
        <w:t>7</w:t>
      </w:r>
      <w:r w:rsidRPr="00487663">
        <w:rPr>
          <w:rFonts w:hint="eastAsia"/>
          <w:sz w:val="24"/>
          <w:szCs w:val="24"/>
          <w:lang w:eastAsia="zh-CN"/>
        </w:rPr>
        <w:t>到</w:t>
      </w:r>
      <w:r w:rsidRPr="00487663">
        <w:rPr>
          <w:sz w:val="24"/>
          <w:szCs w:val="24"/>
          <w:lang w:eastAsia="zh-CN"/>
        </w:rPr>
        <w:t>8</w:t>
      </w:r>
      <w:r w:rsidRPr="00487663">
        <w:rPr>
          <w:rFonts w:hint="eastAsia"/>
          <w:sz w:val="24"/>
          <w:szCs w:val="24"/>
          <w:lang w:eastAsia="zh-CN"/>
        </w:rPr>
        <w:t>位牵头作者和</w:t>
      </w:r>
      <w:r w:rsidRPr="00487663">
        <w:rPr>
          <w:sz w:val="24"/>
          <w:szCs w:val="24"/>
          <w:lang w:eastAsia="zh-CN"/>
        </w:rPr>
        <w:t>2</w:t>
      </w:r>
      <w:r w:rsidRPr="00487663">
        <w:rPr>
          <w:rFonts w:hint="eastAsia"/>
          <w:sz w:val="24"/>
          <w:szCs w:val="24"/>
          <w:lang w:eastAsia="zh-CN"/>
        </w:rPr>
        <w:t>位编审。专家将来自学术界人士、主要利益攸关方群体以及土著和地方知识拥有者，以确保广泛涵盖多样化的世界观。作者将来自五个联合国区域，并具有不同的学科背景，将邀请作者牵头起草每一章的各个部分。</w:t>
      </w:r>
    </w:p>
    <w:p w14:paraId="1D61CF50" w14:textId="77777777" w:rsidR="009D1B0F" w:rsidRPr="00487663" w:rsidRDefault="009D1B0F" w:rsidP="00487663">
      <w:pPr>
        <w:pStyle w:val="Normalnumber"/>
        <w:numPr>
          <w:ilvl w:val="0"/>
          <w:numId w:val="62"/>
        </w:numPr>
        <w:tabs>
          <w:tab w:val="clear" w:pos="624"/>
          <w:tab w:val="left" w:pos="1247"/>
          <w:tab w:val="left" w:pos="1814"/>
          <w:tab w:val="left" w:pos="2381"/>
          <w:tab w:val="left" w:pos="2948"/>
          <w:tab w:val="left" w:pos="3515"/>
          <w:tab w:val="left" w:pos="4082"/>
        </w:tabs>
        <w:jc w:val="both"/>
        <w:rPr>
          <w:rFonts w:eastAsia="MS Mincho"/>
          <w:lang w:eastAsia="zh-CN"/>
        </w:rPr>
      </w:pPr>
      <w:r w:rsidRPr="00487663">
        <w:rPr>
          <w:rFonts w:hint="eastAsia"/>
          <w:sz w:val="24"/>
          <w:szCs w:val="24"/>
          <w:lang w:eastAsia="zh-CN"/>
        </w:rPr>
        <w:t>管理委员会将由技术支持小组、各位共同主席、每章一位牵头作者协调人、以及两位专家小组成员和一位主席团成员组成。</w:t>
      </w:r>
    </w:p>
    <w:p w14:paraId="4C5AE230" w14:textId="62B0E09F" w:rsidR="009D1B0F" w:rsidRPr="00487663" w:rsidRDefault="009D1B0F" w:rsidP="00487663">
      <w:pPr>
        <w:pStyle w:val="CH1"/>
        <w:ind w:left="1253" w:right="289" w:hanging="1253"/>
        <w:jc w:val="both"/>
        <w:rPr>
          <w:rFonts w:ascii="SimHei" w:eastAsia="SimHei" w:hAnsi="SimHei"/>
          <w:lang w:eastAsia="en-US"/>
        </w:rPr>
      </w:pPr>
      <w:r w:rsidRPr="00487663">
        <w:rPr>
          <w:rFonts w:ascii="SimHei" w:eastAsia="SimHei" w:hAnsi="SimHei" w:hint="eastAsia"/>
          <w:lang w:eastAsia="zh-CN"/>
        </w:rPr>
        <w:tab/>
        <w:t>五、</w:t>
      </w:r>
      <w:r w:rsidRPr="00487663">
        <w:rPr>
          <w:rFonts w:ascii="SimHei" w:eastAsia="SimHei" w:hAnsi="SimHei" w:hint="eastAsia"/>
        </w:rPr>
        <w:tab/>
      </w:r>
      <w:r w:rsidRPr="00487663">
        <w:rPr>
          <w:rFonts w:ascii="SimHei" w:eastAsia="SimHei" w:hAnsi="SimHei" w:hint="eastAsia"/>
          <w:lang w:eastAsia="zh-CN"/>
        </w:rPr>
        <w:t>进程</w:t>
      </w:r>
      <w:r w:rsidR="00F63376" w:rsidRPr="00487663">
        <w:rPr>
          <w:rFonts w:ascii="SimHei" w:eastAsia="SimHei" w:hAnsi="SimHei" w:hint="eastAsia"/>
          <w:lang w:eastAsia="zh-CN"/>
        </w:rPr>
        <w:t>与</w:t>
      </w:r>
      <w:r w:rsidRPr="00487663">
        <w:rPr>
          <w:rFonts w:ascii="SimHei" w:eastAsia="SimHei" w:hAnsi="SimHei" w:hint="eastAsia"/>
          <w:lang w:eastAsia="zh-CN"/>
        </w:rPr>
        <w:t>时间表</w:t>
      </w:r>
    </w:p>
    <w:p w14:paraId="5FCC63C9" w14:textId="1CF7ECCF" w:rsidR="00F63376" w:rsidRPr="00487663" w:rsidRDefault="00F63376" w:rsidP="000C3A84">
      <w:pPr>
        <w:pStyle w:val="Normalnumber"/>
        <w:numPr>
          <w:ilvl w:val="0"/>
          <w:numId w:val="62"/>
        </w:numPr>
        <w:tabs>
          <w:tab w:val="clear" w:pos="624"/>
          <w:tab w:val="left" w:pos="1247"/>
          <w:tab w:val="left" w:pos="1814"/>
          <w:tab w:val="left" w:pos="2381"/>
          <w:tab w:val="left" w:pos="2948"/>
          <w:tab w:val="left" w:pos="3515"/>
          <w:tab w:val="left" w:pos="4082"/>
        </w:tabs>
        <w:jc w:val="both"/>
        <w:rPr>
          <w:sz w:val="24"/>
          <w:szCs w:val="24"/>
          <w:lang w:eastAsia="zh-CN"/>
        </w:rPr>
      </w:pPr>
      <w:r w:rsidRPr="00487663">
        <w:rPr>
          <w:rFonts w:hint="eastAsia"/>
          <w:sz w:val="24"/>
          <w:szCs w:val="24"/>
          <w:lang w:eastAsia="zh-CN"/>
        </w:rPr>
        <w:t>参考</w:t>
      </w:r>
      <w:r w:rsidRPr="00487663">
        <w:rPr>
          <w:sz w:val="24"/>
          <w:szCs w:val="24"/>
          <w:lang w:eastAsia="zh-CN"/>
        </w:rPr>
        <w:t>已完成</w:t>
      </w:r>
      <w:r w:rsidR="00BF728C" w:rsidRPr="00487663">
        <w:rPr>
          <w:rFonts w:hint="eastAsia"/>
          <w:sz w:val="24"/>
          <w:szCs w:val="24"/>
          <w:lang w:eastAsia="zh-CN"/>
        </w:rPr>
        <w:t>和</w:t>
      </w:r>
      <w:r w:rsidRPr="00487663">
        <w:rPr>
          <w:sz w:val="24"/>
          <w:szCs w:val="24"/>
          <w:lang w:eastAsia="zh-CN"/>
        </w:rPr>
        <w:t>正在开展的评估的经验教训，</w:t>
      </w:r>
      <w:r w:rsidRPr="00487663">
        <w:rPr>
          <w:rFonts w:hint="eastAsia"/>
          <w:sz w:val="24"/>
          <w:szCs w:val="24"/>
          <w:lang w:eastAsia="zh-CN"/>
        </w:rPr>
        <w:t>编写评估报告的拟议修订进程与时间表（包括行动、里程碑和体制安排）载于</w:t>
      </w:r>
      <w:r w:rsidRPr="00487663">
        <w:rPr>
          <w:sz w:val="24"/>
          <w:szCs w:val="24"/>
          <w:lang w:eastAsia="zh-CN"/>
        </w:rPr>
        <w:t>关于待开展评估的</w:t>
      </w:r>
      <w:r w:rsidRPr="00487663">
        <w:rPr>
          <w:sz w:val="24"/>
          <w:szCs w:val="24"/>
          <w:lang w:eastAsia="zh-CN"/>
        </w:rPr>
        <w:t>IPBES/6/8</w:t>
      </w:r>
      <w:r w:rsidRPr="00487663">
        <w:rPr>
          <w:rFonts w:hint="eastAsia"/>
          <w:sz w:val="24"/>
          <w:szCs w:val="24"/>
          <w:lang w:eastAsia="zh-CN"/>
        </w:rPr>
        <w:t>号</w:t>
      </w:r>
      <w:r w:rsidRPr="00487663">
        <w:rPr>
          <w:sz w:val="24"/>
          <w:szCs w:val="24"/>
          <w:lang w:eastAsia="zh-CN"/>
        </w:rPr>
        <w:t>文件。</w:t>
      </w:r>
    </w:p>
    <w:p w14:paraId="01BFD699" w14:textId="77777777" w:rsidR="009D1B0F" w:rsidRPr="00487663" w:rsidRDefault="009D1B0F" w:rsidP="00487663">
      <w:pPr>
        <w:pStyle w:val="CH1"/>
        <w:ind w:left="1253" w:right="289" w:hanging="1253"/>
        <w:jc w:val="both"/>
        <w:rPr>
          <w:rFonts w:ascii="SimHei" w:eastAsia="SimHei" w:hAnsi="SimHei"/>
          <w:lang w:eastAsia="zh-CN"/>
        </w:rPr>
      </w:pPr>
      <w:r w:rsidRPr="00487663">
        <w:rPr>
          <w:rFonts w:ascii="SimHei" w:eastAsia="SimHei" w:hAnsi="SimHei" w:hint="eastAsia"/>
          <w:lang w:eastAsia="zh-CN"/>
        </w:rPr>
        <w:tab/>
        <w:t>六、</w:t>
      </w:r>
      <w:r w:rsidRPr="00487663">
        <w:rPr>
          <w:rFonts w:ascii="SimHei" w:eastAsia="SimHei" w:hAnsi="SimHei" w:hint="eastAsia"/>
          <w:lang w:eastAsia="zh-CN"/>
        </w:rPr>
        <w:tab/>
        <w:t>成本估算</w:t>
      </w:r>
    </w:p>
    <w:p w14:paraId="37985AA3" w14:textId="7A99CF1A" w:rsidR="009D1B0F" w:rsidRPr="00487663" w:rsidRDefault="00BF728C" w:rsidP="000C3A84">
      <w:pPr>
        <w:pStyle w:val="Normalnumber"/>
        <w:keepNext/>
        <w:keepLines/>
        <w:numPr>
          <w:ilvl w:val="0"/>
          <w:numId w:val="62"/>
        </w:numPr>
        <w:tabs>
          <w:tab w:val="clear" w:pos="624"/>
          <w:tab w:val="left" w:pos="1247"/>
          <w:tab w:val="left" w:pos="1814"/>
          <w:tab w:val="left" w:pos="2381"/>
          <w:tab w:val="left" w:pos="2948"/>
          <w:tab w:val="left" w:pos="3515"/>
          <w:tab w:val="left" w:pos="4082"/>
        </w:tabs>
        <w:jc w:val="both"/>
        <w:rPr>
          <w:rFonts w:eastAsia="MS Mincho"/>
          <w:sz w:val="24"/>
          <w:szCs w:val="24"/>
          <w:lang w:eastAsia="zh-CN"/>
        </w:rPr>
      </w:pPr>
      <w:r w:rsidRPr="00487663">
        <w:rPr>
          <w:rFonts w:hint="eastAsia"/>
          <w:noProof/>
          <w:sz w:val="24"/>
          <w:szCs w:val="24"/>
          <w:lang w:eastAsia="zh-CN"/>
        </w:rPr>
        <w:t>本评估的订正成本估算载于</w:t>
      </w:r>
      <w:r w:rsidRPr="00487663">
        <w:rPr>
          <w:noProof/>
          <w:sz w:val="24"/>
          <w:szCs w:val="24"/>
          <w:lang w:eastAsia="zh-CN"/>
        </w:rPr>
        <w:t>IPBES/6/8</w:t>
      </w:r>
      <w:r w:rsidRPr="00487663">
        <w:rPr>
          <w:rFonts w:hint="eastAsia"/>
          <w:noProof/>
          <w:sz w:val="24"/>
          <w:szCs w:val="24"/>
          <w:lang w:eastAsia="zh-CN"/>
        </w:rPr>
        <w:t>号文件，关于平台财政和预算安排的</w:t>
      </w:r>
      <w:r w:rsidRPr="00487663">
        <w:rPr>
          <w:noProof/>
          <w:sz w:val="24"/>
          <w:szCs w:val="24"/>
          <w:lang w:eastAsia="zh-CN"/>
        </w:rPr>
        <w:t>IPBES/6/9</w:t>
      </w:r>
      <w:r w:rsidRPr="00487663">
        <w:rPr>
          <w:rFonts w:hint="eastAsia"/>
          <w:noProof/>
          <w:sz w:val="24"/>
          <w:szCs w:val="24"/>
          <w:lang w:eastAsia="zh-CN"/>
        </w:rPr>
        <w:t>号文件也将其纳入考虑</w:t>
      </w:r>
      <w:r w:rsidR="009D1B0F" w:rsidRPr="00487663">
        <w:rPr>
          <w:rFonts w:hint="eastAsia"/>
          <w:noProof/>
          <w:sz w:val="24"/>
          <w:szCs w:val="24"/>
          <w:lang w:eastAsia="zh-CN"/>
        </w:rPr>
        <w:t>。</w:t>
      </w:r>
    </w:p>
    <w:p w14:paraId="6AD9FBC0" w14:textId="77777777" w:rsidR="009D1B0F" w:rsidRPr="00487663" w:rsidRDefault="009D1B0F" w:rsidP="00487663">
      <w:pPr>
        <w:pStyle w:val="CH1"/>
        <w:jc w:val="both"/>
        <w:rPr>
          <w:rFonts w:ascii="SimHei" w:eastAsia="SimHei" w:hAnsi="SimHei"/>
          <w:lang w:eastAsia="en-US"/>
        </w:rPr>
      </w:pPr>
      <w:r w:rsidRPr="00487663">
        <w:rPr>
          <w:rFonts w:ascii="SimHei" w:eastAsia="SimHei" w:hAnsi="SimHei" w:hint="eastAsia"/>
          <w:lang w:eastAsia="zh-CN"/>
        </w:rPr>
        <w:tab/>
        <w:t>七、</w:t>
      </w:r>
      <w:r w:rsidRPr="00487663">
        <w:rPr>
          <w:rFonts w:ascii="SimHei" w:eastAsia="SimHei" w:hAnsi="SimHei" w:hint="eastAsia"/>
        </w:rPr>
        <w:tab/>
      </w:r>
      <w:r w:rsidRPr="00487663">
        <w:rPr>
          <w:rFonts w:ascii="SimHei" w:eastAsia="SimHei" w:hAnsi="SimHei" w:hint="eastAsia"/>
          <w:lang w:eastAsia="zh-CN"/>
        </w:rPr>
        <w:t>宣传与外联</w:t>
      </w:r>
    </w:p>
    <w:p w14:paraId="479BF21B" w14:textId="77777777" w:rsidR="009D1B0F" w:rsidRPr="00D52924" w:rsidRDefault="009D1B0F" w:rsidP="00487663">
      <w:pPr>
        <w:pStyle w:val="Normalnumber"/>
        <w:keepNext/>
        <w:keepLines/>
        <w:numPr>
          <w:ilvl w:val="0"/>
          <w:numId w:val="62"/>
        </w:numPr>
        <w:tabs>
          <w:tab w:val="clear" w:pos="624"/>
          <w:tab w:val="left" w:pos="1247"/>
          <w:tab w:val="left" w:pos="1814"/>
          <w:tab w:val="left" w:pos="2381"/>
          <w:tab w:val="left" w:pos="2948"/>
          <w:tab w:val="left" w:pos="3515"/>
          <w:tab w:val="left" w:pos="4082"/>
        </w:tabs>
        <w:jc w:val="both"/>
        <w:rPr>
          <w:rFonts w:eastAsia="MS Mincho"/>
          <w:lang w:eastAsia="zh-CN"/>
        </w:rPr>
      </w:pPr>
      <w:r w:rsidRPr="00487663">
        <w:rPr>
          <w:rFonts w:hint="eastAsia"/>
          <w:sz w:val="24"/>
          <w:szCs w:val="24"/>
          <w:lang w:eastAsia="zh-CN"/>
        </w:rPr>
        <w:t>将出版评估报告及其决策者摘要，决策者摘要将译成联合国六种正式语文。这些报告将在平台网站上发布</w:t>
      </w:r>
      <w:r w:rsidRPr="00487663">
        <w:rPr>
          <w:sz w:val="24"/>
          <w:szCs w:val="24"/>
          <w:lang w:eastAsia="zh-CN"/>
        </w:rPr>
        <w:t>(</w:t>
      </w:r>
      <w:hyperlink r:id="rId19" w:history="1">
        <w:r w:rsidRPr="00D52924">
          <w:rPr>
            <w:rStyle w:val="Hyperlink"/>
            <w:rFonts w:eastAsia="MS Mincho"/>
            <w:sz w:val="24"/>
            <w:szCs w:val="24"/>
            <w:lang w:val="en-GB" w:eastAsia="zh-CN"/>
          </w:rPr>
          <w:t>www.ipbes.net</w:t>
        </w:r>
      </w:hyperlink>
      <w:r w:rsidRPr="00D52924">
        <w:rPr>
          <w:sz w:val="24"/>
          <w:szCs w:val="24"/>
          <w:lang w:eastAsia="zh-CN"/>
        </w:rPr>
        <w:t>)</w:t>
      </w:r>
      <w:r w:rsidRPr="00D52924">
        <w:rPr>
          <w:rFonts w:hint="eastAsia"/>
          <w:sz w:val="24"/>
          <w:szCs w:val="24"/>
          <w:lang w:eastAsia="zh-CN"/>
        </w:rPr>
        <w:t>。根据平台的宣传战略，将确定相关的国际论坛，以介绍报告及其决策者摘要的各项结果。此类论坛将包括国家和国际科学研讨会，以及与生物多样性相关的多边环境协定、联合国各实体、私营部门和非政府组织的会议。</w:t>
      </w:r>
    </w:p>
    <w:p w14:paraId="44A3CB4D" w14:textId="77777777" w:rsidR="009D1B0F" w:rsidRPr="00487663" w:rsidRDefault="009D1B0F" w:rsidP="00487663">
      <w:pPr>
        <w:pStyle w:val="CH1"/>
        <w:jc w:val="both"/>
        <w:rPr>
          <w:rFonts w:ascii="SimHei" w:eastAsia="SimHei" w:hAnsi="SimHei"/>
          <w:lang w:eastAsia="en-US"/>
        </w:rPr>
      </w:pPr>
      <w:r w:rsidRPr="00487663">
        <w:rPr>
          <w:rFonts w:ascii="SimHei" w:eastAsia="SimHei" w:hAnsi="SimHei" w:hint="eastAsia"/>
          <w:lang w:eastAsia="zh-CN"/>
        </w:rPr>
        <w:tab/>
        <w:t>八、</w:t>
      </w:r>
      <w:r w:rsidRPr="00487663">
        <w:rPr>
          <w:rFonts w:ascii="SimHei" w:eastAsia="SimHei" w:hAnsi="SimHei" w:hint="eastAsia"/>
        </w:rPr>
        <w:tab/>
      </w:r>
      <w:r w:rsidRPr="00487663">
        <w:rPr>
          <w:rFonts w:ascii="SimHei" w:eastAsia="SimHei" w:hAnsi="SimHei" w:hint="eastAsia"/>
          <w:lang w:eastAsia="zh-CN"/>
        </w:rPr>
        <w:t>能力建设</w:t>
      </w:r>
    </w:p>
    <w:p w14:paraId="5ABB2C7A" w14:textId="77777777" w:rsidR="009D1B0F" w:rsidRPr="00487663" w:rsidRDefault="009D1B0F" w:rsidP="00487663">
      <w:pPr>
        <w:pStyle w:val="Normalnumber"/>
        <w:numPr>
          <w:ilvl w:val="0"/>
          <w:numId w:val="62"/>
        </w:numPr>
        <w:tabs>
          <w:tab w:val="clear" w:pos="624"/>
          <w:tab w:val="left" w:pos="1247"/>
          <w:tab w:val="left" w:pos="1814"/>
          <w:tab w:val="left" w:pos="2381"/>
          <w:tab w:val="left" w:pos="2948"/>
          <w:tab w:val="left" w:pos="3515"/>
          <w:tab w:val="left" w:pos="4082"/>
        </w:tabs>
        <w:jc w:val="both"/>
        <w:rPr>
          <w:lang w:eastAsia="zh-CN"/>
        </w:rPr>
      </w:pPr>
      <w:r w:rsidRPr="00487663">
        <w:rPr>
          <w:rFonts w:hint="eastAsia"/>
          <w:sz w:val="24"/>
          <w:szCs w:val="24"/>
          <w:lang w:eastAsia="zh-CN"/>
        </w:rPr>
        <w:t>将根据能力建设工作队的实施计划开展各项能力建设活动（如研究金方案）。</w:t>
      </w:r>
    </w:p>
    <w:p w14:paraId="3109C5AF" w14:textId="77777777" w:rsidR="00BF237D" w:rsidRPr="00487663" w:rsidRDefault="00BF237D" w:rsidP="00487663">
      <w:pPr>
        <w:pStyle w:val="Normal-pool"/>
        <w:rPr>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8"/>
        <w:gridCol w:w="1899"/>
        <w:gridCol w:w="1899"/>
        <w:gridCol w:w="1900"/>
        <w:gridCol w:w="1900"/>
      </w:tblGrid>
      <w:tr w:rsidR="00BF237D" w:rsidRPr="00487663" w14:paraId="33057A3F" w14:textId="77777777" w:rsidTr="001A1812">
        <w:tc>
          <w:tcPr>
            <w:tcW w:w="1942" w:type="dxa"/>
          </w:tcPr>
          <w:p w14:paraId="5EF1A922" w14:textId="77777777" w:rsidR="00BF237D" w:rsidRPr="00487663" w:rsidRDefault="00BF237D" w:rsidP="00487663">
            <w:pPr>
              <w:pStyle w:val="Normal-pool"/>
              <w:spacing w:before="520"/>
              <w:rPr>
                <w:lang w:eastAsia="zh-CN"/>
              </w:rPr>
            </w:pPr>
          </w:p>
        </w:tc>
        <w:tc>
          <w:tcPr>
            <w:tcW w:w="1942" w:type="dxa"/>
          </w:tcPr>
          <w:p w14:paraId="77F26007" w14:textId="77777777" w:rsidR="00BF237D" w:rsidRPr="00487663" w:rsidRDefault="00BF237D" w:rsidP="00487663">
            <w:pPr>
              <w:pStyle w:val="Normal-pool"/>
              <w:spacing w:before="520"/>
              <w:rPr>
                <w:lang w:eastAsia="zh-CN"/>
              </w:rPr>
            </w:pPr>
          </w:p>
        </w:tc>
        <w:tc>
          <w:tcPr>
            <w:tcW w:w="1942" w:type="dxa"/>
            <w:tcBorders>
              <w:bottom w:val="single" w:sz="4" w:space="0" w:color="auto"/>
            </w:tcBorders>
          </w:tcPr>
          <w:p w14:paraId="285AF537" w14:textId="77777777" w:rsidR="00BF237D" w:rsidRPr="00487663" w:rsidRDefault="00BF237D" w:rsidP="00487663">
            <w:pPr>
              <w:pStyle w:val="Normal-pool"/>
              <w:spacing w:before="520"/>
              <w:rPr>
                <w:lang w:eastAsia="zh-CN"/>
              </w:rPr>
            </w:pPr>
          </w:p>
        </w:tc>
        <w:tc>
          <w:tcPr>
            <w:tcW w:w="1943" w:type="dxa"/>
          </w:tcPr>
          <w:p w14:paraId="447DFE72" w14:textId="77777777" w:rsidR="00BF237D" w:rsidRPr="00487663" w:rsidRDefault="00BF237D" w:rsidP="00487663">
            <w:pPr>
              <w:pStyle w:val="Normal-pool"/>
              <w:spacing w:before="520"/>
              <w:rPr>
                <w:lang w:eastAsia="zh-CN"/>
              </w:rPr>
            </w:pPr>
          </w:p>
        </w:tc>
        <w:tc>
          <w:tcPr>
            <w:tcW w:w="1943" w:type="dxa"/>
          </w:tcPr>
          <w:p w14:paraId="30972F7C" w14:textId="77777777" w:rsidR="00BF237D" w:rsidRPr="00487663" w:rsidRDefault="00BF237D" w:rsidP="00487663">
            <w:pPr>
              <w:pStyle w:val="Normal-pool"/>
              <w:spacing w:before="520"/>
              <w:rPr>
                <w:lang w:eastAsia="zh-CN"/>
              </w:rPr>
            </w:pPr>
          </w:p>
        </w:tc>
      </w:tr>
    </w:tbl>
    <w:p w14:paraId="742F8053" w14:textId="77777777" w:rsidR="00BF237D" w:rsidRPr="00487663" w:rsidRDefault="00BF237D" w:rsidP="00D52924">
      <w:pPr>
        <w:pStyle w:val="Normal-pool"/>
        <w:rPr>
          <w:lang w:eastAsia="zh-CN"/>
        </w:rPr>
      </w:pPr>
    </w:p>
    <w:p w14:paraId="739F0E1C" w14:textId="77777777" w:rsidR="00B0727F" w:rsidRPr="00487663" w:rsidRDefault="00B0727F" w:rsidP="00D52924">
      <w:pPr>
        <w:pStyle w:val="ZZAnxheader"/>
        <w:rPr>
          <w:lang w:eastAsia="zh-CN"/>
        </w:rPr>
      </w:pPr>
    </w:p>
    <w:sectPr w:rsidR="00B0727F" w:rsidRPr="00487663" w:rsidSect="00370888">
      <w:headerReference w:type="even" r:id="rId20"/>
      <w:headerReference w:type="default" r:id="rId21"/>
      <w:footerReference w:type="default" r:id="rId22"/>
      <w:headerReference w:type="first" r:id="rId23"/>
      <w:footerReference w:type="first" r:id="rId24"/>
      <w:footnotePr>
        <w:numRestart w:val="eachSect"/>
      </w:footnotePr>
      <w:pgSz w:w="11906" w:h="16838" w:code="9"/>
      <w:pgMar w:top="907" w:right="992" w:bottom="1418" w:left="1418" w:header="539" w:footer="975"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99078" w14:textId="77777777" w:rsidR="00BE61A4" w:rsidRDefault="00BE61A4">
      <w:r>
        <w:separator/>
      </w:r>
    </w:p>
  </w:endnote>
  <w:endnote w:type="continuationSeparator" w:id="0">
    <w:p w14:paraId="280F2525" w14:textId="77777777" w:rsidR="00BE61A4" w:rsidRDefault="00BE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00000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18"/>
        <w:szCs w:val="18"/>
      </w:rPr>
      <w:id w:val="-519248436"/>
      <w:docPartObj>
        <w:docPartGallery w:val="Page Numbers (Bottom of Page)"/>
        <w:docPartUnique/>
      </w:docPartObj>
    </w:sdtPr>
    <w:sdtEndPr>
      <w:rPr>
        <w:noProof/>
        <w:sz w:val="20"/>
        <w:szCs w:val="20"/>
      </w:rPr>
    </w:sdtEndPr>
    <w:sdtContent>
      <w:p w14:paraId="05B49D79" w14:textId="65B8FDA8" w:rsidR="00E922B6" w:rsidRPr="001936EF" w:rsidRDefault="00E922B6" w:rsidP="00E922B6">
        <w:pPr>
          <w:pStyle w:val="Normal-pool"/>
          <w:rPr>
            <w:b/>
          </w:rPr>
        </w:pPr>
        <w:r w:rsidRPr="001936EF">
          <w:rPr>
            <w:b/>
          </w:rPr>
          <w:fldChar w:fldCharType="begin"/>
        </w:r>
        <w:r w:rsidRPr="001936EF">
          <w:rPr>
            <w:b/>
          </w:rPr>
          <w:instrText xml:space="preserve"> PAGE   \* MERGEFORMAT </w:instrText>
        </w:r>
        <w:r w:rsidRPr="001936EF">
          <w:rPr>
            <w:b/>
          </w:rPr>
          <w:fldChar w:fldCharType="separate"/>
        </w:r>
        <w:r w:rsidR="00235DAA">
          <w:rPr>
            <w:b/>
            <w:noProof/>
          </w:rPr>
          <w:t>4</w:t>
        </w:r>
        <w:r w:rsidRPr="001936EF">
          <w:rPr>
            <w:b/>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124098"/>
      <w:docPartObj>
        <w:docPartGallery w:val="Page Numbers (Bottom of Page)"/>
        <w:docPartUnique/>
      </w:docPartObj>
    </w:sdtPr>
    <w:sdtEndPr>
      <w:rPr>
        <w:b/>
      </w:rPr>
    </w:sdtEndPr>
    <w:sdtContent>
      <w:p w14:paraId="612C23CB" w14:textId="13FCD065" w:rsidR="00D934FE" w:rsidRPr="00A447C1" w:rsidRDefault="00F05491" w:rsidP="000E6840">
        <w:pPr>
          <w:pStyle w:val="Normal-pool"/>
          <w:rPr>
            <w:b/>
          </w:rPr>
        </w:pPr>
        <w:r w:rsidRPr="00A447C1">
          <w:rPr>
            <w:b/>
            <w:lang w:val="zh-CN"/>
          </w:rPr>
          <w:t>K1</w:t>
        </w:r>
        <w:r w:rsidR="0017032B">
          <w:rPr>
            <w:b/>
            <w:lang w:val="zh-CN"/>
          </w:rPr>
          <w:t>800082</w:t>
        </w:r>
        <w:r w:rsidR="00BF237D" w:rsidRPr="00A447C1">
          <w:rPr>
            <w:b/>
            <w:lang w:val="en-US"/>
          </w:rPr>
          <w:t xml:space="preserve">    </w:t>
        </w:r>
        <w:r w:rsidR="00D52924">
          <w:rPr>
            <w:b/>
            <w:lang w:val="zh-CN"/>
          </w:rPr>
          <w:t>02</w:t>
        </w:r>
        <w:r w:rsidR="007B3254">
          <w:rPr>
            <w:b/>
            <w:lang w:val="zh-CN"/>
          </w:rPr>
          <w:t>02</w:t>
        </w:r>
        <w:r w:rsidR="0017032B">
          <w:rPr>
            <w:b/>
            <w:lang w:val="zh-CN"/>
          </w:rPr>
          <w:t>18</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165413"/>
      <w:docPartObj>
        <w:docPartGallery w:val="Page Numbers (Bottom of Page)"/>
        <w:docPartUnique/>
      </w:docPartObj>
    </w:sdtPr>
    <w:sdtEndPr>
      <w:rPr>
        <w:b/>
        <w:noProof/>
      </w:rPr>
    </w:sdtEndPr>
    <w:sdtContent>
      <w:p w14:paraId="7195FA8F" w14:textId="4A1DA01E" w:rsidR="00E922B6" w:rsidRPr="001936EF" w:rsidRDefault="00E922B6" w:rsidP="00E922B6">
        <w:pPr>
          <w:pStyle w:val="Normal-pool"/>
          <w:jc w:val="right"/>
          <w:rPr>
            <w:b/>
          </w:rPr>
        </w:pPr>
        <w:r w:rsidRPr="001936EF">
          <w:rPr>
            <w:b/>
          </w:rPr>
          <w:fldChar w:fldCharType="begin"/>
        </w:r>
        <w:r w:rsidRPr="001936EF">
          <w:rPr>
            <w:b/>
          </w:rPr>
          <w:instrText xml:space="preserve"> PAGE   \* MERGEFORMAT </w:instrText>
        </w:r>
        <w:r w:rsidRPr="001936EF">
          <w:rPr>
            <w:b/>
          </w:rPr>
          <w:fldChar w:fldCharType="separate"/>
        </w:r>
        <w:r w:rsidR="00235DAA">
          <w:rPr>
            <w:b/>
            <w:noProof/>
          </w:rPr>
          <w:t>5</w:t>
        </w:r>
        <w:r w:rsidRPr="001936EF">
          <w:rPr>
            <w:b/>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149826"/>
      <w:docPartObj>
        <w:docPartGallery w:val="Page Numbers (Bottom of Page)"/>
        <w:docPartUnique/>
      </w:docPartObj>
    </w:sdtPr>
    <w:sdtEndPr>
      <w:rPr>
        <w:noProof/>
      </w:rPr>
    </w:sdtEndPr>
    <w:sdtContent>
      <w:p w14:paraId="6EC093AB" w14:textId="12D04F31" w:rsidR="00D934FE" w:rsidRPr="001936EF" w:rsidRDefault="00D934FE" w:rsidP="0020458B">
        <w:pPr>
          <w:pStyle w:val="Normal-pool"/>
        </w:pPr>
        <w:r w:rsidRPr="001936EF">
          <w:rPr>
            <w:b/>
          </w:rPr>
          <w:fldChar w:fldCharType="begin"/>
        </w:r>
        <w:r w:rsidRPr="001936EF">
          <w:rPr>
            <w:b/>
          </w:rPr>
          <w:instrText xml:space="preserve"> PAGE   \* MERGEFORMAT </w:instrText>
        </w:r>
        <w:r w:rsidRPr="001936EF">
          <w:rPr>
            <w:b/>
          </w:rPr>
          <w:fldChar w:fldCharType="separate"/>
        </w:r>
        <w:r w:rsidR="00235DAA">
          <w:rPr>
            <w:b/>
            <w:noProof/>
          </w:rPr>
          <w:t>2</w:t>
        </w:r>
        <w:r w:rsidRPr="001936EF">
          <w:rPr>
            <w:b/>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0F863" w14:textId="77777777" w:rsidR="00BE61A4" w:rsidRPr="00C63AE9" w:rsidRDefault="00BE61A4" w:rsidP="00C63AE9">
      <w:pPr>
        <w:tabs>
          <w:tab w:val="left" w:pos="624"/>
        </w:tabs>
        <w:spacing w:before="60" w:after="0" w:line="240" w:lineRule="auto"/>
        <w:ind w:left="624"/>
        <w:rPr>
          <w:rFonts w:ascii="Times New Roman" w:hAnsi="Times New Roman"/>
          <w:sz w:val="18"/>
          <w:szCs w:val="18"/>
        </w:rPr>
      </w:pPr>
      <w:r w:rsidRPr="00C63AE9">
        <w:rPr>
          <w:rFonts w:ascii="Times New Roman" w:hAnsi="Times New Roman"/>
          <w:sz w:val="18"/>
          <w:szCs w:val="18"/>
        </w:rPr>
        <w:separator/>
      </w:r>
    </w:p>
  </w:footnote>
  <w:footnote w:type="continuationSeparator" w:id="0">
    <w:p w14:paraId="47C775C3" w14:textId="77777777" w:rsidR="00BE61A4" w:rsidRDefault="00BE61A4">
      <w:r>
        <w:continuationSeparator/>
      </w:r>
    </w:p>
  </w:footnote>
  <w:footnote w:id="1">
    <w:p w14:paraId="6810B950" w14:textId="77777777" w:rsidR="001C34BA" w:rsidRPr="009228F0" w:rsidRDefault="001C34BA" w:rsidP="001C34BA">
      <w:pPr>
        <w:pStyle w:val="FootnoteText"/>
        <w:tabs>
          <w:tab w:val="left" w:pos="624"/>
          <w:tab w:val="right" w:pos="1195"/>
          <w:tab w:val="left" w:pos="1267"/>
          <w:tab w:val="left" w:pos="1742"/>
          <w:tab w:val="left" w:pos="2218"/>
          <w:tab w:val="left" w:pos="4240"/>
        </w:tabs>
        <w:ind w:left="1728"/>
        <w:rPr>
          <w:rFonts w:ascii="Times New Roman" w:eastAsiaTheme="minorEastAsia" w:hAnsi="Times New Roman"/>
          <w:sz w:val="20"/>
          <w:szCs w:val="18"/>
        </w:rPr>
      </w:pPr>
      <w:r>
        <w:rPr>
          <w:rFonts w:ascii="Times New Roman" w:hAnsi="Times New Roman"/>
          <w:sz w:val="20"/>
          <w:lang w:val="zh-CN"/>
        </w:rPr>
        <w:t>* IPBES/6/1</w:t>
      </w:r>
      <w:r>
        <w:rPr>
          <w:rFonts w:ascii="Times New Roman" w:eastAsiaTheme="minorEastAsia" w:hAnsi="Times New Roman" w:hint="eastAsia"/>
          <w:sz w:val="20"/>
          <w:lang w:val="zh-CN"/>
        </w:rPr>
        <w:t>。</w:t>
      </w:r>
    </w:p>
  </w:footnote>
  <w:footnote w:id="2">
    <w:p w14:paraId="78556D72" w14:textId="5588E24E" w:rsidR="0086162E" w:rsidRPr="00487663" w:rsidRDefault="0086162E" w:rsidP="00A447C1">
      <w:pPr>
        <w:pStyle w:val="FootnoteText"/>
        <w:spacing w:after="40" w:line="240" w:lineRule="auto"/>
        <w:ind w:left="1253" w:firstLine="0"/>
        <w:jc w:val="both"/>
        <w:rPr>
          <w:rFonts w:ascii="Times New Roman" w:eastAsia="SimSun" w:hAnsi="Times New Roman"/>
          <w:spacing w:val="0"/>
          <w:w w:val="100"/>
          <w:kern w:val="0"/>
          <w:sz w:val="20"/>
        </w:rPr>
      </w:pPr>
      <w:r w:rsidRPr="00487663">
        <w:rPr>
          <w:rStyle w:val="FootnoteReference"/>
          <w:spacing w:val="0"/>
          <w:w w:val="100"/>
          <w:kern w:val="0"/>
          <w:position w:val="0"/>
          <w:szCs w:val="20"/>
        </w:rPr>
        <w:t>1</w:t>
      </w:r>
      <w:r w:rsidRPr="00487663">
        <w:rPr>
          <w:rFonts w:ascii="Times New Roman" w:eastAsia="SimSun" w:hAnsi="Times New Roman"/>
          <w:spacing w:val="0"/>
          <w:w w:val="100"/>
          <w:kern w:val="0"/>
          <w:sz w:val="20"/>
          <w:lang w:val="en-GB"/>
        </w:rPr>
        <w:t xml:space="preserve"> </w:t>
      </w:r>
      <w:r w:rsidRPr="00487663">
        <w:rPr>
          <w:rFonts w:ascii="Times New Roman" w:eastAsia="SimSun" w:hAnsi="Times New Roman"/>
          <w:spacing w:val="0"/>
          <w:w w:val="100"/>
          <w:kern w:val="0"/>
          <w:sz w:val="20"/>
        </w:rPr>
        <w:t>IPBES-2/4</w:t>
      </w:r>
      <w:r w:rsidRPr="00487663">
        <w:rPr>
          <w:rFonts w:ascii="Times New Roman" w:eastAsia="SimSun" w:hAnsi="Times New Roman"/>
          <w:spacing w:val="0"/>
          <w:w w:val="100"/>
          <w:kern w:val="0"/>
          <w:sz w:val="20"/>
        </w:rPr>
        <w:t>号决定，附件。</w:t>
      </w:r>
    </w:p>
  </w:footnote>
  <w:footnote w:id="3">
    <w:p w14:paraId="166E573C" w14:textId="6FFC5DBD" w:rsidR="0086162E" w:rsidRPr="00487663" w:rsidRDefault="0086162E" w:rsidP="00A447C1">
      <w:pPr>
        <w:pStyle w:val="FootnoteText"/>
        <w:tabs>
          <w:tab w:val="left" w:pos="624"/>
        </w:tabs>
        <w:spacing w:after="40" w:line="240" w:lineRule="auto"/>
        <w:ind w:left="1253" w:firstLine="0"/>
        <w:jc w:val="both"/>
        <w:rPr>
          <w:rFonts w:ascii="Times New Roman" w:eastAsia="SimSun" w:hAnsi="Times New Roman"/>
          <w:spacing w:val="0"/>
          <w:w w:val="100"/>
          <w:kern w:val="0"/>
          <w:sz w:val="20"/>
          <w:lang w:val="en-GB"/>
        </w:rPr>
      </w:pPr>
      <w:r w:rsidRPr="00487663">
        <w:rPr>
          <w:rStyle w:val="FootnoteReference"/>
          <w:spacing w:val="0"/>
          <w:w w:val="100"/>
          <w:kern w:val="0"/>
          <w:position w:val="0"/>
          <w:szCs w:val="20"/>
        </w:rPr>
        <w:t>2</w:t>
      </w:r>
      <w:r w:rsidRPr="00487663">
        <w:rPr>
          <w:rFonts w:ascii="Times New Roman" w:eastAsia="SimSun" w:hAnsi="Times New Roman"/>
          <w:spacing w:val="0"/>
          <w:w w:val="100"/>
          <w:kern w:val="0"/>
          <w:sz w:val="20"/>
        </w:rPr>
        <w:t xml:space="preserve"> </w:t>
      </w:r>
      <w:r w:rsidRPr="00487663">
        <w:rPr>
          <w:rFonts w:ascii="Times New Roman" w:eastAsia="SimSun" w:hAnsi="Times New Roman"/>
          <w:spacing w:val="0"/>
          <w:w w:val="100"/>
          <w:kern w:val="0"/>
          <w:sz w:val="20"/>
          <w:lang w:val="en-GB"/>
        </w:rPr>
        <w:t>在平台的评估指南中使用平台的信心框架</w:t>
      </w:r>
      <w:r w:rsidRPr="00487663">
        <w:rPr>
          <w:rFonts w:ascii="Times New Roman" w:eastAsia="SimSun" w:hAnsi="Times New Roman"/>
          <w:spacing w:val="0"/>
          <w:w w:val="100"/>
          <w:kern w:val="0"/>
          <w:sz w:val="20"/>
          <w:lang w:val="en-GB"/>
        </w:rPr>
        <w:t>(IPBES/4/INF/9)</w:t>
      </w:r>
      <w:r w:rsidRPr="00487663">
        <w:rPr>
          <w:rFonts w:ascii="Times New Roman" w:eastAsia="SimSun" w:hAnsi="Times New Roman"/>
          <w:spacing w:val="0"/>
          <w:w w:val="100"/>
          <w:kern w:val="0"/>
          <w:sz w:val="20"/>
          <w:lang w:val="en-GB"/>
        </w:rPr>
        <w:t>。</w:t>
      </w:r>
    </w:p>
  </w:footnote>
  <w:footnote w:id="4">
    <w:p w14:paraId="7E773BFA" w14:textId="0860FFAB" w:rsidR="0086162E" w:rsidRPr="00487663" w:rsidRDefault="0086162E" w:rsidP="00A447C1">
      <w:pPr>
        <w:pStyle w:val="FootnoteText"/>
        <w:tabs>
          <w:tab w:val="left" w:pos="624"/>
          <w:tab w:val="left" w:pos="9270"/>
          <w:tab w:val="left" w:pos="9360"/>
          <w:tab w:val="left" w:pos="9450"/>
        </w:tabs>
        <w:spacing w:after="40" w:line="240" w:lineRule="auto"/>
        <w:ind w:left="1253" w:firstLine="0"/>
        <w:jc w:val="both"/>
        <w:rPr>
          <w:rFonts w:ascii="Times New Roman" w:eastAsia="SimSun" w:hAnsi="Times New Roman"/>
          <w:spacing w:val="0"/>
          <w:w w:val="100"/>
          <w:kern w:val="0"/>
          <w:sz w:val="20"/>
          <w:lang w:val="en-GB"/>
        </w:rPr>
      </w:pPr>
      <w:r w:rsidRPr="00487663">
        <w:rPr>
          <w:rStyle w:val="FootnoteReference"/>
          <w:spacing w:val="0"/>
          <w:w w:val="100"/>
          <w:kern w:val="0"/>
          <w:position w:val="0"/>
          <w:szCs w:val="20"/>
        </w:rPr>
        <w:t>3</w:t>
      </w:r>
      <w:r w:rsidRPr="00487663">
        <w:rPr>
          <w:rFonts w:ascii="Times New Roman" w:eastAsia="SimSun" w:hAnsi="Times New Roman"/>
          <w:spacing w:val="0"/>
          <w:w w:val="100"/>
          <w:kern w:val="0"/>
          <w:sz w:val="20"/>
          <w:lang w:val="en-GB"/>
        </w:rPr>
        <w:t xml:space="preserve"> </w:t>
      </w:r>
      <w:r w:rsidRPr="00487663">
        <w:rPr>
          <w:rFonts w:ascii="Times New Roman" w:eastAsia="SimSun" w:hAnsi="Times New Roman"/>
          <w:spacing w:val="0"/>
          <w:w w:val="100"/>
          <w:kern w:val="0"/>
          <w:sz w:val="20"/>
          <w:lang w:val="en-GB"/>
        </w:rPr>
        <w:t>概念框架在平台背景下界定术语</w:t>
      </w:r>
      <w:r w:rsidRPr="00487663">
        <w:rPr>
          <w:rFonts w:ascii="Times New Roman" w:eastAsia="SimSun" w:hAnsi="Times New Roman"/>
          <w:spacing w:val="0"/>
          <w:w w:val="100"/>
          <w:kern w:val="0"/>
          <w:sz w:val="20"/>
          <w:lang w:val="en-GB"/>
        </w:rPr>
        <w:t>“</w:t>
      </w:r>
      <w:r w:rsidRPr="00487663">
        <w:rPr>
          <w:rFonts w:ascii="Times New Roman" w:eastAsia="SimSun" w:hAnsi="Times New Roman"/>
          <w:spacing w:val="0"/>
          <w:w w:val="100"/>
          <w:kern w:val="0"/>
          <w:sz w:val="20"/>
          <w:lang w:val="en-GB"/>
        </w:rPr>
        <w:t>自然及其对人类惠益</w:t>
      </w:r>
      <w:r w:rsidRPr="00487663">
        <w:rPr>
          <w:rFonts w:ascii="Times New Roman" w:eastAsia="SimSun" w:hAnsi="Times New Roman"/>
          <w:spacing w:val="0"/>
          <w:w w:val="100"/>
          <w:kern w:val="0"/>
          <w:sz w:val="20"/>
          <w:lang w:val="en-GB"/>
        </w:rPr>
        <w:t>”</w:t>
      </w:r>
      <w:r w:rsidRPr="00487663">
        <w:rPr>
          <w:rFonts w:ascii="Times New Roman" w:eastAsia="SimSun" w:hAnsi="Times New Roman"/>
          <w:spacing w:val="0"/>
          <w:w w:val="100"/>
          <w:kern w:val="0"/>
          <w:sz w:val="20"/>
          <w:lang w:val="en-GB"/>
        </w:rPr>
        <w:t>及其使用</w:t>
      </w:r>
      <w:r w:rsidRPr="00487663">
        <w:rPr>
          <w:rFonts w:ascii="Times New Roman" w:eastAsia="SimSun" w:hAnsi="Times New Roman"/>
          <w:spacing w:val="0"/>
          <w:w w:val="100"/>
          <w:kern w:val="0"/>
          <w:sz w:val="20"/>
          <w:lang w:val="en-GB"/>
        </w:rPr>
        <w:t>(IPBES-2/4</w:t>
      </w:r>
      <w:r w:rsidRPr="00487663">
        <w:rPr>
          <w:rFonts w:ascii="Times New Roman" w:eastAsia="SimSun" w:hAnsi="Times New Roman"/>
          <w:spacing w:val="0"/>
          <w:w w:val="100"/>
          <w:kern w:val="0"/>
          <w:sz w:val="20"/>
          <w:lang w:val="en-GB"/>
        </w:rPr>
        <w:t>号决定，附件</w:t>
      </w:r>
      <w:r w:rsidRPr="00487663">
        <w:rPr>
          <w:rFonts w:ascii="Times New Roman" w:eastAsia="SimSun" w:hAnsi="Times New Roman"/>
          <w:spacing w:val="0"/>
          <w:w w:val="100"/>
          <w:kern w:val="0"/>
          <w:sz w:val="20"/>
          <w:lang w:val="en-GB"/>
        </w:rPr>
        <w:t>)</w:t>
      </w:r>
      <w:r w:rsidRPr="00487663">
        <w:rPr>
          <w:rFonts w:ascii="Times New Roman" w:eastAsia="SimSun" w:hAnsi="Times New Roman"/>
          <w:spacing w:val="0"/>
          <w:w w:val="100"/>
          <w:kern w:val="0"/>
          <w:sz w:val="20"/>
          <w:lang w:val="en-GB"/>
        </w:rPr>
        <w:t>。</w:t>
      </w:r>
    </w:p>
  </w:footnote>
  <w:footnote w:id="5">
    <w:p w14:paraId="7C051ECE" w14:textId="0274BC48" w:rsidR="0086162E" w:rsidRPr="00487663" w:rsidRDefault="0086162E" w:rsidP="00A447C1">
      <w:pPr>
        <w:pStyle w:val="FootnoteText"/>
        <w:spacing w:after="40" w:line="240" w:lineRule="auto"/>
        <w:ind w:left="1253" w:firstLine="0"/>
        <w:jc w:val="both"/>
        <w:rPr>
          <w:rFonts w:ascii="Times New Roman" w:hAnsi="Times New Roman"/>
          <w:spacing w:val="0"/>
          <w:w w:val="100"/>
          <w:kern w:val="0"/>
          <w:sz w:val="20"/>
          <w:lang w:val="fr-FR"/>
        </w:rPr>
      </w:pPr>
      <w:r w:rsidRPr="00487663">
        <w:rPr>
          <w:rStyle w:val="FootnoteReference"/>
          <w:spacing w:val="0"/>
          <w:w w:val="100"/>
          <w:kern w:val="0"/>
          <w:position w:val="0"/>
          <w:szCs w:val="20"/>
          <w:lang w:val="fr-FR"/>
        </w:rPr>
        <w:t>4</w:t>
      </w:r>
      <w:r w:rsidRPr="00487663">
        <w:rPr>
          <w:rFonts w:ascii="Times New Roman" w:eastAsia="SimSun" w:hAnsi="Times New Roman"/>
          <w:spacing w:val="0"/>
          <w:w w:val="100"/>
          <w:kern w:val="0"/>
          <w:sz w:val="20"/>
          <w:lang w:val="fr-FR"/>
        </w:rPr>
        <w:t xml:space="preserve"> (IPBES/4/INF/13)</w:t>
      </w:r>
      <w:r w:rsidRPr="00487663">
        <w:rPr>
          <w:rFonts w:ascii="Times New Roman" w:eastAsia="SimSun" w:hAnsi="Times New Roman"/>
          <w:spacing w:val="0"/>
          <w:w w:val="100"/>
          <w:kern w:val="0"/>
          <w:sz w:val="20"/>
          <w:lang w:val="en-GB"/>
        </w:rPr>
        <w:t>。</w:t>
      </w:r>
    </w:p>
  </w:footnote>
  <w:footnote w:id="6">
    <w:p w14:paraId="05E15A4A" w14:textId="681AB912" w:rsidR="0086162E" w:rsidRPr="00487663" w:rsidRDefault="0086162E" w:rsidP="001936EF">
      <w:pPr>
        <w:pStyle w:val="FootnoteText"/>
        <w:spacing w:after="40" w:line="240" w:lineRule="auto"/>
        <w:ind w:left="1729" w:hanging="476"/>
        <w:rPr>
          <w:rFonts w:ascii="Times New Roman" w:hAnsi="Times New Roman"/>
          <w:spacing w:val="0"/>
          <w:w w:val="100"/>
          <w:kern w:val="0"/>
          <w:sz w:val="20"/>
          <w:lang w:val="fr-FR"/>
        </w:rPr>
      </w:pPr>
      <w:r w:rsidRPr="00487663">
        <w:rPr>
          <w:rStyle w:val="FootnoteReference"/>
          <w:spacing w:val="0"/>
          <w:w w:val="100"/>
          <w:kern w:val="0"/>
          <w:position w:val="0"/>
          <w:lang w:val="fr-FR"/>
        </w:rPr>
        <w:t>5</w:t>
      </w:r>
      <w:r w:rsidRPr="00487663">
        <w:rPr>
          <w:rFonts w:ascii="Times New Roman" w:hAnsi="Times New Roman"/>
          <w:spacing w:val="0"/>
          <w:w w:val="100"/>
          <w:kern w:val="0"/>
          <w:sz w:val="20"/>
          <w:lang w:val="fr-FR"/>
        </w:rPr>
        <w:t xml:space="preserve"> IPBES/4/INF/14</w:t>
      </w:r>
      <w:r w:rsidRPr="00487663">
        <w:rPr>
          <w:rFonts w:ascii="Times New Roman" w:hAnsi="Times New Roman"/>
          <w:spacing w:val="0"/>
          <w:w w:val="100"/>
          <w:kern w:val="0"/>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39EE2" w14:textId="05BEE509" w:rsidR="00E922B6" w:rsidRPr="00E922B6" w:rsidRDefault="00E922B6" w:rsidP="00E922B6">
    <w:pPr>
      <w:pStyle w:val="Normal-pool"/>
      <w:pBdr>
        <w:bottom w:val="single" w:sz="4" w:space="1" w:color="auto"/>
      </w:pBdr>
      <w:rPr>
        <w:b/>
      </w:rPr>
    </w:pPr>
    <w:r w:rsidRPr="000E6840">
      <w:rPr>
        <w:b/>
      </w:rPr>
      <w:t>IPBES/5/INF/12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4F56B" w14:textId="0765477D" w:rsidR="00D934FE" w:rsidRPr="000E6840" w:rsidRDefault="00D934FE" w:rsidP="000E6840">
    <w:pPr>
      <w:pStyle w:val="Normal-pool"/>
      <w:pBdr>
        <w:bottom w:val="single" w:sz="4" w:space="1" w:color="auto"/>
      </w:pBdr>
      <w:jc w:val="right"/>
      <w:rPr>
        <w:b/>
      </w:rPr>
    </w:pPr>
    <w:r w:rsidRPr="000E6840">
      <w:rPr>
        <w:b/>
      </w:rPr>
      <w:t>IPBES/5/INF/12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1DF9B" w14:textId="5D46F200" w:rsidR="00D934FE" w:rsidRPr="000E6840" w:rsidRDefault="00D934FE" w:rsidP="000E6840">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D28D7" w14:textId="46C0B524" w:rsidR="00F05491" w:rsidRPr="00F05491" w:rsidRDefault="00B71E36" w:rsidP="00F05491">
    <w:pPr>
      <w:pStyle w:val="Normal-pool"/>
      <w:pBdr>
        <w:bottom w:val="single" w:sz="4" w:space="1" w:color="auto"/>
      </w:pBdr>
      <w:rPr>
        <w:b/>
      </w:rPr>
    </w:pPr>
    <w:r>
      <w:rPr>
        <w:b/>
      </w:rPr>
      <w:t>IPBES/6/INF/9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7B3C9" w14:textId="32DC2024" w:rsidR="00F05491" w:rsidRPr="00F05491" w:rsidRDefault="00B71E36" w:rsidP="00F05491">
    <w:pPr>
      <w:pStyle w:val="Normal-pool"/>
      <w:pBdr>
        <w:bottom w:val="single" w:sz="4" w:space="1" w:color="auto"/>
      </w:pBdr>
      <w:jc w:val="right"/>
      <w:rPr>
        <w:b/>
      </w:rPr>
    </w:pPr>
    <w:r>
      <w:rPr>
        <w:b/>
      </w:rPr>
      <w:t>IPBES/6/INF/9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04512" w14:textId="1878A6C4" w:rsidR="00D934FE" w:rsidRPr="000E6840" w:rsidRDefault="00B71E36" w:rsidP="000E6840">
    <w:pPr>
      <w:pStyle w:val="Normal-pool"/>
      <w:pBdr>
        <w:bottom w:val="single" w:sz="4" w:space="1" w:color="auto"/>
      </w:pBdr>
      <w:rPr>
        <w:b/>
      </w:rPr>
    </w:pPr>
    <w:r>
      <w:rPr>
        <w:b/>
      </w:rPr>
      <w:t>IPBES/6/INF/9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0F15"/>
    <w:multiLevelType w:val="multilevel"/>
    <w:tmpl w:val="9D5C3996"/>
    <w:lvl w:ilvl="0">
      <w:start w:val="1"/>
      <w:numFmt w:val="decimal"/>
      <w:lvlText w:val="%1."/>
      <w:lvlJc w:val="left"/>
      <w:pPr>
        <w:tabs>
          <w:tab w:val="num" w:pos="2250"/>
        </w:tabs>
        <w:ind w:left="2250" w:hanging="720"/>
      </w:pPr>
      <w:rPr>
        <w:rFonts w:ascii="Times New Roman" w:hAnsi="Times New Roman" w:cs="Times New Roman" w:hint="default"/>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AF92167"/>
    <w:multiLevelType w:val="hybridMultilevel"/>
    <w:tmpl w:val="6B02876A"/>
    <w:lvl w:ilvl="0" w:tplc="1B922964">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113A7"/>
    <w:multiLevelType w:val="multilevel"/>
    <w:tmpl w:val="295ACB6E"/>
    <w:numStyleLink w:val="Normallist"/>
  </w:abstractNum>
  <w:abstractNum w:abstractNumId="3" w15:restartNumberingAfterBreak="0">
    <w:nsid w:val="19854769"/>
    <w:multiLevelType w:val="hybridMultilevel"/>
    <w:tmpl w:val="1C506E8A"/>
    <w:lvl w:ilvl="0" w:tplc="26AE43E6">
      <w:start w:val="2"/>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71867"/>
    <w:multiLevelType w:val="singleLevel"/>
    <w:tmpl w:val="A2E252AA"/>
    <w:lvl w:ilvl="0">
      <w:start w:val="1"/>
      <w:numFmt w:val="upperRoman"/>
      <w:pStyle w:val="Heading8"/>
      <w:lvlText w:val="%1."/>
      <w:lvlJc w:val="left"/>
      <w:pPr>
        <w:tabs>
          <w:tab w:val="num" w:pos="720"/>
        </w:tabs>
        <w:ind w:left="720" w:hanging="720"/>
      </w:pPr>
      <w:rPr>
        <w:rFonts w:hint="default"/>
      </w:rPr>
    </w:lvl>
  </w:abstractNum>
  <w:abstractNum w:abstractNumId="5" w15:restartNumberingAfterBreak="0">
    <w:nsid w:val="1EC779A3"/>
    <w:multiLevelType w:val="hybridMultilevel"/>
    <w:tmpl w:val="8432F1D2"/>
    <w:lvl w:ilvl="0" w:tplc="1DC22620">
      <w:start w:val="1"/>
      <w:numFmt w:val="lowerLetter"/>
      <w:lvlText w:val="(%1)"/>
      <w:lvlJc w:val="right"/>
      <w:pPr>
        <w:ind w:left="2020" w:hanging="360"/>
      </w:pPr>
      <w:rPr>
        <w:rFonts w:hint="default"/>
      </w:rPr>
    </w:lvl>
    <w:lvl w:ilvl="1" w:tplc="04090019" w:tentative="1">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abstractNum w:abstractNumId="6" w15:restartNumberingAfterBreak="0">
    <w:nsid w:val="2550236C"/>
    <w:multiLevelType w:val="multilevel"/>
    <w:tmpl w:val="402086BE"/>
    <w:lvl w:ilvl="0">
      <w:start w:val="1"/>
      <w:numFmt w:val="lowerLetter"/>
      <w:lvlText w:val="(%1)"/>
      <w:lvlJc w:val="left"/>
      <w:pPr>
        <w:tabs>
          <w:tab w:val="num" w:pos="1134"/>
        </w:tabs>
        <w:ind w:left="1247" w:firstLine="0"/>
      </w:pPr>
      <w:rPr>
        <w:rFonts w:hint="default"/>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7" w15:restartNumberingAfterBreak="0">
    <w:nsid w:val="2C015D5F"/>
    <w:multiLevelType w:val="hybridMultilevel"/>
    <w:tmpl w:val="604492CA"/>
    <w:lvl w:ilvl="0" w:tplc="FFE831A8">
      <w:start w:val="1"/>
      <w:numFmt w:val="decimal"/>
      <w:lvlText w:val="%1."/>
      <w:lvlJc w:val="left"/>
      <w:pPr>
        <w:ind w:left="2171" w:hanging="360"/>
      </w:pPr>
      <w:rPr>
        <w:rFonts w:hint="default"/>
      </w:rPr>
    </w:lvl>
    <w:lvl w:ilvl="1" w:tplc="04090019" w:tentative="1">
      <w:start w:val="1"/>
      <w:numFmt w:val="lowerLetter"/>
      <w:lvlText w:val="%2."/>
      <w:lvlJc w:val="left"/>
      <w:pPr>
        <w:ind w:left="2891" w:hanging="360"/>
      </w:pPr>
    </w:lvl>
    <w:lvl w:ilvl="2" w:tplc="0409001B" w:tentative="1">
      <w:start w:val="1"/>
      <w:numFmt w:val="lowerRoman"/>
      <w:lvlText w:val="%3."/>
      <w:lvlJc w:val="right"/>
      <w:pPr>
        <w:ind w:left="3611" w:hanging="180"/>
      </w:pPr>
    </w:lvl>
    <w:lvl w:ilvl="3" w:tplc="0409000F" w:tentative="1">
      <w:start w:val="1"/>
      <w:numFmt w:val="decimal"/>
      <w:lvlText w:val="%4."/>
      <w:lvlJc w:val="left"/>
      <w:pPr>
        <w:ind w:left="4331" w:hanging="360"/>
      </w:pPr>
    </w:lvl>
    <w:lvl w:ilvl="4" w:tplc="04090019" w:tentative="1">
      <w:start w:val="1"/>
      <w:numFmt w:val="lowerLetter"/>
      <w:lvlText w:val="%5."/>
      <w:lvlJc w:val="left"/>
      <w:pPr>
        <w:ind w:left="5051" w:hanging="360"/>
      </w:pPr>
    </w:lvl>
    <w:lvl w:ilvl="5" w:tplc="0409001B" w:tentative="1">
      <w:start w:val="1"/>
      <w:numFmt w:val="lowerRoman"/>
      <w:lvlText w:val="%6."/>
      <w:lvlJc w:val="right"/>
      <w:pPr>
        <w:ind w:left="5771" w:hanging="180"/>
      </w:pPr>
    </w:lvl>
    <w:lvl w:ilvl="6" w:tplc="0409000F" w:tentative="1">
      <w:start w:val="1"/>
      <w:numFmt w:val="decimal"/>
      <w:lvlText w:val="%7."/>
      <w:lvlJc w:val="left"/>
      <w:pPr>
        <w:ind w:left="6491" w:hanging="360"/>
      </w:pPr>
    </w:lvl>
    <w:lvl w:ilvl="7" w:tplc="04090019" w:tentative="1">
      <w:start w:val="1"/>
      <w:numFmt w:val="lowerLetter"/>
      <w:lvlText w:val="%8."/>
      <w:lvlJc w:val="left"/>
      <w:pPr>
        <w:ind w:left="7211" w:hanging="360"/>
      </w:pPr>
    </w:lvl>
    <w:lvl w:ilvl="8" w:tplc="0409001B" w:tentative="1">
      <w:start w:val="1"/>
      <w:numFmt w:val="lowerRoman"/>
      <w:lvlText w:val="%9."/>
      <w:lvlJc w:val="right"/>
      <w:pPr>
        <w:ind w:left="7931" w:hanging="180"/>
      </w:pPr>
    </w:lvl>
  </w:abstractNum>
  <w:abstractNum w:abstractNumId="8" w15:restartNumberingAfterBreak="0">
    <w:nsid w:val="35571603"/>
    <w:multiLevelType w:val="singleLevel"/>
    <w:tmpl w:val="2868AC2A"/>
    <w:lvl w:ilvl="0">
      <w:start w:val="6"/>
      <w:numFmt w:val="upperLetter"/>
      <w:pStyle w:val="Heading9"/>
      <w:lvlText w:val="%1."/>
      <w:lvlJc w:val="left"/>
      <w:pPr>
        <w:tabs>
          <w:tab w:val="num" w:pos="360"/>
        </w:tabs>
        <w:ind w:left="360" w:hanging="360"/>
      </w:pPr>
      <w:rPr>
        <w:rFonts w:hint="default"/>
      </w:rPr>
    </w:lvl>
  </w:abstractNum>
  <w:abstractNum w:abstractNumId="9" w15:restartNumberingAfterBreak="0">
    <w:nsid w:val="36E47EE8"/>
    <w:multiLevelType w:val="hybridMultilevel"/>
    <w:tmpl w:val="16729768"/>
    <w:lvl w:ilvl="0" w:tplc="04090015">
      <w:start w:val="1"/>
      <w:numFmt w:val="upperLetter"/>
      <w:lvlText w:val="%1."/>
      <w:lvlJc w:val="left"/>
      <w:pPr>
        <w:ind w:left="1976" w:hanging="360"/>
      </w:pPr>
    </w:lvl>
    <w:lvl w:ilvl="1" w:tplc="1206E210">
      <w:start w:val="1"/>
      <w:numFmt w:val="upperLetter"/>
      <w:lvlText w:val="%2."/>
      <w:lvlJc w:val="left"/>
      <w:pPr>
        <w:ind w:left="2696" w:hanging="360"/>
      </w:pPr>
    </w:lvl>
    <w:lvl w:ilvl="2" w:tplc="0409001B" w:tentative="1">
      <w:start w:val="1"/>
      <w:numFmt w:val="lowerRoman"/>
      <w:lvlText w:val="%3."/>
      <w:lvlJc w:val="right"/>
      <w:pPr>
        <w:ind w:left="3416" w:hanging="180"/>
      </w:pPr>
    </w:lvl>
    <w:lvl w:ilvl="3" w:tplc="0409000F" w:tentative="1">
      <w:start w:val="1"/>
      <w:numFmt w:val="decimal"/>
      <w:lvlText w:val="%4."/>
      <w:lvlJc w:val="left"/>
      <w:pPr>
        <w:ind w:left="4136" w:hanging="360"/>
      </w:pPr>
    </w:lvl>
    <w:lvl w:ilvl="4" w:tplc="04090019" w:tentative="1">
      <w:start w:val="1"/>
      <w:numFmt w:val="lowerLetter"/>
      <w:lvlText w:val="%5."/>
      <w:lvlJc w:val="left"/>
      <w:pPr>
        <w:ind w:left="4856" w:hanging="360"/>
      </w:pPr>
    </w:lvl>
    <w:lvl w:ilvl="5" w:tplc="0409001B" w:tentative="1">
      <w:start w:val="1"/>
      <w:numFmt w:val="lowerRoman"/>
      <w:lvlText w:val="%6."/>
      <w:lvlJc w:val="right"/>
      <w:pPr>
        <w:ind w:left="5576" w:hanging="180"/>
      </w:pPr>
    </w:lvl>
    <w:lvl w:ilvl="6" w:tplc="0409000F" w:tentative="1">
      <w:start w:val="1"/>
      <w:numFmt w:val="decimal"/>
      <w:lvlText w:val="%7."/>
      <w:lvlJc w:val="left"/>
      <w:pPr>
        <w:ind w:left="6296" w:hanging="360"/>
      </w:pPr>
    </w:lvl>
    <w:lvl w:ilvl="7" w:tplc="04090019" w:tentative="1">
      <w:start w:val="1"/>
      <w:numFmt w:val="lowerLetter"/>
      <w:lvlText w:val="%8."/>
      <w:lvlJc w:val="left"/>
      <w:pPr>
        <w:ind w:left="7016" w:hanging="360"/>
      </w:pPr>
    </w:lvl>
    <w:lvl w:ilvl="8" w:tplc="0409001B" w:tentative="1">
      <w:start w:val="1"/>
      <w:numFmt w:val="lowerRoman"/>
      <w:lvlText w:val="%9."/>
      <w:lvlJc w:val="right"/>
      <w:pPr>
        <w:ind w:left="7736" w:hanging="180"/>
      </w:pPr>
    </w:lvl>
  </w:abstractNum>
  <w:abstractNum w:abstractNumId="10" w15:restartNumberingAfterBreak="0">
    <w:nsid w:val="52A66A9D"/>
    <w:multiLevelType w:val="multilevel"/>
    <w:tmpl w:val="295ACB6E"/>
    <w:styleLink w:val="Normallist"/>
    <w:lvl w:ilvl="0">
      <w:start w:val="1"/>
      <w:numFmt w:val="decimal"/>
      <w:pStyle w:val="Normalnumber"/>
      <w:lvlText w:val="%1."/>
      <w:lvlJc w:val="left"/>
      <w:pPr>
        <w:tabs>
          <w:tab w:val="num" w:pos="1134"/>
        </w:tabs>
        <w:ind w:left="1247" w:firstLine="0"/>
      </w:pPr>
      <w:rPr>
        <w:rFonts w:hint="default"/>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11" w15:restartNumberingAfterBreak="0">
    <w:nsid w:val="558B7316"/>
    <w:multiLevelType w:val="hybridMultilevel"/>
    <w:tmpl w:val="0B646E8C"/>
    <w:lvl w:ilvl="0" w:tplc="29482764">
      <w:start w:val="1"/>
      <w:numFmt w:val="upperRoman"/>
      <w:lvlText w:val="%1."/>
      <w:lvlJc w:val="right"/>
      <w:pPr>
        <w:ind w:left="1344" w:hanging="360"/>
      </w:pPr>
    </w:lvl>
    <w:lvl w:ilvl="1" w:tplc="7CB24C92">
      <w:start w:val="1"/>
      <w:numFmt w:val="upperLetter"/>
      <w:lvlText w:val="%2."/>
      <w:lvlJc w:val="left"/>
      <w:pPr>
        <w:ind w:left="2334" w:hanging="630"/>
      </w:pPr>
      <w:rPr>
        <w:rFonts w:hint="default"/>
      </w:r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12" w15:restartNumberingAfterBreak="0">
    <w:nsid w:val="62291BF8"/>
    <w:multiLevelType w:val="multilevel"/>
    <w:tmpl w:val="7E8AEE50"/>
    <w:lvl w:ilvl="0">
      <w:start w:val="1"/>
      <w:numFmt w:val="decimal"/>
      <w:lvlText w:val="%1."/>
      <w:lvlJc w:val="left"/>
      <w:pPr>
        <w:ind w:left="1710" w:hanging="360"/>
      </w:pPr>
      <w:rPr>
        <w:sz w:val="24"/>
        <w:szCs w:val="24"/>
      </w:rPr>
    </w:lvl>
    <w:lvl w:ilvl="1">
      <w:start w:val="1"/>
      <w:numFmt w:val="lowerLetter"/>
      <w:lvlText w:val="(%2)"/>
      <w:lvlJc w:val="left"/>
      <w:pPr>
        <w:tabs>
          <w:tab w:val="num" w:pos="1134"/>
        </w:tabs>
        <w:ind w:left="1247" w:firstLine="567"/>
      </w:pPr>
    </w:lvl>
    <w:lvl w:ilvl="2">
      <w:start w:val="1"/>
      <w:numFmt w:val="lowerRoman"/>
      <w:lvlText w:val="(%3)"/>
      <w:lvlJc w:val="left"/>
      <w:pPr>
        <w:tabs>
          <w:tab w:val="num" w:pos="1134"/>
        </w:tabs>
        <w:ind w:left="2948" w:hanging="567"/>
      </w:pPr>
    </w:lvl>
    <w:lvl w:ilvl="3">
      <w:start w:val="1"/>
      <w:numFmt w:val="lowerLetter"/>
      <w:lvlText w:val="%4."/>
      <w:lvlJc w:val="left"/>
      <w:pPr>
        <w:tabs>
          <w:tab w:val="num" w:pos="1134"/>
        </w:tabs>
        <w:ind w:left="3515" w:hanging="567"/>
      </w:pPr>
    </w:lvl>
    <w:lvl w:ilvl="4">
      <w:start w:val="1"/>
      <w:numFmt w:val="lowerRoman"/>
      <w:lvlText w:val="%5."/>
      <w:lvlJc w:val="left"/>
      <w:pPr>
        <w:tabs>
          <w:tab w:val="num" w:pos="1134"/>
        </w:tabs>
        <w:ind w:left="4082" w:hanging="567"/>
      </w:pPr>
    </w:lvl>
    <w:lvl w:ilvl="5">
      <w:start w:val="1"/>
      <w:numFmt w:val="lowerRoman"/>
      <w:lvlText w:val="%6."/>
      <w:lvlJc w:val="right"/>
      <w:pPr>
        <w:tabs>
          <w:tab w:val="num" w:pos="7835"/>
        </w:tabs>
        <w:ind w:left="7835" w:hanging="180"/>
      </w:pPr>
    </w:lvl>
    <w:lvl w:ilvl="6">
      <w:start w:val="1"/>
      <w:numFmt w:val="decimal"/>
      <w:lvlText w:val="%7."/>
      <w:lvlJc w:val="left"/>
      <w:pPr>
        <w:tabs>
          <w:tab w:val="num" w:pos="8555"/>
        </w:tabs>
        <w:ind w:left="8555" w:hanging="360"/>
      </w:pPr>
    </w:lvl>
    <w:lvl w:ilvl="7">
      <w:start w:val="1"/>
      <w:numFmt w:val="lowerLetter"/>
      <w:lvlText w:val="%8."/>
      <w:lvlJc w:val="left"/>
      <w:pPr>
        <w:tabs>
          <w:tab w:val="num" w:pos="9275"/>
        </w:tabs>
        <w:ind w:left="9275" w:hanging="360"/>
      </w:pPr>
    </w:lvl>
    <w:lvl w:ilvl="8">
      <w:start w:val="1"/>
      <w:numFmt w:val="lowerRoman"/>
      <w:lvlText w:val="%9."/>
      <w:lvlJc w:val="right"/>
      <w:pPr>
        <w:tabs>
          <w:tab w:val="num" w:pos="9995"/>
        </w:tabs>
        <w:ind w:left="9995" w:hanging="180"/>
      </w:pPr>
    </w:lvl>
  </w:abstractNum>
  <w:abstractNum w:abstractNumId="13" w15:restartNumberingAfterBreak="0">
    <w:nsid w:val="64A42B42"/>
    <w:multiLevelType w:val="hybridMultilevel"/>
    <w:tmpl w:val="9C26F3B4"/>
    <w:lvl w:ilvl="0" w:tplc="26AE43E6">
      <w:start w:val="2"/>
      <w:numFmt w:val="bullet"/>
      <w:lvlText w:val="-"/>
      <w:lvlJc w:val="left"/>
      <w:pPr>
        <w:ind w:left="720" w:hanging="360"/>
      </w:pPr>
      <w:rPr>
        <w:rFonts w:ascii="Calibri" w:eastAsiaTheme="minorHAnsi" w:hAnsi="Calibr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1C3BAB"/>
    <w:multiLevelType w:val="multilevel"/>
    <w:tmpl w:val="48241D10"/>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num w:numId="1">
    <w:abstractNumId w:val="4"/>
  </w:num>
  <w:num w:numId="2">
    <w:abstractNumId w:val="8"/>
  </w:num>
  <w:num w:numId="3">
    <w:abstractNumId w:val="10"/>
  </w:num>
  <w:num w:numId="4">
    <w:abstractNumId w:val="10"/>
    <w:lvlOverride w:ilvl="0">
      <w:lvl w:ilvl="0">
        <w:start w:val="1"/>
        <w:numFmt w:val="decimal"/>
        <w:pStyle w:val="Normalnumber"/>
        <w:lvlText w:val="%1."/>
        <w:lvlJc w:val="left"/>
        <w:pPr>
          <w:tabs>
            <w:tab w:val="num" w:pos="1134"/>
          </w:tabs>
          <w:ind w:left="1247" w:firstLine="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10"/>
  </w:num>
  <w:num w:numId="6">
    <w:abstractNumId w:val="10"/>
  </w:num>
  <w:num w:numId="7">
    <w:abstractNumId w:val="10"/>
  </w:num>
  <w:num w:numId="8">
    <w:abstractNumId w:val="10"/>
  </w:num>
  <w:num w:numId="9">
    <w:abstractNumId w:val="2"/>
    <w:lvlOverride w:ilvl="0">
      <w:lvl w:ilvl="0">
        <w:start w:val="1"/>
        <w:numFmt w:val="decimal"/>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0">
    <w:abstractNumId w:val="11"/>
  </w:num>
  <w:num w:numId="11">
    <w:abstractNumId w:val="9"/>
  </w:num>
  <w:num w:numId="12">
    <w:abstractNumId w:val="14"/>
  </w:num>
  <w:num w:numId="13">
    <w:abstractNumId w:val="2"/>
  </w:num>
  <w:num w:numId="14">
    <w:abstractNumId w:val="5"/>
  </w:num>
  <w:num w:numId="15">
    <w:abstractNumId w:val="1"/>
  </w:num>
  <w:num w:numId="16">
    <w:abstractNumId w:val="3"/>
  </w:num>
  <w:num w:numId="17">
    <w:abstractNumId w:val="13"/>
  </w:num>
  <w:num w:numId="18">
    <w:abstractNumId w:val="7"/>
  </w:num>
  <w:num w:numId="19">
    <w:abstractNumId w:val="6"/>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2"/>
    <w:lvlOverride w:ilvl="0">
      <w:lvl w:ilvl="0">
        <w:start w:val="1"/>
        <w:numFmt w:val="decimal"/>
        <w:lvlText w:val="%1."/>
        <w:lvlJc w:val="left"/>
        <w:pPr>
          <w:ind w:left="1607" w:hanging="360"/>
        </w:pPr>
      </w:lvl>
    </w:lvlOverride>
    <w:lvlOverride w:ilvl="1">
      <w:lvl w:ilvl="1">
        <w:start w:val="1"/>
        <w:numFmt w:val="lowerLetter"/>
        <w:lvlText w:val="%2."/>
        <w:lvlJc w:val="left"/>
        <w:pPr>
          <w:ind w:left="2327" w:hanging="360"/>
        </w:pPr>
      </w:lvl>
    </w:lvlOverride>
    <w:lvlOverride w:ilvl="2">
      <w:lvl w:ilvl="2" w:tentative="1">
        <w:start w:val="1"/>
        <w:numFmt w:val="lowerRoman"/>
        <w:lvlText w:val="%3."/>
        <w:lvlJc w:val="right"/>
        <w:pPr>
          <w:ind w:left="3047" w:hanging="180"/>
        </w:pPr>
      </w:lvl>
    </w:lvlOverride>
    <w:lvlOverride w:ilvl="3">
      <w:lvl w:ilvl="3" w:tentative="1">
        <w:start w:val="1"/>
        <w:numFmt w:val="decimal"/>
        <w:lvlText w:val="%4."/>
        <w:lvlJc w:val="left"/>
        <w:pPr>
          <w:ind w:left="3767" w:hanging="360"/>
        </w:pPr>
      </w:lvl>
    </w:lvlOverride>
    <w:lvlOverride w:ilvl="4">
      <w:lvl w:ilvl="4" w:tentative="1">
        <w:start w:val="1"/>
        <w:numFmt w:val="lowerLetter"/>
        <w:lvlText w:val="%5."/>
        <w:lvlJc w:val="left"/>
        <w:pPr>
          <w:ind w:left="4487" w:hanging="360"/>
        </w:pPr>
      </w:lvl>
    </w:lvlOverride>
    <w:lvlOverride w:ilvl="5">
      <w:lvl w:ilvl="5" w:tentative="1">
        <w:start w:val="1"/>
        <w:numFmt w:val="lowerRoman"/>
        <w:lvlText w:val="%6."/>
        <w:lvlJc w:val="right"/>
        <w:pPr>
          <w:ind w:left="5207" w:hanging="180"/>
        </w:pPr>
      </w:lvl>
    </w:lvlOverride>
    <w:lvlOverride w:ilvl="6">
      <w:lvl w:ilvl="6" w:tentative="1">
        <w:start w:val="1"/>
        <w:numFmt w:val="decimal"/>
        <w:lvlText w:val="%7."/>
        <w:lvlJc w:val="left"/>
        <w:pPr>
          <w:ind w:left="5927" w:hanging="360"/>
        </w:pPr>
      </w:lvl>
    </w:lvlOverride>
    <w:lvlOverride w:ilvl="7">
      <w:lvl w:ilvl="7" w:tentative="1">
        <w:start w:val="1"/>
        <w:numFmt w:val="lowerLetter"/>
        <w:lvlText w:val="%8."/>
        <w:lvlJc w:val="left"/>
        <w:pPr>
          <w:ind w:left="6647" w:hanging="360"/>
        </w:pPr>
      </w:lvl>
    </w:lvlOverride>
    <w:lvlOverride w:ilvl="8">
      <w:lvl w:ilvl="8" w:tentative="1">
        <w:start w:val="1"/>
        <w:numFmt w:val="lowerRoman"/>
        <w:lvlText w:val="%9."/>
        <w:lvlJc w:val="right"/>
        <w:pPr>
          <w:ind w:left="7367" w:hanging="180"/>
        </w:pPr>
      </w:lvl>
    </w:lvlOverride>
  </w:num>
  <w:num w:numId="33">
    <w:abstractNumId w:val="10"/>
    <w:lvlOverride w:ilvl="0">
      <w:lvl w:ilvl="0">
        <w:start w:val="1"/>
        <w:numFmt w:val="decimal"/>
        <w:pStyle w:val="Normalnumber"/>
        <w:lvlText w:val="%1."/>
        <w:lvlJc w:val="left"/>
        <w:pPr>
          <w:tabs>
            <w:tab w:val="num" w:pos="1134"/>
          </w:tabs>
          <w:ind w:left="1247" w:firstLine="0"/>
        </w:pPr>
        <w:rPr>
          <w:rFonts w:hint="default"/>
        </w:rPr>
      </w:lvl>
    </w:lvlOverride>
    <w:lvlOverride w:ilvl="1">
      <w:lvl w:ilvl="1">
        <w:start w:val="1"/>
        <w:numFmt w:val="lowerLetter"/>
        <w:lvlText w:val="(%2)"/>
        <w:lvlJc w:val="left"/>
        <w:pPr>
          <w:tabs>
            <w:tab w:val="num" w:pos="1134"/>
          </w:tabs>
          <w:ind w:left="1247" w:firstLine="567"/>
        </w:pPr>
        <w:rPr>
          <w:rFonts w:hint="default"/>
        </w:rPr>
      </w:lvl>
    </w:lvlOverride>
    <w:lvlOverride w:ilvl="2">
      <w:lvl w:ilvl="2">
        <w:start w:val="1"/>
        <w:numFmt w:val="lowerRoman"/>
        <w:lvlText w:val="(%3)"/>
        <w:lvlJc w:val="left"/>
        <w:pPr>
          <w:tabs>
            <w:tab w:val="num" w:pos="1134"/>
          </w:tabs>
          <w:ind w:left="2948" w:hanging="567"/>
        </w:pPr>
        <w:rPr>
          <w:rFonts w:hint="default"/>
        </w:rPr>
      </w:lvl>
    </w:lvlOverride>
    <w:lvlOverride w:ilvl="3">
      <w:lvl w:ilvl="3">
        <w:start w:val="1"/>
        <w:numFmt w:val="lowerLetter"/>
        <w:lvlText w:val="%4."/>
        <w:lvlJc w:val="left"/>
        <w:pPr>
          <w:tabs>
            <w:tab w:val="num" w:pos="1134"/>
          </w:tabs>
          <w:ind w:left="3515" w:hanging="567"/>
        </w:pPr>
        <w:rPr>
          <w:rFonts w:hint="default"/>
        </w:rPr>
      </w:lvl>
    </w:lvlOverride>
    <w:lvlOverride w:ilvl="4">
      <w:lvl w:ilvl="4">
        <w:start w:val="1"/>
        <w:numFmt w:val="lowerRoman"/>
        <w:lvlText w:val="%5."/>
        <w:lvlJc w:val="left"/>
        <w:pPr>
          <w:tabs>
            <w:tab w:val="num" w:pos="1134"/>
          </w:tabs>
          <w:ind w:left="4082" w:hanging="567"/>
        </w:pPr>
        <w:rPr>
          <w:rFonts w:hint="default"/>
        </w:rPr>
      </w:lvl>
    </w:lvlOverride>
    <w:lvlOverride w:ilvl="5">
      <w:lvl w:ilvl="5">
        <w:start w:val="1"/>
        <w:numFmt w:val="lowerRoman"/>
        <w:lvlText w:val="%6."/>
        <w:lvlJc w:val="right"/>
        <w:pPr>
          <w:tabs>
            <w:tab w:val="num" w:pos="7835"/>
          </w:tabs>
          <w:ind w:left="7835" w:hanging="180"/>
        </w:pPr>
        <w:rPr>
          <w:rFonts w:hint="default"/>
        </w:rPr>
      </w:lvl>
    </w:lvlOverride>
    <w:lvlOverride w:ilvl="6">
      <w:lvl w:ilvl="6">
        <w:start w:val="1"/>
        <w:numFmt w:val="decimal"/>
        <w:lvlText w:val="%7."/>
        <w:lvlJc w:val="left"/>
        <w:pPr>
          <w:tabs>
            <w:tab w:val="num" w:pos="8555"/>
          </w:tabs>
          <w:ind w:left="8555" w:hanging="360"/>
        </w:pPr>
        <w:rPr>
          <w:rFonts w:hint="default"/>
        </w:rPr>
      </w:lvl>
    </w:lvlOverride>
    <w:lvlOverride w:ilvl="7">
      <w:lvl w:ilvl="7">
        <w:start w:val="1"/>
        <w:numFmt w:val="lowerLetter"/>
        <w:lvlText w:val="%8."/>
        <w:lvlJc w:val="left"/>
        <w:pPr>
          <w:tabs>
            <w:tab w:val="num" w:pos="9275"/>
          </w:tabs>
          <w:ind w:left="9275" w:hanging="360"/>
        </w:pPr>
        <w:rPr>
          <w:rFonts w:hint="default"/>
        </w:rPr>
      </w:lvl>
    </w:lvlOverride>
    <w:lvlOverride w:ilvl="8">
      <w:lvl w:ilvl="8">
        <w:start w:val="1"/>
        <w:numFmt w:val="lowerRoman"/>
        <w:lvlText w:val="%9."/>
        <w:lvlJc w:val="right"/>
        <w:pPr>
          <w:tabs>
            <w:tab w:val="num" w:pos="9995"/>
          </w:tabs>
          <w:ind w:left="9995" w:hanging="180"/>
        </w:pPr>
        <w:rPr>
          <w:rFonts w:hint="default"/>
        </w:rPr>
      </w:lvl>
    </w:lvlOverride>
  </w:num>
  <w:num w:numId="34">
    <w:abstractNumId w:val="10"/>
    <w:lvlOverride w:ilvl="0">
      <w:startOverride w:val="1"/>
      <w:lvl w:ilvl="0">
        <w:start w:val="1"/>
        <w:numFmt w:val="decimal"/>
        <w:pStyle w:val="Normalnumber"/>
        <w:lvlText w:val="%1."/>
        <w:lvlJc w:val="left"/>
        <w:pPr>
          <w:tabs>
            <w:tab w:val="num" w:pos="1134"/>
          </w:tabs>
          <w:ind w:left="1247" w:firstLine="0"/>
        </w:pPr>
        <w:rPr>
          <w:rFonts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num>
  <w:num w:numId="35">
    <w:abstractNumId w:val="10"/>
    <w:lvlOverride w:ilvl="0">
      <w:startOverride w:val="1"/>
      <w:lvl w:ilvl="0">
        <w:start w:val="1"/>
        <w:numFmt w:val="decimal"/>
        <w:pStyle w:val="Normalnumber"/>
        <w:lvlText w:val="%1."/>
        <w:lvlJc w:val="left"/>
        <w:pPr>
          <w:tabs>
            <w:tab w:val="num" w:pos="1134"/>
          </w:tabs>
          <w:ind w:left="1247" w:firstLine="0"/>
        </w:pPr>
        <w:rPr>
          <w:rFonts w:hint="default"/>
        </w:rPr>
      </w:lvl>
    </w:lvlOverride>
    <w:lvlOverride w:ilvl="1">
      <w:startOverride w:val="1"/>
      <w:lvl w:ilvl="1">
        <w:start w:val="1"/>
        <w:numFmt w:val="lowerLetter"/>
        <w:lvlText w:val="(%2)"/>
        <w:lvlJc w:val="left"/>
        <w:pPr>
          <w:tabs>
            <w:tab w:val="num" w:pos="1134"/>
          </w:tabs>
          <w:ind w:left="1247" w:firstLine="567"/>
        </w:pPr>
        <w:rPr>
          <w:rFonts w:hint="default"/>
        </w:rPr>
      </w:lvl>
    </w:lvlOverride>
    <w:lvlOverride w:ilvl="2">
      <w:startOverride w:val="1"/>
      <w:lvl w:ilvl="2">
        <w:start w:val="1"/>
        <w:numFmt w:val="lowerRoman"/>
        <w:lvlText w:val="(%3)"/>
        <w:lvlJc w:val="left"/>
        <w:pPr>
          <w:tabs>
            <w:tab w:val="num" w:pos="1134"/>
          </w:tabs>
          <w:ind w:left="2948" w:hanging="567"/>
        </w:pPr>
        <w:rPr>
          <w:rFonts w:hint="default"/>
        </w:rPr>
      </w:lvl>
    </w:lvlOverride>
    <w:lvlOverride w:ilvl="3">
      <w:startOverride w:val="1"/>
      <w:lvl w:ilvl="3">
        <w:start w:val="1"/>
        <w:numFmt w:val="lowerLetter"/>
        <w:lvlText w:val="%4."/>
        <w:lvlJc w:val="left"/>
        <w:pPr>
          <w:tabs>
            <w:tab w:val="num" w:pos="1134"/>
          </w:tabs>
          <w:ind w:left="3515" w:hanging="567"/>
        </w:pPr>
        <w:rPr>
          <w:rFonts w:hint="default"/>
        </w:rPr>
      </w:lvl>
    </w:lvlOverride>
    <w:lvlOverride w:ilvl="4">
      <w:startOverride w:val="1"/>
      <w:lvl w:ilvl="4">
        <w:start w:val="1"/>
        <w:numFmt w:val="lowerRoman"/>
        <w:lvlText w:val="%5."/>
        <w:lvlJc w:val="left"/>
        <w:pPr>
          <w:tabs>
            <w:tab w:val="num" w:pos="1134"/>
          </w:tabs>
          <w:ind w:left="4082" w:hanging="567"/>
        </w:pPr>
        <w:rPr>
          <w:rFonts w:hint="default"/>
        </w:rPr>
      </w:lvl>
    </w:lvlOverride>
    <w:lvlOverride w:ilvl="5">
      <w:startOverride w:val="1"/>
      <w:lvl w:ilvl="5">
        <w:start w:val="1"/>
        <w:numFmt w:val="lowerRoman"/>
        <w:lvlText w:val="%6."/>
        <w:lvlJc w:val="right"/>
        <w:pPr>
          <w:tabs>
            <w:tab w:val="num" w:pos="7835"/>
          </w:tabs>
          <w:ind w:left="7835" w:hanging="180"/>
        </w:pPr>
        <w:rPr>
          <w:rFonts w:hint="default"/>
        </w:rPr>
      </w:lvl>
    </w:lvlOverride>
    <w:lvlOverride w:ilvl="6">
      <w:startOverride w:val="1"/>
      <w:lvl w:ilvl="6">
        <w:start w:val="1"/>
        <w:numFmt w:val="decimal"/>
        <w:lvlText w:val="%7."/>
        <w:lvlJc w:val="left"/>
        <w:pPr>
          <w:tabs>
            <w:tab w:val="num" w:pos="8555"/>
          </w:tabs>
          <w:ind w:left="8555" w:hanging="360"/>
        </w:pPr>
        <w:rPr>
          <w:rFonts w:hint="default"/>
        </w:rPr>
      </w:lvl>
    </w:lvlOverride>
    <w:lvlOverride w:ilvl="7">
      <w:startOverride w:val="1"/>
      <w:lvl w:ilvl="7">
        <w:start w:val="1"/>
        <w:numFmt w:val="lowerLetter"/>
        <w:lvlText w:val="%8."/>
        <w:lvlJc w:val="left"/>
        <w:pPr>
          <w:tabs>
            <w:tab w:val="num" w:pos="9275"/>
          </w:tabs>
          <w:ind w:left="9275" w:hanging="360"/>
        </w:pPr>
        <w:rPr>
          <w:rFonts w:hint="default"/>
        </w:rPr>
      </w:lvl>
    </w:lvlOverride>
    <w:lvlOverride w:ilvl="8">
      <w:startOverride w:val="1"/>
      <w:lvl w:ilvl="8">
        <w:start w:val="1"/>
        <w:numFmt w:val="lowerRoman"/>
        <w:lvlText w:val="%9."/>
        <w:lvlJc w:val="right"/>
        <w:pPr>
          <w:tabs>
            <w:tab w:val="num" w:pos="9995"/>
          </w:tabs>
          <w:ind w:left="9995" w:hanging="180"/>
        </w:pPr>
        <w:rPr>
          <w:rFonts w:hint="default"/>
        </w:rPr>
      </w:lvl>
    </w:lvlOverride>
  </w:num>
  <w:num w:numId="36">
    <w:abstractNumId w:val="10"/>
    <w:lvlOverride w:ilvl="0">
      <w:startOverride w:val="1"/>
      <w:lvl w:ilvl="0">
        <w:start w:val="1"/>
        <w:numFmt w:val="decimal"/>
        <w:pStyle w:val="Normalnumber"/>
        <w:lvlText w:val="%1."/>
        <w:lvlJc w:val="left"/>
        <w:pPr>
          <w:tabs>
            <w:tab w:val="num" w:pos="1134"/>
          </w:tabs>
          <w:ind w:left="1247" w:firstLine="0"/>
        </w:pPr>
        <w:rPr>
          <w:rFonts w:hint="default"/>
        </w:rPr>
      </w:lvl>
    </w:lvlOverride>
    <w:lvlOverride w:ilvl="1">
      <w:startOverride w:val="1"/>
      <w:lvl w:ilvl="1">
        <w:start w:val="1"/>
        <w:numFmt w:val="lowerLetter"/>
        <w:lvlText w:val="(%2)"/>
        <w:lvlJc w:val="left"/>
        <w:pPr>
          <w:tabs>
            <w:tab w:val="num" w:pos="1134"/>
          </w:tabs>
          <w:ind w:left="1247" w:firstLine="567"/>
        </w:pPr>
        <w:rPr>
          <w:rFonts w:hint="default"/>
        </w:rPr>
      </w:lvl>
    </w:lvlOverride>
    <w:lvlOverride w:ilvl="2">
      <w:startOverride w:val="1"/>
      <w:lvl w:ilvl="2">
        <w:start w:val="1"/>
        <w:numFmt w:val="lowerRoman"/>
        <w:lvlText w:val="(%3)"/>
        <w:lvlJc w:val="left"/>
        <w:pPr>
          <w:tabs>
            <w:tab w:val="num" w:pos="1134"/>
          </w:tabs>
          <w:ind w:left="2948" w:hanging="567"/>
        </w:pPr>
        <w:rPr>
          <w:rFonts w:hint="default"/>
        </w:rPr>
      </w:lvl>
    </w:lvlOverride>
    <w:lvlOverride w:ilvl="3">
      <w:startOverride w:val="1"/>
      <w:lvl w:ilvl="3">
        <w:start w:val="1"/>
        <w:numFmt w:val="lowerLetter"/>
        <w:lvlText w:val="%4."/>
        <w:lvlJc w:val="left"/>
        <w:pPr>
          <w:tabs>
            <w:tab w:val="num" w:pos="1134"/>
          </w:tabs>
          <w:ind w:left="3515" w:hanging="567"/>
        </w:pPr>
        <w:rPr>
          <w:rFonts w:hint="default"/>
        </w:rPr>
      </w:lvl>
    </w:lvlOverride>
    <w:lvlOverride w:ilvl="4">
      <w:startOverride w:val="1"/>
      <w:lvl w:ilvl="4">
        <w:start w:val="1"/>
        <w:numFmt w:val="lowerRoman"/>
        <w:lvlText w:val="%5."/>
        <w:lvlJc w:val="left"/>
        <w:pPr>
          <w:tabs>
            <w:tab w:val="num" w:pos="1134"/>
          </w:tabs>
          <w:ind w:left="4082" w:hanging="567"/>
        </w:pPr>
        <w:rPr>
          <w:rFonts w:hint="default"/>
        </w:rPr>
      </w:lvl>
    </w:lvlOverride>
    <w:lvlOverride w:ilvl="5">
      <w:startOverride w:val="1"/>
      <w:lvl w:ilvl="5">
        <w:start w:val="1"/>
        <w:numFmt w:val="lowerRoman"/>
        <w:lvlText w:val="%6."/>
        <w:lvlJc w:val="right"/>
        <w:pPr>
          <w:tabs>
            <w:tab w:val="num" w:pos="7835"/>
          </w:tabs>
          <w:ind w:left="7835" w:hanging="180"/>
        </w:pPr>
        <w:rPr>
          <w:rFonts w:hint="default"/>
        </w:rPr>
      </w:lvl>
    </w:lvlOverride>
    <w:lvlOverride w:ilvl="6">
      <w:startOverride w:val="1"/>
      <w:lvl w:ilvl="6">
        <w:start w:val="1"/>
        <w:numFmt w:val="decimal"/>
        <w:lvlText w:val="%7."/>
        <w:lvlJc w:val="left"/>
        <w:pPr>
          <w:tabs>
            <w:tab w:val="num" w:pos="8555"/>
          </w:tabs>
          <w:ind w:left="8555" w:hanging="360"/>
        </w:pPr>
        <w:rPr>
          <w:rFonts w:hint="default"/>
        </w:rPr>
      </w:lvl>
    </w:lvlOverride>
    <w:lvlOverride w:ilvl="7">
      <w:startOverride w:val="1"/>
      <w:lvl w:ilvl="7">
        <w:start w:val="1"/>
        <w:numFmt w:val="lowerLetter"/>
        <w:lvlText w:val="%8."/>
        <w:lvlJc w:val="left"/>
        <w:pPr>
          <w:tabs>
            <w:tab w:val="num" w:pos="9275"/>
          </w:tabs>
          <w:ind w:left="9275" w:hanging="360"/>
        </w:pPr>
        <w:rPr>
          <w:rFonts w:hint="default"/>
        </w:rPr>
      </w:lvl>
    </w:lvlOverride>
    <w:lvlOverride w:ilvl="8">
      <w:startOverride w:val="1"/>
      <w:lvl w:ilvl="8">
        <w:start w:val="1"/>
        <w:numFmt w:val="lowerRoman"/>
        <w:lvlText w:val="%9."/>
        <w:lvlJc w:val="right"/>
        <w:pPr>
          <w:tabs>
            <w:tab w:val="num" w:pos="9995"/>
          </w:tabs>
          <w:ind w:left="9995" w:hanging="180"/>
        </w:pPr>
        <w:rPr>
          <w:rFonts w:hint="default"/>
        </w:rPr>
      </w:lvl>
    </w:lvlOverride>
  </w:num>
  <w:num w:numId="37">
    <w:abstractNumId w:val="10"/>
    <w:lvlOverride w:ilvl="0">
      <w:lvl w:ilvl="0">
        <w:start w:val="1"/>
        <w:numFmt w:val="decimal"/>
        <w:pStyle w:val="Normalnumber"/>
        <w:lvlText w:val="%1."/>
        <w:lvlJc w:val="left"/>
        <w:pPr>
          <w:tabs>
            <w:tab w:val="num" w:pos="1134"/>
          </w:tabs>
          <w:ind w:left="1247" w:firstLine="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8">
    <w:abstractNumId w:val="10"/>
    <w:lvlOverride w:ilvl="0">
      <w:lvl w:ilvl="0">
        <w:start w:val="1"/>
        <w:numFmt w:val="decimal"/>
        <w:pStyle w:val="Normalnumber"/>
        <w:lvlText w:val="%1."/>
        <w:lvlJc w:val="left"/>
        <w:pPr>
          <w:tabs>
            <w:tab w:val="num" w:pos="1134"/>
          </w:tabs>
          <w:ind w:left="1247" w:firstLine="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9">
    <w:abstractNumId w:val="10"/>
    <w:lvlOverride w:ilvl="0">
      <w:lvl w:ilvl="0">
        <w:start w:val="1"/>
        <w:numFmt w:val="decimal"/>
        <w:pStyle w:val="Normalnumber"/>
        <w:lvlText w:val="%1."/>
        <w:lvlJc w:val="left"/>
        <w:pPr>
          <w:tabs>
            <w:tab w:val="num" w:pos="1134"/>
          </w:tabs>
          <w:ind w:left="1247" w:firstLine="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0">
    <w:abstractNumId w:val="10"/>
    <w:lvlOverride w:ilvl="0">
      <w:lvl w:ilvl="0">
        <w:start w:val="1"/>
        <w:numFmt w:val="decimal"/>
        <w:pStyle w:val="Normalnumber"/>
        <w:lvlText w:val="%1."/>
        <w:lvlJc w:val="left"/>
        <w:pPr>
          <w:tabs>
            <w:tab w:val="num" w:pos="1134"/>
          </w:tabs>
          <w:ind w:left="1247" w:firstLine="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1">
    <w:abstractNumId w:val="10"/>
    <w:lvlOverride w:ilvl="0">
      <w:lvl w:ilvl="0">
        <w:start w:val="1"/>
        <w:numFmt w:val="decimal"/>
        <w:pStyle w:val="Normalnumber"/>
        <w:lvlText w:val="%1."/>
        <w:lvlJc w:val="left"/>
        <w:pPr>
          <w:tabs>
            <w:tab w:val="num" w:pos="1134"/>
          </w:tabs>
          <w:ind w:left="1247" w:firstLine="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2">
    <w:abstractNumId w:val="10"/>
    <w:lvlOverride w:ilvl="0">
      <w:lvl w:ilvl="0">
        <w:start w:val="1"/>
        <w:numFmt w:val="decimal"/>
        <w:pStyle w:val="Normalnumber"/>
        <w:lvlText w:val="%1."/>
        <w:lvlJc w:val="left"/>
        <w:pPr>
          <w:tabs>
            <w:tab w:val="num" w:pos="1134"/>
          </w:tabs>
          <w:ind w:left="1247" w:firstLine="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3">
    <w:abstractNumId w:val="10"/>
    <w:lvlOverride w:ilvl="0">
      <w:lvl w:ilvl="0">
        <w:start w:val="1"/>
        <w:numFmt w:val="decimal"/>
        <w:pStyle w:val="Normalnumber"/>
        <w:lvlText w:val="%1."/>
        <w:lvlJc w:val="left"/>
        <w:pPr>
          <w:tabs>
            <w:tab w:val="num" w:pos="1134"/>
          </w:tabs>
          <w:ind w:left="1247" w:firstLine="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4">
    <w:abstractNumId w:val="10"/>
    <w:lvlOverride w:ilvl="0">
      <w:lvl w:ilvl="0">
        <w:start w:val="1"/>
        <w:numFmt w:val="decimal"/>
        <w:pStyle w:val="Normalnumber"/>
        <w:lvlText w:val="%1."/>
        <w:lvlJc w:val="left"/>
        <w:pPr>
          <w:tabs>
            <w:tab w:val="num" w:pos="1134"/>
          </w:tabs>
          <w:ind w:left="1247" w:firstLine="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5">
    <w:abstractNumId w:val="10"/>
    <w:lvlOverride w:ilvl="0">
      <w:lvl w:ilvl="0">
        <w:start w:val="1"/>
        <w:numFmt w:val="decimal"/>
        <w:pStyle w:val="Normalnumber"/>
        <w:lvlText w:val="%1."/>
        <w:lvlJc w:val="left"/>
        <w:pPr>
          <w:tabs>
            <w:tab w:val="num" w:pos="1134"/>
          </w:tabs>
          <w:ind w:left="1247" w:firstLine="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6">
    <w:abstractNumId w:val="10"/>
    <w:lvlOverride w:ilvl="0">
      <w:lvl w:ilvl="0">
        <w:start w:val="1"/>
        <w:numFmt w:val="decimal"/>
        <w:pStyle w:val="Normalnumber"/>
        <w:lvlText w:val="%1."/>
        <w:lvlJc w:val="left"/>
        <w:pPr>
          <w:tabs>
            <w:tab w:val="num" w:pos="1134"/>
          </w:tabs>
          <w:ind w:left="1247" w:firstLine="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7">
    <w:abstractNumId w:val="10"/>
    <w:lvlOverride w:ilvl="0">
      <w:lvl w:ilvl="0">
        <w:start w:val="1"/>
        <w:numFmt w:val="decimal"/>
        <w:pStyle w:val="Normalnumber"/>
        <w:lvlText w:val="%1."/>
        <w:lvlJc w:val="left"/>
        <w:pPr>
          <w:tabs>
            <w:tab w:val="num" w:pos="1134"/>
          </w:tabs>
          <w:ind w:left="1247" w:firstLine="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8">
    <w:abstractNumId w:val="10"/>
    <w:lvlOverride w:ilvl="0">
      <w:lvl w:ilvl="0">
        <w:start w:val="1"/>
        <w:numFmt w:val="decimal"/>
        <w:pStyle w:val="Normalnumber"/>
        <w:lvlText w:val="%1."/>
        <w:lvlJc w:val="left"/>
        <w:pPr>
          <w:tabs>
            <w:tab w:val="num" w:pos="1134"/>
          </w:tabs>
          <w:ind w:left="1247" w:firstLine="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9">
    <w:abstractNumId w:val="10"/>
    <w:lvlOverride w:ilvl="0">
      <w:lvl w:ilvl="0">
        <w:start w:val="1"/>
        <w:numFmt w:val="decimal"/>
        <w:pStyle w:val="Normalnumber"/>
        <w:lvlText w:val="%1."/>
        <w:lvlJc w:val="left"/>
        <w:pPr>
          <w:tabs>
            <w:tab w:val="num" w:pos="1134"/>
          </w:tabs>
          <w:ind w:left="1247" w:firstLine="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0">
    <w:abstractNumId w:val="10"/>
    <w:lvlOverride w:ilvl="0">
      <w:lvl w:ilvl="0">
        <w:start w:val="1"/>
        <w:numFmt w:val="decimal"/>
        <w:pStyle w:val="Normalnumber"/>
        <w:lvlText w:val="%1."/>
        <w:lvlJc w:val="left"/>
        <w:pPr>
          <w:tabs>
            <w:tab w:val="num" w:pos="1134"/>
          </w:tabs>
          <w:ind w:left="1247" w:firstLine="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1">
    <w:abstractNumId w:val="10"/>
    <w:lvlOverride w:ilvl="0">
      <w:lvl w:ilvl="0">
        <w:start w:val="1"/>
        <w:numFmt w:val="decimal"/>
        <w:pStyle w:val="Normalnumber"/>
        <w:lvlText w:val="%1."/>
        <w:lvlJc w:val="left"/>
        <w:pPr>
          <w:tabs>
            <w:tab w:val="num" w:pos="1134"/>
          </w:tabs>
          <w:ind w:left="1247" w:firstLine="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2">
    <w:abstractNumId w:val="10"/>
    <w:lvlOverride w:ilvl="0">
      <w:lvl w:ilvl="0">
        <w:start w:val="1"/>
        <w:numFmt w:val="decimal"/>
        <w:pStyle w:val="Normalnumber"/>
        <w:lvlText w:val="%1."/>
        <w:lvlJc w:val="left"/>
        <w:pPr>
          <w:tabs>
            <w:tab w:val="num" w:pos="1134"/>
          </w:tabs>
          <w:ind w:left="1247" w:firstLine="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3">
    <w:abstractNumId w:val="10"/>
    <w:lvlOverride w:ilvl="0">
      <w:lvl w:ilvl="0">
        <w:start w:val="1"/>
        <w:numFmt w:val="decimal"/>
        <w:pStyle w:val="Normalnumber"/>
        <w:lvlText w:val="%1."/>
        <w:lvlJc w:val="left"/>
        <w:pPr>
          <w:tabs>
            <w:tab w:val="num" w:pos="1134"/>
          </w:tabs>
          <w:ind w:left="1247" w:firstLine="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4">
    <w:abstractNumId w:val="10"/>
    <w:lvlOverride w:ilvl="0">
      <w:lvl w:ilvl="0">
        <w:start w:val="1"/>
        <w:numFmt w:val="decimal"/>
        <w:pStyle w:val="Normalnumber"/>
        <w:lvlText w:val="%1."/>
        <w:lvlJc w:val="left"/>
        <w:pPr>
          <w:tabs>
            <w:tab w:val="num" w:pos="1134"/>
          </w:tabs>
          <w:ind w:left="1247" w:firstLine="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5">
    <w:abstractNumId w:val="10"/>
    <w:lvlOverride w:ilvl="0">
      <w:lvl w:ilvl="0">
        <w:start w:val="1"/>
        <w:numFmt w:val="decimal"/>
        <w:pStyle w:val="Normalnumber"/>
        <w:lvlText w:val="%1."/>
        <w:lvlJc w:val="left"/>
        <w:pPr>
          <w:tabs>
            <w:tab w:val="num" w:pos="1134"/>
          </w:tabs>
          <w:ind w:left="1247" w:firstLine="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6">
    <w:abstractNumId w:val="10"/>
    <w:lvlOverride w:ilvl="0">
      <w:lvl w:ilvl="0">
        <w:start w:val="1"/>
        <w:numFmt w:val="decimal"/>
        <w:pStyle w:val="Normalnumber"/>
        <w:lvlText w:val="%1."/>
        <w:lvlJc w:val="left"/>
        <w:pPr>
          <w:tabs>
            <w:tab w:val="num" w:pos="1134"/>
          </w:tabs>
          <w:ind w:left="1247" w:firstLine="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7">
    <w:abstractNumId w:val="10"/>
    <w:lvlOverride w:ilvl="0">
      <w:lvl w:ilvl="0">
        <w:start w:val="1"/>
        <w:numFmt w:val="decimal"/>
        <w:pStyle w:val="Normalnumber"/>
        <w:lvlText w:val="%1."/>
        <w:lvlJc w:val="left"/>
        <w:pPr>
          <w:tabs>
            <w:tab w:val="num" w:pos="1134"/>
          </w:tabs>
          <w:ind w:left="1247" w:firstLine="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8">
    <w:abstractNumId w:val="10"/>
    <w:lvlOverride w:ilvl="0">
      <w:lvl w:ilvl="0">
        <w:start w:val="1"/>
        <w:numFmt w:val="decimal"/>
        <w:pStyle w:val="Normalnumber"/>
        <w:lvlText w:val="%1."/>
        <w:lvlJc w:val="left"/>
        <w:pPr>
          <w:tabs>
            <w:tab w:val="num" w:pos="1134"/>
          </w:tabs>
          <w:ind w:left="1247" w:firstLine="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9">
    <w:abstractNumId w:val="10"/>
    <w:lvlOverride w:ilvl="0">
      <w:lvl w:ilvl="0">
        <w:start w:val="1"/>
        <w:numFmt w:val="decimal"/>
        <w:pStyle w:val="Normalnumber"/>
        <w:lvlText w:val="%1."/>
        <w:lvlJc w:val="left"/>
        <w:pPr>
          <w:tabs>
            <w:tab w:val="num" w:pos="1134"/>
          </w:tabs>
          <w:ind w:left="1247" w:firstLine="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0">
    <w:abstractNumId w:val="10"/>
    <w:lvlOverride w:ilvl="0">
      <w:lvl w:ilvl="0">
        <w:start w:val="1"/>
        <w:numFmt w:val="decimal"/>
        <w:pStyle w:val="Normalnumber"/>
        <w:lvlText w:val="%1."/>
        <w:lvlJc w:val="left"/>
        <w:pPr>
          <w:tabs>
            <w:tab w:val="num" w:pos="1134"/>
          </w:tabs>
          <w:ind w:left="1247" w:firstLine="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lvlOverride w:ilvl="0">
      <w:lvl w:ilvl="0">
        <w:start w:val="1"/>
        <w:numFmt w:val="decimal"/>
        <w:pStyle w:val="Normalnumber"/>
        <w:lvlText w:val="%1."/>
        <w:lvlJc w:val="left"/>
        <w:pPr>
          <w:tabs>
            <w:tab w:val="num" w:pos="1134"/>
          </w:tabs>
          <w:ind w:left="1247" w:firstLine="0"/>
        </w:pPr>
        <w:rPr>
          <w:rFonts w:hint="default"/>
          <w:sz w:val="24"/>
          <w:szCs w:val="24"/>
        </w:rPr>
      </w:lvl>
    </w:lvlOverride>
    <w:lvlOverride w:ilvl="1">
      <w:lvl w:ilvl="1">
        <w:start w:val="1"/>
        <w:numFmt w:val="lowerLetter"/>
        <w:lvlText w:val="(%2)"/>
        <w:lvlJc w:val="left"/>
        <w:pPr>
          <w:tabs>
            <w:tab w:val="num" w:pos="1134"/>
          </w:tabs>
          <w:ind w:left="1247" w:firstLine="567"/>
        </w:pPr>
        <w:rPr>
          <w:rFonts w:hint="default"/>
        </w:rPr>
      </w:lvl>
    </w:lvlOverride>
    <w:lvlOverride w:ilvl="2">
      <w:lvl w:ilvl="2">
        <w:start w:val="1"/>
        <w:numFmt w:val="lowerRoman"/>
        <w:lvlText w:val="(%3)"/>
        <w:lvlJc w:val="left"/>
        <w:pPr>
          <w:tabs>
            <w:tab w:val="num" w:pos="1134"/>
          </w:tabs>
          <w:ind w:left="2948" w:hanging="567"/>
        </w:pPr>
        <w:rPr>
          <w:rFonts w:hint="default"/>
        </w:rPr>
      </w:lvl>
    </w:lvlOverride>
    <w:lvlOverride w:ilvl="3">
      <w:lvl w:ilvl="3">
        <w:start w:val="1"/>
        <w:numFmt w:val="lowerLetter"/>
        <w:lvlText w:val="%4."/>
        <w:lvlJc w:val="left"/>
        <w:pPr>
          <w:tabs>
            <w:tab w:val="num" w:pos="1134"/>
          </w:tabs>
          <w:ind w:left="3515" w:hanging="567"/>
        </w:pPr>
        <w:rPr>
          <w:rFonts w:hint="default"/>
        </w:rPr>
      </w:lvl>
    </w:lvlOverride>
    <w:lvlOverride w:ilvl="4">
      <w:lvl w:ilvl="4">
        <w:start w:val="1"/>
        <w:numFmt w:val="lowerRoman"/>
        <w:lvlText w:val="%5."/>
        <w:lvlJc w:val="left"/>
        <w:pPr>
          <w:tabs>
            <w:tab w:val="num" w:pos="1134"/>
          </w:tabs>
          <w:ind w:left="4082" w:hanging="567"/>
        </w:pPr>
        <w:rPr>
          <w:rFonts w:hint="default"/>
        </w:rPr>
      </w:lvl>
    </w:lvlOverride>
    <w:lvlOverride w:ilvl="5">
      <w:lvl w:ilvl="5">
        <w:start w:val="1"/>
        <w:numFmt w:val="lowerRoman"/>
        <w:lvlText w:val="%6."/>
        <w:lvlJc w:val="right"/>
        <w:pPr>
          <w:tabs>
            <w:tab w:val="num" w:pos="7835"/>
          </w:tabs>
          <w:ind w:left="7835" w:hanging="180"/>
        </w:pPr>
        <w:rPr>
          <w:rFonts w:hint="default"/>
        </w:rPr>
      </w:lvl>
    </w:lvlOverride>
    <w:lvlOverride w:ilvl="6">
      <w:lvl w:ilvl="6">
        <w:start w:val="1"/>
        <w:numFmt w:val="decimal"/>
        <w:lvlText w:val="%7."/>
        <w:lvlJc w:val="left"/>
        <w:pPr>
          <w:tabs>
            <w:tab w:val="num" w:pos="8555"/>
          </w:tabs>
          <w:ind w:left="8555" w:hanging="360"/>
        </w:pPr>
        <w:rPr>
          <w:rFonts w:hint="default"/>
        </w:rPr>
      </w:lvl>
    </w:lvlOverride>
    <w:lvlOverride w:ilvl="7">
      <w:lvl w:ilvl="7">
        <w:start w:val="1"/>
        <w:numFmt w:val="lowerLetter"/>
        <w:lvlText w:val="%8."/>
        <w:lvlJc w:val="left"/>
        <w:pPr>
          <w:tabs>
            <w:tab w:val="num" w:pos="9275"/>
          </w:tabs>
          <w:ind w:left="9275" w:hanging="360"/>
        </w:pPr>
        <w:rPr>
          <w:rFonts w:hint="default"/>
        </w:rPr>
      </w:lvl>
    </w:lvlOverride>
    <w:lvlOverride w:ilvl="8">
      <w:lvl w:ilvl="8">
        <w:start w:val="1"/>
        <w:numFmt w:val="lowerRoman"/>
        <w:lvlText w:val="%9."/>
        <w:lvlJc w:val="right"/>
        <w:pPr>
          <w:tabs>
            <w:tab w:val="num" w:pos="9995"/>
          </w:tabs>
          <w:ind w:left="9995" w:hanging="180"/>
        </w:pPr>
        <w:rPr>
          <w:rFonts w:hint="default"/>
        </w:rPr>
      </w:lvl>
    </w:lvlOverride>
  </w:num>
  <w:num w:numId="63">
    <w:abstractNumId w:val="10"/>
    <w:lvlOverride w:ilvl="0">
      <w:startOverride w:val="1"/>
      <w:lvl w:ilvl="0">
        <w:start w:val="1"/>
        <w:numFmt w:val="decimal"/>
        <w:pStyle w:val="Normalnumber"/>
        <w:lvlText w:val="%1."/>
        <w:lvlJc w:val="left"/>
        <w:pPr>
          <w:tabs>
            <w:tab w:val="num" w:pos="1134"/>
          </w:tabs>
          <w:ind w:left="1247" w:firstLine="0"/>
        </w:pPr>
        <w:rPr>
          <w:rFonts w:hint="default"/>
        </w:rPr>
      </w:lvl>
    </w:lvlOverride>
    <w:lvlOverride w:ilvl="1">
      <w:startOverride w:val="1"/>
      <w:lvl w:ilvl="1">
        <w:start w:val="1"/>
        <w:numFmt w:val="lowerLetter"/>
        <w:lvlText w:val="(%2)"/>
        <w:lvlJc w:val="left"/>
        <w:pPr>
          <w:tabs>
            <w:tab w:val="num" w:pos="1134"/>
          </w:tabs>
          <w:ind w:left="1247" w:firstLine="567"/>
        </w:pPr>
        <w:rPr>
          <w:rFonts w:hint="default"/>
        </w:rPr>
      </w:lvl>
    </w:lvlOverride>
    <w:lvlOverride w:ilvl="2">
      <w:startOverride w:val="1"/>
      <w:lvl w:ilvl="2">
        <w:start w:val="1"/>
        <w:numFmt w:val="lowerRoman"/>
        <w:lvlText w:val="(%3)"/>
        <w:lvlJc w:val="left"/>
        <w:pPr>
          <w:tabs>
            <w:tab w:val="num" w:pos="1134"/>
          </w:tabs>
          <w:ind w:left="2948" w:hanging="567"/>
        </w:pPr>
        <w:rPr>
          <w:rFonts w:hint="default"/>
        </w:rPr>
      </w:lvl>
    </w:lvlOverride>
    <w:lvlOverride w:ilvl="3">
      <w:startOverride w:val="1"/>
      <w:lvl w:ilvl="3">
        <w:start w:val="1"/>
        <w:numFmt w:val="lowerLetter"/>
        <w:lvlText w:val="%4."/>
        <w:lvlJc w:val="left"/>
        <w:pPr>
          <w:tabs>
            <w:tab w:val="num" w:pos="1134"/>
          </w:tabs>
          <w:ind w:left="3515" w:hanging="567"/>
        </w:pPr>
        <w:rPr>
          <w:rFonts w:hint="default"/>
        </w:rPr>
      </w:lvl>
    </w:lvlOverride>
    <w:lvlOverride w:ilvl="4">
      <w:startOverride w:val="1"/>
      <w:lvl w:ilvl="4">
        <w:start w:val="1"/>
        <w:numFmt w:val="lowerRoman"/>
        <w:lvlText w:val="%5."/>
        <w:lvlJc w:val="left"/>
        <w:pPr>
          <w:tabs>
            <w:tab w:val="num" w:pos="1134"/>
          </w:tabs>
          <w:ind w:left="4082" w:hanging="567"/>
        </w:pPr>
        <w:rPr>
          <w:rFonts w:hint="default"/>
        </w:rPr>
      </w:lvl>
    </w:lvlOverride>
    <w:lvlOverride w:ilvl="5">
      <w:startOverride w:val="1"/>
      <w:lvl w:ilvl="5">
        <w:start w:val="1"/>
        <w:numFmt w:val="lowerRoman"/>
        <w:lvlText w:val="%6."/>
        <w:lvlJc w:val="right"/>
        <w:pPr>
          <w:tabs>
            <w:tab w:val="num" w:pos="7835"/>
          </w:tabs>
          <w:ind w:left="7835" w:hanging="180"/>
        </w:pPr>
        <w:rPr>
          <w:rFonts w:hint="default"/>
        </w:rPr>
      </w:lvl>
    </w:lvlOverride>
    <w:lvlOverride w:ilvl="6">
      <w:startOverride w:val="1"/>
      <w:lvl w:ilvl="6">
        <w:start w:val="1"/>
        <w:numFmt w:val="decimal"/>
        <w:lvlText w:val="%7."/>
        <w:lvlJc w:val="left"/>
        <w:pPr>
          <w:tabs>
            <w:tab w:val="num" w:pos="8555"/>
          </w:tabs>
          <w:ind w:left="8555" w:hanging="360"/>
        </w:pPr>
        <w:rPr>
          <w:rFonts w:hint="default"/>
        </w:rPr>
      </w:lvl>
    </w:lvlOverride>
    <w:lvlOverride w:ilvl="7">
      <w:startOverride w:val="1"/>
      <w:lvl w:ilvl="7">
        <w:start w:val="1"/>
        <w:numFmt w:val="lowerLetter"/>
        <w:lvlText w:val="%8."/>
        <w:lvlJc w:val="left"/>
        <w:pPr>
          <w:tabs>
            <w:tab w:val="num" w:pos="9275"/>
          </w:tabs>
          <w:ind w:left="9275" w:hanging="360"/>
        </w:pPr>
        <w:rPr>
          <w:rFonts w:hint="default"/>
        </w:rPr>
      </w:lvl>
    </w:lvlOverride>
    <w:lvlOverride w:ilvl="8">
      <w:startOverride w:val="1"/>
      <w:lvl w:ilvl="8">
        <w:start w:val="1"/>
        <w:numFmt w:val="lowerRoman"/>
        <w:lvlText w:val="%9."/>
        <w:lvlJc w:val="right"/>
        <w:pPr>
          <w:tabs>
            <w:tab w:val="num" w:pos="9995"/>
          </w:tabs>
          <w:ind w:left="9995" w:hanging="180"/>
        </w:pPr>
        <w:rPr>
          <w:rFonts w:hint="default"/>
        </w:rPr>
      </w:lvl>
    </w:lvlOverride>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
    <w:lvlOverride w:ilvl="0">
      <w:lvl w:ilvl="0">
        <w:start w:val="1"/>
        <w:numFmt w:val="decimal"/>
        <w:pStyle w:val="Normalnumber"/>
        <w:lvlText w:val="%1."/>
        <w:lvlJc w:val="left"/>
        <w:pPr>
          <w:tabs>
            <w:tab w:val="num" w:pos="1134"/>
          </w:tabs>
          <w:ind w:left="1247" w:firstLine="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1"/>
  <w:activeWritingStyle w:appName="MSWord" w:lang="zh-CN" w:vendorID="64" w:dllVersion="0" w:nlCheck="1" w:checkStyle="1"/>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24"/>
  <w:hyphenationZone w:val="425"/>
  <w:evenAndOddHeaders/>
  <w:noPunctuationKerning/>
  <w:characterSpacingControl w:val="doNotCompress"/>
  <w:hdrShapeDefaults>
    <o:shapedefaults v:ext="edit" spidmax="122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F16"/>
    <w:rsid w:val="00010869"/>
    <w:rsid w:val="000149E6"/>
    <w:rsid w:val="000247B0"/>
    <w:rsid w:val="00024FE4"/>
    <w:rsid w:val="00026997"/>
    <w:rsid w:val="00033C5F"/>
    <w:rsid w:val="00033E0B"/>
    <w:rsid w:val="00035EDE"/>
    <w:rsid w:val="0004540A"/>
    <w:rsid w:val="00046B9B"/>
    <w:rsid w:val="000509B4"/>
    <w:rsid w:val="0006035B"/>
    <w:rsid w:val="00061444"/>
    <w:rsid w:val="0006430A"/>
    <w:rsid w:val="00071886"/>
    <w:rsid w:val="000742BC"/>
    <w:rsid w:val="00076F8F"/>
    <w:rsid w:val="00082A0C"/>
    <w:rsid w:val="00083504"/>
    <w:rsid w:val="00084C3B"/>
    <w:rsid w:val="000904EF"/>
    <w:rsid w:val="0009640C"/>
    <w:rsid w:val="000B0209"/>
    <w:rsid w:val="000B22A2"/>
    <w:rsid w:val="000C0B04"/>
    <w:rsid w:val="000C2A52"/>
    <w:rsid w:val="000C3A84"/>
    <w:rsid w:val="000C7826"/>
    <w:rsid w:val="000D2DE8"/>
    <w:rsid w:val="000D33C0"/>
    <w:rsid w:val="000D6941"/>
    <w:rsid w:val="000E6840"/>
    <w:rsid w:val="000F6B5C"/>
    <w:rsid w:val="0011233F"/>
    <w:rsid w:val="001202E3"/>
    <w:rsid w:val="00123699"/>
    <w:rsid w:val="0013059D"/>
    <w:rsid w:val="00131F6E"/>
    <w:rsid w:val="00141A55"/>
    <w:rsid w:val="001446A3"/>
    <w:rsid w:val="00155395"/>
    <w:rsid w:val="00160D74"/>
    <w:rsid w:val="00167D02"/>
    <w:rsid w:val="0017032B"/>
    <w:rsid w:val="00176119"/>
    <w:rsid w:val="00181EC8"/>
    <w:rsid w:val="00184349"/>
    <w:rsid w:val="001936EF"/>
    <w:rsid w:val="00195F33"/>
    <w:rsid w:val="001B1617"/>
    <w:rsid w:val="001B504B"/>
    <w:rsid w:val="001C34BA"/>
    <w:rsid w:val="001D3874"/>
    <w:rsid w:val="001D41AF"/>
    <w:rsid w:val="001D7E75"/>
    <w:rsid w:val="001E56D2"/>
    <w:rsid w:val="001E7D56"/>
    <w:rsid w:val="001F75DE"/>
    <w:rsid w:val="00200D58"/>
    <w:rsid w:val="002013BE"/>
    <w:rsid w:val="0020458B"/>
    <w:rsid w:val="002063A4"/>
    <w:rsid w:val="0021145B"/>
    <w:rsid w:val="00235DAA"/>
    <w:rsid w:val="00243D36"/>
    <w:rsid w:val="00247707"/>
    <w:rsid w:val="0026018E"/>
    <w:rsid w:val="00262661"/>
    <w:rsid w:val="00285344"/>
    <w:rsid w:val="00286740"/>
    <w:rsid w:val="002929D8"/>
    <w:rsid w:val="002940F8"/>
    <w:rsid w:val="002A237D"/>
    <w:rsid w:val="002A4C53"/>
    <w:rsid w:val="002B0672"/>
    <w:rsid w:val="002B247F"/>
    <w:rsid w:val="002C145D"/>
    <w:rsid w:val="002C2C3E"/>
    <w:rsid w:val="002C533E"/>
    <w:rsid w:val="002D027F"/>
    <w:rsid w:val="002D2E3A"/>
    <w:rsid w:val="002D7A85"/>
    <w:rsid w:val="002D7B60"/>
    <w:rsid w:val="002E22D4"/>
    <w:rsid w:val="002F0989"/>
    <w:rsid w:val="002F4761"/>
    <w:rsid w:val="002F5C79"/>
    <w:rsid w:val="003019E2"/>
    <w:rsid w:val="003103C4"/>
    <w:rsid w:val="0031098F"/>
    <w:rsid w:val="0031413F"/>
    <w:rsid w:val="003148BB"/>
    <w:rsid w:val="00317976"/>
    <w:rsid w:val="00345CB0"/>
    <w:rsid w:val="00355EA9"/>
    <w:rsid w:val="003578DE"/>
    <w:rsid w:val="00370888"/>
    <w:rsid w:val="00374731"/>
    <w:rsid w:val="00396257"/>
    <w:rsid w:val="00397EB8"/>
    <w:rsid w:val="003A4FD0"/>
    <w:rsid w:val="003A6644"/>
    <w:rsid w:val="003A6884"/>
    <w:rsid w:val="003A69D1"/>
    <w:rsid w:val="003A7705"/>
    <w:rsid w:val="003A77F1"/>
    <w:rsid w:val="003B1545"/>
    <w:rsid w:val="003B193E"/>
    <w:rsid w:val="003C409D"/>
    <w:rsid w:val="003C5BA6"/>
    <w:rsid w:val="003D50CB"/>
    <w:rsid w:val="003F0E85"/>
    <w:rsid w:val="003F1D30"/>
    <w:rsid w:val="003F49E4"/>
    <w:rsid w:val="003F7440"/>
    <w:rsid w:val="0040237C"/>
    <w:rsid w:val="0041081A"/>
    <w:rsid w:val="00410C55"/>
    <w:rsid w:val="00416854"/>
    <w:rsid w:val="00417725"/>
    <w:rsid w:val="00422551"/>
    <w:rsid w:val="00437F26"/>
    <w:rsid w:val="00444097"/>
    <w:rsid w:val="00445487"/>
    <w:rsid w:val="00454769"/>
    <w:rsid w:val="00456D58"/>
    <w:rsid w:val="00466991"/>
    <w:rsid w:val="0047064C"/>
    <w:rsid w:val="00487663"/>
    <w:rsid w:val="004A42E1"/>
    <w:rsid w:val="004B162C"/>
    <w:rsid w:val="004B5CE4"/>
    <w:rsid w:val="004C3DBE"/>
    <w:rsid w:val="004C5C96"/>
    <w:rsid w:val="004D06A4"/>
    <w:rsid w:val="004F1A81"/>
    <w:rsid w:val="00517861"/>
    <w:rsid w:val="005218D9"/>
    <w:rsid w:val="00532DE7"/>
    <w:rsid w:val="00536186"/>
    <w:rsid w:val="00543398"/>
    <w:rsid w:val="00544CBB"/>
    <w:rsid w:val="005721A2"/>
    <w:rsid w:val="0057315F"/>
    <w:rsid w:val="00576104"/>
    <w:rsid w:val="005A19AB"/>
    <w:rsid w:val="005C67C8"/>
    <w:rsid w:val="005D0249"/>
    <w:rsid w:val="005D558F"/>
    <w:rsid w:val="005D6E8C"/>
    <w:rsid w:val="005E7546"/>
    <w:rsid w:val="005F100C"/>
    <w:rsid w:val="005F4A10"/>
    <w:rsid w:val="005F68DA"/>
    <w:rsid w:val="00606059"/>
    <w:rsid w:val="0060773B"/>
    <w:rsid w:val="0061017D"/>
    <w:rsid w:val="006157B5"/>
    <w:rsid w:val="00626FC6"/>
    <w:rsid w:val="006303B4"/>
    <w:rsid w:val="00631FFC"/>
    <w:rsid w:val="00633D3D"/>
    <w:rsid w:val="00641703"/>
    <w:rsid w:val="006431A6"/>
    <w:rsid w:val="006459F6"/>
    <w:rsid w:val="006501AD"/>
    <w:rsid w:val="00651BFA"/>
    <w:rsid w:val="00654475"/>
    <w:rsid w:val="006600AD"/>
    <w:rsid w:val="00665A4B"/>
    <w:rsid w:val="00692E2A"/>
    <w:rsid w:val="006A09C3"/>
    <w:rsid w:val="006A76F2"/>
    <w:rsid w:val="006C091A"/>
    <w:rsid w:val="006D7EFB"/>
    <w:rsid w:val="006E6672"/>
    <w:rsid w:val="006E6722"/>
    <w:rsid w:val="006F1027"/>
    <w:rsid w:val="007027B9"/>
    <w:rsid w:val="007034E6"/>
    <w:rsid w:val="00714E08"/>
    <w:rsid w:val="00715E88"/>
    <w:rsid w:val="00734CAA"/>
    <w:rsid w:val="0075533C"/>
    <w:rsid w:val="00757581"/>
    <w:rsid w:val="007611A0"/>
    <w:rsid w:val="00784B01"/>
    <w:rsid w:val="00796D3F"/>
    <w:rsid w:val="007A089A"/>
    <w:rsid w:val="007A1683"/>
    <w:rsid w:val="007A5C12"/>
    <w:rsid w:val="007A7CB0"/>
    <w:rsid w:val="007B3254"/>
    <w:rsid w:val="007B68A3"/>
    <w:rsid w:val="007C2541"/>
    <w:rsid w:val="007D66A8"/>
    <w:rsid w:val="007E003F"/>
    <w:rsid w:val="007F3540"/>
    <w:rsid w:val="007F6126"/>
    <w:rsid w:val="008030F8"/>
    <w:rsid w:val="008034CE"/>
    <w:rsid w:val="008164F2"/>
    <w:rsid w:val="00821395"/>
    <w:rsid w:val="008216B9"/>
    <w:rsid w:val="00830E26"/>
    <w:rsid w:val="00834E9B"/>
    <w:rsid w:val="00840E7A"/>
    <w:rsid w:val="00843576"/>
    <w:rsid w:val="00843B64"/>
    <w:rsid w:val="008478FC"/>
    <w:rsid w:val="0086162E"/>
    <w:rsid w:val="00867BFF"/>
    <w:rsid w:val="008829D3"/>
    <w:rsid w:val="0088480A"/>
    <w:rsid w:val="0088757A"/>
    <w:rsid w:val="008900C0"/>
    <w:rsid w:val="00890360"/>
    <w:rsid w:val="00891F96"/>
    <w:rsid w:val="008957DD"/>
    <w:rsid w:val="00897D98"/>
    <w:rsid w:val="008A6DF2"/>
    <w:rsid w:val="008A7807"/>
    <w:rsid w:val="008B45CE"/>
    <w:rsid w:val="008B4CC9"/>
    <w:rsid w:val="008C00D6"/>
    <w:rsid w:val="008D016C"/>
    <w:rsid w:val="008D7C99"/>
    <w:rsid w:val="008E0FCB"/>
    <w:rsid w:val="008F0E8A"/>
    <w:rsid w:val="0092178C"/>
    <w:rsid w:val="00930B88"/>
    <w:rsid w:val="00931884"/>
    <w:rsid w:val="00936471"/>
    <w:rsid w:val="00940DCC"/>
    <w:rsid w:val="0094179A"/>
    <w:rsid w:val="0094459E"/>
    <w:rsid w:val="00944DBC"/>
    <w:rsid w:val="0094617E"/>
    <w:rsid w:val="00950977"/>
    <w:rsid w:val="00951A7B"/>
    <w:rsid w:val="009527C6"/>
    <w:rsid w:val="009564A6"/>
    <w:rsid w:val="00956992"/>
    <w:rsid w:val="00967621"/>
    <w:rsid w:val="00967E6A"/>
    <w:rsid w:val="00984A20"/>
    <w:rsid w:val="00985ADF"/>
    <w:rsid w:val="009B4A0F"/>
    <w:rsid w:val="009C11D2"/>
    <w:rsid w:val="009C6C70"/>
    <w:rsid w:val="009D0B63"/>
    <w:rsid w:val="009D1B0F"/>
    <w:rsid w:val="009E307E"/>
    <w:rsid w:val="009E78C3"/>
    <w:rsid w:val="00A04786"/>
    <w:rsid w:val="00A07870"/>
    <w:rsid w:val="00A07F19"/>
    <w:rsid w:val="00A1348D"/>
    <w:rsid w:val="00A22D52"/>
    <w:rsid w:val="00A232EE"/>
    <w:rsid w:val="00A4175F"/>
    <w:rsid w:val="00A44411"/>
    <w:rsid w:val="00A447C1"/>
    <w:rsid w:val="00A469FA"/>
    <w:rsid w:val="00A55B01"/>
    <w:rsid w:val="00A56B5B"/>
    <w:rsid w:val="00A603FF"/>
    <w:rsid w:val="00A657DD"/>
    <w:rsid w:val="00A666A6"/>
    <w:rsid w:val="00A675FD"/>
    <w:rsid w:val="00A72437"/>
    <w:rsid w:val="00A80611"/>
    <w:rsid w:val="00AA0C30"/>
    <w:rsid w:val="00AB5340"/>
    <w:rsid w:val="00AC0A89"/>
    <w:rsid w:val="00AC7C96"/>
    <w:rsid w:val="00AE0FB0"/>
    <w:rsid w:val="00AE237D"/>
    <w:rsid w:val="00AE502A"/>
    <w:rsid w:val="00AF7C07"/>
    <w:rsid w:val="00B0727F"/>
    <w:rsid w:val="00B10245"/>
    <w:rsid w:val="00B159B8"/>
    <w:rsid w:val="00B22C93"/>
    <w:rsid w:val="00B27589"/>
    <w:rsid w:val="00B405B7"/>
    <w:rsid w:val="00B46700"/>
    <w:rsid w:val="00B52222"/>
    <w:rsid w:val="00B54FE7"/>
    <w:rsid w:val="00B57CA0"/>
    <w:rsid w:val="00B66901"/>
    <w:rsid w:val="00B71E36"/>
    <w:rsid w:val="00B71E6D"/>
    <w:rsid w:val="00B72070"/>
    <w:rsid w:val="00B76555"/>
    <w:rsid w:val="00B779E1"/>
    <w:rsid w:val="00B8086E"/>
    <w:rsid w:val="00B91EE1"/>
    <w:rsid w:val="00B95091"/>
    <w:rsid w:val="00BA0090"/>
    <w:rsid w:val="00BA1A67"/>
    <w:rsid w:val="00BE5B5F"/>
    <w:rsid w:val="00BE61A4"/>
    <w:rsid w:val="00BF0327"/>
    <w:rsid w:val="00BF1798"/>
    <w:rsid w:val="00BF237D"/>
    <w:rsid w:val="00BF728C"/>
    <w:rsid w:val="00BF7A94"/>
    <w:rsid w:val="00C1028F"/>
    <w:rsid w:val="00C11F7E"/>
    <w:rsid w:val="00C26F55"/>
    <w:rsid w:val="00C30C63"/>
    <w:rsid w:val="00C36B8B"/>
    <w:rsid w:val="00C415C1"/>
    <w:rsid w:val="00C47DBF"/>
    <w:rsid w:val="00C500D4"/>
    <w:rsid w:val="00C506E6"/>
    <w:rsid w:val="00C552FF"/>
    <w:rsid w:val="00C558DA"/>
    <w:rsid w:val="00C55AF3"/>
    <w:rsid w:val="00C63AE9"/>
    <w:rsid w:val="00C70845"/>
    <w:rsid w:val="00C84759"/>
    <w:rsid w:val="00C964C4"/>
    <w:rsid w:val="00CA6C7F"/>
    <w:rsid w:val="00CB509F"/>
    <w:rsid w:val="00CC10A6"/>
    <w:rsid w:val="00CC6EB3"/>
    <w:rsid w:val="00CD28C6"/>
    <w:rsid w:val="00CD5EB8"/>
    <w:rsid w:val="00CD7044"/>
    <w:rsid w:val="00CE08B9"/>
    <w:rsid w:val="00CE524C"/>
    <w:rsid w:val="00CF141F"/>
    <w:rsid w:val="00CF4777"/>
    <w:rsid w:val="00D067BB"/>
    <w:rsid w:val="00D1352A"/>
    <w:rsid w:val="00D169AF"/>
    <w:rsid w:val="00D25249"/>
    <w:rsid w:val="00D44172"/>
    <w:rsid w:val="00D472D8"/>
    <w:rsid w:val="00D52924"/>
    <w:rsid w:val="00D62DAC"/>
    <w:rsid w:val="00D63B8C"/>
    <w:rsid w:val="00D739CC"/>
    <w:rsid w:val="00D74DE3"/>
    <w:rsid w:val="00D750A3"/>
    <w:rsid w:val="00D76790"/>
    <w:rsid w:val="00D8025F"/>
    <w:rsid w:val="00D8093D"/>
    <w:rsid w:val="00D8108C"/>
    <w:rsid w:val="00D842AE"/>
    <w:rsid w:val="00D87566"/>
    <w:rsid w:val="00D9211C"/>
    <w:rsid w:val="00D92DE0"/>
    <w:rsid w:val="00D92FEF"/>
    <w:rsid w:val="00D934FE"/>
    <w:rsid w:val="00D93A0F"/>
    <w:rsid w:val="00DA1BCA"/>
    <w:rsid w:val="00DB4FD0"/>
    <w:rsid w:val="00DC45C7"/>
    <w:rsid w:val="00DC46FF"/>
    <w:rsid w:val="00DC5254"/>
    <w:rsid w:val="00DC708D"/>
    <w:rsid w:val="00DD1A4F"/>
    <w:rsid w:val="00DD2838"/>
    <w:rsid w:val="00DD3107"/>
    <w:rsid w:val="00DD6F16"/>
    <w:rsid w:val="00DD7C2C"/>
    <w:rsid w:val="00DF05AB"/>
    <w:rsid w:val="00E06797"/>
    <w:rsid w:val="00E1265B"/>
    <w:rsid w:val="00E13B48"/>
    <w:rsid w:val="00E1404F"/>
    <w:rsid w:val="00E21C83"/>
    <w:rsid w:val="00E24ADA"/>
    <w:rsid w:val="00E30205"/>
    <w:rsid w:val="00E32F59"/>
    <w:rsid w:val="00E400C5"/>
    <w:rsid w:val="00E44A5A"/>
    <w:rsid w:val="00E46D9A"/>
    <w:rsid w:val="00E565FF"/>
    <w:rsid w:val="00E65388"/>
    <w:rsid w:val="00E85B7D"/>
    <w:rsid w:val="00E9121B"/>
    <w:rsid w:val="00E922B6"/>
    <w:rsid w:val="00EA0AE2"/>
    <w:rsid w:val="00EA39E5"/>
    <w:rsid w:val="00EA5E72"/>
    <w:rsid w:val="00EB56B5"/>
    <w:rsid w:val="00EC1127"/>
    <w:rsid w:val="00EC44BF"/>
    <w:rsid w:val="00EC5A46"/>
    <w:rsid w:val="00EC63E2"/>
    <w:rsid w:val="00EE481F"/>
    <w:rsid w:val="00EE7A32"/>
    <w:rsid w:val="00EF22B3"/>
    <w:rsid w:val="00F03B69"/>
    <w:rsid w:val="00F05491"/>
    <w:rsid w:val="00F05E31"/>
    <w:rsid w:val="00F07A50"/>
    <w:rsid w:val="00F113DA"/>
    <w:rsid w:val="00F12FC5"/>
    <w:rsid w:val="00F1752F"/>
    <w:rsid w:val="00F21875"/>
    <w:rsid w:val="00F24AB6"/>
    <w:rsid w:val="00F37DC8"/>
    <w:rsid w:val="00F439B3"/>
    <w:rsid w:val="00F63376"/>
    <w:rsid w:val="00F650C3"/>
    <w:rsid w:val="00F65D85"/>
    <w:rsid w:val="00F8091E"/>
    <w:rsid w:val="00F85E20"/>
    <w:rsid w:val="00F8615C"/>
    <w:rsid w:val="00F94214"/>
    <w:rsid w:val="00F969E5"/>
    <w:rsid w:val="00F97297"/>
    <w:rsid w:val="00FA3208"/>
    <w:rsid w:val="00FA5BA4"/>
    <w:rsid w:val="00FA6BB0"/>
    <w:rsid w:val="00FA6CF6"/>
    <w:rsid w:val="00FD5860"/>
    <w:rsid w:val="00FE281D"/>
    <w:rsid w:val="00FE352D"/>
    <w:rsid w:val="00FE40EB"/>
    <w:rsid w:val="00FE4D02"/>
    <w:rsid w:val="00FE4D96"/>
    <w:rsid w:val="00FE7D62"/>
    <w:rsid w:val="00FF3819"/>
    <w:rsid w:val="00FF72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50F6BAC"/>
  <w15:docId w15:val="{43AC1955-BB88-4A54-910F-5F98739D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F3540"/>
    <w:pPr>
      <w:spacing w:after="120" w:line="280" w:lineRule="exact"/>
      <w:jc w:val="both"/>
    </w:pPr>
    <w:rPr>
      <w:rFonts w:ascii="Calibri" w:eastAsia="MS Mincho" w:hAnsi="Calibri"/>
      <w:sz w:val="21"/>
      <w:szCs w:val="10"/>
      <w:lang w:val="en-US" w:eastAsia="zh-CN"/>
    </w:rPr>
  </w:style>
  <w:style w:type="paragraph" w:styleId="Heading1">
    <w:name w:val="heading 1"/>
    <w:basedOn w:val="Normal"/>
    <w:next w:val="Normalnumber"/>
    <w:qFormat/>
    <w:rsid w:val="000D6941"/>
    <w:pPr>
      <w:keepNext/>
      <w:tabs>
        <w:tab w:val="left" w:pos="1247"/>
        <w:tab w:val="left" w:pos="1814"/>
      </w:tabs>
      <w:spacing w:before="240"/>
      <w:ind w:left="1247" w:hanging="680"/>
      <w:outlineLvl w:val="0"/>
    </w:pPr>
    <w:rPr>
      <w:b/>
      <w:sz w:val="28"/>
    </w:rPr>
  </w:style>
  <w:style w:type="paragraph" w:styleId="Heading2">
    <w:name w:val="heading 2"/>
    <w:basedOn w:val="Normal"/>
    <w:next w:val="Normalnumber"/>
    <w:link w:val="Heading2Char"/>
    <w:qFormat/>
    <w:rsid w:val="000D6941"/>
    <w:pPr>
      <w:keepNext/>
      <w:spacing w:before="240"/>
      <w:ind w:left="1247" w:hanging="680"/>
      <w:outlineLvl w:val="1"/>
    </w:pPr>
    <w:rPr>
      <w:b/>
      <w:sz w:val="24"/>
      <w:szCs w:val="24"/>
    </w:rPr>
  </w:style>
  <w:style w:type="paragraph" w:styleId="Heading3">
    <w:name w:val="heading 3"/>
    <w:basedOn w:val="Normal"/>
    <w:next w:val="Normalnumber"/>
    <w:qFormat/>
    <w:rsid w:val="000D6941"/>
    <w:pPr>
      <w:ind w:left="1247" w:hanging="680"/>
      <w:outlineLvl w:val="2"/>
    </w:pPr>
    <w:rPr>
      <w:b/>
    </w:rPr>
  </w:style>
  <w:style w:type="paragraph" w:styleId="Heading4">
    <w:name w:val="heading 4"/>
    <w:basedOn w:val="Heading3"/>
    <w:next w:val="Normalnumber"/>
    <w:qFormat/>
    <w:rsid w:val="000D6941"/>
    <w:pPr>
      <w:keepNext/>
      <w:outlineLvl w:val="3"/>
    </w:pPr>
  </w:style>
  <w:style w:type="paragraph" w:styleId="Heading5">
    <w:name w:val="heading 5"/>
    <w:basedOn w:val="Normal"/>
    <w:next w:val="Normal"/>
    <w:qFormat/>
    <w:rsid w:val="000D6941"/>
    <w:pPr>
      <w:keepNext/>
      <w:outlineLvl w:val="4"/>
    </w:pPr>
    <w:rPr>
      <w:rFonts w:ascii="Univers" w:hAnsi="Univers"/>
      <w:b/>
      <w:sz w:val="24"/>
    </w:rPr>
  </w:style>
  <w:style w:type="paragraph" w:styleId="Heading6">
    <w:name w:val="heading 6"/>
    <w:basedOn w:val="Normal"/>
    <w:next w:val="Normal"/>
    <w:qFormat/>
    <w:rsid w:val="000D6941"/>
    <w:pPr>
      <w:keepNext/>
      <w:ind w:left="578"/>
      <w:outlineLvl w:val="5"/>
    </w:pPr>
    <w:rPr>
      <w:b/>
      <w:bCs/>
      <w:sz w:val="24"/>
    </w:rPr>
  </w:style>
  <w:style w:type="paragraph" w:styleId="Heading7">
    <w:name w:val="heading 7"/>
    <w:basedOn w:val="Normal"/>
    <w:next w:val="Normal"/>
    <w:qFormat/>
    <w:rsid w:val="000D6941"/>
    <w:pPr>
      <w:keepNext/>
      <w:widowControl w:val="0"/>
      <w:jc w:val="center"/>
      <w:outlineLvl w:val="6"/>
    </w:pPr>
    <w:rPr>
      <w:snapToGrid w:val="0"/>
      <w:u w:val="single"/>
    </w:rPr>
  </w:style>
  <w:style w:type="paragraph" w:styleId="Heading8">
    <w:name w:val="heading 8"/>
    <w:basedOn w:val="Normal"/>
    <w:next w:val="Normal"/>
    <w:qFormat/>
    <w:rsid w:val="000D6941"/>
    <w:pPr>
      <w:keepNext/>
      <w:widowControl w:val="0"/>
      <w:numPr>
        <w:numId w:val="1"/>
      </w:numPr>
      <w:tabs>
        <w:tab w:val="left" w:pos="-1440"/>
        <w:tab w:val="left" w:pos="-720"/>
      </w:tabs>
      <w:suppressAutoHyphens/>
      <w:jc w:val="center"/>
      <w:outlineLvl w:val="7"/>
    </w:pPr>
    <w:rPr>
      <w:snapToGrid w:val="0"/>
      <w:u w:val="single"/>
    </w:rPr>
  </w:style>
  <w:style w:type="paragraph" w:styleId="Heading9">
    <w:name w:val="heading 9"/>
    <w:basedOn w:val="Normal"/>
    <w:next w:val="Normal"/>
    <w:qFormat/>
    <w:rsid w:val="000D6941"/>
    <w:pPr>
      <w:keepNext/>
      <w:widowControl w:val="0"/>
      <w:numPr>
        <w:numId w:val="2"/>
      </w:numPr>
      <w:suppressAutoHyphens/>
      <w:jc w:val="center"/>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0D6941"/>
    <w:rPr>
      <w:rFonts w:ascii="Times New Roman" w:hAnsi="Times New Roman"/>
      <w:b/>
      <w:sz w:val="18"/>
    </w:rPr>
  </w:style>
  <w:style w:type="table" w:customStyle="1" w:styleId="Tabledocright">
    <w:name w:val="Table_doc_right"/>
    <w:basedOn w:val="TableNormal"/>
    <w:rsid w:val="003A77F1"/>
    <w:pPr>
      <w:spacing w:before="40" w:after="40"/>
    </w:pPr>
    <w:rPr>
      <w:sz w:val="18"/>
      <w:szCs w:val="18"/>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autoRedefine/>
    <w:semiHidden/>
    <w:rsid w:val="000D6941"/>
    <w:pPr>
      <w:ind w:left="1000"/>
    </w:pPr>
    <w:rPr>
      <w:sz w:val="18"/>
      <w:szCs w:val="18"/>
    </w:rPr>
  </w:style>
  <w:style w:type="paragraph" w:styleId="TOC7">
    <w:name w:val="toc 7"/>
    <w:basedOn w:val="Normal"/>
    <w:next w:val="Normal"/>
    <w:autoRedefine/>
    <w:semiHidden/>
    <w:rsid w:val="000D6941"/>
    <w:pPr>
      <w:ind w:left="1200"/>
    </w:pPr>
    <w:rPr>
      <w:sz w:val="18"/>
      <w:szCs w:val="18"/>
    </w:rPr>
  </w:style>
  <w:style w:type="paragraph" w:styleId="TOC8">
    <w:name w:val="toc 8"/>
    <w:basedOn w:val="Normal"/>
    <w:next w:val="Normal"/>
    <w:autoRedefine/>
    <w:semiHidden/>
    <w:rsid w:val="000D6941"/>
    <w:pPr>
      <w:ind w:left="1400"/>
    </w:pPr>
    <w:rPr>
      <w:sz w:val="18"/>
      <w:szCs w:val="18"/>
    </w:rPr>
  </w:style>
  <w:style w:type="paragraph" w:styleId="TOC9">
    <w:name w:val="toc 9"/>
    <w:basedOn w:val="Normal"/>
    <w:next w:val="Normal"/>
    <w:autoRedefine/>
    <w:semiHidden/>
    <w:rsid w:val="000D6941"/>
    <w:pPr>
      <w:ind w:left="1600"/>
    </w:pPr>
    <w:rPr>
      <w:sz w:val="18"/>
      <w:szCs w:val="18"/>
    </w:rPr>
  </w:style>
  <w:style w:type="paragraph" w:customStyle="1" w:styleId="Titlefigure">
    <w:name w:val="Title_figure"/>
    <w:basedOn w:val="Titletable"/>
    <w:next w:val="NormalNonumber"/>
    <w:rsid w:val="003A77F1"/>
    <w:rPr>
      <w:bCs w:val="0"/>
    </w:rPr>
  </w:style>
  <w:style w:type="paragraph" w:styleId="TableofFigures">
    <w:name w:val="table of figures"/>
    <w:basedOn w:val="Normal"/>
    <w:next w:val="Normal"/>
    <w:autoRedefine/>
    <w:semiHidden/>
    <w:rsid w:val="000D6941"/>
    <w:pPr>
      <w:ind w:left="1814" w:hanging="567"/>
    </w:pPr>
  </w:style>
  <w:style w:type="paragraph" w:customStyle="1" w:styleId="CH1">
    <w:name w:val="CH1"/>
    <w:basedOn w:val="Normalpool"/>
    <w:next w:val="CH2"/>
    <w:qFormat/>
    <w:rsid w:val="00160D74"/>
    <w:pPr>
      <w:keepNext/>
      <w:keepLines/>
      <w:tabs>
        <w:tab w:val="right" w:pos="851"/>
      </w:tabs>
      <w:suppressAutoHyphens/>
      <w:spacing w:before="240" w:after="120"/>
      <w:ind w:left="1247" w:right="284" w:hanging="1247"/>
    </w:pPr>
    <w:rPr>
      <w:b/>
      <w:sz w:val="28"/>
      <w:szCs w:val="28"/>
      <w:lang w:val="en-GB"/>
    </w:rPr>
  </w:style>
  <w:style w:type="paragraph" w:customStyle="1" w:styleId="CH2">
    <w:name w:val="CH2"/>
    <w:basedOn w:val="Normalpool"/>
    <w:next w:val="Normalnumber"/>
    <w:link w:val="CH2Char"/>
    <w:rsid w:val="00160D74"/>
    <w:pPr>
      <w:keepNext/>
      <w:keepLines/>
      <w:tabs>
        <w:tab w:val="right" w:pos="851"/>
      </w:tabs>
      <w:suppressAutoHyphens/>
      <w:spacing w:before="80" w:after="120"/>
      <w:ind w:left="1247" w:right="284" w:hanging="1247"/>
    </w:pPr>
    <w:rPr>
      <w:b/>
      <w:sz w:val="24"/>
      <w:szCs w:val="24"/>
      <w:lang w:val="en-GB"/>
    </w:rPr>
  </w:style>
  <w:style w:type="paragraph" w:customStyle="1" w:styleId="CH3">
    <w:name w:val="CH3"/>
    <w:basedOn w:val="Normalpool"/>
    <w:next w:val="Normalnumber"/>
    <w:rsid w:val="00160D74"/>
    <w:pPr>
      <w:keepNext/>
      <w:keepLines/>
      <w:tabs>
        <w:tab w:val="right" w:pos="851"/>
      </w:tabs>
      <w:suppressAutoHyphens/>
      <w:spacing w:after="120"/>
      <w:ind w:left="1247" w:right="284" w:hanging="1247"/>
    </w:pPr>
    <w:rPr>
      <w:b/>
      <w:lang w:val="en-GB"/>
    </w:rPr>
  </w:style>
  <w:style w:type="paragraph" w:customStyle="1" w:styleId="CH4">
    <w:name w:val="CH4"/>
    <w:basedOn w:val="Normalpool"/>
    <w:next w:val="Normalnumber"/>
    <w:rsid w:val="00160D74"/>
    <w:pPr>
      <w:keepNext/>
      <w:keepLines/>
      <w:tabs>
        <w:tab w:val="right" w:pos="851"/>
      </w:tabs>
      <w:suppressAutoHyphens/>
      <w:spacing w:after="120"/>
      <w:ind w:left="1247" w:right="284" w:hanging="1247"/>
    </w:pPr>
    <w:rPr>
      <w:b/>
      <w:lang w:val="en-GB"/>
    </w:rPr>
  </w:style>
  <w:style w:type="table" w:customStyle="1" w:styleId="Footertable">
    <w:name w:val="Footer_table"/>
    <w:basedOn w:val="TableNormal"/>
    <w:semiHidden/>
    <w:rsid w:val="003A77F1"/>
    <w:rPr>
      <w:rFonts w:ascii="Arial" w:hAnsi="Arial"/>
      <w:sz w:val="16"/>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pool"/>
    <w:next w:val="Normalnumber"/>
    <w:rsid w:val="00160D74"/>
    <w:pPr>
      <w:keepNext/>
      <w:keepLines/>
      <w:tabs>
        <w:tab w:val="right" w:pos="851"/>
      </w:tabs>
      <w:suppressAutoHyphens/>
      <w:spacing w:after="120"/>
      <w:ind w:left="1247" w:right="284" w:hanging="1247"/>
    </w:pPr>
    <w:rPr>
      <w:b/>
      <w:lang w:val="en-GB"/>
    </w:rPr>
  </w:style>
  <w:style w:type="paragraph" w:customStyle="1" w:styleId="Footerpool">
    <w:name w:val="Footer_pool"/>
    <w:basedOn w:val="Normal"/>
    <w:next w:val="Normal"/>
    <w:semiHidden/>
    <w:rsid w:val="003A77F1"/>
    <w:pPr>
      <w:tabs>
        <w:tab w:val="left" w:pos="4321"/>
        <w:tab w:val="right" w:pos="8641"/>
      </w:tabs>
      <w:spacing w:before="60"/>
    </w:pPr>
    <w:rPr>
      <w:b/>
      <w:sz w:val="18"/>
    </w:rPr>
  </w:style>
  <w:style w:type="paragraph" w:customStyle="1" w:styleId="Headerpool">
    <w:name w:val="Header_pool"/>
    <w:basedOn w:val="Normal"/>
    <w:next w:val="Normal"/>
    <w:semiHidden/>
    <w:rsid w:val="003A77F1"/>
    <w:pPr>
      <w:pBdr>
        <w:bottom w:val="single" w:sz="4" w:space="1" w:color="auto"/>
      </w:pBdr>
      <w:tabs>
        <w:tab w:val="center" w:pos="4536"/>
        <w:tab w:val="right" w:pos="9072"/>
      </w:tabs>
    </w:pPr>
    <w:rPr>
      <w:b/>
      <w:sz w:val="18"/>
    </w:rPr>
  </w:style>
  <w:style w:type="paragraph" w:customStyle="1" w:styleId="Normalpool">
    <w:name w:val="Normal_pool"/>
    <w:semiHidden/>
    <w:rsid w:val="003A77F1"/>
    <w:pPr>
      <w:tabs>
        <w:tab w:val="left" w:pos="1247"/>
        <w:tab w:val="left" w:pos="1814"/>
        <w:tab w:val="left" w:pos="2381"/>
        <w:tab w:val="left" w:pos="2948"/>
        <w:tab w:val="left" w:pos="3515"/>
        <w:tab w:val="left" w:pos="4082"/>
      </w:tabs>
    </w:pPr>
    <w:rPr>
      <w:lang w:val="fr-FR"/>
    </w:rPr>
  </w:style>
  <w:style w:type="paragraph" w:customStyle="1" w:styleId="Footer-pool">
    <w:name w:val="Footer-pool"/>
    <w:basedOn w:val="Normal-pool"/>
    <w:next w:val="Normal-pool"/>
    <w:rsid w:val="003A77F1"/>
    <w:pPr>
      <w:tabs>
        <w:tab w:val="left" w:pos="4321"/>
        <w:tab w:val="right" w:pos="8641"/>
      </w:tabs>
      <w:spacing w:before="60" w:after="120"/>
    </w:pPr>
    <w:rPr>
      <w:b/>
      <w:sz w:val="18"/>
    </w:rPr>
  </w:style>
  <w:style w:type="paragraph" w:customStyle="1" w:styleId="Header-pool">
    <w:name w:val="Header-pool"/>
    <w:basedOn w:val="Normal-pool"/>
    <w:next w:val="Normal-pool"/>
    <w:rsid w:val="003A77F1"/>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Normal-pool">
    <w:name w:val="Normal-pool"/>
    <w:link w:val="Normal-poolChar"/>
    <w:qFormat/>
    <w:rsid w:val="00160D74"/>
    <w:pPr>
      <w:tabs>
        <w:tab w:val="left" w:pos="1247"/>
        <w:tab w:val="left" w:pos="1814"/>
        <w:tab w:val="left" w:pos="2381"/>
        <w:tab w:val="left" w:pos="2948"/>
        <w:tab w:val="left" w:pos="3515"/>
        <w:tab w:val="left" w:pos="4082"/>
      </w:tabs>
    </w:pPr>
  </w:style>
  <w:style w:type="character" w:styleId="FootnoteReference">
    <w:name w:val="footnote reference"/>
    <w:aliases w:val="16 Point,Superscript 6 Point,number,SUPERS,Footnote Reference Superscript"/>
    <w:basedOn w:val="DefaultParagraphFont"/>
    <w:uiPriority w:val="99"/>
    <w:rsid w:val="000D6941"/>
    <w:rPr>
      <w:rFonts w:ascii="Times New Roman" w:eastAsia="SimSun" w:hAnsi="Times New Roman"/>
      <w:color w:val="000000"/>
      <w:spacing w:val="-5"/>
      <w:w w:val="130"/>
      <w:position w:val="-4"/>
      <w:sz w:val="20"/>
      <w:szCs w:val="18"/>
      <w:vertAlign w:val="superscript"/>
    </w:rPr>
  </w:style>
  <w:style w:type="paragraph" w:styleId="FootnoteText">
    <w:name w:val="footnote text"/>
    <w:aliases w:val="Geneva 9,Font: Geneva 9,Boston 10,f,DNV-FT,Fußnotentextf,Footnote Text Char Char,Footnote Text Char Char Char Char,Footnote Text1,Footnote Text Char Char Char"/>
    <w:basedOn w:val="Normal"/>
    <w:link w:val="FootnoteTextChar"/>
    <w:uiPriority w:val="99"/>
    <w:rsid w:val="000D6941"/>
    <w:pPr>
      <w:spacing w:before="20" w:after="0" w:line="210" w:lineRule="exact"/>
      <w:ind w:left="475" w:hanging="475"/>
      <w:jc w:val="left"/>
    </w:pPr>
    <w:rPr>
      <w:noProof/>
      <w:spacing w:val="5"/>
      <w:w w:val="104"/>
      <w:kern w:val="14"/>
      <w:sz w:val="18"/>
      <w:szCs w:val="20"/>
    </w:rPr>
  </w:style>
  <w:style w:type="table" w:customStyle="1" w:styleId="AATable">
    <w:name w:val="AA_Table"/>
    <w:basedOn w:val="TableNormal"/>
    <w:semiHidden/>
    <w:rsid w:val="003A77F1"/>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uiPriority w:val="99"/>
    <w:rsid w:val="00160D74"/>
    <w:pPr>
      <w:keepNext/>
      <w:keepLines/>
      <w:suppressAutoHyphens/>
      <w:ind w:right="5103"/>
    </w:pPr>
    <w:rPr>
      <w:b/>
      <w:lang w:val="en-GB"/>
    </w:rPr>
  </w:style>
  <w:style w:type="paragraph" w:customStyle="1" w:styleId="AATitle2">
    <w:name w:val="AA_Title2"/>
    <w:basedOn w:val="AATitle"/>
    <w:rsid w:val="00262661"/>
    <w:pPr>
      <w:tabs>
        <w:tab w:val="clear" w:pos="4082"/>
      </w:tabs>
      <w:spacing w:before="60" w:after="60"/>
      <w:ind w:right="4536"/>
    </w:pPr>
  </w:style>
  <w:style w:type="paragraph" w:customStyle="1" w:styleId="BBTitle">
    <w:name w:val="BB_Title"/>
    <w:basedOn w:val="Normalpool"/>
    <w:rsid w:val="00160D74"/>
    <w:pPr>
      <w:keepNext/>
      <w:keepLines/>
      <w:suppressAutoHyphens/>
      <w:spacing w:before="320" w:after="240"/>
      <w:ind w:left="1247" w:right="567"/>
    </w:pPr>
    <w:rPr>
      <w:b/>
      <w:sz w:val="28"/>
      <w:szCs w:val="28"/>
      <w:lang w:val="en-GB"/>
    </w:rPr>
  </w:style>
  <w:style w:type="paragraph" w:styleId="Footer">
    <w:name w:val="footer"/>
    <w:basedOn w:val="Normal"/>
    <w:link w:val="FooterChar"/>
    <w:uiPriority w:val="99"/>
    <w:rsid w:val="00821395"/>
    <w:pPr>
      <w:tabs>
        <w:tab w:val="center" w:pos="4320"/>
        <w:tab w:val="right" w:pos="8640"/>
      </w:tabs>
      <w:spacing w:before="60"/>
    </w:pPr>
    <w:rPr>
      <w:rFonts w:eastAsia="PMingLiU"/>
      <w:b/>
      <w:noProof/>
      <w:sz w:val="17"/>
    </w:rPr>
  </w:style>
  <w:style w:type="paragraph" w:styleId="Header">
    <w:name w:val="header"/>
    <w:basedOn w:val="Normal"/>
    <w:link w:val="HeaderChar"/>
    <w:semiHidden/>
    <w:rsid w:val="000D6941"/>
    <w:pPr>
      <w:pBdr>
        <w:bottom w:val="single" w:sz="4" w:space="1" w:color="auto"/>
      </w:pBdr>
      <w:tabs>
        <w:tab w:val="center" w:pos="4536"/>
        <w:tab w:val="right" w:pos="9072"/>
      </w:tabs>
    </w:pPr>
    <w:rPr>
      <w:rFonts w:eastAsia="PMingLiU"/>
      <w:b/>
      <w:noProof/>
      <w:sz w:val="18"/>
    </w:rPr>
  </w:style>
  <w:style w:type="character" w:styleId="Hyperlink">
    <w:name w:val="Hyperlink"/>
    <w:basedOn w:val="DefaultParagraphFont"/>
    <w:semiHidden/>
    <w:rsid w:val="000D6941"/>
    <w:rPr>
      <w:rFonts w:ascii="Times New Roman" w:hAnsi="Times New Roman"/>
      <w:color w:val="auto"/>
      <w:sz w:val="20"/>
      <w:szCs w:val="20"/>
      <w:u w:val="none"/>
      <w:lang w:val="fr-FR"/>
    </w:rPr>
  </w:style>
  <w:style w:type="numbering" w:customStyle="1" w:styleId="Normallist">
    <w:name w:val="Normal_list"/>
    <w:basedOn w:val="NoList"/>
    <w:rsid w:val="003A77F1"/>
    <w:pPr>
      <w:numPr>
        <w:numId w:val="3"/>
      </w:numPr>
    </w:pPr>
  </w:style>
  <w:style w:type="paragraph" w:customStyle="1" w:styleId="NormalNonumber">
    <w:name w:val="Normal_No_number"/>
    <w:basedOn w:val="Normalpool"/>
    <w:rsid w:val="00160D74"/>
    <w:pPr>
      <w:spacing w:after="120"/>
      <w:ind w:left="1247"/>
    </w:pPr>
    <w:rPr>
      <w:lang w:val="en-GB"/>
    </w:rPr>
  </w:style>
  <w:style w:type="paragraph" w:customStyle="1" w:styleId="Normalnumber">
    <w:name w:val="Normal_number"/>
    <w:basedOn w:val="Normalpool"/>
    <w:link w:val="NormalnumberChar"/>
    <w:qFormat/>
    <w:rsid w:val="00DB4FD0"/>
    <w:pPr>
      <w:numPr>
        <w:numId w:val="4"/>
      </w:numPr>
      <w:tabs>
        <w:tab w:val="clear" w:pos="1247"/>
        <w:tab w:val="clear" w:pos="1814"/>
        <w:tab w:val="clear" w:pos="2381"/>
        <w:tab w:val="clear" w:pos="2948"/>
        <w:tab w:val="clear" w:pos="3515"/>
        <w:tab w:val="clear" w:pos="4082"/>
        <w:tab w:val="left" w:pos="624"/>
      </w:tabs>
      <w:spacing w:after="120"/>
    </w:pPr>
    <w:rPr>
      <w:lang w:val="en-GB"/>
    </w:rPr>
  </w:style>
  <w:style w:type="paragraph" w:customStyle="1" w:styleId="Titletable">
    <w:name w:val="Title_table"/>
    <w:basedOn w:val="Normalpool"/>
    <w:rsid w:val="00160D74"/>
    <w:pPr>
      <w:keepNext/>
      <w:keepLines/>
      <w:suppressAutoHyphens/>
      <w:spacing w:after="60"/>
      <w:ind w:left="1247"/>
    </w:pPr>
    <w:rPr>
      <w:b/>
      <w:bCs/>
      <w:lang w:val="en-GB"/>
    </w:rPr>
  </w:style>
  <w:style w:type="paragraph" w:styleId="TOC1">
    <w:name w:val="toc 1"/>
    <w:basedOn w:val="Normalpool"/>
    <w:next w:val="Normalpool"/>
    <w:rsid w:val="000D6941"/>
    <w:pPr>
      <w:tabs>
        <w:tab w:val="clear" w:pos="2381"/>
        <w:tab w:val="clear" w:pos="2948"/>
        <w:tab w:val="clear" w:pos="3515"/>
        <w:tab w:val="clear" w:pos="4082"/>
        <w:tab w:val="right" w:leader="dot" w:pos="9486"/>
      </w:tabs>
      <w:spacing w:before="240"/>
      <w:ind w:left="1814" w:hanging="567"/>
    </w:pPr>
    <w:rPr>
      <w:bCs/>
    </w:rPr>
  </w:style>
  <w:style w:type="paragraph" w:styleId="TOC2">
    <w:name w:val="toc 2"/>
    <w:basedOn w:val="Normalpool"/>
    <w:next w:val="Normalpool"/>
    <w:rsid w:val="000D6941"/>
    <w:pPr>
      <w:tabs>
        <w:tab w:val="clear" w:pos="1814"/>
        <w:tab w:val="clear" w:pos="2948"/>
        <w:tab w:val="clear" w:pos="3515"/>
        <w:tab w:val="clear" w:pos="4082"/>
        <w:tab w:val="right" w:leader="dot" w:pos="9486"/>
      </w:tabs>
      <w:ind w:left="2381" w:hanging="567"/>
    </w:pPr>
  </w:style>
  <w:style w:type="paragraph" w:styleId="TOC3">
    <w:name w:val="toc 3"/>
    <w:basedOn w:val="Normalpool"/>
    <w:next w:val="Normalpool"/>
    <w:rsid w:val="000D6941"/>
    <w:pPr>
      <w:tabs>
        <w:tab w:val="clear" w:pos="1814"/>
        <w:tab w:val="clear" w:pos="2381"/>
        <w:tab w:val="clear" w:pos="2948"/>
        <w:tab w:val="clear" w:pos="3515"/>
        <w:tab w:val="right" w:leader="dot" w:pos="9486"/>
      </w:tabs>
      <w:ind w:left="2948" w:hanging="567"/>
    </w:pPr>
    <w:rPr>
      <w:iCs/>
    </w:rPr>
  </w:style>
  <w:style w:type="paragraph" w:styleId="TOC4">
    <w:name w:val="toc 4"/>
    <w:basedOn w:val="Normalpool"/>
    <w:next w:val="Normalpool"/>
    <w:rsid w:val="000D6941"/>
    <w:pPr>
      <w:tabs>
        <w:tab w:val="clear" w:pos="1814"/>
        <w:tab w:val="clear" w:pos="2381"/>
        <w:tab w:val="clear" w:pos="2948"/>
        <w:tab w:val="clear" w:pos="3515"/>
        <w:tab w:val="left" w:pos="1000"/>
        <w:tab w:val="right" w:leader="dot" w:pos="9486"/>
      </w:tabs>
      <w:ind w:left="3515" w:hanging="567"/>
    </w:pPr>
    <w:rPr>
      <w:szCs w:val="18"/>
    </w:rPr>
  </w:style>
  <w:style w:type="paragraph" w:styleId="TOC5">
    <w:name w:val="toc 5"/>
    <w:basedOn w:val="Normal"/>
    <w:next w:val="Normal"/>
    <w:autoRedefine/>
    <w:semiHidden/>
    <w:rsid w:val="000D6941"/>
    <w:pPr>
      <w:ind w:left="800"/>
    </w:pPr>
    <w:rPr>
      <w:sz w:val="18"/>
      <w:szCs w:val="18"/>
    </w:rPr>
  </w:style>
  <w:style w:type="paragraph" w:customStyle="1" w:styleId="ZZAnxheader">
    <w:name w:val="ZZ_Anx_header"/>
    <w:basedOn w:val="Normalpool"/>
    <w:rsid w:val="00160D74"/>
    <w:rPr>
      <w:b/>
      <w:bCs/>
      <w:sz w:val="28"/>
      <w:szCs w:val="22"/>
      <w:lang w:val="en-GB"/>
    </w:rPr>
  </w:style>
  <w:style w:type="paragraph" w:customStyle="1" w:styleId="ZZAnxtitle">
    <w:name w:val="ZZ_Anx_title"/>
    <w:basedOn w:val="Normalpool"/>
    <w:rsid w:val="00160D74"/>
    <w:pPr>
      <w:spacing w:before="360" w:after="120"/>
      <w:ind w:left="1247"/>
    </w:pPr>
    <w:rPr>
      <w:b/>
      <w:bCs/>
      <w:sz w:val="28"/>
      <w:szCs w:val="26"/>
      <w:lang w:val="en-GB"/>
    </w:rPr>
  </w:style>
  <w:style w:type="paragraph" w:styleId="BalloonText">
    <w:name w:val="Balloon Text"/>
    <w:basedOn w:val="Normal"/>
    <w:link w:val="BalloonTextChar"/>
    <w:rsid w:val="009E7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E78C3"/>
    <w:rPr>
      <w:rFonts w:ascii="Tahoma" w:eastAsia="MS Mincho" w:hAnsi="Tahoma" w:cs="Tahoma"/>
      <w:sz w:val="16"/>
      <w:szCs w:val="16"/>
    </w:rPr>
  </w:style>
  <w:style w:type="character" w:customStyle="1" w:styleId="NormalnumberChar">
    <w:name w:val="Normal_number Char"/>
    <w:link w:val="Normalnumber"/>
    <w:rsid w:val="00DB4FD0"/>
    <w:rPr>
      <w:lang w:val="en-GB"/>
    </w:rPr>
  </w:style>
  <w:style w:type="character" w:customStyle="1" w:styleId="Heading2Char">
    <w:name w:val="Heading 2 Char"/>
    <w:link w:val="Heading2"/>
    <w:locked/>
    <w:rsid w:val="00DD6F16"/>
    <w:rPr>
      <w:rFonts w:ascii="Calibri" w:eastAsia="MS Mincho" w:hAnsi="Calibri"/>
      <w:b/>
      <w:sz w:val="24"/>
      <w:szCs w:val="24"/>
    </w:rPr>
  </w:style>
  <w:style w:type="character" w:customStyle="1" w:styleId="CH2Char">
    <w:name w:val="CH2 Char"/>
    <w:link w:val="CH2"/>
    <w:rsid w:val="00DD6F16"/>
    <w:rPr>
      <w:b/>
      <w:sz w:val="24"/>
      <w:szCs w:val="24"/>
      <w:lang w:val="en-GB"/>
    </w:rPr>
  </w:style>
  <w:style w:type="paragraph" w:customStyle="1" w:styleId="Default">
    <w:name w:val="Default"/>
    <w:rsid w:val="00DD6F16"/>
    <w:pPr>
      <w:autoSpaceDE w:val="0"/>
      <w:autoSpaceDN w:val="0"/>
      <w:adjustRightInd w:val="0"/>
    </w:pPr>
    <w:rPr>
      <w:rFonts w:ascii="Calibri" w:hAnsi="Calibri" w:cs="Calibri"/>
      <w:color w:val="000000"/>
      <w:sz w:val="24"/>
      <w:szCs w:val="24"/>
    </w:rPr>
  </w:style>
  <w:style w:type="paragraph" w:styleId="Title">
    <w:name w:val="Title"/>
    <w:basedOn w:val="BBTitle"/>
    <w:next w:val="Normal"/>
    <w:link w:val="TitleChar"/>
    <w:qFormat/>
    <w:rsid w:val="00DD6F16"/>
    <w:pPr>
      <w:tabs>
        <w:tab w:val="clear" w:pos="4082"/>
      </w:tabs>
    </w:pPr>
    <w:rPr>
      <w:lang w:val="en-US"/>
    </w:rPr>
  </w:style>
  <w:style w:type="character" w:customStyle="1" w:styleId="TitleChar">
    <w:name w:val="Title Char"/>
    <w:basedOn w:val="DefaultParagraphFont"/>
    <w:link w:val="Title"/>
    <w:rsid w:val="00DD6F16"/>
    <w:rPr>
      <w:b/>
      <w:sz w:val="28"/>
      <w:szCs w:val="28"/>
    </w:rPr>
  </w:style>
  <w:style w:type="paragraph" w:customStyle="1" w:styleId="AgendaItemTitle">
    <w:name w:val="AgendaItem_Title"/>
    <w:basedOn w:val="Normal-pool"/>
    <w:qFormat/>
    <w:rsid w:val="00DD6F16"/>
    <w:pPr>
      <w:keepNext/>
      <w:keepLines/>
      <w:tabs>
        <w:tab w:val="clear" w:pos="4082"/>
      </w:tabs>
      <w:suppressAutoHyphens/>
      <w:ind w:right="3402"/>
    </w:pPr>
    <w:rPr>
      <w:b/>
    </w:rPr>
  </w:style>
  <w:style w:type="paragraph" w:customStyle="1" w:styleId="AnnexTitle">
    <w:name w:val="Annex Title"/>
    <w:basedOn w:val="Normal-pool"/>
    <w:qFormat/>
    <w:rsid w:val="00DD6F16"/>
    <w:pPr>
      <w:pageBreakBefore/>
      <w:tabs>
        <w:tab w:val="clear" w:pos="4082"/>
      </w:tabs>
    </w:pPr>
    <w:rPr>
      <w:b/>
      <w:bCs/>
      <w:sz w:val="28"/>
      <w:szCs w:val="22"/>
    </w:rPr>
  </w:style>
  <w:style w:type="character" w:customStyle="1" w:styleId="FooterChar">
    <w:name w:val="Footer Char"/>
    <w:basedOn w:val="DefaultParagraphFont"/>
    <w:link w:val="Footer"/>
    <w:uiPriority w:val="99"/>
    <w:rsid w:val="00C63AE9"/>
    <w:rPr>
      <w:rFonts w:ascii="Calibri" w:eastAsia="MS Mincho" w:hAnsi="Calibri"/>
      <w:sz w:val="18"/>
      <w:szCs w:val="22"/>
    </w:rPr>
  </w:style>
  <w:style w:type="table" w:styleId="TableGrid">
    <w:name w:val="Table Grid"/>
    <w:basedOn w:val="TableNormal"/>
    <w:uiPriority w:val="59"/>
    <w:rsid w:val="00F2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F21875"/>
    <w:rPr>
      <w:rFonts w:ascii="Times New Roman" w:eastAsia="SimSun" w:hAnsi="Times New Roman"/>
      <w:sz w:val="6"/>
      <w:szCs w:val="16"/>
    </w:rPr>
  </w:style>
  <w:style w:type="paragraph" w:styleId="ListParagraph">
    <w:name w:val="List Paragraph"/>
    <w:basedOn w:val="Normal"/>
    <w:uiPriority w:val="34"/>
    <w:qFormat/>
    <w:rsid w:val="00F21875"/>
    <w:pPr>
      <w:spacing w:after="0" w:line="240" w:lineRule="auto"/>
      <w:ind w:left="720"/>
      <w:contextualSpacing/>
    </w:pPr>
    <w:rPr>
      <w:rFonts w:ascii="Times New Roman" w:hAnsi="Times New Roman"/>
      <w:sz w:val="20"/>
      <w:szCs w:val="20"/>
      <w:lang w:val="en-GB"/>
    </w:rPr>
  </w:style>
  <w:style w:type="character" w:customStyle="1" w:styleId="HeaderChar">
    <w:name w:val="Header Char"/>
    <w:basedOn w:val="DefaultParagraphFont"/>
    <w:link w:val="Header"/>
    <w:semiHidden/>
    <w:rsid w:val="00F21875"/>
    <w:rPr>
      <w:rFonts w:ascii="Calibri" w:eastAsia="MS Mincho" w:hAnsi="Calibri"/>
      <w:b/>
      <w:sz w:val="18"/>
      <w:szCs w:val="22"/>
    </w:rPr>
  </w:style>
  <w:style w:type="character" w:customStyle="1" w:styleId="FootnoteTextChar">
    <w:name w:val="Footnote Text Char"/>
    <w:aliases w:val="Geneva 9 Char,Font: Geneva 9 Char,Boston 10 Char,f Char,DNV-FT Char,Fußnotentextf Char,Footnote Text Char Char Char1,Footnote Text Char Char Char Char Char,Footnote Text1 Char,Footnote Text Char Char Char Char1"/>
    <w:basedOn w:val="DefaultParagraphFont"/>
    <w:link w:val="FootnoteText"/>
    <w:uiPriority w:val="99"/>
    <w:rsid w:val="00C11F7E"/>
    <w:rPr>
      <w:sz w:val="18"/>
      <w:lang w:val="fr-FR"/>
    </w:rPr>
  </w:style>
  <w:style w:type="paragraph" w:styleId="CommentText">
    <w:name w:val="annotation text"/>
    <w:basedOn w:val="Normal"/>
    <w:link w:val="CommentTextChar"/>
    <w:semiHidden/>
    <w:unhideWhenUsed/>
    <w:rsid w:val="00D750A3"/>
    <w:pPr>
      <w:spacing w:line="240" w:lineRule="auto"/>
    </w:pPr>
    <w:rPr>
      <w:sz w:val="20"/>
      <w:szCs w:val="20"/>
    </w:rPr>
  </w:style>
  <w:style w:type="character" w:customStyle="1" w:styleId="CommentTextChar">
    <w:name w:val="Comment Text Char"/>
    <w:basedOn w:val="DefaultParagraphFont"/>
    <w:link w:val="CommentText"/>
    <w:semiHidden/>
    <w:rsid w:val="00D750A3"/>
    <w:rPr>
      <w:rFonts w:ascii="Calibri" w:eastAsia="MS Mincho" w:hAnsi="Calibri"/>
    </w:rPr>
  </w:style>
  <w:style w:type="paragraph" w:styleId="CommentSubject">
    <w:name w:val="annotation subject"/>
    <w:basedOn w:val="CommentText"/>
    <w:next w:val="CommentText"/>
    <w:link w:val="CommentSubjectChar"/>
    <w:semiHidden/>
    <w:unhideWhenUsed/>
    <w:rsid w:val="00D750A3"/>
    <w:rPr>
      <w:b/>
      <w:bCs/>
    </w:rPr>
  </w:style>
  <w:style w:type="character" w:customStyle="1" w:styleId="CommentSubjectChar">
    <w:name w:val="Comment Subject Char"/>
    <w:basedOn w:val="CommentTextChar"/>
    <w:link w:val="CommentSubject"/>
    <w:semiHidden/>
    <w:rsid w:val="00D750A3"/>
    <w:rPr>
      <w:rFonts w:ascii="Calibri" w:eastAsia="MS Mincho" w:hAnsi="Calibri"/>
      <w:b/>
      <w:bCs/>
    </w:rPr>
  </w:style>
  <w:style w:type="character" w:customStyle="1" w:styleId="Normal-poolChar">
    <w:name w:val="Normal-pool Char"/>
    <w:link w:val="Normal-pool"/>
    <w:rsid w:val="0070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173633">
      <w:bodyDiv w:val="1"/>
      <w:marLeft w:val="0"/>
      <w:marRight w:val="0"/>
      <w:marTop w:val="0"/>
      <w:marBottom w:val="0"/>
      <w:divBdr>
        <w:top w:val="none" w:sz="0" w:space="0" w:color="auto"/>
        <w:left w:val="none" w:sz="0" w:space="0" w:color="auto"/>
        <w:bottom w:val="none" w:sz="0" w:space="0" w:color="auto"/>
        <w:right w:val="none" w:sz="0" w:space="0" w:color="auto"/>
      </w:divBdr>
    </w:div>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577059067">
      <w:bodyDiv w:val="1"/>
      <w:marLeft w:val="0"/>
      <w:marRight w:val="0"/>
      <w:marTop w:val="0"/>
      <w:marBottom w:val="0"/>
      <w:divBdr>
        <w:top w:val="none" w:sz="0" w:space="0" w:color="auto"/>
        <w:left w:val="none" w:sz="0" w:space="0" w:color="auto"/>
        <w:bottom w:val="none" w:sz="0" w:space="0" w:color="auto"/>
        <w:right w:val="none" w:sz="0" w:space="0" w:color="auto"/>
      </w:divBdr>
    </w:div>
    <w:div w:id="1195001246">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image" Target="media/image3.jpeg"/><Relationship Id="rId19" Type="http://schemas.openxmlformats.org/officeDocument/2006/relationships/hyperlink" Target="http://www.ipbes.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2BBD7-A054-43EF-A9B0-C508F530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4855</Words>
  <Characters>371</Characters>
  <Application>Microsoft Office Word</Application>
  <DocSecurity>0</DocSecurity>
  <Lines>3</Lines>
  <Paragraphs>10</Paragraphs>
  <ScaleCrop>false</ScaleCrop>
  <HeadingPairs>
    <vt:vector size="2" baseType="variant">
      <vt:variant>
        <vt:lpstr>Title</vt:lpstr>
      </vt:variant>
      <vt:variant>
        <vt:i4>1</vt:i4>
      </vt:variant>
    </vt:vector>
  </HeadingPairs>
  <TitlesOfParts>
    <vt:vector size="1" baseType="lpstr">
      <vt:lpstr>NATIONS UNIES</vt:lpstr>
    </vt:vector>
  </TitlesOfParts>
  <Company>unon</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NATIONS UNIES</dc:title>
  <dc:creator>Veronica Gathu</dc:creator>
  <cp:lastModifiedBy>Jie Duan</cp:lastModifiedBy>
  <cp:revision>14</cp:revision>
  <cp:lastPrinted>2018-02-02T09:52:00Z</cp:lastPrinted>
  <dcterms:created xsi:type="dcterms:W3CDTF">2018-02-02T06:41:00Z</dcterms:created>
  <dcterms:modified xsi:type="dcterms:W3CDTF">2018-02-02T09:52:00Z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With">
    <vt:lpwstr>Mercury</vt:lpwstr>
  </property>
  <property fmtid="{D5CDD505-2E9C-101B-9397-08002B2CF9AE}" pid="3" name="GeneratedBy">
    <vt:lpwstr>Cuiwen.qiu</vt:lpwstr>
  </property>
  <property fmtid="{D5CDD505-2E9C-101B-9397-08002B2CF9AE}" pid="4" name="GeneratedDate">
    <vt:lpwstr>2/9/2017 2:21:50 PM</vt:lpwstr>
  </property>
  <property fmtid="{D5CDD505-2E9C-101B-9397-08002B2CF9AE}" pid="5" name="OriginalDocID">
    <vt:lpwstr>10b44476-fb1a-43a7-a28e-e54285cd99c7</vt:lpwstr>
  </property>
</Properties>
</file>