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489"/>
        <w:gridCol w:w="474"/>
        <w:gridCol w:w="498"/>
        <w:gridCol w:w="834"/>
        <w:gridCol w:w="971"/>
        <w:gridCol w:w="2350"/>
        <w:gridCol w:w="695"/>
        <w:gridCol w:w="558"/>
        <w:gridCol w:w="1627"/>
      </w:tblGrid>
      <w:tr w:rsidR="008034CE" w:rsidRPr="002E67D9" w14:paraId="17E64F75" w14:textId="77777777" w:rsidTr="009527C6">
        <w:trPr>
          <w:cantSplit/>
          <w:trHeight w:val="1079"/>
          <w:jc w:val="right"/>
        </w:trPr>
        <w:tc>
          <w:tcPr>
            <w:tcW w:w="1526" w:type="dxa"/>
          </w:tcPr>
          <w:p w14:paraId="3093EAF0" w14:textId="77777777" w:rsidR="008034CE" w:rsidRPr="002E67D9" w:rsidRDefault="008034CE" w:rsidP="002E67D9">
            <w:pPr>
              <w:pStyle w:val="Normal-pool"/>
              <w:rPr>
                <w:rFonts w:ascii="Arial" w:hAnsi="Arial" w:cs="Arial"/>
                <w:b/>
                <w:noProof/>
                <w:sz w:val="27"/>
                <w:szCs w:val="27"/>
              </w:rPr>
            </w:pPr>
            <w:bookmarkStart w:id="0" w:name="_GoBack"/>
            <w:bookmarkEnd w:id="0"/>
            <w:r w:rsidRPr="002E67D9">
              <w:rPr>
                <w:rFonts w:ascii="Arial" w:hAnsi="Arial" w:cs="Arial"/>
                <w:b/>
                <w:noProof/>
                <w:sz w:val="27"/>
                <w:szCs w:val="27"/>
              </w:rPr>
              <w:t xml:space="preserve">UNITED </w:t>
            </w:r>
            <w:r w:rsidRPr="002E67D9">
              <w:rPr>
                <w:rFonts w:ascii="Arial" w:hAnsi="Arial" w:cs="Arial"/>
                <w:b/>
                <w:noProof/>
                <w:sz w:val="27"/>
                <w:szCs w:val="27"/>
              </w:rPr>
              <w:br/>
              <w:t>NATIONS</w:t>
            </w:r>
          </w:p>
        </w:tc>
        <w:tc>
          <w:tcPr>
            <w:tcW w:w="992" w:type="dxa"/>
            <w:gridSpan w:val="2"/>
            <w:tcBorders>
              <w:left w:val="nil"/>
            </w:tcBorders>
            <w:vAlign w:val="center"/>
          </w:tcPr>
          <w:p w14:paraId="35A8CCCF" w14:textId="77777777" w:rsidR="008034CE" w:rsidRPr="0081483A" w:rsidRDefault="008034CE" w:rsidP="001B6CA5">
            <w:pPr>
              <w:pStyle w:val="Normal-pool"/>
              <w:ind w:left="-108"/>
              <w:jc w:val="both"/>
            </w:pPr>
            <w:r>
              <w:rPr>
                <w:noProof/>
                <w:lang w:eastAsia="en-GB"/>
              </w:rPr>
              <w:drawing>
                <wp:inline distT="0" distB="0" distL="0" distR="0" wp14:anchorId="7E3EC16A" wp14:editId="488EF7EB">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51" w:type="dxa"/>
            <w:tcBorders>
              <w:left w:val="nil"/>
            </w:tcBorders>
            <w:vAlign w:val="center"/>
          </w:tcPr>
          <w:p w14:paraId="27C5EFF3" w14:textId="77777777" w:rsidR="008034CE" w:rsidRPr="0081483A" w:rsidRDefault="008034CE" w:rsidP="001B6CA5">
            <w:pPr>
              <w:pStyle w:val="Normal-pool"/>
              <w:ind w:left="-108"/>
            </w:pPr>
            <w:r>
              <w:rPr>
                <w:noProof/>
                <w:lang w:eastAsia="en-GB"/>
              </w:rPr>
              <w:drawing>
                <wp:inline distT="0" distB="0" distL="0" distR="0" wp14:anchorId="2FC9C851" wp14:editId="6B168C03">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992" w:type="dxa"/>
            <w:tcBorders>
              <w:left w:val="nil"/>
            </w:tcBorders>
            <w:vAlign w:val="center"/>
          </w:tcPr>
          <w:p w14:paraId="6F931371" w14:textId="77777777" w:rsidR="008034CE" w:rsidRPr="0081483A" w:rsidRDefault="008034CE" w:rsidP="001B6CA5">
            <w:pPr>
              <w:pStyle w:val="Normal-pool"/>
              <w:ind w:left="-108"/>
            </w:pPr>
            <w:r>
              <w:rPr>
                <w:noProof/>
                <w:lang w:eastAsia="en-GB"/>
              </w:rPr>
              <w:drawing>
                <wp:inline distT="0" distB="0" distL="0" distR="0" wp14:anchorId="5B063EF5" wp14:editId="19AA1E30">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10" w:type="dxa"/>
            <w:tcBorders>
              <w:left w:val="nil"/>
            </w:tcBorders>
            <w:vAlign w:val="center"/>
          </w:tcPr>
          <w:p w14:paraId="785DD1E7" w14:textId="77777777" w:rsidR="008034CE" w:rsidRPr="0081483A" w:rsidRDefault="008034CE" w:rsidP="001B6CA5">
            <w:pPr>
              <w:pStyle w:val="Normal-pool"/>
              <w:ind w:left="-108"/>
            </w:pPr>
            <w:r>
              <w:rPr>
                <w:noProof/>
                <w:lang w:eastAsia="en-GB"/>
              </w:rPr>
              <w:drawing>
                <wp:inline distT="0" distB="0" distL="0" distR="0" wp14:anchorId="2E54E178" wp14:editId="095A7DC2">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08" w:type="dxa"/>
            <w:tcBorders>
              <w:left w:val="nil"/>
              <w:right w:val="nil"/>
            </w:tcBorders>
          </w:tcPr>
          <w:p w14:paraId="424A94DC" w14:textId="77777777" w:rsidR="008034CE" w:rsidRPr="0081483A" w:rsidRDefault="008034CE" w:rsidP="00024C14">
            <w:pPr>
              <w:pStyle w:val="Normal-pool"/>
            </w:pPr>
            <w:r>
              <w:rPr>
                <w:noProof/>
                <w:lang w:eastAsia="en-GB"/>
              </w:rPr>
              <w:drawing>
                <wp:inline distT="0" distB="0" distL="0" distR="0" wp14:anchorId="6F9721B0" wp14:editId="13F44F35">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67" w:type="dxa"/>
            <w:tcBorders>
              <w:left w:val="nil"/>
            </w:tcBorders>
            <w:vAlign w:val="center"/>
          </w:tcPr>
          <w:p w14:paraId="423DA532" w14:textId="77777777" w:rsidR="008034CE" w:rsidRPr="0081483A" w:rsidRDefault="008034CE" w:rsidP="00024C14">
            <w:pPr>
              <w:pStyle w:val="Normal-pool"/>
            </w:pPr>
          </w:p>
        </w:tc>
        <w:tc>
          <w:tcPr>
            <w:tcW w:w="1666" w:type="dxa"/>
          </w:tcPr>
          <w:p w14:paraId="51F750DF" w14:textId="77777777" w:rsidR="008034CE" w:rsidRPr="00024C14" w:rsidRDefault="008034CE" w:rsidP="00024C14">
            <w:pPr>
              <w:pStyle w:val="Normal-pool"/>
              <w:rPr>
                <w:rFonts w:ascii="Arial" w:hAnsi="Arial" w:cs="Arial"/>
                <w:b/>
                <w:sz w:val="64"/>
                <w:szCs w:val="64"/>
              </w:rPr>
            </w:pPr>
            <w:r w:rsidRPr="00024C14">
              <w:rPr>
                <w:rFonts w:ascii="Arial" w:hAnsi="Arial" w:cs="Arial"/>
                <w:b/>
                <w:sz w:val="64"/>
                <w:szCs w:val="64"/>
              </w:rPr>
              <w:t>BES</w:t>
            </w:r>
          </w:p>
        </w:tc>
      </w:tr>
      <w:tr w:rsidR="008034CE" w:rsidRPr="002E67D9" w14:paraId="6A8997FA" w14:textId="77777777" w:rsidTr="009527C6">
        <w:trPr>
          <w:cantSplit/>
          <w:trHeight w:val="282"/>
          <w:jc w:val="right"/>
        </w:trPr>
        <w:tc>
          <w:tcPr>
            <w:tcW w:w="1526" w:type="dxa"/>
            <w:tcBorders>
              <w:bottom w:val="single" w:sz="2" w:space="0" w:color="auto"/>
            </w:tcBorders>
          </w:tcPr>
          <w:p w14:paraId="79830A2D" w14:textId="77777777" w:rsidR="008034CE" w:rsidRPr="0081483A" w:rsidRDefault="008034CE" w:rsidP="00024C14">
            <w:pPr>
              <w:pStyle w:val="Normal-pool"/>
              <w:rPr>
                <w:noProof/>
              </w:rPr>
            </w:pPr>
          </w:p>
        </w:tc>
        <w:tc>
          <w:tcPr>
            <w:tcW w:w="5953" w:type="dxa"/>
            <w:gridSpan w:val="6"/>
            <w:tcBorders>
              <w:bottom w:val="single" w:sz="2" w:space="0" w:color="auto"/>
            </w:tcBorders>
          </w:tcPr>
          <w:p w14:paraId="332A55E9" w14:textId="77777777" w:rsidR="008034CE" w:rsidRPr="00EA5E72" w:rsidRDefault="008034CE" w:rsidP="00024C14">
            <w:pPr>
              <w:pStyle w:val="Normal-pool"/>
              <w:rPr>
                <w:sz w:val="24"/>
                <w:szCs w:val="24"/>
              </w:rPr>
            </w:pPr>
          </w:p>
        </w:tc>
        <w:tc>
          <w:tcPr>
            <w:tcW w:w="2233" w:type="dxa"/>
            <w:gridSpan w:val="2"/>
            <w:tcBorders>
              <w:bottom w:val="single" w:sz="2" w:space="0" w:color="auto"/>
            </w:tcBorders>
          </w:tcPr>
          <w:p w14:paraId="7A2EA555" w14:textId="15AC0008" w:rsidR="008034CE" w:rsidRPr="00EA5E72" w:rsidRDefault="008034CE" w:rsidP="00024C14">
            <w:pPr>
              <w:pStyle w:val="Normal-pool"/>
              <w:rPr>
                <w:sz w:val="24"/>
                <w:szCs w:val="24"/>
              </w:rPr>
            </w:pPr>
            <w:r w:rsidRPr="001B6CA5">
              <w:rPr>
                <w:b/>
                <w:sz w:val="24"/>
                <w:szCs w:val="24"/>
              </w:rPr>
              <w:t>IPBES</w:t>
            </w:r>
            <w:r w:rsidR="007E2B3C" w:rsidRPr="00024C14">
              <w:t>/</w:t>
            </w:r>
            <w:r w:rsidR="007E2B3C">
              <w:t>6</w:t>
            </w:r>
            <w:r w:rsidR="006B503A">
              <w:t>/</w:t>
            </w:r>
            <w:r w:rsidR="00834CCA">
              <w:t>1/Add.2</w:t>
            </w:r>
          </w:p>
        </w:tc>
      </w:tr>
      <w:tr w:rsidR="008034CE" w:rsidRPr="002E67D9" w14:paraId="5418710C" w14:textId="77777777" w:rsidTr="009527C6">
        <w:trPr>
          <w:cantSplit/>
          <w:trHeight w:val="1433"/>
          <w:jc w:val="right"/>
        </w:trPr>
        <w:tc>
          <w:tcPr>
            <w:tcW w:w="2009" w:type="dxa"/>
            <w:gridSpan w:val="2"/>
            <w:tcBorders>
              <w:top w:val="single" w:sz="2" w:space="0" w:color="auto"/>
              <w:bottom w:val="single" w:sz="24" w:space="0" w:color="auto"/>
            </w:tcBorders>
          </w:tcPr>
          <w:p w14:paraId="3B983374" w14:textId="77777777" w:rsidR="008034CE" w:rsidRPr="0081483A" w:rsidRDefault="008034CE" w:rsidP="00024C14">
            <w:pPr>
              <w:pStyle w:val="Normal-pool"/>
              <w:spacing w:before="240" w:after="240"/>
              <w:rPr>
                <w:sz w:val="28"/>
                <w:szCs w:val="28"/>
              </w:rPr>
            </w:pPr>
            <w:r>
              <w:rPr>
                <w:noProof/>
                <w:sz w:val="28"/>
                <w:szCs w:val="28"/>
                <w:lang w:eastAsia="en-GB"/>
              </w:rPr>
              <w:drawing>
                <wp:inline distT="0" distB="0" distL="0" distR="0" wp14:anchorId="1E8F57E2" wp14:editId="67559D3B">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6" cy="519379"/>
                          </a:xfrm>
                          <a:prstGeom prst="rect">
                            <a:avLst/>
                          </a:prstGeom>
                        </pic:spPr>
                      </pic:pic>
                    </a:graphicData>
                  </a:graphic>
                </wp:inline>
              </w:drawing>
            </w:r>
          </w:p>
        </w:tc>
        <w:tc>
          <w:tcPr>
            <w:tcW w:w="5470" w:type="dxa"/>
            <w:gridSpan w:val="5"/>
            <w:tcBorders>
              <w:top w:val="single" w:sz="2" w:space="0" w:color="auto"/>
              <w:bottom w:val="single" w:sz="24" w:space="0" w:color="auto"/>
            </w:tcBorders>
          </w:tcPr>
          <w:p w14:paraId="58FAB69E" w14:textId="77777777" w:rsidR="008034CE" w:rsidRPr="00024C14" w:rsidRDefault="008034CE" w:rsidP="00024C14">
            <w:pPr>
              <w:pStyle w:val="Normal-pool"/>
              <w:spacing w:before="120" w:after="240"/>
              <w:rPr>
                <w:rFonts w:ascii="Arial" w:hAnsi="Arial" w:cs="Arial"/>
                <w:b/>
              </w:rPr>
            </w:pPr>
            <w:r w:rsidRPr="00024C14">
              <w:rPr>
                <w:rFonts w:ascii="Arial" w:hAnsi="Arial" w:cs="Arial"/>
                <w:b/>
                <w:sz w:val="28"/>
                <w:szCs w:val="28"/>
              </w:rPr>
              <w:t>Intergovernmental Science-Policy Platform on Biodiversity and Ecosystem Services</w:t>
            </w:r>
          </w:p>
        </w:tc>
        <w:tc>
          <w:tcPr>
            <w:tcW w:w="2233" w:type="dxa"/>
            <w:gridSpan w:val="2"/>
            <w:tcBorders>
              <w:top w:val="single" w:sz="2" w:space="0" w:color="auto"/>
              <w:bottom w:val="single" w:sz="24" w:space="0" w:color="auto"/>
            </w:tcBorders>
          </w:tcPr>
          <w:p w14:paraId="253C9E32" w14:textId="06978F13" w:rsidR="008034CE" w:rsidRPr="006B503A" w:rsidRDefault="008034CE" w:rsidP="00024C14">
            <w:pPr>
              <w:pStyle w:val="Normal-pool"/>
              <w:spacing w:before="120" w:after="120"/>
            </w:pPr>
            <w:r w:rsidRPr="006B503A">
              <w:t>Distr.: General</w:t>
            </w:r>
            <w:r w:rsidRPr="006B503A">
              <w:br/>
            </w:r>
            <w:r w:rsidR="00834CCA">
              <w:t>11</w:t>
            </w:r>
            <w:r w:rsidR="007E2B3C" w:rsidRPr="006B503A">
              <w:t xml:space="preserve"> </w:t>
            </w:r>
            <w:r w:rsidR="00834CCA">
              <w:t>December</w:t>
            </w:r>
            <w:r w:rsidR="006B503A">
              <w:t xml:space="preserve"> </w:t>
            </w:r>
            <w:r w:rsidR="007E2B3C" w:rsidRPr="006B503A">
              <w:t>2017</w:t>
            </w:r>
          </w:p>
          <w:p w14:paraId="218DB2FE" w14:textId="77777777" w:rsidR="008034CE" w:rsidRPr="006B503A" w:rsidRDefault="008034CE" w:rsidP="00024C14">
            <w:pPr>
              <w:pStyle w:val="Normal-pool"/>
              <w:spacing w:after="240"/>
            </w:pPr>
            <w:r w:rsidRPr="006B503A">
              <w:t>Original: English</w:t>
            </w:r>
          </w:p>
        </w:tc>
      </w:tr>
    </w:tbl>
    <w:p w14:paraId="7C63ABCF" w14:textId="673D482A" w:rsidR="007F3540" w:rsidRPr="009379B9" w:rsidRDefault="007F3540" w:rsidP="00024C14">
      <w:pPr>
        <w:pStyle w:val="AATitle"/>
      </w:pPr>
      <w:r w:rsidRPr="009379B9">
        <w:t>Plenary of the Intergovernmental Science-Policy</w:t>
      </w:r>
      <w:r w:rsidR="002E67D9">
        <w:br/>
      </w:r>
      <w:r w:rsidRPr="009379B9">
        <w:t xml:space="preserve">Platform on </w:t>
      </w:r>
      <w:r w:rsidRPr="00024C14">
        <w:t>Biodiversity</w:t>
      </w:r>
      <w:r w:rsidRPr="009379B9">
        <w:t xml:space="preserve"> and Ecosystem Services</w:t>
      </w:r>
    </w:p>
    <w:p w14:paraId="16C32946" w14:textId="55FC6438" w:rsidR="007F3540" w:rsidRPr="009379B9" w:rsidRDefault="007E2B3C" w:rsidP="00024C14">
      <w:pPr>
        <w:pStyle w:val="AATitle"/>
      </w:pPr>
      <w:r w:rsidRPr="009379B9">
        <w:t>Six</w:t>
      </w:r>
      <w:r w:rsidR="007F3540" w:rsidRPr="009379B9">
        <w:t xml:space="preserve">th </w:t>
      </w:r>
      <w:r w:rsidR="007F3540" w:rsidRPr="00024C14">
        <w:t>session</w:t>
      </w:r>
    </w:p>
    <w:p w14:paraId="71E060A7" w14:textId="77777777" w:rsidR="00834CCA" w:rsidRPr="00834CCA" w:rsidRDefault="00834CCA" w:rsidP="00834CCA">
      <w:pPr>
        <w:pStyle w:val="AATitle"/>
        <w:rPr>
          <w:b w:val="0"/>
          <w:bCs/>
          <w:lang w:eastAsia="ja-JP"/>
        </w:rPr>
      </w:pPr>
      <w:r w:rsidRPr="00834CCA">
        <w:rPr>
          <w:b w:val="0"/>
          <w:lang w:eastAsia="ja-JP"/>
        </w:rPr>
        <w:t>Medellin, Colombia, 18–24 March 2018</w:t>
      </w:r>
    </w:p>
    <w:p w14:paraId="47E8D15E" w14:textId="77777777" w:rsidR="00834CCA" w:rsidRPr="00054050" w:rsidRDefault="00834CCA" w:rsidP="00834CCA">
      <w:pPr>
        <w:pStyle w:val="AATitle"/>
        <w:rPr>
          <w:b w:val="0"/>
        </w:rPr>
      </w:pPr>
      <w:r w:rsidRPr="00054050">
        <w:rPr>
          <w:b w:val="0"/>
        </w:rPr>
        <w:t>Item 14 of the provisional agenda</w:t>
      </w:r>
      <w:r w:rsidRPr="00054050">
        <w:rPr>
          <w:b w:val="0"/>
        </w:rPr>
        <w:footnoteReference w:customMarkFollows="1" w:id="1"/>
        <w:t>*</w:t>
      </w:r>
    </w:p>
    <w:p w14:paraId="49B4DB57" w14:textId="77777777" w:rsidR="00834CCA" w:rsidRPr="00834CCA" w:rsidRDefault="00834CCA" w:rsidP="00054050">
      <w:pPr>
        <w:pStyle w:val="AATitle2"/>
        <w:spacing w:before="60"/>
      </w:pPr>
      <w:r w:rsidRPr="00834CCA">
        <w:t>Adoption of the decisions and report of the session</w:t>
      </w:r>
    </w:p>
    <w:p w14:paraId="3A4F6A6E" w14:textId="77777777" w:rsidR="00834CCA" w:rsidRPr="00834CCA" w:rsidRDefault="00834CCA" w:rsidP="00834CCA">
      <w:pPr>
        <w:pStyle w:val="BBTitle"/>
      </w:pPr>
      <w:r w:rsidRPr="00834CCA">
        <w:t xml:space="preserve">Draft decisions for the sixth session of the Plenary of the Intergovernmental Science-Policy Platform on Biodiversity and Ecosystem Services </w:t>
      </w:r>
    </w:p>
    <w:p w14:paraId="13B2BEED" w14:textId="20B1ED5D" w:rsidR="00834CCA" w:rsidRPr="00834CCA" w:rsidRDefault="00834CCA" w:rsidP="00834CCA">
      <w:pPr>
        <w:pStyle w:val="CH2"/>
      </w:pPr>
      <w:r>
        <w:tab/>
      </w:r>
      <w:r>
        <w:tab/>
      </w:r>
      <w:r w:rsidRPr="00834CCA">
        <w:t>Note by the Secretariat</w:t>
      </w:r>
    </w:p>
    <w:p w14:paraId="4B535015" w14:textId="77777777" w:rsidR="00834CCA" w:rsidRPr="00834CCA" w:rsidRDefault="00834CCA" w:rsidP="00834CCA">
      <w:pPr>
        <w:pStyle w:val="CH1"/>
      </w:pPr>
      <w:r w:rsidRPr="00834CCA">
        <w:tab/>
      </w:r>
      <w:r w:rsidRPr="00834CCA">
        <w:tab/>
        <w:t>Introduction</w:t>
      </w:r>
    </w:p>
    <w:p w14:paraId="56340221" w14:textId="35066201" w:rsidR="00834CCA" w:rsidRPr="00147016" w:rsidRDefault="00834CCA" w:rsidP="00147016">
      <w:pPr>
        <w:pStyle w:val="Normalnumber"/>
        <w:tabs>
          <w:tab w:val="clear" w:pos="1247"/>
          <w:tab w:val="clear" w:pos="1871"/>
          <w:tab w:val="clear" w:pos="2495"/>
        </w:tabs>
        <w:ind w:left="1247" w:firstLine="0"/>
      </w:pPr>
      <w:r w:rsidRPr="00147016">
        <w:t xml:space="preserve">The present note </w:t>
      </w:r>
      <w:r w:rsidR="00B91C6A" w:rsidRPr="00147016">
        <w:t xml:space="preserve">sets out </w:t>
      </w:r>
      <w:r w:rsidRPr="00147016">
        <w:t xml:space="preserve">draft decisions for consideration by the Plenary of the Intergovernmental Science-Policy Platform on Biodiversity and Ecosystem Services (IPBES) at its sixth session. It was prepared by the Executive Secretary to assist the Plenary in the development of decisions for adoption on the items on the agenda for the session. The draft decisions follow the structure of the decisions adopted by the Plenary at its previous sessions. The note indicates the item of the provisional agenda (IPBES/6/1) under which each draft decision is expected to be considered. </w:t>
      </w:r>
    </w:p>
    <w:p w14:paraId="2442974A" w14:textId="50EA85AC" w:rsidR="00834CCA" w:rsidRPr="00834CCA" w:rsidRDefault="00834CCA" w:rsidP="00834CCA">
      <w:pPr>
        <w:pStyle w:val="CH1"/>
      </w:pPr>
      <w:r w:rsidRPr="00834CCA">
        <w:tab/>
        <w:t>I.</w:t>
      </w:r>
      <w:r w:rsidRPr="00834CCA">
        <w:tab/>
        <w:t xml:space="preserve">Draft decision: Implementation of the first work programme of </w:t>
      </w:r>
      <w:r w:rsidR="00B91C6A">
        <w:t>the Platform</w:t>
      </w:r>
    </w:p>
    <w:p w14:paraId="29B2A98E" w14:textId="2C2452ED" w:rsidR="00834CCA" w:rsidRPr="00834CCA" w:rsidRDefault="00834CCA" w:rsidP="00147016">
      <w:pPr>
        <w:pStyle w:val="Normalnumber"/>
        <w:tabs>
          <w:tab w:val="clear" w:pos="1247"/>
          <w:tab w:val="clear" w:pos="1871"/>
          <w:tab w:val="clear" w:pos="2495"/>
        </w:tabs>
        <w:ind w:left="1247" w:firstLine="0"/>
      </w:pPr>
      <w:r w:rsidRPr="00834CCA">
        <w:t>The Plenary may wish to consider the following chapeau text for the draft decision on</w:t>
      </w:r>
      <w:r w:rsidR="00BF6A93">
        <w:t xml:space="preserve"> the</w:t>
      </w:r>
      <w:r w:rsidRPr="00834CCA">
        <w:t xml:space="preserve"> implementation of the first work programme of IPBES under item 5 of the provisional agenda, report of the Executive Secretary on the implementation of the first work programme</w:t>
      </w:r>
      <w:r w:rsidR="00955D07">
        <w:t xml:space="preserve"> for the period </w:t>
      </w:r>
      <w:r w:rsidR="00AF57BE">
        <w:br/>
      </w:r>
      <w:r w:rsidR="00955D07">
        <w:t>2014–2018</w:t>
      </w:r>
      <w:r w:rsidRPr="00834CCA">
        <w:t xml:space="preserve">: </w:t>
      </w:r>
    </w:p>
    <w:p w14:paraId="461F84DA" w14:textId="77777777"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i/>
        </w:rPr>
      </w:pPr>
      <w:r w:rsidRPr="00834CCA">
        <w:rPr>
          <w:i/>
        </w:rPr>
        <w:t xml:space="preserve">The Plenary, </w:t>
      </w:r>
    </w:p>
    <w:p w14:paraId="423877FC" w14:textId="77777777"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pPr>
      <w:r w:rsidRPr="00834CCA">
        <w:rPr>
          <w:i/>
        </w:rPr>
        <w:t>Welcoming</w:t>
      </w:r>
      <w:r w:rsidRPr="00834CCA">
        <w:t xml:space="preserve"> the report of the Executive Secretary on the implementation of the first work programme of the Intergovernmental Science-Policy Platform on Biodiversity and Ecosystem Services,</w:t>
      </w:r>
      <w:r w:rsidRPr="00834CCA">
        <w:rPr>
          <w:vertAlign w:val="superscript"/>
        </w:rPr>
        <w:footnoteReference w:id="2"/>
      </w:r>
      <w:r w:rsidRPr="00834CCA">
        <w:t xml:space="preserve"> </w:t>
      </w:r>
    </w:p>
    <w:p w14:paraId="0B5FE1C1" w14:textId="0B98135A"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pPr>
      <w:r w:rsidRPr="00834CCA">
        <w:rPr>
          <w:i/>
        </w:rPr>
        <w:t>Acknowledging</w:t>
      </w:r>
      <w:r w:rsidRPr="00834CCA">
        <w:t xml:space="preserve"> the outstanding contributions made by all </w:t>
      </w:r>
      <w:r w:rsidR="00B91C6A">
        <w:t xml:space="preserve">the </w:t>
      </w:r>
      <w:r w:rsidRPr="00834CCA">
        <w:t>experts</w:t>
      </w:r>
      <w:r w:rsidR="00B91C6A">
        <w:t xml:space="preserve"> involved</w:t>
      </w:r>
      <w:r w:rsidRPr="00834CCA">
        <w:t xml:space="preserve"> to date in the implementation of the work programme and thanking them for their unwavering commitment</w:t>
      </w:r>
      <w:r w:rsidR="00AF57BE">
        <w:t xml:space="preserve"> thereto</w:t>
      </w:r>
      <w:r w:rsidRPr="00834CCA">
        <w:t xml:space="preserve">, </w:t>
      </w:r>
    </w:p>
    <w:p w14:paraId="78646F78" w14:textId="5016F1FF"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pPr>
      <w:r w:rsidRPr="00834CCA">
        <w:rPr>
          <w:i/>
        </w:rPr>
        <w:t>Encouraging</w:t>
      </w:r>
      <w:r w:rsidRPr="00834CCA">
        <w:t xml:space="preserve"> Governments and organizations to participate actively in the implementation of the work programme, in particular through the review of draft deliverables</w:t>
      </w:r>
      <w:r w:rsidR="00895058">
        <w:t>.</w:t>
      </w:r>
    </w:p>
    <w:p w14:paraId="40153DF0" w14:textId="2745FDCD" w:rsidR="00834CCA" w:rsidRPr="00834CCA" w:rsidRDefault="00834CCA" w:rsidP="002E67D9">
      <w:pPr>
        <w:pStyle w:val="Normalnumber"/>
        <w:keepNext/>
        <w:keepLines/>
        <w:tabs>
          <w:tab w:val="clear" w:pos="1247"/>
          <w:tab w:val="clear" w:pos="1871"/>
          <w:tab w:val="clear" w:pos="2495"/>
        </w:tabs>
        <w:ind w:left="1247" w:firstLine="0"/>
      </w:pPr>
      <w:r w:rsidRPr="00834CCA">
        <w:lastRenderedPageBreak/>
        <w:t xml:space="preserve">The Plenary may wish to consider the following section of the draft decision on </w:t>
      </w:r>
      <w:r w:rsidR="00AE747A">
        <w:t xml:space="preserve">the </w:t>
      </w:r>
      <w:r w:rsidRPr="00834CCA">
        <w:t xml:space="preserve">implementation of the first work programme of IPBES under </w:t>
      </w:r>
      <w:bookmarkStart w:id="1" w:name="_Hlk500238778"/>
      <w:r w:rsidRPr="00834CCA">
        <w:t>item 5 of the provisional agenda, report of the Executive Secretary on the implementation of the first work programme</w:t>
      </w:r>
      <w:bookmarkEnd w:id="1"/>
      <w:r w:rsidR="00955D07" w:rsidRPr="00955D07">
        <w:t xml:space="preserve"> </w:t>
      </w:r>
      <w:r w:rsidR="00955D07">
        <w:t xml:space="preserve">for the period </w:t>
      </w:r>
      <w:r w:rsidR="00E034B9">
        <w:br/>
      </w:r>
      <w:r w:rsidR="00955D07">
        <w:t>2014–2018</w:t>
      </w:r>
      <w:r w:rsidRPr="00834CCA">
        <w:t xml:space="preserve">: </w:t>
      </w:r>
    </w:p>
    <w:p w14:paraId="09F5F6E2" w14:textId="77777777" w:rsidR="00834CCA" w:rsidRPr="00DB12CB" w:rsidRDefault="00834CCA" w:rsidP="00DB12CB">
      <w:pPr>
        <w:pStyle w:val="Normal-pool"/>
        <w:keepNext/>
        <w:keepLines/>
        <w:spacing w:after="120"/>
        <w:jc w:val="center"/>
        <w:rPr>
          <w:b/>
        </w:rPr>
      </w:pPr>
      <w:r w:rsidRPr="00DB12CB">
        <w:rPr>
          <w:b/>
        </w:rPr>
        <w:t>I</w:t>
      </w:r>
    </w:p>
    <w:p w14:paraId="3C0CF5A6" w14:textId="77777777" w:rsidR="00834CCA" w:rsidRPr="00DB12CB" w:rsidRDefault="00834CCA" w:rsidP="00DB12CB">
      <w:pPr>
        <w:pStyle w:val="Normal-pool"/>
        <w:keepNext/>
        <w:keepLines/>
        <w:spacing w:after="120"/>
        <w:jc w:val="center"/>
        <w:rPr>
          <w:b/>
        </w:rPr>
      </w:pPr>
      <w:r w:rsidRPr="00DB12CB">
        <w:rPr>
          <w:b/>
        </w:rPr>
        <w:t>Implementation of the first work programme of the Platform</w:t>
      </w:r>
    </w:p>
    <w:p w14:paraId="5838A7F6" w14:textId="3469070F"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pPr>
      <w:r w:rsidRPr="00834CCA">
        <w:t>1.</w:t>
      </w:r>
      <w:r w:rsidRPr="00834CCA">
        <w:rPr>
          <w:i/>
        </w:rPr>
        <w:tab/>
        <w:t>Decides</w:t>
      </w:r>
      <w:r w:rsidRPr="00834CCA">
        <w:t xml:space="preserve"> to proceed with the implementation of the first work programme of the Platform in accordance with </w:t>
      </w:r>
      <w:r w:rsidR="00AE747A">
        <w:t xml:space="preserve">the </w:t>
      </w:r>
      <w:r w:rsidRPr="00834CCA">
        <w:t xml:space="preserve">relevant decisions </w:t>
      </w:r>
      <w:r w:rsidR="00AE747A">
        <w:t>adopted</w:t>
      </w:r>
      <w:r w:rsidR="00AE747A" w:rsidRPr="00834CCA">
        <w:t xml:space="preserve"> </w:t>
      </w:r>
      <w:r w:rsidRPr="00834CCA">
        <w:t>at its previous sessions, the present decision and the approved budget set out in decision IPBES</w:t>
      </w:r>
      <w:r w:rsidRPr="00834CCA">
        <w:noBreakHyphen/>
        <w:t>6/[   ].</w:t>
      </w:r>
    </w:p>
    <w:p w14:paraId="0FBAE9EB" w14:textId="57892296" w:rsidR="00834CCA" w:rsidRPr="00834CCA" w:rsidRDefault="00834CCA" w:rsidP="00147016">
      <w:pPr>
        <w:pStyle w:val="Normalnumber"/>
        <w:tabs>
          <w:tab w:val="clear" w:pos="1247"/>
          <w:tab w:val="clear" w:pos="1871"/>
          <w:tab w:val="clear" w:pos="2495"/>
        </w:tabs>
        <w:ind w:left="1247" w:firstLine="0"/>
        <w:rPr>
          <w:color w:val="000000"/>
        </w:rPr>
      </w:pPr>
      <w:bookmarkStart w:id="2" w:name="_Hlk500240561"/>
      <w:r w:rsidRPr="00834CCA">
        <w:rPr>
          <w:color w:val="000000"/>
        </w:rPr>
        <w:t xml:space="preserve">The Plenary may wish to consider the following paragraphs of the draft decision on </w:t>
      </w:r>
      <w:r w:rsidR="00AE747A">
        <w:rPr>
          <w:color w:val="000000"/>
        </w:rPr>
        <w:t xml:space="preserve">the </w:t>
      </w:r>
      <w:r w:rsidRPr="00834CCA">
        <w:rPr>
          <w:color w:val="000000"/>
        </w:rPr>
        <w:t xml:space="preserve">implementation of the first work programme of IPBES under item 5 of the provisional agenda, report of the </w:t>
      </w:r>
      <w:r w:rsidRPr="00147016">
        <w:t>Executive</w:t>
      </w:r>
      <w:r w:rsidRPr="00834CCA">
        <w:rPr>
          <w:color w:val="000000"/>
        </w:rPr>
        <w:t xml:space="preserve"> Secretary on the implementation of the first work programme</w:t>
      </w:r>
      <w:r w:rsidR="00955D07">
        <w:rPr>
          <w:color w:val="000000"/>
        </w:rPr>
        <w:t xml:space="preserve"> </w:t>
      </w:r>
      <w:r w:rsidR="00955D07">
        <w:t xml:space="preserve">for the period </w:t>
      </w:r>
      <w:r w:rsidR="00F0653C">
        <w:br/>
      </w:r>
      <w:r w:rsidR="00955D07">
        <w:t>2014–2018</w:t>
      </w:r>
      <w:r w:rsidRPr="00834CCA">
        <w:rPr>
          <w:color w:val="000000"/>
        </w:rPr>
        <w:t>:</w:t>
      </w:r>
    </w:p>
    <w:bookmarkEnd w:id="2"/>
    <w:p w14:paraId="10AC976B" w14:textId="77777777" w:rsidR="00834CCA" w:rsidRPr="00834CCA" w:rsidRDefault="00834CCA" w:rsidP="00DB12CB">
      <w:pPr>
        <w:pStyle w:val="Normal-pool"/>
        <w:keepNext/>
        <w:keepLines/>
        <w:spacing w:after="120"/>
        <w:jc w:val="center"/>
        <w:rPr>
          <w:b/>
        </w:rPr>
      </w:pPr>
      <w:r w:rsidRPr="00834CCA">
        <w:rPr>
          <w:b/>
        </w:rPr>
        <w:t>II</w:t>
      </w:r>
    </w:p>
    <w:p w14:paraId="48399C71" w14:textId="77777777" w:rsidR="00834CCA" w:rsidRPr="00834CCA" w:rsidRDefault="00834CCA" w:rsidP="00DB12CB">
      <w:pPr>
        <w:pStyle w:val="Normal-pool"/>
        <w:keepNext/>
        <w:keepLines/>
        <w:spacing w:after="120"/>
        <w:jc w:val="center"/>
        <w:rPr>
          <w:b/>
        </w:rPr>
      </w:pPr>
      <w:r w:rsidRPr="00834CCA">
        <w:rPr>
          <w:b/>
        </w:rPr>
        <w:t>Capacity-building</w:t>
      </w:r>
    </w:p>
    <w:p w14:paraId="65337A35" w14:textId="71559885" w:rsidR="00834CCA" w:rsidRPr="00834CCA" w:rsidRDefault="00DB12CB"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Pr>
          <w:color w:val="000000"/>
        </w:rPr>
        <w:tab/>
      </w:r>
      <w:r w:rsidR="00063444">
        <w:rPr>
          <w:color w:val="000000"/>
        </w:rPr>
        <w:t>1</w:t>
      </w:r>
      <w:r>
        <w:rPr>
          <w:color w:val="000000"/>
        </w:rPr>
        <w:t>.</w:t>
      </w:r>
      <w:r>
        <w:rPr>
          <w:color w:val="000000"/>
        </w:rPr>
        <w:tab/>
      </w:r>
      <w:r w:rsidR="00834CCA" w:rsidRPr="00834CCA">
        <w:rPr>
          <w:i/>
          <w:color w:val="000000"/>
        </w:rPr>
        <w:t>Welcomes</w:t>
      </w:r>
      <w:r w:rsidR="00834CCA" w:rsidRPr="00834CCA">
        <w:rPr>
          <w:color w:val="000000"/>
        </w:rPr>
        <w:t xml:space="preserve"> the progress made in implementing the </w:t>
      </w:r>
      <w:r w:rsidR="00AE747A">
        <w:rPr>
          <w:color w:val="000000"/>
        </w:rPr>
        <w:t xml:space="preserve">Platform’s </w:t>
      </w:r>
      <w:r w:rsidR="00834CCA" w:rsidRPr="00834CCA">
        <w:rPr>
          <w:color w:val="000000"/>
        </w:rPr>
        <w:t>capacity-building rolling plan</w:t>
      </w:r>
      <w:r w:rsidR="00834CCA" w:rsidRPr="00834CCA">
        <w:rPr>
          <w:color w:val="000000"/>
          <w:szCs w:val="18"/>
          <w:vertAlign w:val="superscript"/>
        </w:rPr>
        <w:footnoteReference w:id="3"/>
      </w:r>
      <w:r w:rsidR="00834CCA" w:rsidRPr="00834CCA">
        <w:rPr>
          <w:color w:val="000000"/>
        </w:rPr>
        <w:t xml:space="preserve"> and </w:t>
      </w:r>
      <w:r w:rsidR="00834CCA" w:rsidRPr="002E67D9">
        <w:rPr>
          <w:color w:val="000000"/>
        </w:rPr>
        <w:t>requests</w:t>
      </w:r>
      <w:r w:rsidR="00834CCA" w:rsidRPr="008F0AB6">
        <w:rPr>
          <w:color w:val="000000"/>
        </w:rPr>
        <w:t xml:space="preserve"> </w:t>
      </w:r>
      <w:r w:rsidR="00834CCA" w:rsidRPr="00834CCA">
        <w:rPr>
          <w:color w:val="000000"/>
        </w:rPr>
        <w:t>the task force on capacity-building to continue implementing the capacity-building rolling plan, and to report on progress</w:t>
      </w:r>
      <w:r w:rsidR="008F0AB6">
        <w:rPr>
          <w:color w:val="000000"/>
        </w:rPr>
        <w:t xml:space="preserve"> </w:t>
      </w:r>
      <w:r w:rsidR="00834CCA" w:rsidRPr="00834CCA">
        <w:rPr>
          <w:color w:val="000000"/>
        </w:rPr>
        <w:t>to the Plenary at its seventh session;</w:t>
      </w:r>
    </w:p>
    <w:p w14:paraId="02E43752" w14:textId="7BC909AB" w:rsidR="00834CCA" w:rsidRPr="00834CCA" w:rsidRDefault="00DB12CB"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Pr>
          <w:color w:val="000000"/>
        </w:rPr>
        <w:tab/>
      </w:r>
      <w:r w:rsidR="00063444">
        <w:rPr>
          <w:color w:val="000000"/>
        </w:rPr>
        <w:t>2</w:t>
      </w:r>
      <w:r>
        <w:rPr>
          <w:color w:val="000000"/>
        </w:rPr>
        <w:t>.</w:t>
      </w:r>
      <w:r w:rsidR="00834CCA" w:rsidRPr="00834CCA">
        <w:rPr>
          <w:color w:val="000000"/>
        </w:rPr>
        <w:tab/>
      </w:r>
      <w:r w:rsidR="00AE747A" w:rsidRPr="002E67D9">
        <w:rPr>
          <w:i/>
          <w:color w:val="000000"/>
        </w:rPr>
        <w:t xml:space="preserve">Also </w:t>
      </w:r>
      <w:r w:rsidR="00AE747A" w:rsidRPr="008F0AB6">
        <w:rPr>
          <w:i/>
          <w:color w:val="000000"/>
        </w:rPr>
        <w:t>w</w:t>
      </w:r>
      <w:r w:rsidR="00834CCA" w:rsidRPr="008F0AB6">
        <w:rPr>
          <w:i/>
          <w:color w:val="000000"/>
        </w:rPr>
        <w:t>elcomes</w:t>
      </w:r>
      <w:r w:rsidR="00834CCA" w:rsidRPr="00834CCA">
        <w:rPr>
          <w:color w:val="000000"/>
        </w:rPr>
        <w:t xml:space="preserve"> </w:t>
      </w:r>
      <w:r w:rsidR="00AE747A">
        <w:rPr>
          <w:color w:val="000000"/>
        </w:rPr>
        <w:t xml:space="preserve">the </w:t>
      </w:r>
      <w:r w:rsidR="00834CCA" w:rsidRPr="00834CCA">
        <w:rPr>
          <w:color w:val="000000"/>
        </w:rPr>
        <w:t xml:space="preserve">efforts of partner organizations in support of capacity-building initiatives under the rolling plan and </w:t>
      </w:r>
      <w:r w:rsidR="00834CCA" w:rsidRPr="002E67D9">
        <w:rPr>
          <w:color w:val="000000"/>
        </w:rPr>
        <w:t>invites</w:t>
      </w:r>
      <w:r w:rsidR="00834CCA" w:rsidRPr="008F0AB6">
        <w:rPr>
          <w:color w:val="000000"/>
        </w:rPr>
        <w:t xml:space="preserve"> other</w:t>
      </w:r>
      <w:r w:rsidR="00834CCA" w:rsidRPr="00834CCA">
        <w:rPr>
          <w:color w:val="000000"/>
        </w:rPr>
        <w:t xml:space="preserve"> organizations to join those efforts by offering technical and financial contributions that further match identified capacity-building needs;</w:t>
      </w:r>
    </w:p>
    <w:p w14:paraId="082B0621" w14:textId="068F7C37" w:rsidR="00834CCA" w:rsidRPr="00834CCA" w:rsidRDefault="00063444"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Pr>
          <w:color w:val="000000"/>
        </w:rPr>
        <w:t>3</w:t>
      </w:r>
      <w:r w:rsidR="00834CCA" w:rsidRPr="00834CCA">
        <w:rPr>
          <w:color w:val="000000"/>
        </w:rPr>
        <w:t>.</w:t>
      </w:r>
      <w:r w:rsidR="00834CCA" w:rsidRPr="00834CCA">
        <w:rPr>
          <w:color w:val="000000"/>
        </w:rPr>
        <w:tab/>
      </w:r>
      <w:r w:rsidR="00834CCA" w:rsidRPr="00834CCA">
        <w:rPr>
          <w:i/>
          <w:color w:val="000000"/>
        </w:rPr>
        <w:t>Requests</w:t>
      </w:r>
      <w:r w:rsidR="00834CCA" w:rsidRPr="00834CCA">
        <w:rPr>
          <w:color w:val="000000"/>
        </w:rPr>
        <w:t xml:space="preserve"> the task force on capacity-building to hold a third meeting of the capacity-building forum in late 2018, back</w:t>
      </w:r>
      <w:r w:rsidR="00AE747A">
        <w:rPr>
          <w:color w:val="000000"/>
        </w:rPr>
        <w:t xml:space="preserve"> </w:t>
      </w:r>
      <w:r w:rsidR="00834CCA" w:rsidRPr="00834CCA">
        <w:rPr>
          <w:color w:val="000000"/>
        </w:rPr>
        <w:t>to</w:t>
      </w:r>
      <w:r w:rsidR="00AE747A">
        <w:rPr>
          <w:color w:val="000000"/>
        </w:rPr>
        <w:t xml:space="preserve"> </w:t>
      </w:r>
      <w:r w:rsidR="00834CCA" w:rsidRPr="00834CCA">
        <w:rPr>
          <w:color w:val="000000"/>
        </w:rPr>
        <w:t>back with the meeting of the task force on capacity-building, to further enhance collaboration with other organizations in the implementation of the rolling plan.</w:t>
      </w:r>
    </w:p>
    <w:p w14:paraId="387A4B08" w14:textId="7118330B" w:rsidR="00834CCA" w:rsidRPr="00834CCA" w:rsidRDefault="00834CCA" w:rsidP="00147016">
      <w:pPr>
        <w:pStyle w:val="Normalnumber"/>
        <w:tabs>
          <w:tab w:val="clear" w:pos="1247"/>
          <w:tab w:val="clear" w:pos="1871"/>
          <w:tab w:val="clear" w:pos="2495"/>
        </w:tabs>
        <w:ind w:left="1247" w:firstLine="0"/>
        <w:rPr>
          <w:color w:val="000000"/>
        </w:rPr>
      </w:pPr>
      <w:r w:rsidRPr="00834CCA">
        <w:rPr>
          <w:color w:val="000000"/>
        </w:rPr>
        <w:t xml:space="preserve">The Plenary may wish to consider the following paragraphs of the draft decision on </w:t>
      </w:r>
      <w:r w:rsidR="00AE747A">
        <w:rPr>
          <w:color w:val="000000"/>
        </w:rPr>
        <w:t xml:space="preserve">the </w:t>
      </w:r>
      <w:r w:rsidRPr="00834CCA">
        <w:rPr>
          <w:color w:val="000000"/>
        </w:rPr>
        <w:t xml:space="preserve">implementation of the first work programme of IPBES under item 5 of the provisional agenda, report of the </w:t>
      </w:r>
      <w:r w:rsidRPr="00147016">
        <w:t>Executive</w:t>
      </w:r>
      <w:r w:rsidRPr="00834CCA">
        <w:rPr>
          <w:color w:val="000000"/>
        </w:rPr>
        <w:t xml:space="preserve"> Secretary on the implementation of the first work programme</w:t>
      </w:r>
      <w:r w:rsidR="00955D07">
        <w:rPr>
          <w:color w:val="000000"/>
        </w:rPr>
        <w:t xml:space="preserve"> </w:t>
      </w:r>
      <w:r w:rsidR="00955D07">
        <w:t xml:space="preserve">for the period </w:t>
      </w:r>
      <w:r w:rsidR="00F0653C">
        <w:br/>
      </w:r>
      <w:r w:rsidR="00955D07">
        <w:t>2014–2018</w:t>
      </w:r>
      <w:r w:rsidRPr="00834CCA">
        <w:rPr>
          <w:color w:val="000000"/>
        </w:rPr>
        <w:t>:</w:t>
      </w:r>
    </w:p>
    <w:p w14:paraId="469D46CD" w14:textId="77777777" w:rsidR="00834CCA" w:rsidRPr="00834CCA" w:rsidRDefault="00834CCA" w:rsidP="00DB12CB">
      <w:pPr>
        <w:pStyle w:val="Normal-pool"/>
        <w:keepNext/>
        <w:keepLines/>
        <w:spacing w:after="120"/>
        <w:jc w:val="center"/>
        <w:rPr>
          <w:b/>
        </w:rPr>
      </w:pPr>
      <w:r w:rsidRPr="00834CCA">
        <w:rPr>
          <w:b/>
        </w:rPr>
        <w:t>III</w:t>
      </w:r>
    </w:p>
    <w:p w14:paraId="264F8F81" w14:textId="77777777" w:rsidR="00895058" w:rsidRDefault="00834CCA" w:rsidP="00DB12CB">
      <w:pPr>
        <w:pStyle w:val="Normal-pool"/>
        <w:keepNext/>
        <w:keepLines/>
        <w:spacing w:after="120"/>
        <w:jc w:val="center"/>
        <w:rPr>
          <w:b/>
        </w:rPr>
      </w:pPr>
      <w:r w:rsidRPr="00834CCA">
        <w:rPr>
          <w:b/>
        </w:rPr>
        <w:t>Knowledge foundations</w:t>
      </w:r>
    </w:p>
    <w:p w14:paraId="25E2319C" w14:textId="7FD01522" w:rsidR="00AF5C4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pPr>
      <w:r w:rsidRPr="00834CCA">
        <w:rPr>
          <w:i/>
        </w:rPr>
        <w:t xml:space="preserve">Recalling </w:t>
      </w:r>
      <w:r w:rsidR="003D24D0">
        <w:t xml:space="preserve">its </w:t>
      </w:r>
      <w:r w:rsidRPr="00834CCA">
        <w:t>decision IPBES-5/1, section III, paragraphs 1</w:t>
      </w:r>
      <w:r w:rsidR="00AE747A">
        <w:t>‒</w:t>
      </w:r>
      <w:r w:rsidR="002955D4">
        <w:t>7</w:t>
      </w:r>
      <w:r w:rsidRPr="00834CCA">
        <w:t xml:space="preserve">, </w:t>
      </w:r>
    </w:p>
    <w:p w14:paraId="389ABC0E" w14:textId="44E7112E" w:rsidR="00834CCA" w:rsidRPr="00834CCA" w:rsidRDefault="00AF5C4A" w:rsidP="005A12BE">
      <w:pPr>
        <w:pStyle w:val="Normal-pool"/>
        <w:tabs>
          <w:tab w:val="clear" w:pos="1247"/>
          <w:tab w:val="clear" w:pos="1814"/>
          <w:tab w:val="clear" w:pos="2381"/>
          <w:tab w:val="clear" w:pos="2948"/>
          <w:tab w:val="clear" w:pos="3515"/>
          <w:tab w:val="clear" w:pos="4082"/>
          <w:tab w:val="left" w:pos="624"/>
        </w:tabs>
        <w:spacing w:after="120"/>
        <w:ind w:left="1871" w:firstLine="624"/>
      </w:pPr>
      <w:r>
        <w:t>1.</w:t>
      </w:r>
      <w:r>
        <w:tab/>
      </w:r>
      <w:r w:rsidRPr="002E67D9">
        <w:rPr>
          <w:i/>
        </w:rPr>
        <w:t>W</w:t>
      </w:r>
      <w:r w:rsidR="00834CCA" w:rsidRPr="008F0AB6">
        <w:rPr>
          <w:i/>
        </w:rPr>
        <w:t>elcomes</w:t>
      </w:r>
      <w:r w:rsidR="00834CCA" w:rsidRPr="002E67D9">
        <w:t xml:space="preserve"> </w:t>
      </w:r>
      <w:r w:rsidR="00834CCA" w:rsidRPr="00834CCA">
        <w:t>the progress made by the Multidisciplinary Expert Panel, supported by the task force on indigenous and local knowledge</w:t>
      </w:r>
      <w:r w:rsidR="00AE747A">
        <w:t>,</w:t>
      </w:r>
      <w:r w:rsidR="00834CCA" w:rsidRPr="00834CCA">
        <w:t xml:space="preserve"> in implementing the approach to recognizing and working with indigenous and local knowledge contained in annex II to decision IPBES-5/1</w:t>
      </w:r>
      <w:r w:rsidR="00AE747A">
        <w:t>,</w:t>
      </w:r>
      <w:r w:rsidR="00834CCA" w:rsidRPr="00834CCA">
        <w:rPr>
          <w:szCs w:val="18"/>
          <w:vertAlign w:val="superscript"/>
        </w:rPr>
        <w:footnoteReference w:id="4"/>
      </w:r>
      <w:r w:rsidR="00834CCA" w:rsidRPr="00834CCA">
        <w:t xml:space="preserve"> including the establishment of the participatory mechanism;</w:t>
      </w:r>
    </w:p>
    <w:p w14:paraId="232D40F3" w14:textId="6F8AD9B7" w:rsidR="00834CCA" w:rsidRPr="00834CCA" w:rsidRDefault="00063444" w:rsidP="005A12BE">
      <w:pPr>
        <w:pStyle w:val="Normal-pool"/>
        <w:tabs>
          <w:tab w:val="clear" w:pos="1247"/>
          <w:tab w:val="clear" w:pos="1814"/>
          <w:tab w:val="clear" w:pos="2381"/>
          <w:tab w:val="clear" w:pos="2948"/>
          <w:tab w:val="clear" w:pos="3515"/>
          <w:tab w:val="clear" w:pos="4082"/>
          <w:tab w:val="left" w:pos="624"/>
        </w:tabs>
        <w:spacing w:after="120"/>
        <w:ind w:left="1871" w:firstLine="624"/>
      </w:pPr>
      <w:r>
        <w:t>2</w:t>
      </w:r>
      <w:r w:rsidR="00DB12CB">
        <w:rPr>
          <w:i/>
        </w:rPr>
        <w:t>.</w:t>
      </w:r>
      <w:r w:rsidR="00DB12CB">
        <w:rPr>
          <w:i/>
        </w:rPr>
        <w:tab/>
      </w:r>
      <w:r w:rsidR="00AF5C4A">
        <w:rPr>
          <w:i/>
        </w:rPr>
        <w:t>Also w</w:t>
      </w:r>
      <w:r w:rsidR="00834CCA" w:rsidRPr="00834CCA">
        <w:rPr>
          <w:i/>
        </w:rPr>
        <w:t>elcomes</w:t>
      </w:r>
      <w:r w:rsidR="00834CCA" w:rsidRPr="00834CCA">
        <w:t xml:space="preserve"> </w:t>
      </w:r>
      <w:r w:rsidR="00AE747A">
        <w:t xml:space="preserve">the </w:t>
      </w:r>
      <w:r w:rsidR="00834CCA" w:rsidRPr="00834CCA">
        <w:t>efforts of indigenous peoples and local communities and partner organizations in support of the approach to recognizing and working with indigenous and local knowledge and invites other indigenous peoples and local communities and partner organizations to join those efforts;</w:t>
      </w:r>
    </w:p>
    <w:p w14:paraId="1A217848" w14:textId="47F00014" w:rsidR="00834CCA" w:rsidRDefault="00063444" w:rsidP="005A12BE">
      <w:pPr>
        <w:pStyle w:val="Normal-pool"/>
        <w:tabs>
          <w:tab w:val="clear" w:pos="1247"/>
          <w:tab w:val="clear" w:pos="1814"/>
          <w:tab w:val="clear" w:pos="2381"/>
          <w:tab w:val="clear" w:pos="2948"/>
          <w:tab w:val="clear" w:pos="3515"/>
          <w:tab w:val="clear" w:pos="4082"/>
          <w:tab w:val="left" w:pos="624"/>
        </w:tabs>
        <w:spacing w:after="120"/>
        <w:ind w:left="1871" w:firstLine="624"/>
      </w:pPr>
      <w:r>
        <w:t>3</w:t>
      </w:r>
      <w:r w:rsidR="00DB12CB" w:rsidRPr="00DB12CB">
        <w:t>.</w:t>
      </w:r>
      <w:r w:rsidR="00DB12CB">
        <w:rPr>
          <w:i/>
        </w:rPr>
        <w:tab/>
      </w:r>
      <w:r w:rsidR="00834CCA" w:rsidRPr="00834CCA">
        <w:rPr>
          <w:i/>
        </w:rPr>
        <w:t xml:space="preserve">Requests </w:t>
      </w:r>
      <w:r w:rsidR="00834CCA" w:rsidRPr="002E67D9">
        <w:t xml:space="preserve">the </w:t>
      </w:r>
      <w:r w:rsidR="00834CCA" w:rsidRPr="008F0AB6">
        <w:t>M</w:t>
      </w:r>
      <w:r w:rsidR="00834CCA" w:rsidRPr="00834CCA">
        <w:t>ultidisciplinary Expert Panel, supported by the task force on indigenous and local knowledge, to continue implementing the approach, and to report on further progress in the implementation of the approach to the Plenary at its seventh session;</w:t>
      </w:r>
    </w:p>
    <w:p w14:paraId="11101902" w14:textId="1B2941FF" w:rsidR="00834CCA" w:rsidRPr="00834CCA" w:rsidRDefault="002955D4" w:rsidP="005A12BE">
      <w:pPr>
        <w:pStyle w:val="Normal-pool"/>
        <w:tabs>
          <w:tab w:val="clear" w:pos="1247"/>
          <w:tab w:val="clear" w:pos="1814"/>
          <w:tab w:val="clear" w:pos="2381"/>
          <w:tab w:val="clear" w:pos="2948"/>
          <w:tab w:val="clear" w:pos="3515"/>
          <w:tab w:val="clear" w:pos="4082"/>
          <w:tab w:val="left" w:pos="624"/>
        </w:tabs>
        <w:spacing w:after="120"/>
        <w:ind w:left="1871" w:firstLine="624"/>
      </w:pPr>
      <w:r w:rsidRPr="002E67D9">
        <w:t>4.</w:t>
      </w:r>
      <w:r w:rsidRPr="002E67D9">
        <w:tab/>
      </w:r>
      <w:r w:rsidR="00E034B9">
        <w:rPr>
          <w:i/>
        </w:rPr>
        <w:t>W</w:t>
      </w:r>
      <w:r w:rsidR="00834CCA" w:rsidRPr="008F0AB6">
        <w:rPr>
          <w:i/>
        </w:rPr>
        <w:t>el</w:t>
      </w:r>
      <w:r w:rsidR="00834CCA" w:rsidRPr="00834CCA">
        <w:rPr>
          <w:i/>
        </w:rPr>
        <w:t xml:space="preserve">comes </w:t>
      </w:r>
      <w:r w:rsidR="00834CCA" w:rsidRPr="00834CCA">
        <w:t>the progress made by the task force on knowledge and data in implementing the work plan for 2017 and 2018</w:t>
      </w:r>
      <w:r w:rsidR="006F7436">
        <w:t>.</w:t>
      </w:r>
      <w:r w:rsidR="00834CCA" w:rsidRPr="00834CCA">
        <w:rPr>
          <w:szCs w:val="18"/>
          <w:vertAlign w:val="superscript"/>
        </w:rPr>
        <w:footnoteReference w:id="5"/>
      </w:r>
    </w:p>
    <w:p w14:paraId="66B0018F" w14:textId="7C797968" w:rsidR="00834CCA" w:rsidRDefault="00834CCA" w:rsidP="002E67D9">
      <w:pPr>
        <w:pStyle w:val="Normalnumber"/>
        <w:keepNext/>
        <w:keepLines/>
        <w:tabs>
          <w:tab w:val="clear" w:pos="1247"/>
          <w:tab w:val="clear" w:pos="1871"/>
          <w:tab w:val="clear" w:pos="2495"/>
        </w:tabs>
        <w:ind w:left="1247" w:firstLine="0"/>
        <w:rPr>
          <w:color w:val="000000"/>
        </w:rPr>
      </w:pPr>
      <w:bookmarkStart w:id="3" w:name="_Hlk500239550"/>
      <w:bookmarkStart w:id="4" w:name="_Hlk500240677"/>
      <w:r w:rsidRPr="00834CCA">
        <w:rPr>
          <w:color w:val="000000"/>
        </w:rPr>
        <w:lastRenderedPageBreak/>
        <w:t xml:space="preserve">The Plenary may wish to consider the following paragraph of the draft decision on </w:t>
      </w:r>
      <w:r w:rsidR="00C74FD8">
        <w:rPr>
          <w:color w:val="000000"/>
        </w:rPr>
        <w:t xml:space="preserve">the </w:t>
      </w:r>
      <w:r w:rsidRPr="00834CCA">
        <w:rPr>
          <w:color w:val="000000"/>
        </w:rPr>
        <w:t>implementation of the first work programme of IPBES under item 5 of the provisional agenda, report of the Executive Secretary on the implementation of the first work programme</w:t>
      </w:r>
      <w:bookmarkEnd w:id="3"/>
      <w:r w:rsidR="00955D07">
        <w:rPr>
          <w:color w:val="000000"/>
        </w:rPr>
        <w:t xml:space="preserve"> </w:t>
      </w:r>
      <w:r w:rsidR="00955D07">
        <w:t xml:space="preserve">for the period </w:t>
      </w:r>
      <w:r w:rsidR="00F0653C">
        <w:br/>
      </w:r>
      <w:r w:rsidR="00955D07">
        <w:t>2014–2018</w:t>
      </w:r>
      <w:r w:rsidRPr="00834CCA">
        <w:rPr>
          <w:color w:val="000000"/>
        </w:rPr>
        <w:t xml:space="preserve">: </w:t>
      </w:r>
    </w:p>
    <w:p w14:paraId="75077E83" w14:textId="77777777" w:rsidR="00C74FD8" w:rsidRPr="00834CCA" w:rsidRDefault="00C74FD8" w:rsidP="002E67D9">
      <w:pPr>
        <w:pStyle w:val="Normal-pool"/>
        <w:keepNext/>
        <w:keepLines/>
        <w:spacing w:after="120"/>
        <w:ind w:left="1247"/>
        <w:jc w:val="center"/>
        <w:rPr>
          <w:b/>
        </w:rPr>
      </w:pPr>
      <w:r w:rsidRPr="00834CCA">
        <w:rPr>
          <w:b/>
        </w:rPr>
        <w:t>IV</w:t>
      </w:r>
    </w:p>
    <w:p w14:paraId="3B8D68B1" w14:textId="77777777" w:rsidR="00C74FD8" w:rsidRPr="00834CCA" w:rsidRDefault="00C74FD8" w:rsidP="002E67D9">
      <w:pPr>
        <w:pStyle w:val="Normal-pool"/>
        <w:keepNext/>
        <w:keepLines/>
        <w:spacing w:after="120"/>
        <w:ind w:left="1247"/>
        <w:jc w:val="center"/>
        <w:rPr>
          <w:b/>
        </w:rPr>
      </w:pPr>
      <w:r w:rsidRPr="00834CCA">
        <w:rPr>
          <w:b/>
        </w:rPr>
        <w:t>Global, regional and subregional assessments</w:t>
      </w:r>
    </w:p>
    <w:bookmarkEnd w:id="4"/>
    <w:p w14:paraId="5FC88C04" w14:textId="1A153D98"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color w:val="000000"/>
        </w:rPr>
        <w:tab/>
      </w:r>
      <w:r w:rsidRPr="00834CCA">
        <w:rPr>
          <w:i/>
          <w:iCs/>
          <w:color w:val="000000"/>
        </w:rPr>
        <w:t xml:space="preserve">Welcomes </w:t>
      </w:r>
      <w:r w:rsidRPr="00834CCA">
        <w:rPr>
          <w:color w:val="000000"/>
        </w:rPr>
        <w:t>the progress made in undertaking the global assessment of biodiversity and ecosystem services</w:t>
      </w:r>
      <w:r w:rsidR="00C74FD8">
        <w:rPr>
          <w:color w:val="000000"/>
        </w:rPr>
        <w:t>.</w:t>
      </w:r>
      <w:r w:rsidRPr="00834CCA">
        <w:rPr>
          <w:color w:val="000000"/>
          <w:szCs w:val="18"/>
          <w:vertAlign w:val="superscript"/>
        </w:rPr>
        <w:footnoteReference w:id="6"/>
      </w:r>
    </w:p>
    <w:p w14:paraId="270F7436" w14:textId="2E3B1316" w:rsidR="00834CCA" w:rsidRPr="00834CCA" w:rsidRDefault="00834CCA" w:rsidP="00147016">
      <w:pPr>
        <w:pStyle w:val="Normalnumber"/>
        <w:tabs>
          <w:tab w:val="clear" w:pos="1247"/>
          <w:tab w:val="clear" w:pos="1871"/>
          <w:tab w:val="clear" w:pos="2495"/>
        </w:tabs>
        <w:ind w:left="1247" w:firstLine="0"/>
        <w:rPr>
          <w:color w:val="000000"/>
        </w:rPr>
      </w:pPr>
      <w:r w:rsidRPr="00834CCA">
        <w:rPr>
          <w:color w:val="000000"/>
        </w:rPr>
        <w:t>The Plenary may wish to consider the following paragraph</w:t>
      </w:r>
      <w:r w:rsidR="00F0653C">
        <w:rPr>
          <w:color w:val="000000"/>
        </w:rPr>
        <w:t>s</w:t>
      </w:r>
      <w:r w:rsidRPr="00834CCA">
        <w:rPr>
          <w:color w:val="000000"/>
        </w:rPr>
        <w:t xml:space="preserve"> of the draft decision on </w:t>
      </w:r>
      <w:r w:rsidR="00C74FD8">
        <w:rPr>
          <w:color w:val="000000"/>
        </w:rPr>
        <w:t xml:space="preserve">the </w:t>
      </w:r>
      <w:r w:rsidRPr="00834CCA">
        <w:rPr>
          <w:color w:val="000000"/>
        </w:rPr>
        <w:t xml:space="preserve">implementation of the first work programme of IPBES under item 6 of the provisional agenda, regional and subregional assessments of biodiversity and ecosystem services: </w:t>
      </w:r>
    </w:p>
    <w:p w14:paraId="16EA062C" w14:textId="3BE8AEDC"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rFonts w:eastAsia="Calibri"/>
        </w:rPr>
      </w:pPr>
      <w:r w:rsidRPr="00834CCA">
        <w:rPr>
          <w:rFonts w:eastAsia="Calibri"/>
        </w:rPr>
        <w:t>1.</w:t>
      </w:r>
      <w:r w:rsidRPr="00834CCA">
        <w:rPr>
          <w:rFonts w:eastAsia="Calibri"/>
          <w:i/>
        </w:rPr>
        <w:t xml:space="preserve"> </w:t>
      </w:r>
      <w:r w:rsidRPr="00834CCA">
        <w:rPr>
          <w:rFonts w:eastAsia="Calibri"/>
          <w:i/>
        </w:rPr>
        <w:tab/>
        <w:t>Approves</w:t>
      </w:r>
      <w:r w:rsidRPr="00834CCA">
        <w:rPr>
          <w:rFonts w:eastAsia="Calibri"/>
        </w:rPr>
        <w:t xml:space="preserve"> the summary for policymakers of the report o</w:t>
      </w:r>
      <w:r w:rsidR="00C74FD8">
        <w:rPr>
          <w:rFonts w:eastAsia="Calibri"/>
        </w:rPr>
        <w:t>n</w:t>
      </w:r>
      <w:r w:rsidRPr="00834CCA">
        <w:rPr>
          <w:rFonts w:eastAsia="Calibri"/>
        </w:rPr>
        <w:t xml:space="preserve"> the regional assessment of biodiversity and ecosystem services for Africa set out in annex [ ] to the present decision and accepts the individual chapters of the assessment report and their executive summaries;</w:t>
      </w:r>
      <w:r w:rsidRPr="00834CCA">
        <w:rPr>
          <w:rFonts w:eastAsia="Calibri"/>
          <w:szCs w:val="18"/>
          <w:vertAlign w:val="superscript"/>
        </w:rPr>
        <w:footnoteReference w:id="7"/>
      </w:r>
    </w:p>
    <w:p w14:paraId="2AFB958F" w14:textId="6B211F57" w:rsidR="00834CCA" w:rsidRPr="00E034B9"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E034B9">
        <w:rPr>
          <w:rFonts w:eastAsia="Calibri"/>
        </w:rPr>
        <w:t>2.</w:t>
      </w:r>
      <w:r w:rsidRPr="00E034B9">
        <w:rPr>
          <w:rFonts w:eastAsia="Calibri"/>
          <w:i/>
        </w:rPr>
        <w:tab/>
      </w:r>
      <w:bookmarkStart w:id="5" w:name="_Hlk500170660"/>
      <w:r w:rsidRPr="00E034B9">
        <w:rPr>
          <w:rFonts w:eastAsia="Calibri"/>
          <w:i/>
        </w:rPr>
        <w:t>A</w:t>
      </w:r>
      <w:r w:rsidR="00C74FD8" w:rsidRPr="00E034B9">
        <w:rPr>
          <w:rFonts w:eastAsia="Calibri"/>
          <w:i/>
        </w:rPr>
        <w:t>lso a</w:t>
      </w:r>
      <w:r w:rsidRPr="00E034B9">
        <w:rPr>
          <w:rFonts w:eastAsia="Calibri"/>
          <w:i/>
        </w:rPr>
        <w:t>pproves</w:t>
      </w:r>
      <w:r w:rsidRPr="00E034B9">
        <w:rPr>
          <w:rFonts w:eastAsia="Calibri"/>
        </w:rPr>
        <w:t xml:space="preserve"> the summary for policymakers of the report o</w:t>
      </w:r>
      <w:r w:rsidR="00C74FD8" w:rsidRPr="00E034B9">
        <w:rPr>
          <w:rFonts w:eastAsia="Calibri"/>
        </w:rPr>
        <w:t>n</w:t>
      </w:r>
      <w:r w:rsidRPr="00E034B9">
        <w:rPr>
          <w:rFonts w:eastAsia="Calibri"/>
        </w:rPr>
        <w:t xml:space="preserve"> the regional assessment of biodiversity and ecosystem services for</w:t>
      </w:r>
      <w:r w:rsidR="002955D4" w:rsidRPr="00E034B9">
        <w:rPr>
          <w:rFonts w:eastAsia="Calibri"/>
        </w:rPr>
        <w:t xml:space="preserve"> the Americas</w:t>
      </w:r>
      <w:r w:rsidRPr="00E034B9">
        <w:rPr>
          <w:rFonts w:eastAsia="Calibri"/>
        </w:rPr>
        <w:t xml:space="preserve"> set out in annex [ ] to the present decision and accepts the individual chapters of the assessment report and their executive summaries;</w:t>
      </w:r>
      <w:r w:rsidRPr="00E034B9">
        <w:rPr>
          <w:rFonts w:eastAsia="Calibri"/>
          <w:szCs w:val="18"/>
          <w:vertAlign w:val="superscript"/>
        </w:rPr>
        <w:footnoteReference w:id="8"/>
      </w:r>
    </w:p>
    <w:bookmarkEnd w:id="5"/>
    <w:p w14:paraId="10A5650C" w14:textId="396238C7"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E034B9">
        <w:rPr>
          <w:rFonts w:eastAsia="Calibri"/>
        </w:rPr>
        <w:t>3.</w:t>
      </w:r>
      <w:r w:rsidRPr="00E034B9">
        <w:rPr>
          <w:rFonts w:eastAsia="Calibri"/>
          <w:i/>
        </w:rPr>
        <w:tab/>
      </w:r>
      <w:r w:rsidR="00C74FD8" w:rsidRPr="00E034B9">
        <w:rPr>
          <w:rFonts w:eastAsia="Calibri"/>
          <w:i/>
        </w:rPr>
        <w:t>Further a</w:t>
      </w:r>
      <w:r w:rsidRPr="00E034B9">
        <w:rPr>
          <w:rFonts w:eastAsia="Calibri"/>
          <w:i/>
        </w:rPr>
        <w:t>pproves</w:t>
      </w:r>
      <w:r w:rsidRPr="00E034B9">
        <w:rPr>
          <w:rFonts w:eastAsia="Calibri"/>
        </w:rPr>
        <w:t xml:space="preserve"> the summary for policymakers of the report of the regional assessment of biodiversity and ecosystem services for </w:t>
      </w:r>
      <w:r w:rsidR="002955D4" w:rsidRPr="00E034B9">
        <w:rPr>
          <w:rFonts w:eastAsia="Calibri"/>
        </w:rPr>
        <w:t xml:space="preserve">Asia and the Pacific </w:t>
      </w:r>
      <w:r w:rsidRPr="00E034B9">
        <w:rPr>
          <w:rFonts w:eastAsia="Calibri"/>
        </w:rPr>
        <w:t>set out in annex [ ] to the present decision and accepts the individual chapters of the assessment report and their executive summaries;</w:t>
      </w:r>
      <w:r w:rsidRPr="00E034B9">
        <w:rPr>
          <w:rFonts w:eastAsia="Calibri"/>
          <w:szCs w:val="18"/>
          <w:vertAlign w:val="superscript"/>
        </w:rPr>
        <w:footnoteReference w:id="9"/>
      </w:r>
    </w:p>
    <w:p w14:paraId="34222586" w14:textId="0828FE71"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rFonts w:eastAsia="Calibri"/>
        </w:rPr>
        <w:t>4.</w:t>
      </w:r>
      <w:r w:rsidRPr="00834CCA">
        <w:rPr>
          <w:rFonts w:eastAsia="Calibri"/>
          <w:i/>
        </w:rPr>
        <w:tab/>
        <w:t>Approves</w:t>
      </w:r>
      <w:r w:rsidRPr="00834CCA">
        <w:rPr>
          <w:rFonts w:eastAsia="Calibri"/>
        </w:rPr>
        <w:t xml:space="preserve"> the summary for policymakers of the report of the regional assessment of biodiversity and ecosystem services for Europe and Central Asia set out in annex [ ] to the present decision and accepts the individual chapters of the assessment report and their executive summaries.</w:t>
      </w:r>
      <w:r w:rsidRPr="00834CCA">
        <w:rPr>
          <w:rFonts w:eastAsia="Calibri"/>
          <w:szCs w:val="18"/>
          <w:vertAlign w:val="superscript"/>
        </w:rPr>
        <w:footnoteReference w:id="10"/>
      </w:r>
    </w:p>
    <w:p w14:paraId="14DC6D69" w14:textId="77777777" w:rsidR="00834CCA" w:rsidRPr="00063444" w:rsidRDefault="00834CCA" w:rsidP="00063444">
      <w:pPr>
        <w:pStyle w:val="Normal-pool"/>
        <w:spacing w:after="120"/>
        <w:jc w:val="center"/>
        <w:rPr>
          <w:b/>
        </w:rPr>
      </w:pPr>
      <w:r w:rsidRPr="00063444">
        <w:rPr>
          <w:b/>
        </w:rPr>
        <w:t>V</w:t>
      </w:r>
    </w:p>
    <w:p w14:paraId="675E1129" w14:textId="77777777" w:rsidR="00834CCA" w:rsidRPr="00063444" w:rsidRDefault="00834CCA" w:rsidP="00063444">
      <w:pPr>
        <w:pStyle w:val="Normal-pool"/>
        <w:spacing w:after="120"/>
        <w:jc w:val="center"/>
        <w:rPr>
          <w:b/>
        </w:rPr>
      </w:pPr>
      <w:r w:rsidRPr="00063444">
        <w:rPr>
          <w:b/>
        </w:rPr>
        <w:t>Thematic assessments</w:t>
      </w:r>
    </w:p>
    <w:p w14:paraId="1002DC41" w14:textId="767B0AB4" w:rsidR="00834CCA" w:rsidRPr="00834CCA" w:rsidRDefault="00834CCA" w:rsidP="00147016">
      <w:pPr>
        <w:pStyle w:val="Normalnumber"/>
        <w:tabs>
          <w:tab w:val="clear" w:pos="1247"/>
          <w:tab w:val="clear" w:pos="1871"/>
          <w:tab w:val="clear" w:pos="2495"/>
        </w:tabs>
        <w:ind w:left="1247" w:firstLine="0"/>
        <w:rPr>
          <w:color w:val="000000"/>
        </w:rPr>
      </w:pPr>
      <w:r w:rsidRPr="00834CCA">
        <w:rPr>
          <w:color w:val="000000"/>
        </w:rPr>
        <w:t xml:space="preserve">The Plenary may wish to consider the following paragraph of the draft decision on </w:t>
      </w:r>
      <w:r w:rsidR="00955D07">
        <w:rPr>
          <w:color w:val="000000"/>
        </w:rPr>
        <w:t xml:space="preserve">the </w:t>
      </w:r>
      <w:r w:rsidRPr="00834CCA">
        <w:rPr>
          <w:color w:val="000000"/>
        </w:rPr>
        <w:t xml:space="preserve">implementation of the first work programme of IPBES under item 7 of the provisional agenda, thematic assessment of land degradation and restoration: </w:t>
      </w:r>
    </w:p>
    <w:p w14:paraId="58C855D2" w14:textId="088C75E2"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color w:val="000000"/>
        </w:rPr>
        <w:tab/>
      </w:r>
      <w:r w:rsidRPr="00834CCA">
        <w:rPr>
          <w:i/>
          <w:color w:val="000000"/>
        </w:rPr>
        <w:t>Approves</w:t>
      </w:r>
      <w:r w:rsidRPr="00834CCA">
        <w:rPr>
          <w:color w:val="000000"/>
        </w:rPr>
        <w:t xml:space="preserve"> the summary for policymakers of the report o</w:t>
      </w:r>
      <w:r w:rsidR="00955D07">
        <w:rPr>
          <w:color w:val="000000"/>
        </w:rPr>
        <w:t>n</w:t>
      </w:r>
      <w:r w:rsidRPr="00834CCA">
        <w:rPr>
          <w:color w:val="000000"/>
        </w:rPr>
        <w:t xml:space="preserve"> the thematic assessment of land degradation and restoration set out in annex [ ] to the present decision and accepts the individual chapters of the assessment report and their executive summaries.</w:t>
      </w:r>
      <w:r w:rsidRPr="00834CCA">
        <w:rPr>
          <w:color w:val="000000"/>
          <w:vertAlign w:val="superscript"/>
        </w:rPr>
        <w:footnoteReference w:id="11"/>
      </w:r>
    </w:p>
    <w:p w14:paraId="165A7F8A" w14:textId="262BAA95" w:rsidR="00834CCA" w:rsidRPr="00834CCA" w:rsidRDefault="00834CCA" w:rsidP="00147016">
      <w:pPr>
        <w:pStyle w:val="Normalnumber"/>
        <w:tabs>
          <w:tab w:val="clear" w:pos="1247"/>
          <w:tab w:val="clear" w:pos="1871"/>
          <w:tab w:val="clear" w:pos="2495"/>
        </w:tabs>
        <w:ind w:left="1247" w:firstLine="0"/>
        <w:rPr>
          <w:color w:val="000000"/>
        </w:rPr>
      </w:pPr>
      <w:bookmarkStart w:id="6" w:name="_Hlk500240013"/>
      <w:r w:rsidRPr="00834CCA">
        <w:rPr>
          <w:color w:val="000000"/>
        </w:rPr>
        <w:t xml:space="preserve">The Plenary may wish to consider the following paragraph of the draft decision on </w:t>
      </w:r>
      <w:r w:rsidR="00895058">
        <w:rPr>
          <w:color w:val="000000"/>
        </w:rPr>
        <w:t xml:space="preserve">the </w:t>
      </w:r>
      <w:r w:rsidRPr="00834CCA">
        <w:rPr>
          <w:color w:val="000000"/>
        </w:rPr>
        <w:t xml:space="preserve">implementation of the first work programme of IPBES under item 8 of the provisional agenda, pending assessments: </w:t>
      </w:r>
    </w:p>
    <w:p w14:paraId="28DBA162" w14:textId="1EA40A9A"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color w:val="000000"/>
        </w:rPr>
        <w:t>1.</w:t>
      </w:r>
      <w:r w:rsidRPr="00834CCA">
        <w:rPr>
          <w:color w:val="000000"/>
        </w:rPr>
        <w:tab/>
        <w:t>[</w:t>
      </w:r>
      <w:r w:rsidRPr="00834CCA">
        <w:rPr>
          <w:i/>
          <w:color w:val="000000"/>
        </w:rPr>
        <w:t>Approves</w:t>
      </w:r>
      <w:r w:rsidRPr="00834CCA">
        <w:rPr>
          <w:color w:val="000000"/>
        </w:rPr>
        <w:t xml:space="preserve"> the undertaking of a thematic assessment of </w:t>
      </w:r>
      <w:r w:rsidR="00955D07">
        <w:rPr>
          <w:color w:val="000000"/>
        </w:rPr>
        <w:t xml:space="preserve">the </w:t>
      </w:r>
      <w:r w:rsidRPr="00834CCA">
        <w:rPr>
          <w:color w:val="000000"/>
        </w:rPr>
        <w:t>sustainable use of wild species in accordance with the procedures for the preparation of the Platform’s deliverables and as outlined in the scoping report set out in annex IV to decision IPBES-5/1, following the [sixth] [seventh] session of the Plenary, for consideration by the Plenary at its [ninth] [tenth] session];</w:t>
      </w:r>
    </w:p>
    <w:p w14:paraId="0CCAF4B0" w14:textId="0F9310DB"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color w:val="000000"/>
        </w:rPr>
        <w:lastRenderedPageBreak/>
        <w:tab/>
        <w:t>2.</w:t>
      </w:r>
      <w:r w:rsidRPr="00834CCA">
        <w:rPr>
          <w:color w:val="000000"/>
        </w:rPr>
        <w:tab/>
        <w:t>[</w:t>
      </w:r>
      <w:r w:rsidRPr="00834CCA">
        <w:rPr>
          <w:i/>
          <w:color w:val="000000"/>
        </w:rPr>
        <w:t>A</w:t>
      </w:r>
      <w:r w:rsidR="00955D07">
        <w:rPr>
          <w:i/>
          <w:color w:val="000000"/>
        </w:rPr>
        <w:t>lso a</w:t>
      </w:r>
      <w:r w:rsidRPr="00834CCA">
        <w:rPr>
          <w:i/>
          <w:color w:val="000000"/>
        </w:rPr>
        <w:t>pproves</w:t>
      </w:r>
      <w:r w:rsidRPr="00834CCA">
        <w:rPr>
          <w:color w:val="000000"/>
        </w:rPr>
        <w:t xml:space="preserve"> the undertaking of a thematic assessment of invasive alien species in accordance with the procedures for the preparation of the Platform’s deliverables and as outlined in the scoping report set out in annex III to decision IPBES-4/1, following the [sixth] [seventh] session of the Plenary, for consideration by the Plenary at its [ninth] [tenth] session.]</w:t>
      </w:r>
    </w:p>
    <w:bookmarkEnd w:id="6"/>
    <w:p w14:paraId="311D0083" w14:textId="77777777" w:rsidR="00834CCA" w:rsidRPr="00834CCA" w:rsidRDefault="00834CCA" w:rsidP="006A6624">
      <w:pPr>
        <w:pStyle w:val="Normal-pool"/>
        <w:keepNext/>
        <w:keepLines/>
        <w:spacing w:after="120"/>
        <w:jc w:val="center"/>
        <w:rPr>
          <w:b/>
        </w:rPr>
      </w:pPr>
      <w:r w:rsidRPr="00834CCA">
        <w:rPr>
          <w:b/>
        </w:rPr>
        <w:t>VI</w:t>
      </w:r>
    </w:p>
    <w:p w14:paraId="40A963C0" w14:textId="77777777" w:rsidR="00834CCA" w:rsidRPr="00834CCA" w:rsidRDefault="00834CCA" w:rsidP="006A6624">
      <w:pPr>
        <w:pStyle w:val="Normal-pool"/>
        <w:keepNext/>
        <w:keepLines/>
        <w:spacing w:after="120"/>
        <w:jc w:val="center"/>
        <w:rPr>
          <w:b/>
        </w:rPr>
      </w:pPr>
      <w:r w:rsidRPr="00834CCA">
        <w:rPr>
          <w:b/>
        </w:rPr>
        <w:t>Methodological assessments</w:t>
      </w:r>
    </w:p>
    <w:p w14:paraId="3D64A580" w14:textId="7E06460E" w:rsidR="00834CCA" w:rsidRDefault="00834CCA" w:rsidP="00147016">
      <w:pPr>
        <w:pStyle w:val="Normalnumber"/>
        <w:tabs>
          <w:tab w:val="clear" w:pos="1247"/>
          <w:tab w:val="clear" w:pos="1871"/>
          <w:tab w:val="clear" w:pos="2495"/>
        </w:tabs>
        <w:ind w:left="1247" w:firstLine="0"/>
        <w:rPr>
          <w:color w:val="000000"/>
        </w:rPr>
      </w:pPr>
      <w:r w:rsidRPr="00834CCA">
        <w:rPr>
          <w:color w:val="000000"/>
        </w:rPr>
        <w:t xml:space="preserve">The Plenary may wish to consider the following paragraph of the draft decision on </w:t>
      </w:r>
      <w:r w:rsidR="00955D07">
        <w:rPr>
          <w:color w:val="000000"/>
        </w:rPr>
        <w:t xml:space="preserve">the </w:t>
      </w:r>
      <w:r w:rsidRPr="00834CCA">
        <w:rPr>
          <w:color w:val="000000"/>
        </w:rPr>
        <w:t>implementation of the first work programme of IPBES under item 5 of the provisional agenda, report of the Executive Secretary on the implementation of the first work programme</w:t>
      </w:r>
      <w:r w:rsidR="00955D07">
        <w:rPr>
          <w:color w:val="000000"/>
        </w:rPr>
        <w:t xml:space="preserve"> for the period </w:t>
      </w:r>
      <w:r w:rsidR="00AF57BE">
        <w:rPr>
          <w:color w:val="000000"/>
        </w:rPr>
        <w:br/>
      </w:r>
      <w:r w:rsidR="00955D07">
        <w:t>2014–2018</w:t>
      </w:r>
      <w:r w:rsidRPr="00834CCA">
        <w:rPr>
          <w:color w:val="000000"/>
        </w:rPr>
        <w:t xml:space="preserve">: </w:t>
      </w:r>
    </w:p>
    <w:p w14:paraId="1DDB8B13" w14:textId="3AB155CA" w:rsidR="00955D07"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iCs/>
          <w:color w:val="000000"/>
        </w:rPr>
      </w:pPr>
      <w:r w:rsidRPr="008F0AB6">
        <w:rPr>
          <w:i/>
          <w:iCs/>
          <w:color w:val="000000"/>
        </w:rPr>
        <w:t xml:space="preserve">Recalling </w:t>
      </w:r>
      <w:r w:rsidR="003D24D0">
        <w:rPr>
          <w:iCs/>
          <w:color w:val="000000"/>
        </w:rPr>
        <w:t xml:space="preserve">its </w:t>
      </w:r>
      <w:r w:rsidRPr="008F0AB6">
        <w:rPr>
          <w:iCs/>
          <w:color w:val="000000"/>
        </w:rPr>
        <w:t>decision IPBES-5/1, section VI, paragraph</w:t>
      </w:r>
      <w:r w:rsidR="002955D4">
        <w:rPr>
          <w:iCs/>
          <w:color w:val="000000"/>
        </w:rPr>
        <w:t>s</w:t>
      </w:r>
      <w:r w:rsidRPr="008F0AB6">
        <w:rPr>
          <w:iCs/>
          <w:color w:val="000000"/>
        </w:rPr>
        <w:t xml:space="preserve"> 3</w:t>
      </w:r>
      <w:r w:rsidR="002955D4">
        <w:rPr>
          <w:iCs/>
          <w:color w:val="000000"/>
        </w:rPr>
        <w:t xml:space="preserve"> and 5</w:t>
      </w:r>
      <w:r w:rsidRPr="008F0AB6">
        <w:rPr>
          <w:iCs/>
          <w:color w:val="000000"/>
        </w:rPr>
        <w:t xml:space="preserve">, </w:t>
      </w:r>
    </w:p>
    <w:p w14:paraId="536194AC" w14:textId="4034ECBE" w:rsidR="00834CCA" w:rsidRDefault="002955D4" w:rsidP="005A12BE">
      <w:pPr>
        <w:pStyle w:val="Normal-pool"/>
        <w:tabs>
          <w:tab w:val="clear" w:pos="1247"/>
          <w:tab w:val="clear" w:pos="1814"/>
          <w:tab w:val="clear" w:pos="2381"/>
          <w:tab w:val="clear" w:pos="2948"/>
          <w:tab w:val="clear" w:pos="3515"/>
          <w:tab w:val="clear" w:pos="4082"/>
          <w:tab w:val="left" w:pos="624"/>
        </w:tabs>
        <w:spacing w:after="120"/>
        <w:ind w:left="1871" w:firstLine="624"/>
        <w:rPr>
          <w:i/>
          <w:iCs/>
          <w:color w:val="000000"/>
        </w:rPr>
      </w:pPr>
      <w:r w:rsidRPr="002E67D9">
        <w:rPr>
          <w:iCs/>
          <w:color w:val="000000"/>
        </w:rPr>
        <w:t>1.</w:t>
      </w:r>
      <w:r w:rsidRPr="002E67D9">
        <w:rPr>
          <w:iCs/>
          <w:color w:val="000000"/>
        </w:rPr>
        <w:tab/>
      </w:r>
      <w:r w:rsidR="00955D07">
        <w:rPr>
          <w:i/>
          <w:iCs/>
          <w:color w:val="000000"/>
        </w:rPr>
        <w:t>W</w:t>
      </w:r>
      <w:r w:rsidR="00834CCA" w:rsidRPr="008F0AB6">
        <w:rPr>
          <w:i/>
          <w:iCs/>
          <w:color w:val="000000"/>
        </w:rPr>
        <w:t xml:space="preserve">elcomes </w:t>
      </w:r>
      <w:r w:rsidR="00834CCA" w:rsidRPr="008F0AB6">
        <w:rPr>
          <w:iCs/>
          <w:color w:val="000000"/>
        </w:rPr>
        <w:t>the progress made and next steps planned by the expert group on scenarios and</w:t>
      </w:r>
      <w:r w:rsidR="00834CCA" w:rsidRPr="00834CCA">
        <w:rPr>
          <w:iCs/>
          <w:color w:val="000000"/>
        </w:rPr>
        <w:t xml:space="preserve"> models</w:t>
      </w:r>
      <w:r w:rsidR="00834CCA" w:rsidRPr="002E67D9">
        <w:rPr>
          <w:iCs/>
          <w:color w:val="000000"/>
        </w:rPr>
        <w:t>;</w:t>
      </w:r>
      <w:r w:rsidR="00834CCA" w:rsidRPr="00834CCA">
        <w:rPr>
          <w:iCs/>
          <w:szCs w:val="18"/>
          <w:vertAlign w:val="superscript"/>
        </w:rPr>
        <w:footnoteReference w:id="12"/>
      </w:r>
    </w:p>
    <w:p w14:paraId="61917CE6" w14:textId="4DA6E3D0" w:rsidR="00834CCA" w:rsidRPr="00834CCA" w:rsidRDefault="002955D4" w:rsidP="005A12BE">
      <w:pPr>
        <w:pStyle w:val="Normal-pool"/>
        <w:tabs>
          <w:tab w:val="clear" w:pos="1247"/>
          <w:tab w:val="clear" w:pos="1814"/>
          <w:tab w:val="clear" w:pos="2381"/>
          <w:tab w:val="clear" w:pos="2948"/>
          <w:tab w:val="clear" w:pos="3515"/>
          <w:tab w:val="clear" w:pos="4082"/>
          <w:tab w:val="left" w:pos="624"/>
        </w:tabs>
        <w:spacing w:after="120"/>
        <w:ind w:left="1871" w:firstLine="624"/>
        <w:rPr>
          <w:i/>
          <w:iCs/>
          <w:color w:val="000000"/>
        </w:rPr>
      </w:pPr>
      <w:r>
        <w:rPr>
          <w:iCs/>
          <w:color w:val="000000"/>
        </w:rPr>
        <w:t>2.</w:t>
      </w:r>
      <w:r>
        <w:rPr>
          <w:iCs/>
          <w:color w:val="000000"/>
        </w:rPr>
        <w:tab/>
      </w:r>
      <w:r>
        <w:rPr>
          <w:i/>
          <w:iCs/>
          <w:color w:val="000000"/>
        </w:rPr>
        <w:t xml:space="preserve">Also </w:t>
      </w:r>
      <w:r w:rsidR="00834CCA" w:rsidRPr="00834CCA">
        <w:rPr>
          <w:i/>
          <w:iCs/>
          <w:color w:val="000000"/>
        </w:rPr>
        <w:t xml:space="preserve">welcomes </w:t>
      </w:r>
      <w:r w:rsidR="00834CCA" w:rsidRPr="00834CCA">
        <w:rPr>
          <w:iCs/>
          <w:color w:val="000000"/>
        </w:rPr>
        <w:t xml:space="preserve">the progress made and </w:t>
      </w:r>
      <w:r w:rsidR="00834CCA" w:rsidRPr="00E034B9">
        <w:rPr>
          <w:iCs/>
          <w:color w:val="000000"/>
        </w:rPr>
        <w:t xml:space="preserve">next steps planned </w:t>
      </w:r>
      <w:r w:rsidRPr="00E034B9">
        <w:rPr>
          <w:iCs/>
          <w:color w:val="000000"/>
        </w:rPr>
        <w:t>by</w:t>
      </w:r>
      <w:r w:rsidR="00834CCA" w:rsidRPr="00E034B9">
        <w:rPr>
          <w:iCs/>
          <w:color w:val="000000"/>
        </w:rPr>
        <w:t xml:space="preserve"> the expert group on values</w:t>
      </w:r>
      <w:r w:rsidR="00F0653C" w:rsidRPr="00E034B9">
        <w:rPr>
          <w:color w:val="000000"/>
        </w:rPr>
        <w:t>.</w:t>
      </w:r>
      <w:r w:rsidR="00834CCA" w:rsidRPr="00E034B9">
        <w:rPr>
          <w:iCs/>
          <w:szCs w:val="18"/>
          <w:vertAlign w:val="superscript"/>
        </w:rPr>
        <w:footnoteReference w:id="13"/>
      </w:r>
    </w:p>
    <w:p w14:paraId="0B32452F" w14:textId="261D016F" w:rsidR="00834CCA" w:rsidRPr="00834CCA" w:rsidRDefault="00834CCA" w:rsidP="00147016">
      <w:pPr>
        <w:pStyle w:val="Normalnumber"/>
        <w:tabs>
          <w:tab w:val="clear" w:pos="1247"/>
          <w:tab w:val="clear" w:pos="1871"/>
          <w:tab w:val="clear" w:pos="2495"/>
        </w:tabs>
        <w:ind w:left="1247" w:firstLine="0"/>
        <w:rPr>
          <w:color w:val="000000"/>
        </w:rPr>
      </w:pPr>
      <w:r w:rsidRPr="00834CCA">
        <w:rPr>
          <w:color w:val="000000"/>
        </w:rPr>
        <w:t xml:space="preserve">The Plenary may wish to consider the following paragraphs of the draft decision on </w:t>
      </w:r>
      <w:r w:rsidR="00955D07">
        <w:rPr>
          <w:color w:val="000000"/>
        </w:rPr>
        <w:t xml:space="preserve">the </w:t>
      </w:r>
      <w:r w:rsidRPr="00834CCA">
        <w:rPr>
          <w:color w:val="000000"/>
        </w:rPr>
        <w:t xml:space="preserve">implementation of the first work programme of IPBES under item 8 of the provisional agenda, pending assessments: </w:t>
      </w:r>
    </w:p>
    <w:p w14:paraId="2294CBBB" w14:textId="0E3224B0" w:rsidR="00834CCA" w:rsidRPr="00834CCA" w:rsidRDefault="002955D4" w:rsidP="005A12BE">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Pr>
          <w:color w:val="000000"/>
        </w:rPr>
        <w:t>3.</w:t>
      </w:r>
      <w:r w:rsidR="00834CCA" w:rsidRPr="00834CCA">
        <w:rPr>
          <w:color w:val="000000"/>
        </w:rPr>
        <w:tab/>
        <w:t>[</w:t>
      </w:r>
      <w:r w:rsidR="00834CCA" w:rsidRPr="00834CCA">
        <w:rPr>
          <w:i/>
          <w:color w:val="000000"/>
        </w:rPr>
        <w:t>Approves</w:t>
      </w:r>
      <w:r w:rsidR="00834CCA" w:rsidRPr="00834CCA">
        <w:rPr>
          <w:color w:val="000000"/>
        </w:rPr>
        <w:t xml:space="preserve"> the undertaking of a methodological assessment regarding </w:t>
      </w:r>
      <w:r w:rsidR="00955D07">
        <w:rPr>
          <w:color w:val="000000"/>
        </w:rPr>
        <w:t xml:space="preserve">the </w:t>
      </w:r>
      <w:r w:rsidR="00834CCA" w:rsidRPr="00834CCA">
        <w:rPr>
          <w:color w:val="000000"/>
        </w:rPr>
        <w:t>diverse conceptualization of multiple values of nature and its benefits, including biodiversity and ecosystem functions and services, in accordance with the procedures for the preparation of the Platform’s deliverables and as outlined in the scoping report set out in annex VI to decision IPBES-4/1, following the [sixth] [seventh] session of the Plenary, for consideration by the Plenary at its [ninth] [tenth] session]</w:t>
      </w:r>
      <w:r w:rsidR="00F0653C">
        <w:rPr>
          <w:color w:val="000000"/>
        </w:rPr>
        <w:t>.</w:t>
      </w:r>
      <w:r w:rsidR="00834CCA" w:rsidRPr="00834CCA">
        <w:rPr>
          <w:color w:val="000000"/>
        </w:rPr>
        <w:t xml:space="preserve"> </w:t>
      </w:r>
    </w:p>
    <w:p w14:paraId="7D128327" w14:textId="34B627A4" w:rsidR="00834CCA" w:rsidRPr="00834CCA" w:rsidRDefault="00834CCA" w:rsidP="00DD6BD6">
      <w:pPr>
        <w:pStyle w:val="Normalnumber"/>
        <w:tabs>
          <w:tab w:val="clear" w:pos="1247"/>
          <w:tab w:val="clear" w:pos="1871"/>
          <w:tab w:val="clear" w:pos="2495"/>
        </w:tabs>
        <w:ind w:left="1253" w:firstLine="0"/>
        <w:rPr>
          <w:color w:val="000000"/>
        </w:rPr>
      </w:pPr>
      <w:r w:rsidRPr="00834CCA">
        <w:rPr>
          <w:color w:val="000000"/>
        </w:rPr>
        <w:t xml:space="preserve">The Plenary may wish to consider the following section of the draft decision on </w:t>
      </w:r>
      <w:r w:rsidR="00955D07">
        <w:rPr>
          <w:color w:val="000000"/>
        </w:rPr>
        <w:t xml:space="preserve">the </w:t>
      </w:r>
      <w:r w:rsidRPr="00834CCA">
        <w:rPr>
          <w:color w:val="000000"/>
        </w:rPr>
        <w:t xml:space="preserve">implementation </w:t>
      </w:r>
      <w:r w:rsidRPr="00147016">
        <w:t>of</w:t>
      </w:r>
      <w:r w:rsidRPr="00834CCA">
        <w:rPr>
          <w:color w:val="000000"/>
        </w:rPr>
        <w:t xml:space="preserve"> the first work programme of IPBES under item 5 of the provisional agenda, report of the Executive Secretary on the implementation of the first work programme</w:t>
      </w:r>
      <w:r w:rsidR="00955D07" w:rsidRPr="00955D07">
        <w:t xml:space="preserve"> </w:t>
      </w:r>
      <w:r w:rsidR="00955D07">
        <w:t xml:space="preserve">for the period </w:t>
      </w:r>
      <w:r w:rsidR="002E67D9">
        <w:br/>
      </w:r>
      <w:r w:rsidR="00955D07">
        <w:t>2014–2018</w:t>
      </w:r>
      <w:r w:rsidRPr="00834CCA">
        <w:rPr>
          <w:color w:val="000000"/>
        </w:rPr>
        <w:t xml:space="preserve">: </w:t>
      </w:r>
    </w:p>
    <w:p w14:paraId="59689411" w14:textId="77777777" w:rsidR="00834CCA" w:rsidRPr="005A12BE" w:rsidRDefault="00834CCA" w:rsidP="00DD6BD6">
      <w:pPr>
        <w:pStyle w:val="Normal-pool"/>
        <w:spacing w:after="120"/>
        <w:jc w:val="center"/>
        <w:rPr>
          <w:b/>
        </w:rPr>
      </w:pPr>
      <w:r w:rsidRPr="005A12BE">
        <w:rPr>
          <w:b/>
        </w:rPr>
        <w:t>VII</w:t>
      </w:r>
    </w:p>
    <w:p w14:paraId="1C05322F" w14:textId="77777777" w:rsidR="00834CCA" w:rsidRPr="005A12BE" w:rsidRDefault="00834CCA" w:rsidP="005A12BE">
      <w:pPr>
        <w:pStyle w:val="Normal-pool"/>
        <w:spacing w:after="120"/>
        <w:jc w:val="center"/>
        <w:rPr>
          <w:b/>
        </w:rPr>
      </w:pPr>
      <w:r w:rsidRPr="005A12BE">
        <w:rPr>
          <w:b/>
        </w:rPr>
        <w:t>Catalogue of policy tools and methodologies</w:t>
      </w:r>
    </w:p>
    <w:p w14:paraId="0E62FF08" w14:textId="08DBAFF3" w:rsidR="00834CCA" w:rsidRPr="00834CCA"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iCs/>
          <w:color w:val="000000"/>
        </w:rPr>
      </w:pPr>
      <w:r w:rsidRPr="00834CCA">
        <w:rPr>
          <w:color w:val="000000"/>
        </w:rPr>
        <w:tab/>
      </w:r>
      <w:r w:rsidRPr="00834CCA">
        <w:rPr>
          <w:iCs/>
          <w:color w:val="000000"/>
        </w:rPr>
        <w:t>1.</w:t>
      </w:r>
      <w:r w:rsidRPr="00834CCA">
        <w:rPr>
          <w:i/>
          <w:iCs/>
          <w:color w:val="000000"/>
        </w:rPr>
        <w:tab/>
        <w:t xml:space="preserve">Welcomes </w:t>
      </w:r>
      <w:r w:rsidRPr="00834CCA">
        <w:rPr>
          <w:iCs/>
          <w:color w:val="000000"/>
        </w:rPr>
        <w:t>the progress made and next steps planned regarding the development of the online catalogue of policy support tools and methodologies and the provision of guidance to ongoing Platform assessments</w:t>
      </w:r>
      <w:r w:rsidR="00E86C82">
        <w:rPr>
          <w:rStyle w:val="FootnoteReference"/>
          <w:iCs/>
        </w:rPr>
        <w:footnoteReference w:id="14"/>
      </w:r>
      <w:r w:rsidRPr="00834CCA">
        <w:rPr>
          <w:iCs/>
          <w:color w:val="000000"/>
        </w:rPr>
        <w:t xml:space="preserve">; and </w:t>
      </w:r>
      <w:r w:rsidRPr="002E67D9">
        <w:rPr>
          <w:iCs/>
          <w:color w:val="000000"/>
        </w:rPr>
        <w:t>requests</w:t>
      </w:r>
      <w:r w:rsidRPr="00834CCA">
        <w:rPr>
          <w:iCs/>
          <w:color w:val="000000"/>
        </w:rPr>
        <w:t xml:space="preserve"> the expert group on policy support tools and methodologies to further develop the online catalogue and the guidance to Platform assessments, and </w:t>
      </w:r>
      <w:r w:rsidRPr="00834CCA">
        <w:rPr>
          <w:color w:val="000000"/>
        </w:rPr>
        <w:t>to report on progress to the Plenary at its seventh session</w:t>
      </w:r>
      <w:r w:rsidRPr="00834CCA">
        <w:rPr>
          <w:iCs/>
          <w:color w:val="000000"/>
        </w:rPr>
        <w:t>;</w:t>
      </w:r>
    </w:p>
    <w:p w14:paraId="06DE941A" w14:textId="7C31F2B9" w:rsidR="00834CCA" w:rsidRPr="00E034B9" w:rsidRDefault="00834CCA" w:rsidP="005A12BE">
      <w:pPr>
        <w:pStyle w:val="Normal-pool"/>
        <w:tabs>
          <w:tab w:val="clear" w:pos="1247"/>
          <w:tab w:val="clear" w:pos="1814"/>
          <w:tab w:val="clear" w:pos="2381"/>
          <w:tab w:val="clear" w:pos="2948"/>
          <w:tab w:val="clear" w:pos="3515"/>
          <w:tab w:val="clear" w:pos="4082"/>
          <w:tab w:val="left" w:pos="624"/>
        </w:tabs>
        <w:spacing w:after="120"/>
        <w:ind w:left="1871" w:firstLine="624"/>
        <w:rPr>
          <w:iCs/>
          <w:color w:val="000000"/>
        </w:rPr>
      </w:pPr>
      <w:r w:rsidRPr="00834CCA">
        <w:rPr>
          <w:color w:val="000000"/>
        </w:rPr>
        <w:tab/>
      </w:r>
      <w:r w:rsidRPr="00834CCA">
        <w:rPr>
          <w:iCs/>
          <w:color w:val="000000"/>
        </w:rPr>
        <w:t>2.</w:t>
      </w:r>
      <w:r w:rsidRPr="00834CCA">
        <w:rPr>
          <w:i/>
          <w:iCs/>
          <w:color w:val="000000"/>
        </w:rPr>
        <w:tab/>
        <w:t xml:space="preserve">Welcomes </w:t>
      </w:r>
      <w:r w:rsidRPr="00834CCA">
        <w:rPr>
          <w:iCs/>
          <w:color w:val="000000"/>
        </w:rPr>
        <w:t xml:space="preserve">the </w:t>
      </w:r>
      <w:r w:rsidRPr="00834CCA">
        <w:rPr>
          <w:color w:val="000000"/>
        </w:rPr>
        <w:t xml:space="preserve">efforts of partner organizations, </w:t>
      </w:r>
      <w:r w:rsidR="004E77B3">
        <w:rPr>
          <w:color w:val="000000"/>
        </w:rPr>
        <w:t>G</w:t>
      </w:r>
      <w:r w:rsidRPr="00834CCA">
        <w:rPr>
          <w:color w:val="000000"/>
        </w:rPr>
        <w:t xml:space="preserve">overnments and stakeholders in contributing information </w:t>
      </w:r>
      <w:r w:rsidR="004E77B3">
        <w:rPr>
          <w:color w:val="000000"/>
        </w:rPr>
        <w:t>for inclusion in</w:t>
      </w:r>
      <w:r w:rsidR="004E77B3" w:rsidRPr="00834CCA">
        <w:rPr>
          <w:color w:val="000000"/>
        </w:rPr>
        <w:t xml:space="preserve"> </w:t>
      </w:r>
      <w:r w:rsidRPr="00834CCA">
        <w:rPr>
          <w:iCs/>
          <w:color w:val="000000"/>
        </w:rPr>
        <w:t>the online catalogue of policy support tools and methodologies</w:t>
      </w:r>
      <w:r w:rsidRPr="00834CCA">
        <w:rPr>
          <w:color w:val="000000"/>
        </w:rPr>
        <w:t xml:space="preserve"> </w:t>
      </w:r>
      <w:r w:rsidRPr="008F0AB6">
        <w:rPr>
          <w:color w:val="000000"/>
        </w:rPr>
        <w:t xml:space="preserve">and </w:t>
      </w:r>
      <w:r w:rsidRPr="002E67D9">
        <w:rPr>
          <w:color w:val="000000"/>
        </w:rPr>
        <w:t>invites</w:t>
      </w:r>
      <w:r w:rsidRPr="008F0AB6">
        <w:rPr>
          <w:color w:val="000000"/>
        </w:rPr>
        <w:t xml:space="preserve"> other</w:t>
      </w:r>
      <w:r w:rsidRPr="00834CCA">
        <w:rPr>
          <w:color w:val="000000"/>
        </w:rPr>
        <w:t xml:space="preserve"> organizations, </w:t>
      </w:r>
      <w:r w:rsidR="004E77B3">
        <w:rPr>
          <w:color w:val="000000"/>
        </w:rPr>
        <w:t>G</w:t>
      </w:r>
      <w:r w:rsidRPr="00834CCA">
        <w:rPr>
          <w:color w:val="000000"/>
        </w:rPr>
        <w:t xml:space="preserve">overnments and stakeholders to join those efforts by submitting </w:t>
      </w:r>
      <w:r w:rsidRPr="00E034B9">
        <w:rPr>
          <w:color w:val="000000"/>
        </w:rPr>
        <w:t xml:space="preserve">relevant information </w:t>
      </w:r>
      <w:r w:rsidR="004E77B3" w:rsidRPr="00E034B9">
        <w:rPr>
          <w:color w:val="000000"/>
        </w:rPr>
        <w:t xml:space="preserve">for inclusion in </w:t>
      </w:r>
      <w:r w:rsidRPr="00E034B9">
        <w:rPr>
          <w:color w:val="000000"/>
        </w:rPr>
        <w:t>the online catalogue</w:t>
      </w:r>
      <w:r w:rsidR="00F0653C" w:rsidRPr="00E034B9">
        <w:rPr>
          <w:color w:val="000000"/>
        </w:rPr>
        <w:t>.</w:t>
      </w:r>
    </w:p>
    <w:p w14:paraId="7A6965AC" w14:textId="48EC11F1" w:rsidR="00DD6BD6" w:rsidRPr="00E034B9" w:rsidRDefault="00DD6BD6" w:rsidP="00DD6BD6">
      <w:pPr>
        <w:pStyle w:val="Normalnumber"/>
        <w:tabs>
          <w:tab w:val="clear" w:pos="1247"/>
          <w:tab w:val="clear" w:pos="1871"/>
          <w:tab w:val="clear" w:pos="2495"/>
        </w:tabs>
        <w:ind w:left="1253" w:firstLine="0"/>
        <w:rPr>
          <w:color w:val="000000"/>
        </w:rPr>
      </w:pPr>
      <w:r w:rsidRPr="00E034B9">
        <w:rPr>
          <w:color w:val="000000"/>
        </w:rPr>
        <w:t xml:space="preserve">The Plenary may wish to consider the following section of the draft decision on the implementation </w:t>
      </w:r>
      <w:r w:rsidRPr="00E034B9">
        <w:t>of</w:t>
      </w:r>
      <w:r w:rsidRPr="00E034B9">
        <w:rPr>
          <w:color w:val="000000"/>
        </w:rPr>
        <w:t xml:space="preserve"> the first work programme of IPBES under item item 10 of the provisional agenda, review of the Platform: </w:t>
      </w:r>
    </w:p>
    <w:p w14:paraId="2CC836E7" w14:textId="687DE72B" w:rsidR="00DD6BD6" w:rsidRPr="00E034B9" w:rsidRDefault="00DD6BD6" w:rsidP="002E67D9">
      <w:pPr>
        <w:pStyle w:val="Normal-pool"/>
        <w:keepNext/>
        <w:keepLines/>
        <w:spacing w:after="120"/>
        <w:jc w:val="center"/>
        <w:rPr>
          <w:b/>
        </w:rPr>
      </w:pPr>
      <w:r w:rsidRPr="00E034B9">
        <w:rPr>
          <w:b/>
        </w:rPr>
        <w:lastRenderedPageBreak/>
        <w:t>VIII</w:t>
      </w:r>
    </w:p>
    <w:p w14:paraId="411A4EE3" w14:textId="6BC6114E" w:rsidR="00DD6BD6" w:rsidRPr="00E034B9" w:rsidRDefault="00DD6BD6" w:rsidP="002E67D9">
      <w:pPr>
        <w:pStyle w:val="Normal-pool"/>
        <w:keepNext/>
        <w:keepLines/>
        <w:spacing w:after="120"/>
        <w:jc w:val="center"/>
        <w:rPr>
          <w:b/>
        </w:rPr>
      </w:pPr>
      <w:r w:rsidRPr="002E67D9">
        <w:rPr>
          <w:b/>
        </w:rPr>
        <w:t>Review of the Intergovernmental Science-Policy Platform on Biodiversity and Ecosystem Services</w:t>
      </w:r>
    </w:p>
    <w:p w14:paraId="61EB5ADD" w14:textId="76867625" w:rsidR="00DD6BD6" w:rsidRPr="00E034B9" w:rsidRDefault="00DD6BD6" w:rsidP="002E67D9">
      <w:pPr>
        <w:pStyle w:val="Normal-pool"/>
        <w:keepNext/>
        <w:keepLines/>
        <w:spacing w:after="120"/>
        <w:ind w:left="1871" w:firstLine="624"/>
        <w:rPr>
          <w:iCs/>
          <w:color w:val="000000"/>
        </w:rPr>
      </w:pPr>
      <w:r w:rsidRPr="00E034B9">
        <w:rPr>
          <w:i/>
          <w:iCs/>
          <w:color w:val="000000"/>
        </w:rPr>
        <w:t xml:space="preserve">Recalling </w:t>
      </w:r>
      <w:r w:rsidRPr="00E034B9">
        <w:rPr>
          <w:iCs/>
          <w:color w:val="000000"/>
        </w:rPr>
        <w:t xml:space="preserve">its decision IPBES-5/2, </w:t>
      </w:r>
    </w:p>
    <w:p w14:paraId="1D09B0F2" w14:textId="03AE2EB1" w:rsidR="00DD6BD6" w:rsidRDefault="00DD6BD6" w:rsidP="002E67D9">
      <w:pPr>
        <w:pStyle w:val="Normal-pool"/>
        <w:keepNext/>
        <w:keepLines/>
        <w:spacing w:after="120"/>
        <w:ind w:left="1871" w:firstLine="624"/>
        <w:rPr>
          <w:color w:val="000000"/>
        </w:rPr>
      </w:pPr>
      <w:r w:rsidRPr="00E034B9">
        <w:rPr>
          <w:i/>
          <w:iCs/>
          <w:color w:val="000000"/>
        </w:rPr>
        <w:t xml:space="preserve">Takes notes with appreciation </w:t>
      </w:r>
      <w:r w:rsidRPr="002E67D9">
        <w:rPr>
          <w:iCs/>
          <w:color w:val="000000"/>
        </w:rPr>
        <w:t xml:space="preserve">of </w:t>
      </w:r>
      <w:r w:rsidRPr="00E034B9">
        <w:rPr>
          <w:color w:val="000000"/>
        </w:rPr>
        <w:t>the</w:t>
      </w:r>
      <w:r w:rsidRPr="00834CCA">
        <w:rPr>
          <w:color w:val="000000"/>
        </w:rPr>
        <w:t xml:space="preserve"> report prepared by the internal review team</w:t>
      </w:r>
      <w:r w:rsidRPr="00834CCA">
        <w:rPr>
          <w:szCs w:val="18"/>
          <w:vertAlign w:val="superscript"/>
        </w:rPr>
        <w:footnoteReference w:id="15"/>
      </w:r>
      <w:r>
        <w:rPr>
          <w:color w:val="000000"/>
        </w:rPr>
        <w:t>,</w:t>
      </w:r>
      <w:r w:rsidRPr="00834CCA">
        <w:rPr>
          <w:color w:val="000000"/>
        </w:rPr>
        <w:t xml:space="preserve"> the selection of a review panel to perform the review </w:t>
      </w:r>
      <w:r w:rsidRPr="008F0AB6">
        <w:rPr>
          <w:color w:val="000000"/>
        </w:rPr>
        <w:t xml:space="preserve">and </w:t>
      </w:r>
      <w:r>
        <w:rPr>
          <w:color w:val="000000"/>
        </w:rPr>
        <w:t>the</w:t>
      </w:r>
      <w:r w:rsidRPr="00834CCA">
        <w:rPr>
          <w:color w:val="000000"/>
        </w:rPr>
        <w:t xml:space="preserve"> progress made in the selection of an external professional organization to coordinate the review.</w:t>
      </w:r>
      <w:r w:rsidRPr="00834CCA">
        <w:rPr>
          <w:szCs w:val="18"/>
          <w:vertAlign w:val="superscript"/>
        </w:rPr>
        <w:footnoteReference w:id="16"/>
      </w:r>
      <w:r w:rsidRPr="00834CCA">
        <w:rPr>
          <w:color w:val="000000"/>
        </w:rPr>
        <w:t xml:space="preserve"> </w:t>
      </w:r>
    </w:p>
    <w:p w14:paraId="1C582373" w14:textId="77777777" w:rsidR="00DD6BD6" w:rsidRPr="00834CCA" w:rsidRDefault="00DD6BD6" w:rsidP="00DD6BD6">
      <w:pPr>
        <w:pStyle w:val="Normalnumber"/>
        <w:tabs>
          <w:tab w:val="clear" w:pos="1247"/>
          <w:tab w:val="clear" w:pos="1871"/>
          <w:tab w:val="clear" w:pos="2495"/>
        </w:tabs>
        <w:ind w:left="1253" w:firstLine="0"/>
        <w:rPr>
          <w:color w:val="000000"/>
        </w:rPr>
      </w:pPr>
      <w:r w:rsidRPr="00834CCA">
        <w:rPr>
          <w:color w:val="000000"/>
        </w:rPr>
        <w:t xml:space="preserve">The Plenary may wish to consider the following section of the draft decision on </w:t>
      </w:r>
      <w:r>
        <w:rPr>
          <w:color w:val="000000"/>
        </w:rPr>
        <w:t xml:space="preserve">the </w:t>
      </w:r>
      <w:r w:rsidRPr="00834CCA">
        <w:rPr>
          <w:color w:val="000000"/>
        </w:rPr>
        <w:t>implementation of the first work programme of IPBES under item 9 of the provisional agenda, financial and budgetary arrangements for the Platform:</w:t>
      </w:r>
    </w:p>
    <w:p w14:paraId="7F414782" w14:textId="4C41FBEA" w:rsidR="00834CCA" w:rsidRPr="005A12BE" w:rsidRDefault="00DD6BD6" w:rsidP="00DD6BD6">
      <w:pPr>
        <w:pStyle w:val="Normal-pool"/>
        <w:spacing w:after="120"/>
        <w:jc w:val="center"/>
        <w:rPr>
          <w:b/>
        </w:rPr>
      </w:pPr>
      <w:r>
        <w:rPr>
          <w:b/>
        </w:rPr>
        <w:t>IX</w:t>
      </w:r>
    </w:p>
    <w:p w14:paraId="0661337A" w14:textId="77777777" w:rsidR="00834CCA" w:rsidRPr="005A12BE" w:rsidRDefault="00834CCA" w:rsidP="005A12BE">
      <w:pPr>
        <w:pStyle w:val="Normal-pool"/>
        <w:spacing w:after="120"/>
        <w:jc w:val="center"/>
        <w:rPr>
          <w:b/>
        </w:rPr>
      </w:pPr>
      <w:r w:rsidRPr="005A12BE">
        <w:rPr>
          <w:b/>
        </w:rPr>
        <w:t>Technical support for the work programme</w:t>
      </w:r>
    </w:p>
    <w:p w14:paraId="5A007C5A" w14:textId="621A2355" w:rsidR="00834CCA" w:rsidRPr="00834CCA" w:rsidRDefault="00834CCA" w:rsidP="00054050">
      <w:pPr>
        <w:pStyle w:val="Normal-pool"/>
        <w:spacing w:after="120"/>
        <w:ind w:left="1871" w:firstLine="624"/>
      </w:pPr>
      <w:r w:rsidRPr="00834CCA">
        <w:rPr>
          <w:i/>
          <w:iCs/>
        </w:rPr>
        <w:t xml:space="preserve">Requests </w:t>
      </w:r>
      <w:r w:rsidRPr="00834CCA">
        <w:t>the secretariat, in consultation with the Bureau and in accordance with the approved budget set out in the annex to decision IPBES-6/[   ], to establish the institutional arrangements necessary to operationalize the technical support required for the work programme</w:t>
      </w:r>
      <w:r w:rsidR="00F0653C">
        <w:t>.</w:t>
      </w:r>
      <w:r w:rsidRPr="00834CCA">
        <w:t xml:space="preserve"> </w:t>
      </w:r>
    </w:p>
    <w:p w14:paraId="0B2900E3" w14:textId="2E9337C1" w:rsidR="00834CCA" w:rsidRPr="00834CCA" w:rsidRDefault="00834CCA" w:rsidP="005A12BE">
      <w:pPr>
        <w:pStyle w:val="CH1"/>
        <w:rPr>
          <w:color w:val="000000"/>
        </w:rPr>
      </w:pPr>
      <w:r w:rsidRPr="00834CCA">
        <w:rPr>
          <w:color w:val="000000"/>
        </w:rPr>
        <w:t xml:space="preserve"> </w:t>
      </w:r>
      <w:r w:rsidR="005A12BE">
        <w:tab/>
        <w:t>II.</w:t>
      </w:r>
      <w:r w:rsidRPr="00834CCA">
        <w:tab/>
        <w:t>Draft decision: Development of a second work programme</w:t>
      </w:r>
    </w:p>
    <w:p w14:paraId="3F13C4D4" w14:textId="77777777" w:rsidR="00834CCA" w:rsidRPr="00834CCA" w:rsidRDefault="00834CCA" w:rsidP="00147016">
      <w:pPr>
        <w:pStyle w:val="Normalnumber"/>
        <w:tabs>
          <w:tab w:val="clear" w:pos="1247"/>
          <w:tab w:val="clear" w:pos="1871"/>
          <w:tab w:val="clear" w:pos="2495"/>
        </w:tabs>
        <w:ind w:left="1247" w:firstLine="0"/>
        <w:rPr>
          <w:color w:val="000000"/>
        </w:rPr>
      </w:pPr>
      <w:r w:rsidRPr="00834CCA">
        <w:rPr>
          <w:color w:val="000000"/>
        </w:rPr>
        <w:t xml:space="preserve">The Plenary may wish to consider the following section of the draft decision on the review of IPBES and </w:t>
      </w:r>
      <w:r w:rsidRPr="00147016">
        <w:t>development</w:t>
      </w:r>
      <w:r w:rsidRPr="00834CCA">
        <w:rPr>
          <w:color w:val="000000"/>
        </w:rPr>
        <w:t xml:space="preserve"> of a second work programme under item 11 of the provisional agenda, </w:t>
      </w:r>
      <w:r w:rsidRPr="00834CCA">
        <w:t>development of a second work programme</w:t>
      </w:r>
      <w:r w:rsidRPr="00834CCA">
        <w:rPr>
          <w:color w:val="000000"/>
        </w:rPr>
        <w:t xml:space="preserve">: </w:t>
      </w:r>
    </w:p>
    <w:p w14:paraId="743B0B4A" w14:textId="763A88E8" w:rsidR="00834CCA" w:rsidRPr="00834CCA" w:rsidRDefault="00834CCA" w:rsidP="00054050">
      <w:pPr>
        <w:pStyle w:val="Normal-pool"/>
        <w:spacing w:after="120"/>
        <w:ind w:left="1871" w:firstLine="624"/>
      </w:pPr>
      <w:bookmarkStart w:id="7" w:name="_Hlk501124073"/>
      <w:r w:rsidRPr="00834CCA">
        <w:rPr>
          <w:i/>
        </w:rPr>
        <w:t>Requests</w:t>
      </w:r>
      <w:r w:rsidRPr="00834CCA">
        <w:t xml:space="preserve"> the Multidisciplinary Expert Panel and the Bureau, supported by the secretariat:</w:t>
      </w:r>
    </w:p>
    <w:p w14:paraId="182CFE43" w14:textId="11DDA62D" w:rsidR="00834CCA" w:rsidRPr="00E034B9" w:rsidRDefault="00834CCA" w:rsidP="00147016">
      <w:pPr>
        <w:pStyle w:val="Normalnumber"/>
        <w:numPr>
          <w:ilvl w:val="1"/>
          <w:numId w:val="15"/>
        </w:numPr>
        <w:tabs>
          <w:tab w:val="clear" w:pos="1247"/>
          <w:tab w:val="clear" w:pos="1871"/>
          <w:tab w:val="clear" w:pos="2495"/>
        </w:tabs>
        <w:ind w:left="1247" w:firstLine="624"/>
      </w:pPr>
      <w:r w:rsidRPr="00E034B9">
        <w:t>To revise the initial draft elements of the framework for a second work programme</w:t>
      </w:r>
      <w:r w:rsidR="0090334B" w:rsidRPr="00E034B9">
        <w:t>,</w:t>
      </w:r>
      <w:r w:rsidRPr="00E034B9">
        <w:rPr>
          <w:vertAlign w:val="superscript"/>
        </w:rPr>
        <w:footnoteReference w:id="17"/>
      </w:r>
      <w:r w:rsidRPr="00E034B9">
        <w:t xml:space="preserve"> taking into account the views expressed by the Plenary at its sixth session;</w:t>
      </w:r>
    </w:p>
    <w:p w14:paraId="112304DE" w14:textId="7F3CD9D2" w:rsidR="00834CCA" w:rsidRPr="00E034B9" w:rsidRDefault="00834CCA" w:rsidP="00147016">
      <w:pPr>
        <w:pStyle w:val="Normalnumber"/>
        <w:numPr>
          <w:ilvl w:val="1"/>
          <w:numId w:val="15"/>
        </w:numPr>
        <w:tabs>
          <w:tab w:val="clear" w:pos="1247"/>
          <w:tab w:val="clear" w:pos="1871"/>
          <w:tab w:val="clear" w:pos="2495"/>
        </w:tabs>
        <w:ind w:left="1247" w:firstLine="624"/>
      </w:pPr>
      <w:r w:rsidRPr="00E034B9">
        <w:t xml:space="preserve">To hold a series of regional consultations to seek additional input from Governments and stakeholders on the revised draft framework for a second work programme; </w:t>
      </w:r>
    </w:p>
    <w:p w14:paraId="077E78CA" w14:textId="5C7D4672" w:rsidR="00834CCA" w:rsidRPr="00E034B9" w:rsidRDefault="00834CCA" w:rsidP="00147016">
      <w:pPr>
        <w:pStyle w:val="Normalnumber"/>
        <w:numPr>
          <w:ilvl w:val="1"/>
          <w:numId w:val="15"/>
        </w:numPr>
        <w:tabs>
          <w:tab w:val="clear" w:pos="1247"/>
          <w:tab w:val="clear" w:pos="1871"/>
          <w:tab w:val="clear" w:pos="2495"/>
        </w:tabs>
        <w:ind w:left="1247" w:firstLine="624"/>
      </w:pPr>
      <w:r w:rsidRPr="00E034B9">
        <w:t>To launch a call for requests, input and suggestions, with a deadline of 30 September 2018, following the agreed procedure and guidance set out in decision IPBES-1/3 on the procedure for receiving and prioritizing requests put to the Platform and:</w:t>
      </w:r>
    </w:p>
    <w:p w14:paraId="19ECA372" w14:textId="3F9668F4" w:rsidR="00834CCA" w:rsidRPr="00E034B9" w:rsidRDefault="0090334B" w:rsidP="002E67D9">
      <w:pPr>
        <w:pStyle w:val="Normalnumber"/>
        <w:numPr>
          <w:ilvl w:val="2"/>
          <w:numId w:val="15"/>
        </w:numPr>
        <w:tabs>
          <w:tab w:val="clear" w:pos="1247"/>
          <w:tab w:val="clear" w:pos="1871"/>
          <w:tab w:val="clear" w:pos="2495"/>
        </w:tabs>
        <w:ind w:left="2977" w:hanging="482"/>
      </w:pPr>
      <w:r w:rsidRPr="00E034B9">
        <w:t>To i</w:t>
      </w:r>
      <w:r w:rsidR="00834CCA" w:rsidRPr="00E034B9">
        <w:t xml:space="preserve">nvite members to submit requests, including those conveyed by </w:t>
      </w:r>
      <w:r w:rsidRPr="00E034B9">
        <w:t xml:space="preserve">the </w:t>
      </w:r>
      <w:r w:rsidR="00834CCA" w:rsidRPr="00E034B9">
        <w:t>multilateral environmental agreements related to biodiversity and ecosystem services as determined by their respective governing bodies;</w:t>
      </w:r>
    </w:p>
    <w:p w14:paraId="2646F986" w14:textId="5FCB8015" w:rsidR="00834CCA" w:rsidRPr="00E034B9" w:rsidRDefault="0090334B" w:rsidP="002E67D9">
      <w:pPr>
        <w:pStyle w:val="Normalnumber"/>
        <w:numPr>
          <w:ilvl w:val="2"/>
          <w:numId w:val="15"/>
        </w:numPr>
        <w:tabs>
          <w:tab w:val="clear" w:pos="1247"/>
          <w:tab w:val="clear" w:pos="1871"/>
          <w:tab w:val="clear" w:pos="2495"/>
        </w:tabs>
        <w:ind w:left="2977" w:hanging="482"/>
      </w:pPr>
      <w:r w:rsidRPr="00E034B9">
        <w:t>To i</w:t>
      </w:r>
      <w:r w:rsidR="00834CCA" w:rsidRPr="00E034B9">
        <w:t xml:space="preserve">nvite United Nations bodies related to biodiversity and ecosystem services and relevant stakeholders, such as </w:t>
      </w:r>
      <w:r w:rsidR="00DD6BD6" w:rsidRPr="00E034B9">
        <w:t xml:space="preserve">other </w:t>
      </w:r>
      <w:r w:rsidR="00834CCA" w:rsidRPr="00E034B9">
        <w:t>intergovernmental organizations, international and regional scientific organizations, environment</w:t>
      </w:r>
      <w:r w:rsidRPr="002E67D9">
        <w:t>-related</w:t>
      </w:r>
      <w:r w:rsidR="00834CCA" w:rsidRPr="00E034B9">
        <w:t xml:space="preserve"> trust funds, </w:t>
      </w:r>
      <w:r w:rsidR="003B6351" w:rsidRPr="00E034B9">
        <w:t xml:space="preserve">non-governmental organizations, indigenous peoples and local communities and the private sector </w:t>
      </w:r>
      <w:r w:rsidR="00834CCA" w:rsidRPr="00E034B9">
        <w:t>to submit inputs and suggestions;</w:t>
      </w:r>
    </w:p>
    <w:p w14:paraId="0BDF4A7F" w14:textId="7374AC1F" w:rsidR="00834CCA" w:rsidRPr="00E034B9" w:rsidRDefault="0090334B" w:rsidP="002E67D9">
      <w:pPr>
        <w:pStyle w:val="Normalnumber"/>
        <w:numPr>
          <w:ilvl w:val="2"/>
          <w:numId w:val="15"/>
        </w:numPr>
        <w:tabs>
          <w:tab w:val="clear" w:pos="1247"/>
          <w:tab w:val="clear" w:pos="1871"/>
          <w:tab w:val="clear" w:pos="2495"/>
        </w:tabs>
        <w:ind w:left="2977" w:hanging="482"/>
      </w:pPr>
      <w:r w:rsidRPr="00E034B9">
        <w:t>To i</w:t>
      </w:r>
      <w:r w:rsidR="00834CCA" w:rsidRPr="00E034B9">
        <w:t>nvite experts on</w:t>
      </w:r>
      <w:r w:rsidR="002E21F6" w:rsidRPr="002E67D9">
        <w:t>,</w:t>
      </w:r>
      <w:r w:rsidR="00834CCA" w:rsidRPr="00E034B9">
        <w:t xml:space="preserve"> and holders of</w:t>
      </w:r>
      <w:r w:rsidR="002E21F6" w:rsidRPr="002E67D9">
        <w:t>,</w:t>
      </w:r>
      <w:r w:rsidR="00834CCA" w:rsidRPr="00E034B9">
        <w:t xml:space="preserve"> indigenous and local knowledge to provide </w:t>
      </w:r>
      <w:r w:rsidR="003B6351" w:rsidRPr="00E034B9">
        <w:t xml:space="preserve">their </w:t>
      </w:r>
      <w:r w:rsidR="00834CCA" w:rsidRPr="00E034B9">
        <w:t>input</w:t>
      </w:r>
      <w:r w:rsidR="003B6351" w:rsidRPr="00E034B9">
        <w:t xml:space="preserve"> and suggestions</w:t>
      </w:r>
      <w:r w:rsidR="00834CCA" w:rsidRPr="00E034B9">
        <w:t xml:space="preserve"> through the participatory mechanism of </w:t>
      </w:r>
      <w:r w:rsidRPr="00E034B9">
        <w:t>the Platform;</w:t>
      </w:r>
      <w:r w:rsidR="00834CCA" w:rsidRPr="00E034B9">
        <w:t xml:space="preserve"> </w:t>
      </w:r>
    </w:p>
    <w:p w14:paraId="1039A230" w14:textId="33505FC0" w:rsidR="00834CCA" w:rsidRPr="00834CCA" w:rsidRDefault="00834CCA" w:rsidP="00147016">
      <w:pPr>
        <w:pStyle w:val="Normalnumber"/>
        <w:numPr>
          <w:ilvl w:val="1"/>
          <w:numId w:val="15"/>
        </w:numPr>
        <w:tabs>
          <w:tab w:val="clear" w:pos="1247"/>
          <w:tab w:val="clear" w:pos="1871"/>
          <w:tab w:val="clear" w:pos="2495"/>
        </w:tabs>
        <w:ind w:left="1247" w:firstLine="624"/>
      </w:pPr>
      <w:r w:rsidRPr="00834CCA">
        <w:t>To compile the requests, inputs and suggestions submitted and prepare a report containing a prioritized list of requests, inputs and suggestions for consideration by the Plenary at its seventh session;</w:t>
      </w:r>
    </w:p>
    <w:bookmarkEnd w:id="7"/>
    <w:p w14:paraId="0E0FB9D2" w14:textId="5B5A6B80" w:rsidR="00834CCA" w:rsidRPr="00834CCA" w:rsidRDefault="00834CCA" w:rsidP="00147016">
      <w:pPr>
        <w:pStyle w:val="Normalnumber"/>
        <w:numPr>
          <w:ilvl w:val="1"/>
          <w:numId w:val="15"/>
        </w:numPr>
        <w:tabs>
          <w:tab w:val="clear" w:pos="1247"/>
          <w:tab w:val="clear" w:pos="1871"/>
          <w:tab w:val="clear" w:pos="2495"/>
        </w:tabs>
        <w:ind w:left="1247" w:firstLine="624"/>
      </w:pPr>
      <w:r w:rsidRPr="00834CCA">
        <w:t>To further revise the draft framework for a second work programme, taking into account the comments received in the context of the regional consultations, as well as the report containing the prioritized list referred to in paragraph</w:t>
      </w:r>
      <w:r w:rsidR="0090334B">
        <w:t xml:space="preserve"> 1</w:t>
      </w:r>
      <w:r w:rsidRPr="00834CCA">
        <w:t xml:space="preserve"> (</w:t>
      </w:r>
      <w:r w:rsidR="0090334B">
        <w:t>d</w:t>
      </w:r>
      <w:r w:rsidRPr="00834CCA">
        <w:t>) above;</w:t>
      </w:r>
    </w:p>
    <w:p w14:paraId="0C58717A" w14:textId="36DAF367" w:rsidR="00834CCA" w:rsidRPr="00834CCA" w:rsidRDefault="00834CCA" w:rsidP="00147016">
      <w:pPr>
        <w:pStyle w:val="Normalnumber"/>
        <w:numPr>
          <w:ilvl w:val="1"/>
          <w:numId w:val="15"/>
        </w:numPr>
        <w:tabs>
          <w:tab w:val="clear" w:pos="1247"/>
          <w:tab w:val="clear" w:pos="1871"/>
          <w:tab w:val="clear" w:pos="2495"/>
        </w:tabs>
        <w:ind w:left="1247" w:firstLine="624"/>
      </w:pPr>
      <w:r w:rsidRPr="00834CCA">
        <w:t>To send the further revised draft framework for a second work programme to Governments and stakeholders</w:t>
      </w:r>
      <w:r w:rsidR="0090334B" w:rsidRPr="0090334B">
        <w:t xml:space="preserve"> </w:t>
      </w:r>
      <w:r w:rsidR="0090334B" w:rsidRPr="00834CCA">
        <w:t>for further comment</w:t>
      </w:r>
      <w:r w:rsidRPr="00834CCA">
        <w:t>;</w:t>
      </w:r>
    </w:p>
    <w:p w14:paraId="38061409" w14:textId="59F6BC82" w:rsidR="00834CCA" w:rsidRPr="00834CCA" w:rsidRDefault="00834CCA" w:rsidP="00147016">
      <w:pPr>
        <w:pStyle w:val="Normalnumber"/>
        <w:numPr>
          <w:ilvl w:val="1"/>
          <w:numId w:val="15"/>
        </w:numPr>
        <w:tabs>
          <w:tab w:val="clear" w:pos="1247"/>
          <w:tab w:val="clear" w:pos="1871"/>
          <w:tab w:val="clear" w:pos="2495"/>
        </w:tabs>
        <w:ind w:left="1247" w:firstLine="624"/>
      </w:pPr>
      <w:r w:rsidRPr="00834CCA">
        <w:lastRenderedPageBreak/>
        <w:t>To finali</w:t>
      </w:r>
      <w:r w:rsidR="0090334B">
        <w:t>z</w:t>
      </w:r>
      <w:r w:rsidRPr="00834CCA">
        <w:t xml:space="preserve">e a draft of the second work programme, taking into account comments received during the review referred to in paragraph </w:t>
      </w:r>
      <w:r w:rsidR="0090334B">
        <w:t xml:space="preserve">1 </w:t>
      </w:r>
      <w:r w:rsidRPr="00834CCA">
        <w:t>(</w:t>
      </w:r>
      <w:r w:rsidR="0090334B">
        <w:t>f</w:t>
      </w:r>
      <w:r w:rsidRPr="00834CCA">
        <w:t xml:space="preserve">), </w:t>
      </w:r>
      <w:r w:rsidR="00FB308C">
        <w:t xml:space="preserve">for consideration </w:t>
      </w:r>
      <w:r w:rsidR="00FB308C" w:rsidRPr="00834CCA">
        <w:t>by the Plenary at its seventh session</w:t>
      </w:r>
      <w:r w:rsidR="00FB308C" w:rsidRPr="00834CCA" w:rsidDel="0090334B">
        <w:t xml:space="preserve"> </w:t>
      </w:r>
      <w:r w:rsidRPr="00834CCA">
        <w:t xml:space="preserve">together with the report containing the prioritized list referred to in paragraph </w:t>
      </w:r>
      <w:r w:rsidR="0090334B">
        <w:t xml:space="preserve">1 </w:t>
      </w:r>
      <w:r w:rsidRPr="00834CCA">
        <w:t>(</w:t>
      </w:r>
      <w:r w:rsidR="0090334B">
        <w:t>d</w:t>
      </w:r>
      <w:r w:rsidRPr="00834CCA">
        <w:t>), with a view to approving a second work programme of the Platform at th</w:t>
      </w:r>
      <w:r w:rsidR="0090334B">
        <w:t>e</w:t>
      </w:r>
      <w:r w:rsidRPr="00834CCA">
        <w:t xml:space="preserve"> session.</w:t>
      </w:r>
    </w:p>
    <w:p w14:paraId="70861CA4" w14:textId="69AAAC01" w:rsidR="00834CCA" w:rsidRPr="00834CCA" w:rsidRDefault="00054050" w:rsidP="00054050">
      <w:pPr>
        <w:pStyle w:val="CH1"/>
        <w:rPr>
          <w:sz w:val="20"/>
          <w:szCs w:val="20"/>
        </w:rPr>
      </w:pPr>
      <w:r>
        <w:tab/>
      </w:r>
      <w:r w:rsidR="00834CCA" w:rsidRPr="00834CCA">
        <w:t>I</w:t>
      </w:r>
      <w:r w:rsidR="00DD6BD6">
        <w:t>II</w:t>
      </w:r>
      <w:r w:rsidR="00834CCA" w:rsidRPr="00834CCA">
        <w:t>.</w:t>
      </w:r>
      <w:r w:rsidR="00834CCA" w:rsidRPr="00834CCA">
        <w:tab/>
        <w:t>Draft decision: Financial and budgetary arrangements</w:t>
      </w:r>
    </w:p>
    <w:p w14:paraId="6405C5FF" w14:textId="77777777" w:rsidR="00834CCA" w:rsidRPr="008F0AB6" w:rsidRDefault="00834CCA" w:rsidP="00147016">
      <w:pPr>
        <w:pStyle w:val="Normalnumber"/>
        <w:tabs>
          <w:tab w:val="clear" w:pos="1247"/>
          <w:tab w:val="clear" w:pos="1871"/>
          <w:tab w:val="clear" w:pos="2495"/>
        </w:tabs>
        <w:ind w:left="1247" w:firstLine="0"/>
      </w:pPr>
      <w:r w:rsidRPr="008F0AB6">
        <w:t xml:space="preserve">The Plenary may wish to consider the following draft decision on financial and budgetary arrangements under item 9 of the provisional agenda, financial and budgetary arrangements for the Platform: </w:t>
      </w:r>
    </w:p>
    <w:p w14:paraId="4C89C298" w14:textId="39C02289" w:rsidR="00834CCA" w:rsidRPr="00054050" w:rsidRDefault="00834CCA" w:rsidP="006A6624">
      <w:pPr>
        <w:pStyle w:val="Normal-pool"/>
        <w:keepNext/>
        <w:tabs>
          <w:tab w:val="clear" w:pos="1247"/>
          <w:tab w:val="clear" w:pos="1814"/>
          <w:tab w:val="clear" w:pos="2381"/>
          <w:tab w:val="clear" w:pos="2948"/>
          <w:tab w:val="clear" w:pos="3515"/>
          <w:tab w:val="left" w:pos="624"/>
        </w:tabs>
        <w:spacing w:after="120"/>
        <w:ind w:left="1871" w:firstLine="624"/>
        <w:rPr>
          <w:i/>
        </w:rPr>
      </w:pPr>
      <w:r w:rsidRPr="008F0AB6">
        <w:rPr>
          <w:i/>
        </w:rPr>
        <w:t>The Plenary,</w:t>
      </w:r>
      <w:r w:rsidRPr="00054050">
        <w:rPr>
          <w:i/>
        </w:rPr>
        <w:t xml:space="preserve"> </w:t>
      </w:r>
    </w:p>
    <w:p w14:paraId="5BFB1DD4" w14:textId="77777777" w:rsidR="00834CCA" w:rsidRPr="00834CCA" w:rsidRDefault="00834CCA" w:rsidP="006A6624">
      <w:pPr>
        <w:pStyle w:val="Normal-pool"/>
        <w:keepNext/>
        <w:tabs>
          <w:tab w:val="clear" w:pos="1247"/>
          <w:tab w:val="clear" w:pos="1814"/>
          <w:tab w:val="clear" w:pos="2381"/>
          <w:tab w:val="clear" w:pos="2948"/>
          <w:tab w:val="clear" w:pos="3515"/>
          <w:tab w:val="clear" w:pos="4082"/>
          <w:tab w:val="left" w:pos="624"/>
        </w:tabs>
        <w:spacing w:after="120"/>
        <w:ind w:left="1871" w:firstLine="624"/>
      </w:pPr>
      <w:r w:rsidRPr="00054050">
        <w:rPr>
          <w:i/>
        </w:rPr>
        <w:t>Welcoming</w:t>
      </w:r>
      <w:r w:rsidRPr="00834CCA">
        <w:t xml:space="preserve"> the cash and in-kind contributions received since the fifth session of the Plenary of the Intergovernmental Science-Policy Platform on Biodiversity and Ecosystem Services, </w:t>
      </w:r>
    </w:p>
    <w:p w14:paraId="4BB43B56" w14:textId="2A8DF443" w:rsidR="00834CCA" w:rsidRPr="00834CCA"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pPr>
      <w:r w:rsidRPr="00054050">
        <w:rPr>
          <w:i/>
        </w:rPr>
        <w:t>Taking note</w:t>
      </w:r>
      <w:r w:rsidRPr="00834CCA">
        <w:t xml:space="preserve"> of the status of cash and in-kind contributions received to date,</w:t>
      </w:r>
      <w:r w:rsidRPr="00834CCA">
        <w:rPr>
          <w:szCs w:val="18"/>
          <w:vertAlign w:val="superscript"/>
        </w:rPr>
        <w:footnoteReference w:id="18"/>
      </w:r>
      <w:r w:rsidRPr="00834CCA">
        <w:t xml:space="preserve"> as listed in tables 1, 2 and 3 </w:t>
      </w:r>
      <w:r w:rsidR="00D56BC7">
        <w:t xml:space="preserve">set out in </w:t>
      </w:r>
      <w:r w:rsidRPr="00834CCA">
        <w:t xml:space="preserve">the annex to the present decision, </w:t>
      </w:r>
    </w:p>
    <w:p w14:paraId="5C552C9B" w14:textId="77777777" w:rsidR="00834CCA" w:rsidRPr="00834CCA"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pPr>
      <w:r w:rsidRPr="00054050">
        <w:rPr>
          <w:i/>
        </w:rPr>
        <w:t xml:space="preserve">Taking </w:t>
      </w:r>
      <w:r w:rsidRPr="008F0AB6">
        <w:rPr>
          <w:i/>
        </w:rPr>
        <w:t>note</w:t>
      </w:r>
      <w:r w:rsidRPr="002E67D9">
        <w:rPr>
          <w:i/>
        </w:rPr>
        <w:t xml:space="preserve"> also</w:t>
      </w:r>
      <w:r w:rsidRPr="00834CCA">
        <w:t xml:space="preserve"> of the pledges made for the period beyond 2017, </w:t>
      </w:r>
    </w:p>
    <w:p w14:paraId="4A9D1265" w14:textId="0C052976" w:rsidR="00834CCA" w:rsidRPr="00834CCA"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pPr>
      <w:r w:rsidRPr="00054050">
        <w:rPr>
          <w:i/>
        </w:rPr>
        <w:t xml:space="preserve">Taking </w:t>
      </w:r>
      <w:r w:rsidRPr="002E67D9">
        <w:rPr>
          <w:i/>
        </w:rPr>
        <w:t>note</w:t>
      </w:r>
      <w:r w:rsidR="00D56BC7" w:rsidRPr="002E67D9">
        <w:rPr>
          <w:i/>
        </w:rPr>
        <w:t xml:space="preserve"> further</w:t>
      </w:r>
      <w:r w:rsidRPr="00834CCA">
        <w:t xml:space="preserve"> of the status of expenditures in the biennium 2016–2017,</w:t>
      </w:r>
      <w:r w:rsidRPr="00834CCA">
        <w:rPr>
          <w:szCs w:val="18"/>
          <w:vertAlign w:val="superscript"/>
        </w:rPr>
        <w:footnoteReference w:id="19"/>
      </w:r>
      <w:r w:rsidRPr="00834CCA">
        <w:t xml:space="preserve"> as listed in tables 5 and 6 </w:t>
      </w:r>
      <w:r w:rsidR="00D56BC7">
        <w:t>set out in the annex to</w:t>
      </w:r>
      <w:r w:rsidR="00D56BC7" w:rsidRPr="00834CCA">
        <w:t xml:space="preserve"> </w:t>
      </w:r>
      <w:r w:rsidRPr="00834CCA">
        <w:t xml:space="preserve">the present decision, as well as the level of savings achieved during the biennium, </w:t>
      </w:r>
    </w:p>
    <w:p w14:paraId="16ACB16F" w14:textId="4EE340B5" w:rsidR="00834CCA" w:rsidRPr="00834CCA"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pPr>
      <w:r w:rsidRPr="00834CCA">
        <w:t>1.</w:t>
      </w:r>
      <w:r w:rsidRPr="00834CCA">
        <w:tab/>
      </w:r>
      <w:r w:rsidRPr="00834CCA">
        <w:rPr>
          <w:i/>
          <w:iCs/>
        </w:rPr>
        <w:t xml:space="preserve">Invites </w:t>
      </w:r>
      <w:r w:rsidRPr="00834CCA">
        <w:t>pledges and contributions to the trust fund of the Platform, as well as in</w:t>
      </w:r>
      <w:r w:rsidR="00D56BC7">
        <w:noBreakHyphen/>
      </w:r>
      <w:r w:rsidRPr="00834CCA">
        <w:t xml:space="preserve">kind contributions, from Governments, United Nations bodies, the Global Environment Facility, other intergovernmental organizations, stakeholders and others in a position to </w:t>
      </w:r>
      <w:r w:rsidR="00D56BC7">
        <w:t>do so,</w:t>
      </w:r>
      <w:r w:rsidR="00D56BC7" w:rsidRPr="00D56BC7">
        <w:t xml:space="preserve"> </w:t>
      </w:r>
      <w:r w:rsidR="00D56BC7" w:rsidRPr="00834CCA">
        <w:t>including regional economic integration organizations, the private sector and foundations</w:t>
      </w:r>
      <w:r w:rsidR="00D56BC7">
        <w:t xml:space="preserve">, </w:t>
      </w:r>
      <w:r w:rsidRPr="00834CCA">
        <w:t xml:space="preserve">to support the work of the Platform; </w:t>
      </w:r>
    </w:p>
    <w:p w14:paraId="7A1FA26C" w14:textId="7F362E20" w:rsidR="00834CCA" w:rsidRPr="00834CCA"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color w:val="000000"/>
        </w:rPr>
        <w:tab/>
        <w:t>2.</w:t>
      </w:r>
      <w:r w:rsidRPr="00834CCA">
        <w:rPr>
          <w:color w:val="000000"/>
        </w:rPr>
        <w:tab/>
      </w:r>
      <w:r w:rsidRPr="00834CCA">
        <w:rPr>
          <w:i/>
          <w:iCs/>
          <w:color w:val="000000"/>
        </w:rPr>
        <w:t xml:space="preserve">Requests </w:t>
      </w:r>
      <w:r w:rsidRPr="00834CCA">
        <w:rPr>
          <w:color w:val="000000"/>
        </w:rPr>
        <w:t xml:space="preserve">the Executive Secretary, under the guidance of the Bureau, to report to the Plenary at its seventh session on expenditures for the biennium 2017–2018; </w:t>
      </w:r>
    </w:p>
    <w:p w14:paraId="2AA704CB" w14:textId="38AF4326" w:rsidR="00834CCA" w:rsidRPr="00E034B9"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834CCA">
        <w:rPr>
          <w:color w:val="000000"/>
        </w:rPr>
        <w:tab/>
        <w:t>3.</w:t>
      </w:r>
      <w:r w:rsidRPr="00834CCA">
        <w:rPr>
          <w:color w:val="000000"/>
        </w:rPr>
        <w:tab/>
      </w:r>
      <w:r w:rsidRPr="00834CCA">
        <w:rPr>
          <w:i/>
          <w:iCs/>
          <w:color w:val="000000"/>
        </w:rPr>
        <w:t xml:space="preserve">Adopts </w:t>
      </w:r>
      <w:r w:rsidRPr="00834CCA">
        <w:rPr>
          <w:color w:val="000000"/>
        </w:rPr>
        <w:t>the revised budget for 2018,</w:t>
      </w:r>
      <w:r w:rsidRPr="00834CCA">
        <w:rPr>
          <w:szCs w:val="18"/>
          <w:vertAlign w:val="superscript"/>
        </w:rPr>
        <w:footnoteReference w:id="20"/>
      </w:r>
      <w:r w:rsidRPr="00834CCA">
        <w:rPr>
          <w:color w:val="000000"/>
        </w:rPr>
        <w:t xml:space="preserve"> amounting to $[   ], </w:t>
      </w:r>
      <w:r w:rsidR="00D56BC7">
        <w:rPr>
          <w:color w:val="000000"/>
        </w:rPr>
        <w:t xml:space="preserve">as </w:t>
      </w:r>
      <w:r w:rsidRPr="00834CCA">
        <w:rPr>
          <w:color w:val="000000"/>
        </w:rPr>
        <w:t xml:space="preserve">set out in table 7 of the annex to the </w:t>
      </w:r>
      <w:r w:rsidRPr="00E034B9">
        <w:rPr>
          <w:color w:val="000000"/>
        </w:rPr>
        <w:t xml:space="preserve">present decision; </w:t>
      </w:r>
    </w:p>
    <w:p w14:paraId="646FA773" w14:textId="5C9481AD" w:rsidR="00834CCA" w:rsidRPr="00834CCA" w:rsidRDefault="00834CCA" w:rsidP="00054050">
      <w:pPr>
        <w:pStyle w:val="Normal-pool"/>
        <w:tabs>
          <w:tab w:val="clear" w:pos="1247"/>
          <w:tab w:val="clear" w:pos="1814"/>
          <w:tab w:val="clear" w:pos="2381"/>
          <w:tab w:val="clear" w:pos="2948"/>
          <w:tab w:val="clear" w:pos="3515"/>
          <w:tab w:val="clear" w:pos="4082"/>
          <w:tab w:val="left" w:pos="624"/>
        </w:tabs>
        <w:spacing w:after="120"/>
        <w:ind w:left="1871" w:firstLine="624"/>
        <w:rPr>
          <w:color w:val="000000"/>
        </w:rPr>
      </w:pPr>
      <w:r w:rsidRPr="00E034B9">
        <w:rPr>
          <w:color w:val="000000"/>
        </w:rPr>
        <w:tab/>
        <w:t>4.</w:t>
      </w:r>
      <w:r w:rsidRPr="00E034B9">
        <w:rPr>
          <w:color w:val="000000"/>
        </w:rPr>
        <w:tab/>
      </w:r>
      <w:r w:rsidRPr="00E034B9">
        <w:rPr>
          <w:i/>
          <w:iCs/>
          <w:color w:val="000000"/>
        </w:rPr>
        <w:t>A</w:t>
      </w:r>
      <w:r w:rsidR="00D56BC7" w:rsidRPr="00E034B9">
        <w:rPr>
          <w:i/>
          <w:iCs/>
          <w:color w:val="000000"/>
        </w:rPr>
        <w:t>lso a</w:t>
      </w:r>
      <w:r w:rsidRPr="00E034B9">
        <w:rPr>
          <w:i/>
          <w:iCs/>
          <w:color w:val="000000"/>
        </w:rPr>
        <w:t xml:space="preserve">dopts </w:t>
      </w:r>
      <w:r w:rsidRPr="00E034B9">
        <w:rPr>
          <w:color w:val="000000"/>
        </w:rPr>
        <w:t xml:space="preserve">the </w:t>
      </w:r>
      <w:r w:rsidR="003B6351" w:rsidRPr="00E034B9">
        <w:rPr>
          <w:color w:val="000000"/>
        </w:rPr>
        <w:t xml:space="preserve">further </w:t>
      </w:r>
      <w:r w:rsidRPr="00E034B9">
        <w:rPr>
          <w:color w:val="000000"/>
        </w:rPr>
        <w:t>revised provisional budget for 2019,</w:t>
      </w:r>
      <w:r w:rsidRPr="00E034B9">
        <w:rPr>
          <w:szCs w:val="18"/>
          <w:vertAlign w:val="superscript"/>
        </w:rPr>
        <w:footnoteReference w:id="21"/>
      </w:r>
      <w:r w:rsidRPr="00E034B9">
        <w:rPr>
          <w:color w:val="000000"/>
        </w:rPr>
        <w:t xml:space="preserve"> amounting to $[   ], </w:t>
      </w:r>
      <w:r w:rsidR="00AF57BE" w:rsidRPr="00E034B9">
        <w:rPr>
          <w:color w:val="000000"/>
        </w:rPr>
        <w:t xml:space="preserve">as </w:t>
      </w:r>
      <w:r w:rsidRPr="00E034B9">
        <w:rPr>
          <w:color w:val="000000"/>
        </w:rPr>
        <w:t>set out in table 8 of the annex to the present</w:t>
      </w:r>
      <w:r w:rsidRPr="00834CCA">
        <w:rPr>
          <w:color w:val="000000"/>
        </w:rPr>
        <w:t xml:space="preserve"> decision, noting that it will require further revision prior to its</w:t>
      </w:r>
      <w:r w:rsidR="00AF57BE">
        <w:rPr>
          <w:color w:val="000000"/>
        </w:rPr>
        <w:t xml:space="preserve"> possible</w:t>
      </w:r>
      <w:r w:rsidRPr="00834CCA">
        <w:rPr>
          <w:color w:val="000000"/>
        </w:rPr>
        <w:t xml:space="preserve"> adoption at the seventh session</w:t>
      </w:r>
      <w:r w:rsidR="00AF57BE">
        <w:rPr>
          <w:color w:val="000000"/>
        </w:rPr>
        <w:t xml:space="preserve"> of the Plenary</w:t>
      </w:r>
      <w:r w:rsidRPr="00834CCA">
        <w:rPr>
          <w:color w:val="000000"/>
        </w:rPr>
        <w:t xml:space="preserve"> in the context of the adoption of the second work programme. </w:t>
      </w:r>
    </w:p>
    <w:p w14:paraId="2A77E076" w14:textId="19DE8AF1" w:rsidR="00834CCA" w:rsidRPr="00834CCA" w:rsidRDefault="00834CCA" w:rsidP="00054050">
      <w:pPr>
        <w:pStyle w:val="CH1"/>
      </w:pPr>
      <w:r w:rsidRPr="00834CCA">
        <w:tab/>
      </w:r>
      <w:r w:rsidR="00DD6BD6">
        <w:t>I</w:t>
      </w:r>
      <w:r w:rsidRPr="00834CCA">
        <w:t>V.</w:t>
      </w:r>
      <w:r w:rsidRPr="00834CCA">
        <w:tab/>
        <w:t xml:space="preserve">Draft decision: Provisional agenda, date and venue of the seventh session of the Plenary </w:t>
      </w:r>
    </w:p>
    <w:p w14:paraId="53EAE81B" w14:textId="5F479510" w:rsidR="00834CCA" w:rsidRPr="00834CCA" w:rsidRDefault="00834CCA" w:rsidP="00147016">
      <w:pPr>
        <w:pStyle w:val="Normalnumber"/>
        <w:tabs>
          <w:tab w:val="clear" w:pos="1247"/>
          <w:tab w:val="clear" w:pos="1871"/>
          <w:tab w:val="clear" w:pos="2495"/>
        </w:tabs>
        <w:ind w:left="1247" w:firstLine="0"/>
        <w:rPr>
          <w:color w:val="000000"/>
        </w:rPr>
      </w:pPr>
      <w:r w:rsidRPr="00834CCA">
        <w:rPr>
          <w:color w:val="000000"/>
        </w:rPr>
        <w:t xml:space="preserve">The </w:t>
      </w:r>
      <w:r w:rsidRPr="00147016">
        <w:t>Plenary</w:t>
      </w:r>
      <w:r w:rsidRPr="00834CCA">
        <w:rPr>
          <w:color w:val="000000"/>
        </w:rPr>
        <w:t xml:space="preserve"> may wish to consider the following draft decision under item 12, date</w:t>
      </w:r>
      <w:r w:rsidR="00AF57BE">
        <w:rPr>
          <w:color w:val="000000"/>
        </w:rPr>
        <w:t>s</w:t>
      </w:r>
      <w:r w:rsidRPr="00834CCA">
        <w:rPr>
          <w:color w:val="000000"/>
        </w:rPr>
        <w:t xml:space="preserve"> and venue</w:t>
      </w:r>
      <w:r w:rsidR="00AF57BE">
        <w:rPr>
          <w:color w:val="000000"/>
        </w:rPr>
        <w:t>s</w:t>
      </w:r>
      <w:r w:rsidRPr="00834CCA">
        <w:rPr>
          <w:color w:val="000000"/>
        </w:rPr>
        <w:t xml:space="preserve"> of future sessions of the Plenary: </w:t>
      </w:r>
    </w:p>
    <w:p w14:paraId="75D73A75" w14:textId="77777777" w:rsidR="00834CCA" w:rsidRPr="00834CCA" w:rsidRDefault="00834CCA" w:rsidP="006A6624">
      <w:pPr>
        <w:pStyle w:val="Normal-pool"/>
        <w:tabs>
          <w:tab w:val="clear" w:pos="1247"/>
          <w:tab w:val="clear" w:pos="1814"/>
          <w:tab w:val="clear" w:pos="2381"/>
          <w:tab w:val="clear" w:pos="2948"/>
          <w:tab w:val="clear" w:pos="3515"/>
          <w:tab w:val="left" w:pos="624"/>
        </w:tabs>
        <w:spacing w:after="100"/>
        <w:ind w:left="1871" w:firstLine="624"/>
        <w:rPr>
          <w:i/>
        </w:rPr>
      </w:pPr>
      <w:r w:rsidRPr="00834CCA">
        <w:rPr>
          <w:i/>
        </w:rPr>
        <w:t xml:space="preserve">The Plenary, </w:t>
      </w:r>
    </w:p>
    <w:p w14:paraId="5CEA94DC" w14:textId="483FB405" w:rsidR="00834CCA" w:rsidRPr="00834CCA" w:rsidRDefault="00834CCA" w:rsidP="006A6624">
      <w:pPr>
        <w:pStyle w:val="Normal-pool"/>
        <w:tabs>
          <w:tab w:val="clear" w:pos="1247"/>
          <w:tab w:val="clear" w:pos="1814"/>
          <w:tab w:val="clear" w:pos="2381"/>
          <w:tab w:val="clear" w:pos="2948"/>
          <w:tab w:val="clear" w:pos="3515"/>
          <w:tab w:val="clear" w:pos="4082"/>
          <w:tab w:val="left" w:pos="624"/>
        </w:tabs>
        <w:spacing w:after="100"/>
        <w:ind w:left="1871" w:firstLine="624"/>
      </w:pPr>
      <w:r w:rsidRPr="00834CCA">
        <w:rPr>
          <w:color w:val="000000"/>
        </w:rPr>
        <w:tab/>
        <w:t>1.</w:t>
      </w:r>
      <w:r w:rsidRPr="00834CCA">
        <w:rPr>
          <w:color w:val="000000"/>
        </w:rPr>
        <w:tab/>
      </w:r>
      <w:r w:rsidRPr="00834CCA">
        <w:rPr>
          <w:i/>
          <w:iCs/>
          <w:color w:val="000000"/>
        </w:rPr>
        <w:t xml:space="preserve">Decides </w:t>
      </w:r>
      <w:r w:rsidRPr="00834CCA">
        <w:rPr>
          <w:color w:val="000000"/>
        </w:rPr>
        <w:t>t</w:t>
      </w:r>
      <w:r w:rsidRPr="00834CCA">
        <w:t>o accept with appreciation the offer by the Government of [x]</w:t>
      </w:r>
      <w:r w:rsidRPr="00834CCA">
        <w:rPr>
          <w:rFonts w:eastAsia="MS Mincho"/>
          <w:vertAlign w:val="superscript"/>
        </w:rPr>
        <w:footnoteReference w:id="22"/>
      </w:r>
      <w:r w:rsidRPr="00834CCA">
        <w:t xml:space="preserve"> to host the seventh session of the </w:t>
      </w:r>
      <w:r w:rsidRPr="00E034B9">
        <w:t>Plenary in [</w:t>
      </w:r>
      <w:r w:rsidR="003B6351" w:rsidRPr="00E034B9">
        <w:t>y</w:t>
      </w:r>
      <w:r w:rsidRPr="00E034B9">
        <w:t>], subject to the successful conclusion of a host country agreement;</w:t>
      </w:r>
    </w:p>
    <w:p w14:paraId="2E5DAD97" w14:textId="4EEA0C6A" w:rsidR="00834CCA" w:rsidRPr="00834CCA" w:rsidRDefault="00834CCA" w:rsidP="006A6624">
      <w:pPr>
        <w:pStyle w:val="Normal-pool"/>
        <w:tabs>
          <w:tab w:val="clear" w:pos="1247"/>
          <w:tab w:val="clear" w:pos="1814"/>
          <w:tab w:val="clear" w:pos="2381"/>
          <w:tab w:val="clear" w:pos="2948"/>
          <w:tab w:val="clear" w:pos="3515"/>
          <w:tab w:val="clear" w:pos="4082"/>
          <w:tab w:val="left" w:pos="624"/>
        </w:tabs>
        <w:spacing w:after="100"/>
        <w:ind w:left="1871" w:firstLine="624"/>
        <w:rPr>
          <w:color w:val="000000"/>
        </w:rPr>
      </w:pPr>
      <w:r w:rsidRPr="00834CCA">
        <w:rPr>
          <w:color w:val="000000"/>
        </w:rPr>
        <w:tab/>
        <w:t>2.</w:t>
      </w:r>
      <w:r w:rsidRPr="00834CCA">
        <w:rPr>
          <w:color w:val="000000"/>
        </w:rPr>
        <w:tab/>
      </w:r>
      <w:r w:rsidRPr="00834CCA">
        <w:rPr>
          <w:i/>
          <w:color w:val="000000"/>
        </w:rPr>
        <w:t>Requests</w:t>
      </w:r>
      <w:r w:rsidRPr="00834CCA">
        <w:rPr>
          <w:color w:val="000000"/>
        </w:rPr>
        <w:t xml:space="preserve"> the Executive Secretary to hold consultations with the Government of [x]</w:t>
      </w:r>
      <w:r w:rsidR="00AF57BE">
        <w:rPr>
          <w:color w:val="000000"/>
        </w:rPr>
        <w:t>,</w:t>
      </w:r>
      <w:r w:rsidRPr="00834CCA">
        <w:rPr>
          <w:color w:val="000000"/>
        </w:rPr>
        <w:t xml:space="preserve"> to negotiate a host country agreement</w:t>
      </w:r>
      <w:r w:rsidR="00AF57BE">
        <w:rPr>
          <w:color w:val="000000"/>
        </w:rPr>
        <w:t>,</w:t>
      </w:r>
      <w:r w:rsidRPr="00834CCA">
        <w:rPr>
          <w:color w:val="000000"/>
        </w:rPr>
        <w:t xml:space="preserve"> in conformity with General Assembly resolution 40/243 and in compliance with the provisions of United Nations administrative instruction ST/AI/342, with a view to concluding and signing the host country agreement as soon as </w:t>
      </w:r>
      <w:r w:rsidRPr="00834CCA">
        <w:rPr>
          <w:color w:val="000000"/>
        </w:rPr>
        <w:lastRenderedPageBreak/>
        <w:t>possible, to organize the seventh session of the Plenary in close collaboration with the host country and to invite the members and observers of the Platform to participate in the session;</w:t>
      </w:r>
    </w:p>
    <w:p w14:paraId="5AD94262" w14:textId="6403AC9A" w:rsidR="00834CCA" w:rsidRPr="00E034B9" w:rsidRDefault="00834CCA" w:rsidP="006A6624">
      <w:pPr>
        <w:pStyle w:val="Normal-pool"/>
        <w:tabs>
          <w:tab w:val="clear" w:pos="1247"/>
          <w:tab w:val="clear" w:pos="1814"/>
          <w:tab w:val="clear" w:pos="2381"/>
          <w:tab w:val="clear" w:pos="2948"/>
          <w:tab w:val="clear" w:pos="3515"/>
          <w:tab w:val="clear" w:pos="4082"/>
          <w:tab w:val="left" w:pos="624"/>
        </w:tabs>
        <w:spacing w:after="100"/>
        <w:ind w:left="1871" w:firstLine="624"/>
      </w:pPr>
      <w:r w:rsidRPr="00834CCA">
        <w:rPr>
          <w:color w:val="000000"/>
        </w:rPr>
        <w:tab/>
        <w:t>3.</w:t>
      </w:r>
      <w:r w:rsidRPr="00834CCA">
        <w:rPr>
          <w:color w:val="000000"/>
        </w:rPr>
        <w:tab/>
      </w:r>
      <w:r w:rsidRPr="00834CCA">
        <w:rPr>
          <w:i/>
        </w:rPr>
        <w:t>Invites</w:t>
      </w:r>
      <w:r w:rsidRPr="00834CCA">
        <w:t xml:space="preserve"> members </w:t>
      </w:r>
      <w:r w:rsidRPr="00E034B9">
        <w:t>in a position to do so to consider hosting the eighth session of the Plenary, which is scheduled to take place in 2020;</w:t>
      </w:r>
    </w:p>
    <w:p w14:paraId="58B82349" w14:textId="31DD0E33" w:rsidR="003B6351" w:rsidRPr="002E67D9" w:rsidRDefault="003B6351" w:rsidP="002E67D9">
      <w:pPr>
        <w:pStyle w:val="Normal-pool"/>
        <w:tabs>
          <w:tab w:val="clear" w:pos="1247"/>
          <w:tab w:val="clear" w:pos="1814"/>
          <w:tab w:val="clear" w:pos="2381"/>
          <w:tab w:val="clear" w:pos="2948"/>
          <w:tab w:val="clear" w:pos="3515"/>
          <w:tab w:val="clear" w:pos="4082"/>
          <w:tab w:val="left" w:pos="624"/>
        </w:tabs>
        <w:spacing w:after="100"/>
        <w:ind w:left="1871" w:firstLine="624"/>
        <w:rPr>
          <w:color w:val="000000"/>
        </w:rPr>
      </w:pPr>
      <w:r w:rsidRPr="00E034B9">
        <w:rPr>
          <w:color w:val="000000"/>
        </w:rPr>
        <w:t>4.</w:t>
      </w:r>
      <w:r w:rsidRPr="00E034B9">
        <w:rPr>
          <w:color w:val="000000"/>
        </w:rPr>
        <w:tab/>
      </w:r>
      <w:r w:rsidRPr="002E67D9">
        <w:rPr>
          <w:i/>
          <w:color w:val="000000"/>
        </w:rPr>
        <w:t>Also requests</w:t>
      </w:r>
      <w:r w:rsidRPr="002E67D9">
        <w:rPr>
          <w:color w:val="000000"/>
        </w:rPr>
        <w:t xml:space="preserve"> the Executive Secretary, under the guidance of the Bureau, to consult members of the Platform that may, during the period leading up to the seventh session of the Plenary, offer to host the eighth session of the Plenary;</w:t>
      </w:r>
    </w:p>
    <w:p w14:paraId="7C018102" w14:textId="70593A3D" w:rsidR="003B6351" w:rsidRPr="00E034B9" w:rsidRDefault="003B6351" w:rsidP="003B6351">
      <w:pPr>
        <w:pStyle w:val="Normal-pool"/>
        <w:tabs>
          <w:tab w:val="clear" w:pos="1247"/>
          <w:tab w:val="clear" w:pos="1814"/>
          <w:tab w:val="clear" w:pos="2381"/>
          <w:tab w:val="clear" w:pos="2948"/>
          <w:tab w:val="clear" w:pos="3515"/>
          <w:tab w:val="clear" w:pos="4082"/>
          <w:tab w:val="left" w:pos="624"/>
        </w:tabs>
        <w:spacing w:after="100"/>
        <w:ind w:left="1871" w:firstLine="624"/>
        <w:rPr>
          <w:color w:val="000000"/>
        </w:rPr>
      </w:pPr>
      <w:r w:rsidRPr="00E034B9">
        <w:rPr>
          <w:color w:val="000000"/>
        </w:rPr>
        <w:t>5.</w:t>
      </w:r>
      <w:r w:rsidRPr="00E034B9">
        <w:rPr>
          <w:color w:val="000000"/>
        </w:rPr>
        <w:tab/>
      </w:r>
      <w:r w:rsidRPr="002E67D9">
        <w:rPr>
          <w:i/>
          <w:color w:val="000000"/>
        </w:rPr>
        <w:t>Further requests</w:t>
      </w:r>
      <w:r w:rsidRPr="002E67D9">
        <w:rPr>
          <w:color w:val="000000"/>
        </w:rPr>
        <w:t xml:space="preserve"> the Executive Secretary to report to the Plenary at its seventh session on progress in the consultati</w:t>
      </w:r>
      <w:r w:rsidRPr="00E034B9">
        <w:rPr>
          <w:color w:val="000000"/>
        </w:rPr>
        <w:t>ons referred to in paragraph 4</w:t>
      </w:r>
      <w:r w:rsidRPr="002E67D9">
        <w:rPr>
          <w:color w:val="000000"/>
        </w:rPr>
        <w:t xml:space="preserve"> above, with a view to the </w:t>
      </w:r>
      <w:r w:rsidR="00E034B9">
        <w:rPr>
          <w:color w:val="000000"/>
        </w:rPr>
        <w:t xml:space="preserve">adoption by the </w:t>
      </w:r>
      <w:r w:rsidRPr="002E67D9">
        <w:rPr>
          <w:color w:val="000000"/>
        </w:rPr>
        <w:t xml:space="preserve">Plenary </w:t>
      </w:r>
      <w:r w:rsidR="00E034B9" w:rsidRPr="00D07574">
        <w:rPr>
          <w:color w:val="000000"/>
        </w:rPr>
        <w:t xml:space="preserve">at that session </w:t>
      </w:r>
      <w:r w:rsidR="00E034B9">
        <w:rPr>
          <w:color w:val="000000"/>
        </w:rPr>
        <w:t>of a</w:t>
      </w:r>
      <w:r w:rsidRPr="002E67D9">
        <w:rPr>
          <w:color w:val="000000"/>
        </w:rPr>
        <w:t xml:space="preserve"> decision on the date and venue of its eighth session;</w:t>
      </w:r>
    </w:p>
    <w:p w14:paraId="5BD4A335" w14:textId="2A1C27D4" w:rsidR="00834CCA" w:rsidRDefault="00834CCA" w:rsidP="006A6624">
      <w:pPr>
        <w:pStyle w:val="Normal-pool"/>
        <w:tabs>
          <w:tab w:val="clear" w:pos="1247"/>
          <w:tab w:val="clear" w:pos="1814"/>
          <w:tab w:val="clear" w:pos="2381"/>
          <w:tab w:val="clear" w:pos="2948"/>
          <w:tab w:val="clear" w:pos="3515"/>
          <w:tab w:val="clear" w:pos="4082"/>
          <w:tab w:val="left" w:pos="624"/>
        </w:tabs>
        <w:spacing w:after="100"/>
        <w:ind w:left="1871" w:firstLine="624"/>
        <w:rPr>
          <w:color w:val="000000"/>
        </w:rPr>
      </w:pPr>
      <w:r w:rsidRPr="00E034B9">
        <w:rPr>
          <w:color w:val="000000"/>
        </w:rPr>
        <w:tab/>
      </w:r>
      <w:r w:rsidR="003B6351" w:rsidRPr="00E034B9">
        <w:rPr>
          <w:color w:val="000000"/>
        </w:rPr>
        <w:t>6</w:t>
      </w:r>
      <w:r w:rsidRPr="00E034B9">
        <w:rPr>
          <w:color w:val="000000"/>
        </w:rPr>
        <w:t>.</w:t>
      </w:r>
      <w:r w:rsidRPr="00E034B9">
        <w:rPr>
          <w:color w:val="000000"/>
        </w:rPr>
        <w:tab/>
      </w:r>
      <w:r w:rsidRPr="00E034B9">
        <w:rPr>
          <w:i/>
          <w:color w:val="000000"/>
        </w:rPr>
        <w:t>Takes note</w:t>
      </w:r>
      <w:r w:rsidRPr="00E034B9">
        <w:rPr>
          <w:color w:val="000000"/>
        </w:rPr>
        <w:t xml:space="preserve"> of the draft preliminary agenda for the seventh session of the Plenary</w:t>
      </w:r>
      <w:r w:rsidRPr="00E034B9">
        <w:rPr>
          <w:szCs w:val="18"/>
          <w:vertAlign w:val="superscript"/>
        </w:rPr>
        <w:footnoteReference w:id="23"/>
      </w:r>
      <w:r w:rsidRPr="00E034B9">
        <w:rPr>
          <w:color w:val="000000"/>
        </w:rPr>
        <w:t xml:space="preserve"> set out in the annex to the present decision and requests the Executive Secretary to finalize the proposed organization of work for the</w:t>
      </w:r>
      <w:r w:rsidRPr="00834CCA">
        <w:rPr>
          <w:color w:val="000000"/>
        </w:rPr>
        <w:t xml:space="preserve"> session in line with comments received at the sixth session of the Plenary.</w:t>
      </w:r>
    </w:p>
    <w:p w14:paraId="788B58D7" w14:textId="77777777" w:rsidR="00F0653C" w:rsidRPr="002E67D9" w:rsidRDefault="00F0653C" w:rsidP="002E67D9">
      <w:pPr>
        <w:pStyle w:val="Normal-po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9"/>
        <w:gridCol w:w="1899"/>
        <w:gridCol w:w="1899"/>
        <w:gridCol w:w="1900"/>
      </w:tblGrid>
      <w:tr w:rsidR="00834CCA" w:rsidRPr="002E67D9" w14:paraId="7E72EFC4" w14:textId="77777777" w:rsidTr="00F22055">
        <w:tc>
          <w:tcPr>
            <w:tcW w:w="2009" w:type="dxa"/>
          </w:tcPr>
          <w:p w14:paraId="078620E4" w14:textId="77777777" w:rsidR="00834CCA" w:rsidRPr="002E67D9" w:rsidRDefault="00834CCA" w:rsidP="00147016">
            <w:pPr>
              <w:tabs>
                <w:tab w:val="left" w:pos="720"/>
                <w:tab w:val="left" w:pos="1247"/>
                <w:tab w:val="left" w:pos="1814"/>
                <w:tab w:val="left" w:pos="2381"/>
                <w:tab w:val="left" w:pos="2948"/>
                <w:tab w:val="left" w:pos="3515"/>
              </w:tabs>
              <w:spacing w:before="520" w:after="0" w:line="240" w:lineRule="auto"/>
              <w:rPr>
                <w:rFonts w:ascii="Times New Roman" w:eastAsia="Times New Roman" w:hAnsi="Times New Roman"/>
                <w:sz w:val="20"/>
                <w:szCs w:val="20"/>
                <w:lang w:val="en-GB"/>
              </w:rPr>
            </w:pPr>
          </w:p>
        </w:tc>
        <w:tc>
          <w:tcPr>
            <w:tcW w:w="2009" w:type="dxa"/>
          </w:tcPr>
          <w:p w14:paraId="3FA88F3D" w14:textId="77777777" w:rsidR="00834CCA" w:rsidRPr="002E67D9" w:rsidRDefault="00834CCA" w:rsidP="00147016">
            <w:pPr>
              <w:tabs>
                <w:tab w:val="left" w:pos="720"/>
                <w:tab w:val="left" w:pos="1247"/>
                <w:tab w:val="left" w:pos="1814"/>
                <w:tab w:val="left" w:pos="2381"/>
                <w:tab w:val="left" w:pos="2948"/>
                <w:tab w:val="left" w:pos="3515"/>
              </w:tabs>
              <w:spacing w:before="520" w:after="0" w:line="240" w:lineRule="auto"/>
              <w:rPr>
                <w:rFonts w:ascii="Times New Roman" w:eastAsia="Times New Roman" w:hAnsi="Times New Roman"/>
                <w:sz w:val="20"/>
                <w:szCs w:val="20"/>
                <w:lang w:val="en-GB"/>
              </w:rPr>
            </w:pPr>
          </w:p>
        </w:tc>
        <w:tc>
          <w:tcPr>
            <w:tcW w:w="2009" w:type="dxa"/>
            <w:tcBorders>
              <w:top w:val="nil"/>
              <w:left w:val="nil"/>
              <w:bottom w:val="single" w:sz="4" w:space="0" w:color="auto"/>
              <w:right w:val="nil"/>
            </w:tcBorders>
          </w:tcPr>
          <w:p w14:paraId="408BEAC8" w14:textId="77777777" w:rsidR="00834CCA" w:rsidRPr="002E67D9" w:rsidRDefault="00834CCA" w:rsidP="00147016">
            <w:pPr>
              <w:tabs>
                <w:tab w:val="left" w:pos="720"/>
                <w:tab w:val="left" w:pos="1247"/>
                <w:tab w:val="left" w:pos="1814"/>
                <w:tab w:val="left" w:pos="2381"/>
                <w:tab w:val="left" w:pos="2948"/>
                <w:tab w:val="left" w:pos="3515"/>
              </w:tabs>
              <w:spacing w:before="520" w:after="0" w:line="240" w:lineRule="auto"/>
              <w:rPr>
                <w:rFonts w:ascii="Times New Roman" w:eastAsia="Times New Roman" w:hAnsi="Times New Roman"/>
                <w:sz w:val="20"/>
                <w:szCs w:val="20"/>
                <w:lang w:val="en-GB"/>
              </w:rPr>
            </w:pPr>
          </w:p>
        </w:tc>
        <w:tc>
          <w:tcPr>
            <w:tcW w:w="2009" w:type="dxa"/>
          </w:tcPr>
          <w:p w14:paraId="52BAC968" w14:textId="77777777" w:rsidR="00834CCA" w:rsidRPr="002E67D9" w:rsidRDefault="00834CCA" w:rsidP="00147016">
            <w:pPr>
              <w:tabs>
                <w:tab w:val="left" w:pos="720"/>
                <w:tab w:val="left" w:pos="1247"/>
                <w:tab w:val="left" w:pos="1814"/>
                <w:tab w:val="left" w:pos="2381"/>
                <w:tab w:val="left" w:pos="2948"/>
                <w:tab w:val="left" w:pos="3515"/>
              </w:tabs>
              <w:spacing w:before="520" w:after="0" w:line="240" w:lineRule="auto"/>
              <w:rPr>
                <w:rFonts w:ascii="Times New Roman" w:eastAsia="Times New Roman" w:hAnsi="Times New Roman"/>
                <w:sz w:val="20"/>
                <w:szCs w:val="20"/>
                <w:lang w:val="en-GB"/>
              </w:rPr>
            </w:pPr>
          </w:p>
        </w:tc>
        <w:tc>
          <w:tcPr>
            <w:tcW w:w="2010" w:type="dxa"/>
          </w:tcPr>
          <w:p w14:paraId="62CD70F2" w14:textId="77777777" w:rsidR="00834CCA" w:rsidRPr="002E67D9" w:rsidRDefault="00834CCA" w:rsidP="00147016">
            <w:pPr>
              <w:tabs>
                <w:tab w:val="left" w:pos="720"/>
                <w:tab w:val="left" w:pos="1247"/>
                <w:tab w:val="left" w:pos="1814"/>
                <w:tab w:val="left" w:pos="2381"/>
                <w:tab w:val="left" w:pos="2948"/>
                <w:tab w:val="left" w:pos="3515"/>
              </w:tabs>
              <w:spacing w:before="520" w:after="0" w:line="240" w:lineRule="auto"/>
              <w:rPr>
                <w:rFonts w:ascii="Times New Roman" w:eastAsia="Times New Roman" w:hAnsi="Times New Roman"/>
                <w:sz w:val="20"/>
                <w:szCs w:val="20"/>
                <w:lang w:val="en-GB"/>
              </w:rPr>
            </w:pPr>
          </w:p>
        </w:tc>
      </w:tr>
    </w:tbl>
    <w:p w14:paraId="1A653C13" w14:textId="77777777" w:rsidR="00834CCA" w:rsidRPr="002E67D9" w:rsidRDefault="00834CCA" w:rsidP="006A6624">
      <w:pPr>
        <w:tabs>
          <w:tab w:val="left" w:pos="1247"/>
          <w:tab w:val="left" w:pos="1814"/>
          <w:tab w:val="left" w:pos="2381"/>
          <w:tab w:val="left" w:pos="2948"/>
          <w:tab w:val="left" w:pos="3515"/>
        </w:tabs>
        <w:spacing w:after="0" w:line="240" w:lineRule="auto"/>
        <w:rPr>
          <w:rFonts w:ascii="Times New Roman" w:eastAsia="Times New Roman" w:hAnsi="Times New Roman"/>
          <w:sz w:val="20"/>
          <w:szCs w:val="20"/>
          <w:lang w:val="en-GB"/>
        </w:rPr>
      </w:pPr>
    </w:p>
    <w:sectPr w:rsidR="00834CCA" w:rsidRPr="002E67D9" w:rsidSect="00024C1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561AA" w14:textId="77777777" w:rsidR="00E816E3" w:rsidRDefault="00E816E3">
      <w:r>
        <w:separator/>
      </w:r>
    </w:p>
  </w:endnote>
  <w:endnote w:type="continuationSeparator" w:id="0">
    <w:p w14:paraId="37C67916" w14:textId="77777777" w:rsidR="00E816E3" w:rsidRDefault="00E8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A3D9" w14:textId="7C962917" w:rsidR="00B420CD" w:rsidRPr="003B1F39" w:rsidRDefault="00B420CD" w:rsidP="003B1F39">
    <w:pPr>
      <w:pStyle w:val="Footer-pool"/>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B31C97">
      <w:rPr>
        <w:rStyle w:val="PageNumber"/>
        <w:b/>
        <w:noProof/>
      </w:rPr>
      <w:t>2</w:t>
    </w:r>
    <w:r w:rsidRPr="003B1F3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5BDE" w14:textId="68E19330" w:rsidR="00B420CD" w:rsidRPr="00054050" w:rsidRDefault="00B420CD" w:rsidP="00054050">
    <w:pPr>
      <w:pStyle w:val="Footer"/>
      <w:tabs>
        <w:tab w:val="left" w:pos="1247"/>
        <w:tab w:val="left" w:pos="1814"/>
        <w:tab w:val="left" w:pos="2381"/>
        <w:tab w:val="left" w:pos="2948"/>
        <w:tab w:val="left" w:pos="3515"/>
      </w:tabs>
      <w:spacing w:line="240" w:lineRule="auto"/>
      <w:jc w:val="right"/>
      <w:rPr>
        <w:rStyle w:val="PageNumber"/>
        <w:rFonts w:eastAsia="Times New Roman"/>
        <w:b w:val="0"/>
        <w:noProof/>
        <w:szCs w:val="20"/>
        <w:lang w:val="fr-FR"/>
      </w:rPr>
    </w:pPr>
    <w:r w:rsidRPr="00054050">
      <w:rPr>
        <w:rStyle w:val="PageNumber"/>
        <w:rFonts w:eastAsia="Times New Roman"/>
        <w:noProof/>
        <w:szCs w:val="20"/>
        <w:lang w:val="fr-FR"/>
      </w:rPr>
      <w:fldChar w:fldCharType="begin"/>
    </w:r>
    <w:r w:rsidRPr="00054050">
      <w:rPr>
        <w:rStyle w:val="PageNumber"/>
        <w:rFonts w:eastAsia="Times New Roman"/>
        <w:noProof/>
        <w:szCs w:val="20"/>
        <w:lang w:val="fr-FR"/>
      </w:rPr>
      <w:instrText xml:space="preserve"> PAGE </w:instrText>
    </w:r>
    <w:r w:rsidRPr="00054050">
      <w:rPr>
        <w:rStyle w:val="PageNumber"/>
        <w:rFonts w:eastAsia="Times New Roman"/>
        <w:noProof/>
        <w:szCs w:val="20"/>
        <w:lang w:val="fr-FR"/>
      </w:rPr>
      <w:fldChar w:fldCharType="separate"/>
    </w:r>
    <w:r w:rsidR="00B31C97">
      <w:rPr>
        <w:rStyle w:val="PageNumber"/>
        <w:rFonts w:eastAsia="Times New Roman"/>
        <w:noProof/>
        <w:szCs w:val="20"/>
        <w:lang w:val="fr-FR"/>
      </w:rPr>
      <w:t>7</w:t>
    </w:r>
    <w:r w:rsidRPr="00054050">
      <w:rPr>
        <w:rStyle w:val="PageNumber"/>
        <w:rFonts w:eastAsia="Times New Roman"/>
        <w:noProof/>
        <w:szCs w:val="20"/>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7F3B3" w14:textId="14E389C6" w:rsidR="00B420CD" w:rsidRPr="00834CCA" w:rsidRDefault="00834CCA" w:rsidP="00834CCA">
    <w:pPr>
      <w:pStyle w:val="Normal-pool"/>
      <w:tabs>
        <w:tab w:val="clear" w:pos="1247"/>
        <w:tab w:val="clear" w:pos="1814"/>
        <w:tab w:val="clear" w:pos="2381"/>
        <w:tab w:val="clear" w:pos="2948"/>
        <w:tab w:val="clear" w:pos="3515"/>
        <w:tab w:val="clear" w:pos="4082"/>
        <w:tab w:val="left" w:pos="624"/>
      </w:tabs>
      <w:spacing w:before="60" w:after="120"/>
    </w:pPr>
    <w:r w:rsidRPr="003C1F9A">
      <w:t>K1709280</w:t>
    </w:r>
    <w:r w:rsidRPr="003C1F9A">
      <w:tab/>
    </w:r>
    <w:r w:rsidR="00BF6255">
      <w:t>0102</w:t>
    </w:r>
    <w:r w:rsidR="002E67D9" w:rsidRPr="003C1F9A">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9863" w14:textId="77777777" w:rsidR="00E816E3" w:rsidRPr="006A6624" w:rsidRDefault="00E816E3" w:rsidP="006A6624">
      <w:pPr>
        <w:tabs>
          <w:tab w:val="left" w:pos="624"/>
        </w:tabs>
        <w:spacing w:before="60" w:after="0" w:line="240" w:lineRule="auto"/>
        <w:ind w:left="624"/>
        <w:rPr>
          <w:rFonts w:ascii="Times New Roman" w:hAnsi="Times New Roman"/>
          <w:sz w:val="20"/>
          <w:szCs w:val="20"/>
        </w:rPr>
      </w:pPr>
      <w:r w:rsidRPr="006A6624">
        <w:rPr>
          <w:rFonts w:ascii="Times New Roman" w:hAnsi="Times New Roman"/>
          <w:sz w:val="20"/>
          <w:szCs w:val="20"/>
        </w:rPr>
        <w:separator/>
      </w:r>
    </w:p>
  </w:footnote>
  <w:footnote w:type="continuationSeparator" w:id="0">
    <w:p w14:paraId="5E8C7D81" w14:textId="77777777" w:rsidR="00E816E3" w:rsidRDefault="00E816E3">
      <w:r>
        <w:continuationSeparator/>
      </w:r>
    </w:p>
  </w:footnote>
  <w:footnote w:id="1">
    <w:p w14:paraId="63E6219A" w14:textId="77777777" w:rsidR="00834CCA" w:rsidRPr="00834CCA" w:rsidRDefault="00834CCA" w:rsidP="00834CCA">
      <w:pPr>
        <w:pStyle w:val="Normal-pool"/>
        <w:tabs>
          <w:tab w:val="clear" w:pos="1247"/>
          <w:tab w:val="clear" w:pos="1814"/>
          <w:tab w:val="clear" w:pos="2381"/>
          <w:tab w:val="clear" w:pos="2948"/>
          <w:tab w:val="clear" w:pos="3515"/>
          <w:tab w:val="left" w:pos="624"/>
        </w:tabs>
        <w:spacing w:before="20" w:after="40"/>
        <w:ind w:left="1247"/>
        <w:rPr>
          <w:sz w:val="18"/>
          <w:szCs w:val="18"/>
          <w:lang w:val="fr-FR"/>
        </w:rPr>
      </w:pPr>
      <w:r w:rsidRPr="00DB12CB">
        <w:rPr>
          <w:rStyle w:val="FootnoteReference"/>
          <w:spacing w:val="5"/>
          <w:w w:val="104"/>
          <w:sz w:val="18"/>
          <w:vertAlign w:val="baseline"/>
          <w:lang w:val="fr-FR"/>
        </w:rPr>
        <w:t>*</w:t>
      </w:r>
      <w:r w:rsidRPr="00834CCA">
        <w:rPr>
          <w:sz w:val="18"/>
          <w:szCs w:val="18"/>
          <w:lang w:val="fr-FR"/>
        </w:rPr>
        <w:t xml:space="preserve"> IPBES/6/1.</w:t>
      </w:r>
    </w:p>
  </w:footnote>
  <w:footnote w:id="2">
    <w:p w14:paraId="0EA3F0B5" w14:textId="77777777" w:rsidR="00834CCA" w:rsidRPr="00834CCA" w:rsidRDefault="00834CCA" w:rsidP="00834CCA">
      <w:pPr>
        <w:pStyle w:val="FootnoteText"/>
        <w:tabs>
          <w:tab w:val="left" w:pos="624"/>
        </w:tabs>
        <w:rPr>
          <w:szCs w:val="18"/>
        </w:rPr>
      </w:pPr>
      <w:r w:rsidRPr="00CA1BA6">
        <w:rPr>
          <w:rStyle w:val="FootnoteReference"/>
          <w:sz w:val="18"/>
        </w:rPr>
        <w:footnoteRef/>
      </w:r>
      <w:r w:rsidRPr="00147016">
        <w:rPr>
          <w:szCs w:val="18"/>
        </w:rPr>
        <w:t xml:space="preserve"> IPBES</w:t>
      </w:r>
      <w:r w:rsidRPr="00834CCA">
        <w:rPr>
          <w:szCs w:val="18"/>
        </w:rPr>
        <w:t>/6/2.</w:t>
      </w:r>
    </w:p>
  </w:footnote>
  <w:footnote w:id="3">
    <w:p w14:paraId="4256087A" w14:textId="77777777" w:rsidR="00834CCA" w:rsidRPr="00834CCA" w:rsidRDefault="00834CCA" w:rsidP="00834CCA">
      <w:pPr>
        <w:pStyle w:val="FootnoteText"/>
        <w:tabs>
          <w:tab w:val="left" w:pos="624"/>
        </w:tabs>
        <w:rPr>
          <w:szCs w:val="18"/>
          <w:lang w:val="de-DE"/>
        </w:rPr>
      </w:pPr>
      <w:r w:rsidRPr="00834CCA">
        <w:rPr>
          <w:rStyle w:val="FootnoteReference"/>
          <w:sz w:val="18"/>
        </w:rPr>
        <w:footnoteRef/>
      </w:r>
      <w:r w:rsidRPr="00834CCA">
        <w:rPr>
          <w:szCs w:val="18"/>
          <w:lang w:val="de-DE"/>
        </w:rPr>
        <w:t xml:space="preserve"> IPBES/6/INF/12. </w:t>
      </w:r>
    </w:p>
  </w:footnote>
  <w:footnote w:id="4">
    <w:p w14:paraId="798FF70D" w14:textId="77777777" w:rsidR="00834CCA" w:rsidRPr="00834CCA" w:rsidRDefault="00834CCA" w:rsidP="00834CCA">
      <w:pPr>
        <w:pStyle w:val="FootnoteText"/>
        <w:tabs>
          <w:tab w:val="left" w:pos="624"/>
        </w:tabs>
        <w:rPr>
          <w:szCs w:val="18"/>
        </w:rPr>
      </w:pPr>
      <w:r w:rsidRPr="00834CCA">
        <w:rPr>
          <w:rStyle w:val="FootnoteReference"/>
          <w:sz w:val="18"/>
        </w:rPr>
        <w:footnoteRef/>
      </w:r>
      <w:r w:rsidRPr="00834CCA">
        <w:rPr>
          <w:szCs w:val="18"/>
        </w:rPr>
        <w:t xml:space="preserve"> IPBES/6/INF/13.</w:t>
      </w:r>
    </w:p>
  </w:footnote>
  <w:footnote w:id="5">
    <w:p w14:paraId="2305998C" w14:textId="77777777" w:rsidR="00834CCA" w:rsidRPr="002E67D9" w:rsidRDefault="00834CCA" w:rsidP="00834CCA">
      <w:pPr>
        <w:pStyle w:val="FootnoteText"/>
        <w:tabs>
          <w:tab w:val="left" w:pos="624"/>
        </w:tabs>
        <w:rPr>
          <w:szCs w:val="18"/>
          <w:lang w:val="en-US"/>
        </w:rPr>
      </w:pPr>
      <w:r w:rsidRPr="00834CCA">
        <w:rPr>
          <w:rStyle w:val="FootnoteReference"/>
          <w:sz w:val="18"/>
        </w:rPr>
        <w:footnoteRef/>
      </w:r>
      <w:r w:rsidRPr="002E67D9">
        <w:rPr>
          <w:szCs w:val="18"/>
          <w:lang w:val="en-US"/>
        </w:rPr>
        <w:t xml:space="preserve"> IPBES/6/INF/14.</w:t>
      </w:r>
    </w:p>
  </w:footnote>
  <w:footnote w:id="6">
    <w:p w14:paraId="28E05206" w14:textId="77777777" w:rsidR="00834CCA" w:rsidRPr="00834CCA" w:rsidRDefault="00834CCA" w:rsidP="00834CCA">
      <w:pPr>
        <w:pStyle w:val="FootnoteText"/>
        <w:tabs>
          <w:tab w:val="left" w:pos="624"/>
        </w:tabs>
        <w:rPr>
          <w:b/>
          <w:szCs w:val="18"/>
          <w:lang w:val="en-US"/>
        </w:rPr>
      </w:pPr>
      <w:r w:rsidRPr="00834CCA">
        <w:rPr>
          <w:rStyle w:val="FootnoteReference"/>
          <w:sz w:val="18"/>
        </w:rPr>
        <w:footnoteRef/>
      </w:r>
      <w:r w:rsidRPr="00834CCA">
        <w:rPr>
          <w:szCs w:val="18"/>
          <w:lang w:val="en-US"/>
        </w:rPr>
        <w:t xml:space="preserve"> IPBES/6/INF/11.</w:t>
      </w:r>
    </w:p>
  </w:footnote>
  <w:footnote w:id="7">
    <w:p w14:paraId="40B77291"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IPBES/6/INF/3/Rev.1, which will include the individual chapters and their executive summaries, reflecting the summary for policymakers as approved.</w:t>
      </w:r>
    </w:p>
  </w:footnote>
  <w:footnote w:id="8">
    <w:p w14:paraId="58B2FBF7" w14:textId="092785FB"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IPBES/7/INF/</w:t>
      </w:r>
      <w:r w:rsidR="002955D4">
        <w:rPr>
          <w:szCs w:val="18"/>
          <w:lang w:val="en-US"/>
        </w:rPr>
        <w:t>4</w:t>
      </w:r>
      <w:r w:rsidRPr="00834CCA">
        <w:rPr>
          <w:szCs w:val="18"/>
          <w:lang w:val="en-US"/>
        </w:rPr>
        <w:t>/Rev.1, which will include the individual chapters and their executive summaries, reflecting the summary for policymakers as approved.</w:t>
      </w:r>
    </w:p>
  </w:footnote>
  <w:footnote w:id="9">
    <w:p w14:paraId="65792405" w14:textId="4C4B95F8"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IPBES/6/INF/</w:t>
      </w:r>
      <w:r w:rsidR="002955D4">
        <w:rPr>
          <w:szCs w:val="18"/>
          <w:lang w:val="en-US"/>
        </w:rPr>
        <w:t>5</w:t>
      </w:r>
      <w:r w:rsidRPr="00834CCA">
        <w:rPr>
          <w:szCs w:val="18"/>
          <w:lang w:val="en-US"/>
        </w:rPr>
        <w:t>/Rev.1, which will include the individual chapters and their executive summaries, reflecting the summary for policymakers as approved.</w:t>
      </w:r>
    </w:p>
  </w:footnote>
  <w:footnote w:id="10">
    <w:p w14:paraId="7367C63B"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IPBES/9/INF/6/Rev.1, which will include the individual chapters and their executive summaries, reflecting the summary for policymakers as approved.</w:t>
      </w:r>
    </w:p>
  </w:footnote>
  <w:footnote w:id="11">
    <w:p w14:paraId="6F2CAD48"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IPBES/6/INF/1/Rev.1, which will include the individual chapters and their executive summaries, reflecting the summary for policymakers as approved.</w:t>
      </w:r>
    </w:p>
  </w:footnote>
  <w:footnote w:id="12">
    <w:p w14:paraId="200099EB" w14:textId="77777777" w:rsidR="00834CCA" w:rsidRPr="00834CCA" w:rsidRDefault="00834CCA" w:rsidP="00834CCA">
      <w:pPr>
        <w:pStyle w:val="FootnoteText"/>
        <w:tabs>
          <w:tab w:val="left" w:pos="624"/>
        </w:tabs>
        <w:rPr>
          <w:szCs w:val="18"/>
          <w:lang w:val="de-DE"/>
        </w:rPr>
      </w:pPr>
      <w:r w:rsidRPr="00834CCA">
        <w:rPr>
          <w:rStyle w:val="FootnoteReference"/>
          <w:sz w:val="18"/>
        </w:rPr>
        <w:footnoteRef/>
      </w:r>
      <w:r w:rsidRPr="00834CCA">
        <w:rPr>
          <w:szCs w:val="18"/>
          <w:lang w:val="de-DE"/>
        </w:rPr>
        <w:t xml:space="preserve"> IPBES/6/INF/15. </w:t>
      </w:r>
    </w:p>
  </w:footnote>
  <w:footnote w:id="13">
    <w:p w14:paraId="521DA277" w14:textId="77777777" w:rsidR="00834CCA" w:rsidRPr="00E034B9" w:rsidRDefault="00834CCA" w:rsidP="00834CCA">
      <w:pPr>
        <w:pStyle w:val="FootnoteText"/>
        <w:tabs>
          <w:tab w:val="left" w:pos="624"/>
        </w:tabs>
        <w:rPr>
          <w:szCs w:val="18"/>
          <w:lang w:val="de-DE"/>
        </w:rPr>
      </w:pPr>
      <w:r w:rsidRPr="00834CCA">
        <w:rPr>
          <w:rStyle w:val="FootnoteReference"/>
          <w:sz w:val="18"/>
        </w:rPr>
        <w:footnoteRef/>
      </w:r>
      <w:r w:rsidRPr="00834CCA">
        <w:rPr>
          <w:szCs w:val="18"/>
          <w:lang w:val="de-DE"/>
        </w:rPr>
        <w:t xml:space="preserve"> </w:t>
      </w:r>
      <w:r w:rsidRPr="00E034B9">
        <w:rPr>
          <w:szCs w:val="18"/>
          <w:lang w:val="de-DE"/>
        </w:rPr>
        <w:t xml:space="preserve">IPBES/6/INF/18. </w:t>
      </w:r>
    </w:p>
  </w:footnote>
  <w:footnote w:id="14">
    <w:p w14:paraId="6EF9B5EC" w14:textId="495F97B3" w:rsidR="00E86C82" w:rsidRPr="002E67D9" w:rsidRDefault="00E86C82">
      <w:pPr>
        <w:pStyle w:val="FootnoteText"/>
        <w:rPr>
          <w:lang w:val="de-DE"/>
        </w:rPr>
      </w:pPr>
      <w:r w:rsidRPr="00E034B9">
        <w:rPr>
          <w:rStyle w:val="FootnoteReference"/>
        </w:rPr>
        <w:footnoteRef/>
      </w:r>
      <w:r w:rsidRPr="00E034B9">
        <w:t xml:space="preserve"> </w:t>
      </w:r>
      <w:r w:rsidRPr="00E034B9">
        <w:rPr>
          <w:szCs w:val="18"/>
          <w:lang w:val="de-DE"/>
        </w:rPr>
        <w:t>IPBES/6/INF/16.</w:t>
      </w:r>
    </w:p>
  </w:footnote>
  <w:footnote w:id="15">
    <w:p w14:paraId="17D5F388" w14:textId="77777777" w:rsidR="00DD6BD6" w:rsidRPr="00834CCA" w:rsidRDefault="00DD6BD6" w:rsidP="00DD6BD6">
      <w:pPr>
        <w:pStyle w:val="FootnoteText"/>
        <w:tabs>
          <w:tab w:val="left" w:pos="624"/>
        </w:tabs>
        <w:rPr>
          <w:szCs w:val="18"/>
          <w:lang w:val="de-DE"/>
        </w:rPr>
      </w:pPr>
      <w:r w:rsidRPr="00E034B9">
        <w:rPr>
          <w:rStyle w:val="FootnoteReference"/>
          <w:sz w:val="18"/>
        </w:rPr>
        <w:footnoteRef/>
      </w:r>
      <w:r w:rsidRPr="00E034B9">
        <w:rPr>
          <w:szCs w:val="18"/>
          <w:lang w:val="de-DE"/>
        </w:rPr>
        <w:t xml:space="preserve"> IPBES/6/INF</w:t>
      </w:r>
      <w:r w:rsidRPr="00834CCA">
        <w:rPr>
          <w:szCs w:val="18"/>
          <w:lang w:val="de-DE"/>
        </w:rPr>
        <w:t>/32.</w:t>
      </w:r>
    </w:p>
  </w:footnote>
  <w:footnote w:id="16">
    <w:p w14:paraId="05EC640E" w14:textId="77777777" w:rsidR="00DD6BD6" w:rsidRPr="002E67D9" w:rsidRDefault="00DD6BD6" w:rsidP="00DD6BD6">
      <w:pPr>
        <w:pStyle w:val="FootnoteText"/>
        <w:tabs>
          <w:tab w:val="left" w:pos="624"/>
        </w:tabs>
        <w:rPr>
          <w:szCs w:val="18"/>
          <w:lang w:val="de-DE"/>
        </w:rPr>
      </w:pPr>
      <w:r w:rsidRPr="00834CCA">
        <w:rPr>
          <w:rStyle w:val="FootnoteReference"/>
          <w:sz w:val="18"/>
        </w:rPr>
        <w:footnoteRef/>
      </w:r>
      <w:r w:rsidRPr="002E67D9">
        <w:rPr>
          <w:szCs w:val="18"/>
          <w:lang w:val="de-DE"/>
        </w:rPr>
        <w:t xml:space="preserve"> IPBES/6/10.</w:t>
      </w:r>
    </w:p>
  </w:footnote>
  <w:footnote w:id="17">
    <w:p w14:paraId="7C360083" w14:textId="77777777" w:rsidR="00834CCA" w:rsidRPr="00DD6BD6" w:rsidRDefault="00834CCA" w:rsidP="00834CCA">
      <w:pPr>
        <w:pStyle w:val="FootnoteText"/>
        <w:tabs>
          <w:tab w:val="left" w:pos="624"/>
        </w:tabs>
        <w:rPr>
          <w:szCs w:val="18"/>
          <w:lang w:val="en-US"/>
        </w:rPr>
      </w:pPr>
      <w:r w:rsidRPr="00834CCA">
        <w:rPr>
          <w:rStyle w:val="FootnoteReference"/>
          <w:sz w:val="18"/>
        </w:rPr>
        <w:footnoteRef/>
      </w:r>
      <w:r w:rsidRPr="00DD6BD6">
        <w:rPr>
          <w:szCs w:val="18"/>
          <w:lang w:val="en-US"/>
        </w:rPr>
        <w:t xml:space="preserve"> IPBES/6/11.</w:t>
      </w:r>
    </w:p>
  </w:footnote>
  <w:footnote w:id="18">
    <w:p w14:paraId="3EBEAA56"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Draft tables are set out in tables 1, 2 and 3 of document IPBES/6/9. </w:t>
      </w:r>
    </w:p>
  </w:footnote>
  <w:footnote w:id="19">
    <w:p w14:paraId="33996BC0"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Draft tables are set out in tables 5 and 6 of document IPBES/6/9.</w:t>
      </w:r>
    </w:p>
  </w:footnote>
  <w:footnote w:id="20">
    <w:p w14:paraId="1FC77BAB" w14:textId="0AC5363F" w:rsidR="00834CCA" w:rsidRPr="00E034B9"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The </w:t>
      </w:r>
      <w:r w:rsidR="003B6351" w:rsidRPr="00E034B9">
        <w:rPr>
          <w:szCs w:val="18"/>
          <w:lang w:val="en-US"/>
        </w:rPr>
        <w:t xml:space="preserve">further </w:t>
      </w:r>
      <w:r w:rsidRPr="00E034B9">
        <w:rPr>
          <w:szCs w:val="18"/>
          <w:lang w:val="en-US"/>
        </w:rPr>
        <w:t xml:space="preserve">revised </w:t>
      </w:r>
      <w:r w:rsidR="00E034B9">
        <w:rPr>
          <w:szCs w:val="18"/>
          <w:lang w:val="en-US"/>
        </w:rPr>
        <w:t xml:space="preserve">draft </w:t>
      </w:r>
      <w:r w:rsidRPr="00E034B9">
        <w:rPr>
          <w:szCs w:val="18"/>
          <w:lang w:val="en-US"/>
        </w:rPr>
        <w:t>budget for the biennium 2018–2019 is set out in tables 7 and 8 of document IPBES/6/9.</w:t>
      </w:r>
    </w:p>
  </w:footnote>
  <w:footnote w:id="21">
    <w:p w14:paraId="42E01D92" w14:textId="4ABEB89F" w:rsidR="00834CCA" w:rsidRPr="00834CCA" w:rsidRDefault="00834CCA" w:rsidP="00834CCA">
      <w:pPr>
        <w:pStyle w:val="FootnoteText"/>
        <w:tabs>
          <w:tab w:val="left" w:pos="624"/>
        </w:tabs>
        <w:rPr>
          <w:szCs w:val="18"/>
          <w:lang w:val="en-US"/>
        </w:rPr>
      </w:pPr>
      <w:r w:rsidRPr="00E034B9">
        <w:rPr>
          <w:rStyle w:val="FootnoteReference"/>
          <w:sz w:val="18"/>
        </w:rPr>
        <w:footnoteRef/>
      </w:r>
      <w:r w:rsidRPr="00E034B9">
        <w:rPr>
          <w:szCs w:val="18"/>
          <w:lang w:val="en-US"/>
        </w:rPr>
        <w:t xml:space="preserve"> The </w:t>
      </w:r>
      <w:r w:rsidR="003B6351" w:rsidRPr="00E034B9">
        <w:rPr>
          <w:szCs w:val="18"/>
          <w:lang w:val="en-US"/>
        </w:rPr>
        <w:t xml:space="preserve">further </w:t>
      </w:r>
      <w:r w:rsidRPr="00E034B9">
        <w:rPr>
          <w:szCs w:val="18"/>
          <w:lang w:val="en-US"/>
        </w:rPr>
        <w:t>revised</w:t>
      </w:r>
      <w:r w:rsidR="00E034B9">
        <w:rPr>
          <w:szCs w:val="18"/>
          <w:lang w:val="en-US"/>
        </w:rPr>
        <w:t xml:space="preserve"> draft</w:t>
      </w:r>
      <w:r w:rsidRPr="00E034B9">
        <w:rPr>
          <w:szCs w:val="18"/>
          <w:lang w:val="en-US"/>
        </w:rPr>
        <w:t xml:space="preserve"> budget for the biennium 2018–2019 is set out in tables 7 and 8 of document IPBES/6/9.</w:t>
      </w:r>
    </w:p>
  </w:footnote>
  <w:footnote w:id="22">
    <w:p w14:paraId="2ADB4AB3"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Members intending to offer to host the session are encouraged to inform the secretariat of that intention and to submit a formal offer as soon as possible.</w:t>
      </w:r>
    </w:p>
  </w:footnote>
  <w:footnote w:id="23">
    <w:p w14:paraId="39CD74A4" w14:textId="77777777" w:rsidR="00834CCA" w:rsidRPr="00834CCA" w:rsidRDefault="00834CCA" w:rsidP="00834CCA">
      <w:pPr>
        <w:pStyle w:val="FootnoteText"/>
        <w:tabs>
          <w:tab w:val="left" w:pos="624"/>
        </w:tabs>
        <w:rPr>
          <w:szCs w:val="18"/>
          <w:lang w:val="en-US"/>
        </w:rPr>
      </w:pPr>
      <w:r w:rsidRPr="00834CCA">
        <w:rPr>
          <w:rStyle w:val="FootnoteReference"/>
          <w:sz w:val="18"/>
        </w:rPr>
        <w:footnoteRef/>
      </w:r>
      <w:r w:rsidRPr="00834CCA">
        <w:rPr>
          <w:szCs w:val="18"/>
          <w:lang w:val="en-US"/>
        </w:rPr>
        <w:t xml:space="preserve"> The draft preliminary agenda is set out in annex I to document IPBES/6/12.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2678" w14:textId="669BCB2A" w:rsidR="00B420CD" w:rsidRPr="00DB12CB" w:rsidRDefault="00DB12CB" w:rsidP="00DB12CB">
    <w:pPr>
      <w:pStyle w:val="Header-pool"/>
    </w:pPr>
    <w:r w:rsidRPr="00DB12CB">
      <w:t>IPBES</w:t>
    </w:r>
    <w:r w:rsidRPr="00024C14">
      <w:t>/</w:t>
    </w:r>
    <w:r>
      <w:t>6/1/Add.2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82A5" w14:textId="01CDF316" w:rsidR="00B420CD" w:rsidRPr="00054050" w:rsidRDefault="00054050" w:rsidP="00054050">
    <w:pPr>
      <w:pStyle w:val="Header-pool"/>
      <w:jc w:val="right"/>
    </w:pPr>
    <w:r w:rsidRPr="00DB12CB">
      <w:t>IPBES</w:t>
    </w:r>
    <w:r w:rsidRPr="00024C14">
      <w:t>/</w:t>
    </w:r>
    <w:r>
      <w:t>6/1/Add.2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ACAA" w14:textId="2AB46BE4" w:rsidR="002E67D9" w:rsidRPr="002E67D9" w:rsidRDefault="002E67D9" w:rsidP="002E67D9">
    <w:pPr>
      <w:pStyle w:val="Normal-po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3E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2073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DE56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DEE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44A7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20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E5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7E42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04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A22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0643E"/>
    <w:multiLevelType w:val="hybridMultilevel"/>
    <w:tmpl w:val="C268C8A6"/>
    <w:lvl w:ilvl="0" w:tplc="8DCC61BE">
      <w:start w:val="1"/>
      <w:numFmt w:val="decimal"/>
      <w:pStyle w:val="Normalnumber"/>
      <w:lvlText w:val="%1."/>
      <w:lvlJc w:val="left"/>
      <w:pPr>
        <w:ind w:left="720" w:hanging="360"/>
      </w:pPr>
    </w:lvl>
    <w:lvl w:ilvl="1" w:tplc="136C8672">
      <w:start w:val="1"/>
      <w:numFmt w:val="lowerLetter"/>
      <w:lvlText w:val="(%2)"/>
      <w:lvlJc w:val="left"/>
      <w:pPr>
        <w:ind w:left="1440" w:hanging="360"/>
      </w:pPr>
      <w:rPr>
        <w:rFonts w:ascii="Times New Roman" w:eastAsia="Times New Roman" w:hAnsi="Times New Roman" w:cs="Times New Roman"/>
      </w:rPr>
    </w:lvl>
    <w:lvl w:ilvl="2" w:tplc="3BA0B906">
      <w:start w:val="1"/>
      <w:numFmt w:val="lowerRoman"/>
      <w:lvlText w:val="(%3)"/>
      <w:lvlJc w:val="right"/>
      <w:pPr>
        <w:ind w:left="2160" w:hanging="180"/>
      </w:pPr>
      <w:rPr>
        <w:rFonts w:ascii="Times New Roman" w:eastAsia="Times New Roman" w:hAnsi="Times New Roman" w:cs="Times New Roman"/>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1113A7"/>
    <w:multiLevelType w:val="multilevel"/>
    <w:tmpl w:val="48241D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3"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4" w15:restartNumberingAfterBreak="0">
    <w:nsid w:val="52A66A9D"/>
    <w:multiLevelType w:val="multilevel"/>
    <w:tmpl w:val="D07A6E4C"/>
    <w:styleLink w:val="Normallist"/>
    <w:lvl w:ilvl="0">
      <w:start w:val="1"/>
      <w:numFmt w:val="decimal"/>
      <w:lvlText w:val="%1."/>
      <w:lvlJc w:val="left"/>
      <w:pPr>
        <w:tabs>
          <w:tab w:val="num" w:pos="1134"/>
        </w:tabs>
        <w:ind w:left="1247" w:firstLine="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num w:numId="1">
    <w:abstractNumId w:val="12"/>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0">
      <w:lvl w:ilvl="0">
        <w:start w:val="1"/>
        <w:numFmt w:val="decimal"/>
        <w:lvlText w:val="%1."/>
        <w:lvlJc w:val="left"/>
        <w:pPr>
          <w:tabs>
            <w:tab w:val="num" w:pos="567"/>
          </w:tabs>
          <w:ind w:left="1247" w:firstLine="0"/>
        </w:pPr>
        <w:rPr>
          <w:rFonts w:hint="default"/>
        </w:rPr>
      </w:lvl>
    </w:lvlOverride>
    <w:lvlOverride w:ilvl="1">
      <w:lvl w:ilvl="1">
        <w:numFmt w:val="lowerLetter"/>
        <w:lvlText w:val="(%2)"/>
        <w:lvlJc w:val="left"/>
        <w:pPr>
          <w:tabs>
            <w:tab w:val="num" w:pos="567"/>
          </w:tabs>
          <w:ind w:left="1247" w:firstLine="567"/>
        </w:pPr>
        <w:rPr>
          <w:rFonts w:hint="default"/>
        </w:rPr>
      </w:lvl>
    </w:lvlOverride>
    <w:lvlOverride w:ilvl="2">
      <w:lvl w:ilvl="2">
        <w:numFmt w:val="lowerRoman"/>
        <w:lvlText w:val="(%3)"/>
        <w:lvlJc w:val="left"/>
        <w:pPr>
          <w:tabs>
            <w:tab w:val="num" w:pos="567"/>
          </w:tabs>
          <w:ind w:left="2948" w:hanging="567"/>
        </w:pPr>
        <w:rPr>
          <w:rFonts w:hint="default"/>
        </w:rPr>
      </w:lvl>
    </w:lvlOverride>
    <w:lvlOverride w:ilvl="3">
      <w:lvl w:ilvl="3">
        <w:numFmt w:val="lowerLetter"/>
        <w:lvlText w:val="%4."/>
        <w:lvlJc w:val="left"/>
        <w:pPr>
          <w:tabs>
            <w:tab w:val="num" w:pos="567"/>
          </w:tabs>
          <w:ind w:left="3515" w:hanging="567"/>
        </w:pPr>
        <w:rPr>
          <w:rFonts w:hint="default"/>
        </w:rPr>
      </w:lvl>
    </w:lvlOverride>
    <w:lvlOverride w:ilvl="4">
      <w:lvl w:ilvl="4">
        <w:numFmt w:val="lowerLetter"/>
        <w:lvlText w:val="%5."/>
        <w:lvlJc w:val="left"/>
        <w:pPr>
          <w:tabs>
            <w:tab w:val="num" w:pos="6548"/>
          </w:tabs>
          <w:ind w:left="6548" w:hanging="360"/>
        </w:pPr>
        <w:rPr>
          <w:rFonts w:hint="default"/>
        </w:rPr>
      </w:lvl>
    </w:lvlOverride>
    <w:lvlOverride w:ilvl="5">
      <w:lvl w:ilvl="5">
        <w:numFmt w:val="lowerRoman"/>
        <w:lvlText w:val="%6."/>
        <w:lvlJc w:val="right"/>
        <w:pPr>
          <w:tabs>
            <w:tab w:val="num" w:pos="7268"/>
          </w:tabs>
          <w:ind w:left="7268" w:hanging="180"/>
        </w:pPr>
        <w:rPr>
          <w:rFonts w:hint="default"/>
        </w:rPr>
      </w:lvl>
    </w:lvlOverride>
    <w:lvlOverride w:ilvl="6">
      <w:lvl w:ilvl="6">
        <w:numFmt w:val="decimal"/>
        <w:lvlText w:val="%7."/>
        <w:lvlJc w:val="left"/>
        <w:pPr>
          <w:tabs>
            <w:tab w:val="num" w:pos="7988"/>
          </w:tabs>
          <w:ind w:left="7988" w:hanging="360"/>
        </w:pPr>
        <w:rPr>
          <w:rFonts w:hint="default"/>
        </w:rPr>
      </w:lvl>
    </w:lvlOverride>
    <w:lvlOverride w:ilvl="7">
      <w:lvl w:ilvl="7">
        <w:numFmt w:val="lowerLetter"/>
        <w:lvlText w:val="%8."/>
        <w:lvlJc w:val="left"/>
        <w:pPr>
          <w:tabs>
            <w:tab w:val="num" w:pos="8708"/>
          </w:tabs>
          <w:ind w:left="8708" w:hanging="360"/>
        </w:pPr>
        <w:rPr>
          <w:rFonts w:hint="default"/>
        </w:rPr>
      </w:lvl>
    </w:lvlOverride>
    <w:lvlOverride w:ilvl="8">
      <w:lvl w:ilvl="8">
        <w:numFmt w:val="lowerRoman"/>
        <w:lvlText w:val="%9."/>
        <w:lvlJc w:val="right"/>
        <w:pPr>
          <w:tabs>
            <w:tab w:val="num" w:pos="9428"/>
          </w:tabs>
          <w:ind w:left="9428" w:hanging="180"/>
        </w:pPr>
        <w:rPr>
          <w:rFonts w:hint="default"/>
        </w:rPr>
      </w:lvl>
    </w:lvlOverride>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lvlOverride w:ilvl="0">
      <w:startOverride w:val="4"/>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revisionView w:markup="0"/>
  <w:defaultTabStop w:val="624"/>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5A"/>
    <w:rsid w:val="00010869"/>
    <w:rsid w:val="000149E6"/>
    <w:rsid w:val="000247B0"/>
    <w:rsid w:val="00024C14"/>
    <w:rsid w:val="00026997"/>
    <w:rsid w:val="0003109B"/>
    <w:rsid w:val="00033C5F"/>
    <w:rsid w:val="00033E0B"/>
    <w:rsid w:val="00035EDE"/>
    <w:rsid w:val="0004026E"/>
    <w:rsid w:val="00044E5A"/>
    <w:rsid w:val="0004540A"/>
    <w:rsid w:val="000509B4"/>
    <w:rsid w:val="00054050"/>
    <w:rsid w:val="0006035B"/>
    <w:rsid w:val="00061444"/>
    <w:rsid w:val="00061E92"/>
    <w:rsid w:val="00063444"/>
    <w:rsid w:val="0006430A"/>
    <w:rsid w:val="00071886"/>
    <w:rsid w:val="000742BC"/>
    <w:rsid w:val="00082A0C"/>
    <w:rsid w:val="00083504"/>
    <w:rsid w:val="000904EF"/>
    <w:rsid w:val="0009640C"/>
    <w:rsid w:val="000B22A2"/>
    <w:rsid w:val="000C2A52"/>
    <w:rsid w:val="000D33C0"/>
    <w:rsid w:val="000D6941"/>
    <w:rsid w:val="000E718A"/>
    <w:rsid w:val="000F6B5C"/>
    <w:rsid w:val="001202E3"/>
    <w:rsid w:val="00123699"/>
    <w:rsid w:val="0013059D"/>
    <w:rsid w:val="00141A55"/>
    <w:rsid w:val="001446A3"/>
    <w:rsid w:val="00147016"/>
    <w:rsid w:val="00155395"/>
    <w:rsid w:val="00160D74"/>
    <w:rsid w:val="00167D02"/>
    <w:rsid w:val="001717B7"/>
    <w:rsid w:val="00181EC8"/>
    <w:rsid w:val="00184349"/>
    <w:rsid w:val="00195F33"/>
    <w:rsid w:val="001B1617"/>
    <w:rsid w:val="001B504B"/>
    <w:rsid w:val="001B68AD"/>
    <w:rsid w:val="001B6CA5"/>
    <w:rsid w:val="001D2882"/>
    <w:rsid w:val="001D3874"/>
    <w:rsid w:val="001D7E75"/>
    <w:rsid w:val="001E56D2"/>
    <w:rsid w:val="001E7D56"/>
    <w:rsid w:val="001F75DE"/>
    <w:rsid w:val="00200D58"/>
    <w:rsid w:val="002013BE"/>
    <w:rsid w:val="00203460"/>
    <w:rsid w:val="002063A4"/>
    <w:rsid w:val="0021145B"/>
    <w:rsid w:val="00213A77"/>
    <w:rsid w:val="00243D36"/>
    <w:rsid w:val="00247707"/>
    <w:rsid w:val="002512CA"/>
    <w:rsid w:val="0026018E"/>
    <w:rsid w:val="00285344"/>
    <w:rsid w:val="00286740"/>
    <w:rsid w:val="002929D8"/>
    <w:rsid w:val="002955D4"/>
    <w:rsid w:val="002A237D"/>
    <w:rsid w:val="002A4C53"/>
    <w:rsid w:val="002B0672"/>
    <w:rsid w:val="002B247F"/>
    <w:rsid w:val="002C145D"/>
    <w:rsid w:val="002C2C3E"/>
    <w:rsid w:val="002C533E"/>
    <w:rsid w:val="002D027F"/>
    <w:rsid w:val="002D7A85"/>
    <w:rsid w:val="002D7B60"/>
    <w:rsid w:val="002E13B0"/>
    <w:rsid w:val="002E21F6"/>
    <w:rsid w:val="002E67D9"/>
    <w:rsid w:val="002F4761"/>
    <w:rsid w:val="002F5C79"/>
    <w:rsid w:val="003019E2"/>
    <w:rsid w:val="003065E6"/>
    <w:rsid w:val="0031413F"/>
    <w:rsid w:val="003148BB"/>
    <w:rsid w:val="00317976"/>
    <w:rsid w:val="00351B05"/>
    <w:rsid w:val="00355EA9"/>
    <w:rsid w:val="003578DE"/>
    <w:rsid w:val="00385868"/>
    <w:rsid w:val="00396257"/>
    <w:rsid w:val="00397EB8"/>
    <w:rsid w:val="003A4FD0"/>
    <w:rsid w:val="003A69D1"/>
    <w:rsid w:val="003A7705"/>
    <w:rsid w:val="003A77F1"/>
    <w:rsid w:val="003B1545"/>
    <w:rsid w:val="003B1F39"/>
    <w:rsid w:val="003B6351"/>
    <w:rsid w:val="003C409D"/>
    <w:rsid w:val="003C5BA6"/>
    <w:rsid w:val="003D24D0"/>
    <w:rsid w:val="003D50CB"/>
    <w:rsid w:val="003F0E85"/>
    <w:rsid w:val="003F1D30"/>
    <w:rsid w:val="003F7440"/>
    <w:rsid w:val="0041081A"/>
    <w:rsid w:val="00410C55"/>
    <w:rsid w:val="00416854"/>
    <w:rsid w:val="00417725"/>
    <w:rsid w:val="00437F26"/>
    <w:rsid w:val="00444097"/>
    <w:rsid w:val="00445487"/>
    <w:rsid w:val="004456DC"/>
    <w:rsid w:val="00447AB9"/>
    <w:rsid w:val="00454769"/>
    <w:rsid w:val="00455480"/>
    <w:rsid w:val="004618B7"/>
    <w:rsid w:val="00466991"/>
    <w:rsid w:val="0047064C"/>
    <w:rsid w:val="004A42E1"/>
    <w:rsid w:val="004B162C"/>
    <w:rsid w:val="004C3DBE"/>
    <w:rsid w:val="004C5C96"/>
    <w:rsid w:val="004D06A4"/>
    <w:rsid w:val="004E77B3"/>
    <w:rsid w:val="004F1A81"/>
    <w:rsid w:val="00517861"/>
    <w:rsid w:val="005218D9"/>
    <w:rsid w:val="00533551"/>
    <w:rsid w:val="00536186"/>
    <w:rsid w:val="00544CBB"/>
    <w:rsid w:val="00563378"/>
    <w:rsid w:val="0057315F"/>
    <w:rsid w:val="005754A9"/>
    <w:rsid w:val="00576104"/>
    <w:rsid w:val="005A12BE"/>
    <w:rsid w:val="005C67C8"/>
    <w:rsid w:val="005D0249"/>
    <w:rsid w:val="005D6E8C"/>
    <w:rsid w:val="005F100C"/>
    <w:rsid w:val="005F68DA"/>
    <w:rsid w:val="00606059"/>
    <w:rsid w:val="0060773B"/>
    <w:rsid w:val="006157B5"/>
    <w:rsid w:val="00626FC6"/>
    <w:rsid w:val="006303B4"/>
    <w:rsid w:val="00633D3D"/>
    <w:rsid w:val="00641703"/>
    <w:rsid w:val="006431A6"/>
    <w:rsid w:val="0064357C"/>
    <w:rsid w:val="006459F6"/>
    <w:rsid w:val="006501AD"/>
    <w:rsid w:val="00651BFA"/>
    <w:rsid w:val="00654475"/>
    <w:rsid w:val="006576F9"/>
    <w:rsid w:val="006600AD"/>
    <w:rsid w:val="00665A4B"/>
    <w:rsid w:val="0068437E"/>
    <w:rsid w:val="00692E2A"/>
    <w:rsid w:val="006A6624"/>
    <w:rsid w:val="006A76F2"/>
    <w:rsid w:val="006B0E1A"/>
    <w:rsid w:val="006B503A"/>
    <w:rsid w:val="006D7EFB"/>
    <w:rsid w:val="006E090D"/>
    <w:rsid w:val="006E6672"/>
    <w:rsid w:val="006E6722"/>
    <w:rsid w:val="006F040B"/>
    <w:rsid w:val="006F7436"/>
    <w:rsid w:val="007027B9"/>
    <w:rsid w:val="00714E08"/>
    <w:rsid w:val="00715E88"/>
    <w:rsid w:val="0071625A"/>
    <w:rsid w:val="00727D7B"/>
    <w:rsid w:val="00734CAA"/>
    <w:rsid w:val="0075533C"/>
    <w:rsid w:val="00757581"/>
    <w:rsid w:val="007611A0"/>
    <w:rsid w:val="0076553C"/>
    <w:rsid w:val="0079561B"/>
    <w:rsid w:val="00796D3F"/>
    <w:rsid w:val="007A1683"/>
    <w:rsid w:val="007A5C12"/>
    <w:rsid w:val="007A7CB0"/>
    <w:rsid w:val="007B68A3"/>
    <w:rsid w:val="007C2541"/>
    <w:rsid w:val="007D66A8"/>
    <w:rsid w:val="007D7AC3"/>
    <w:rsid w:val="007E003F"/>
    <w:rsid w:val="007E2B3C"/>
    <w:rsid w:val="007F3540"/>
    <w:rsid w:val="007F6126"/>
    <w:rsid w:val="008034CE"/>
    <w:rsid w:val="00805F75"/>
    <w:rsid w:val="00815B30"/>
    <w:rsid w:val="008164F2"/>
    <w:rsid w:val="00821395"/>
    <w:rsid w:val="00830E26"/>
    <w:rsid w:val="00834CCA"/>
    <w:rsid w:val="00843576"/>
    <w:rsid w:val="00843B64"/>
    <w:rsid w:val="00844743"/>
    <w:rsid w:val="008478FC"/>
    <w:rsid w:val="00867BFF"/>
    <w:rsid w:val="008829D3"/>
    <w:rsid w:val="0088480A"/>
    <w:rsid w:val="0088677E"/>
    <w:rsid w:val="0088757A"/>
    <w:rsid w:val="00895058"/>
    <w:rsid w:val="008957DD"/>
    <w:rsid w:val="00897D98"/>
    <w:rsid w:val="008A6DF2"/>
    <w:rsid w:val="008A7807"/>
    <w:rsid w:val="008B4CC9"/>
    <w:rsid w:val="008C00D6"/>
    <w:rsid w:val="008D7C99"/>
    <w:rsid w:val="008E0FCB"/>
    <w:rsid w:val="008F0AB6"/>
    <w:rsid w:val="0090334B"/>
    <w:rsid w:val="0092178C"/>
    <w:rsid w:val="00930B88"/>
    <w:rsid w:val="009379B9"/>
    <w:rsid w:val="00940DCC"/>
    <w:rsid w:val="0094179A"/>
    <w:rsid w:val="0094459E"/>
    <w:rsid w:val="00944DBC"/>
    <w:rsid w:val="0094617E"/>
    <w:rsid w:val="00950977"/>
    <w:rsid w:val="00951A7B"/>
    <w:rsid w:val="009527C6"/>
    <w:rsid w:val="00955D07"/>
    <w:rsid w:val="009561E9"/>
    <w:rsid w:val="009564A6"/>
    <w:rsid w:val="009619F9"/>
    <w:rsid w:val="00967621"/>
    <w:rsid w:val="00967E6A"/>
    <w:rsid w:val="00984A20"/>
    <w:rsid w:val="00985ADF"/>
    <w:rsid w:val="009A1772"/>
    <w:rsid w:val="009B4A0F"/>
    <w:rsid w:val="009C11D2"/>
    <w:rsid w:val="009C1575"/>
    <w:rsid w:val="009C45B9"/>
    <w:rsid w:val="009C6C70"/>
    <w:rsid w:val="009D0B63"/>
    <w:rsid w:val="009E307E"/>
    <w:rsid w:val="009E78C3"/>
    <w:rsid w:val="00A07870"/>
    <w:rsid w:val="00A07F19"/>
    <w:rsid w:val="00A1348D"/>
    <w:rsid w:val="00A232EE"/>
    <w:rsid w:val="00A27C49"/>
    <w:rsid w:val="00A35431"/>
    <w:rsid w:val="00A4175F"/>
    <w:rsid w:val="00A44411"/>
    <w:rsid w:val="00A469FA"/>
    <w:rsid w:val="00A55B01"/>
    <w:rsid w:val="00A55E48"/>
    <w:rsid w:val="00A56B5B"/>
    <w:rsid w:val="00A603FF"/>
    <w:rsid w:val="00A657DD"/>
    <w:rsid w:val="00A666A6"/>
    <w:rsid w:val="00A675FD"/>
    <w:rsid w:val="00A72437"/>
    <w:rsid w:val="00A80611"/>
    <w:rsid w:val="00AA0C30"/>
    <w:rsid w:val="00AB5340"/>
    <w:rsid w:val="00AC0A89"/>
    <w:rsid w:val="00AC7C96"/>
    <w:rsid w:val="00AE237D"/>
    <w:rsid w:val="00AE502A"/>
    <w:rsid w:val="00AE747A"/>
    <w:rsid w:val="00AF0CC1"/>
    <w:rsid w:val="00AF57BE"/>
    <w:rsid w:val="00AF5C4A"/>
    <w:rsid w:val="00AF7C07"/>
    <w:rsid w:val="00B22C93"/>
    <w:rsid w:val="00B27589"/>
    <w:rsid w:val="00B31C97"/>
    <w:rsid w:val="00B405B7"/>
    <w:rsid w:val="00B420CD"/>
    <w:rsid w:val="00B42549"/>
    <w:rsid w:val="00B52222"/>
    <w:rsid w:val="00B54FE7"/>
    <w:rsid w:val="00B66901"/>
    <w:rsid w:val="00B71E6D"/>
    <w:rsid w:val="00B72070"/>
    <w:rsid w:val="00B75656"/>
    <w:rsid w:val="00B779E1"/>
    <w:rsid w:val="00B91C6A"/>
    <w:rsid w:val="00B91EE1"/>
    <w:rsid w:val="00BA0090"/>
    <w:rsid w:val="00BA1A67"/>
    <w:rsid w:val="00BA7797"/>
    <w:rsid w:val="00BE5B5F"/>
    <w:rsid w:val="00BF6255"/>
    <w:rsid w:val="00BF6A93"/>
    <w:rsid w:val="00C03545"/>
    <w:rsid w:val="00C26F55"/>
    <w:rsid w:val="00C30C63"/>
    <w:rsid w:val="00C36B8B"/>
    <w:rsid w:val="00C415C1"/>
    <w:rsid w:val="00C47DBF"/>
    <w:rsid w:val="00C552FF"/>
    <w:rsid w:val="00C558DA"/>
    <w:rsid w:val="00C55AF3"/>
    <w:rsid w:val="00C70845"/>
    <w:rsid w:val="00C74FD8"/>
    <w:rsid w:val="00C84759"/>
    <w:rsid w:val="00C96840"/>
    <w:rsid w:val="00CA1BA6"/>
    <w:rsid w:val="00CA6C7F"/>
    <w:rsid w:val="00CC10A6"/>
    <w:rsid w:val="00CC20CF"/>
    <w:rsid w:val="00CD5EB8"/>
    <w:rsid w:val="00CD7044"/>
    <w:rsid w:val="00CE08B9"/>
    <w:rsid w:val="00CE524C"/>
    <w:rsid w:val="00CF141F"/>
    <w:rsid w:val="00CF4777"/>
    <w:rsid w:val="00D04C1C"/>
    <w:rsid w:val="00D067BB"/>
    <w:rsid w:val="00D1352A"/>
    <w:rsid w:val="00D169AF"/>
    <w:rsid w:val="00D25249"/>
    <w:rsid w:val="00D33031"/>
    <w:rsid w:val="00D33D5C"/>
    <w:rsid w:val="00D44172"/>
    <w:rsid w:val="00D56BC7"/>
    <w:rsid w:val="00D62DAC"/>
    <w:rsid w:val="00D63B8C"/>
    <w:rsid w:val="00D739CC"/>
    <w:rsid w:val="00D8093D"/>
    <w:rsid w:val="00D8108C"/>
    <w:rsid w:val="00D842AE"/>
    <w:rsid w:val="00D87566"/>
    <w:rsid w:val="00D9211C"/>
    <w:rsid w:val="00D92DE0"/>
    <w:rsid w:val="00D92FEF"/>
    <w:rsid w:val="00D93A0F"/>
    <w:rsid w:val="00DA1BCA"/>
    <w:rsid w:val="00DA7476"/>
    <w:rsid w:val="00DB12CB"/>
    <w:rsid w:val="00DC45C7"/>
    <w:rsid w:val="00DC46FF"/>
    <w:rsid w:val="00DC5254"/>
    <w:rsid w:val="00DD1A4F"/>
    <w:rsid w:val="00DD2838"/>
    <w:rsid w:val="00DD3107"/>
    <w:rsid w:val="00DD6BD6"/>
    <w:rsid w:val="00DD7C2C"/>
    <w:rsid w:val="00DF05AB"/>
    <w:rsid w:val="00E0342F"/>
    <w:rsid w:val="00E034B9"/>
    <w:rsid w:val="00E03D71"/>
    <w:rsid w:val="00E06797"/>
    <w:rsid w:val="00E1265B"/>
    <w:rsid w:val="00E13B48"/>
    <w:rsid w:val="00E1404F"/>
    <w:rsid w:val="00E21C83"/>
    <w:rsid w:val="00E2437D"/>
    <w:rsid w:val="00E24ADA"/>
    <w:rsid w:val="00E32F59"/>
    <w:rsid w:val="00E33E3F"/>
    <w:rsid w:val="00E44A5A"/>
    <w:rsid w:val="00E46D9A"/>
    <w:rsid w:val="00E565FF"/>
    <w:rsid w:val="00E65388"/>
    <w:rsid w:val="00E816E3"/>
    <w:rsid w:val="00E83AFD"/>
    <w:rsid w:val="00E85B7D"/>
    <w:rsid w:val="00E86C82"/>
    <w:rsid w:val="00E9121B"/>
    <w:rsid w:val="00EA0AE2"/>
    <w:rsid w:val="00EA39E5"/>
    <w:rsid w:val="00EA5E72"/>
    <w:rsid w:val="00EB563C"/>
    <w:rsid w:val="00EC5A46"/>
    <w:rsid w:val="00EC63E2"/>
    <w:rsid w:val="00EC7E37"/>
    <w:rsid w:val="00EE7A32"/>
    <w:rsid w:val="00EF22B3"/>
    <w:rsid w:val="00F02B81"/>
    <w:rsid w:val="00F03B69"/>
    <w:rsid w:val="00F0653C"/>
    <w:rsid w:val="00F07A50"/>
    <w:rsid w:val="00F113DA"/>
    <w:rsid w:val="00F21C7C"/>
    <w:rsid w:val="00F24AB6"/>
    <w:rsid w:val="00F37DC8"/>
    <w:rsid w:val="00F439B3"/>
    <w:rsid w:val="00F55490"/>
    <w:rsid w:val="00F650C3"/>
    <w:rsid w:val="00F65D85"/>
    <w:rsid w:val="00F8091E"/>
    <w:rsid w:val="00F8615C"/>
    <w:rsid w:val="00F94214"/>
    <w:rsid w:val="00F969E5"/>
    <w:rsid w:val="00FA3208"/>
    <w:rsid w:val="00FA5BA4"/>
    <w:rsid w:val="00FA6BB0"/>
    <w:rsid w:val="00FB308C"/>
    <w:rsid w:val="00FD5860"/>
    <w:rsid w:val="00FE352D"/>
    <w:rsid w:val="00FE40EB"/>
    <w:rsid w:val="00FE4D02"/>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5B5922"/>
  <w15:docId w15:val="{E004B456-1D62-46A5-A24A-8BB23763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56DC"/>
    <w:pPr>
      <w:spacing w:after="200" w:line="276" w:lineRule="auto"/>
    </w:pPr>
    <w:rPr>
      <w:rFonts w:ascii="Calibri" w:eastAsia="MS Mincho" w:hAnsi="Calibri"/>
      <w:sz w:val="22"/>
      <w:szCs w:val="22"/>
    </w:rPr>
  </w:style>
  <w:style w:type="paragraph" w:styleId="Heading1">
    <w:name w:val="heading 1"/>
    <w:basedOn w:val="Normal"/>
    <w:next w:val="Normalnumber"/>
    <w:qFormat/>
    <w:rsid w:val="000D6941"/>
    <w:pPr>
      <w:keepNext/>
      <w:tabs>
        <w:tab w:val="left" w:pos="1247"/>
        <w:tab w:val="left" w:pos="1814"/>
      </w:tabs>
      <w:spacing w:before="240" w:after="120"/>
      <w:ind w:left="1247" w:hanging="680"/>
      <w:outlineLvl w:val="0"/>
    </w:pPr>
    <w:rPr>
      <w:b/>
      <w:sz w:val="28"/>
    </w:rPr>
  </w:style>
  <w:style w:type="paragraph" w:styleId="Heading2">
    <w:name w:val="heading 2"/>
    <w:basedOn w:val="Normal"/>
    <w:next w:val="Normalnumber"/>
    <w:qFormat/>
    <w:rsid w:val="000D6941"/>
    <w:pPr>
      <w:keepNext/>
      <w:spacing w:before="240" w:after="120"/>
      <w:ind w:left="1247" w:hanging="680"/>
      <w:outlineLvl w:val="1"/>
    </w:pPr>
    <w:rPr>
      <w:b/>
      <w:sz w:val="24"/>
      <w:szCs w:val="24"/>
    </w:rPr>
  </w:style>
  <w:style w:type="paragraph" w:styleId="Heading3">
    <w:name w:val="heading 3"/>
    <w:basedOn w:val="Normal"/>
    <w:next w:val="Normalnumber"/>
    <w:qFormat/>
    <w:rsid w:val="000D6941"/>
    <w:pPr>
      <w:spacing w:after="120"/>
      <w:ind w:left="1247" w:hanging="680"/>
      <w:outlineLvl w:val="2"/>
    </w:pPr>
    <w:rPr>
      <w:b/>
    </w:rPr>
  </w:style>
  <w:style w:type="paragraph" w:styleId="Heading4">
    <w:name w:val="heading 4"/>
    <w:basedOn w:val="Heading3"/>
    <w:next w:val="Normalnumber"/>
    <w:qFormat/>
    <w:rsid w:val="000D6941"/>
    <w:pPr>
      <w:keepNext/>
      <w:outlineLvl w:val="3"/>
    </w:pPr>
  </w:style>
  <w:style w:type="paragraph" w:styleId="Heading5">
    <w:name w:val="heading 5"/>
    <w:basedOn w:val="Normal"/>
    <w:next w:val="Normal"/>
    <w:qFormat/>
    <w:rsid w:val="000D6941"/>
    <w:pPr>
      <w:keepNext/>
      <w:outlineLvl w:val="4"/>
    </w:pPr>
    <w:rPr>
      <w:rFonts w:ascii="Univers" w:hAnsi="Univers"/>
      <w:b/>
      <w:sz w:val="24"/>
    </w:rPr>
  </w:style>
  <w:style w:type="paragraph" w:styleId="Heading6">
    <w:name w:val="heading 6"/>
    <w:basedOn w:val="Normal"/>
    <w:next w:val="Normal"/>
    <w:qFormat/>
    <w:rsid w:val="000D6941"/>
    <w:pPr>
      <w:keepNext/>
      <w:ind w:left="578"/>
      <w:outlineLvl w:val="5"/>
    </w:pPr>
    <w:rPr>
      <w:b/>
      <w:bCs/>
      <w:sz w:val="24"/>
    </w:rPr>
  </w:style>
  <w:style w:type="paragraph" w:styleId="Heading7">
    <w:name w:val="heading 7"/>
    <w:basedOn w:val="Normal"/>
    <w:next w:val="Normal"/>
    <w:qFormat/>
    <w:rsid w:val="000D6941"/>
    <w:pPr>
      <w:keepNext/>
      <w:widowControl w:val="0"/>
      <w:jc w:val="center"/>
      <w:outlineLvl w:val="6"/>
    </w:pPr>
    <w:rPr>
      <w:snapToGrid w:val="0"/>
      <w:u w:val="single"/>
    </w:rPr>
  </w:style>
  <w:style w:type="paragraph" w:styleId="Heading8">
    <w:name w:val="heading 8"/>
    <w:basedOn w:val="Normal"/>
    <w:next w:val="Normal"/>
    <w:qFormat/>
    <w:rsid w:val="000D6941"/>
    <w:pPr>
      <w:keepNext/>
      <w:widowControl w:val="0"/>
      <w:numPr>
        <w:numId w:val="1"/>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0D6941"/>
    <w:pPr>
      <w:keepNext/>
      <w:widowControl w:val="0"/>
      <w:numPr>
        <w:numId w:val="2"/>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D6941"/>
    <w:rPr>
      <w:rFonts w:ascii="Times New Roman" w:hAnsi="Times New Roman"/>
      <w:b/>
      <w:sz w:val="18"/>
    </w:rPr>
  </w:style>
  <w:style w:type="table" w:customStyle="1" w:styleId="Tabledocright">
    <w:name w:val="Table_doc_right"/>
    <w:basedOn w:val="TableNormal"/>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0D6941"/>
    <w:pPr>
      <w:ind w:left="1000"/>
    </w:pPr>
    <w:rPr>
      <w:sz w:val="18"/>
      <w:szCs w:val="18"/>
    </w:rPr>
  </w:style>
  <w:style w:type="paragraph" w:styleId="TOC7">
    <w:name w:val="toc 7"/>
    <w:basedOn w:val="Normal"/>
    <w:next w:val="Normal"/>
    <w:autoRedefine/>
    <w:semiHidden/>
    <w:rsid w:val="000D6941"/>
    <w:pPr>
      <w:ind w:left="1200"/>
    </w:pPr>
    <w:rPr>
      <w:sz w:val="18"/>
      <w:szCs w:val="18"/>
    </w:rPr>
  </w:style>
  <w:style w:type="paragraph" w:styleId="TOC8">
    <w:name w:val="toc 8"/>
    <w:basedOn w:val="Normal"/>
    <w:next w:val="Normal"/>
    <w:autoRedefine/>
    <w:semiHidden/>
    <w:rsid w:val="000D6941"/>
    <w:pPr>
      <w:ind w:left="1400"/>
    </w:pPr>
    <w:rPr>
      <w:sz w:val="18"/>
      <w:szCs w:val="18"/>
    </w:rPr>
  </w:style>
  <w:style w:type="paragraph" w:styleId="TOC9">
    <w:name w:val="toc 9"/>
    <w:basedOn w:val="Normal"/>
    <w:next w:val="Normal"/>
    <w:autoRedefine/>
    <w:semiHidden/>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TableofFigures">
    <w:name w:val="table of figures"/>
    <w:basedOn w:val="Normal"/>
    <w:next w:val="Normal"/>
    <w:autoRedefine/>
    <w:semiHidden/>
    <w:rsid w:val="000D6941"/>
    <w:pPr>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TableNormal"/>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after="12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spacing w:after="120"/>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160D74"/>
    <w:pPr>
      <w:tabs>
        <w:tab w:val="left" w:pos="1247"/>
        <w:tab w:val="left" w:pos="1814"/>
        <w:tab w:val="left" w:pos="2381"/>
        <w:tab w:val="left" w:pos="2948"/>
        <w:tab w:val="left" w:pos="3515"/>
        <w:tab w:val="left" w:pos="4082"/>
      </w:tabs>
    </w:pPr>
    <w:rPr>
      <w:lang w:val="en-GB"/>
    </w:rPr>
  </w:style>
  <w:style w:type="character" w:styleId="FootnoteReference">
    <w:name w:val="footnote reference"/>
    <w:aliases w:val="16 Point,Superscript 6 Point,number,SUPERS,Footnote Reference Superscript"/>
    <w:basedOn w:val="DefaultParagraphFont"/>
    <w:rsid w:val="000D6941"/>
    <w:rPr>
      <w:rFonts w:ascii="Times New Roman" w:hAnsi="Times New Roman"/>
      <w:color w:val="auto"/>
      <w:sz w:val="20"/>
      <w:szCs w:val="18"/>
      <w:vertAlign w:val="superscript"/>
    </w:rPr>
  </w:style>
  <w:style w:type="paragraph" w:styleId="FootnoteText">
    <w:name w:val="footnote text"/>
    <w:basedOn w:val="Normalpool"/>
    <w:semiHidden/>
    <w:rsid w:val="000D6941"/>
    <w:pPr>
      <w:spacing w:before="20" w:after="40"/>
      <w:ind w:left="1247"/>
    </w:pPr>
    <w:rPr>
      <w:sz w:val="18"/>
    </w:rPr>
  </w:style>
  <w:style w:type="table" w:customStyle="1" w:styleId="AATable">
    <w:name w:val="AA_Table"/>
    <w:basedOn w:val="TableNormal"/>
    <w:semiHidden/>
    <w:rsid w:val="003A77F1"/>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rsid w:val="00160D74"/>
    <w:pPr>
      <w:keepNext/>
      <w:keepLines/>
      <w:suppressAutoHyphens/>
      <w:spacing w:before="320" w:after="240"/>
      <w:ind w:left="1247" w:right="567"/>
    </w:pPr>
    <w:rPr>
      <w:b/>
      <w:sz w:val="28"/>
      <w:szCs w:val="28"/>
      <w:lang w:val="en-GB"/>
    </w:rPr>
  </w:style>
  <w:style w:type="paragraph" w:styleId="Footer">
    <w:name w:val="footer"/>
    <w:basedOn w:val="Normal"/>
    <w:link w:val="FooterChar"/>
    <w:rsid w:val="00821395"/>
    <w:pPr>
      <w:tabs>
        <w:tab w:val="center" w:pos="4320"/>
        <w:tab w:val="right" w:pos="8640"/>
      </w:tabs>
      <w:spacing w:before="60" w:after="120"/>
    </w:pPr>
    <w:rPr>
      <w:sz w:val="18"/>
    </w:rPr>
  </w:style>
  <w:style w:type="paragraph" w:styleId="Header">
    <w:name w:val="header"/>
    <w:basedOn w:val="Normal"/>
    <w:semiHidden/>
    <w:rsid w:val="000D6941"/>
    <w:pPr>
      <w:pBdr>
        <w:bottom w:val="single" w:sz="4" w:space="1" w:color="auto"/>
      </w:pBdr>
      <w:tabs>
        <w:tab w:val="center" w:pos="4536"/>
        <w:tab w:val="right" w:pos="9072"/>
      </w:tabs>
      <w:spacing w:after="120"/>
    </w:pPr>
    <w:rPr>
      <w:b/>
      <w:sz w:val="18"/>
    </w:rPr>
  </w:style>
  <w:style w:type="character" w:styleId="Hyperlink">
    <w:name w:val="Hyperlink"/>
    <w:basedOn w:val="DefaultParagraphFont"/>
    <w:semiHidden/>
    <w:rsid w:val="000D6941"/>
    <w:rPr>
      <w:rFonts w:ascii="Times New Roman" w:hAnsi="Times New Roman"/>
      <w:color w:val="auto"/>
      <w:sz w:val="20"/>
      <w:szCs w:val="20"/>
      <w:u w:val="none"/>
      <w:lang w:val="fr-FR"/>
    </w:rPr>
  </w:style>
  <w:style w:type="numbering" w:customStyle="1" w:styleId="Normallist">
    <w:name w:val="Normal_list"/>
    <w:basedOn w:val="NoList"/>
    <w:semiHidden/>
    <w:rsid w:val="003A77F1"/>
    <w:pPr>
      <w:numPr>
        <w:numId w:val="3"/>
      </w:numPr>
    </w:pPr>
  </w:style>
  <w:style w:type="paragraph" w:customStyle="1" w:styleId="NormalNonumber">
    <w:name w:val="Normal_No_number"/>
    <w:basedOn w:val="Normalpool"/>
    <w:rsid w:val="00160D74"/>
    <w:pPr>
      <w:spacing w:after="120"/>
      <w:ind w:left="1247"/>
    </w:pPr>
    <w:rPr>
      <w:lang w:val="en-GB"/>
    </w:rPr>
  </w:style>
  <w:style w:type="paragraph" w:customStyle="1" w:styleId="Normalnumber">
    <w:name w:val="Normal_number"/>
    <w:basedOn w:val="Normalpool"/>
    <w:link w:val="NormalnumberChar"/>
    <w:qFormat/>
    <w:rsid w:val="00024C14"/>
    <w:pPr>
      <w:numPr>
        <w:numId w:val="15"/>
      </w:numPr>
      <w:tabs>
        <w:tab w:val="clear" w:pos="1814"/>
        <w:tab w:val="clear" w:pos="2381"/>
        <w:tab w:val="clear" w:pos="2948"/>
        <w:tab w:val="clear" w:pos="3515"/>
        <w:tab w:val="clear" w:pos="4082"/>
        <w:tab w:val="left" w:pos="624"/>
        <w:tab w:val="left" w:pos="1871"/>
        <w:tab w:val="left" w:pos="2495"/>
      </w:tabs>
      <w:spacing w:after="120"/>
    </w:pPr>
    <w:rPr>
      <w:lang w:val="en-GB"/>
    </w:r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OC1">
    <w:name w:val="toc 1"/>
    <w:basedOn w:val="Normalpool"/>
    <w:next w:val="Normalpool"/>
    <w:rsid w:val="000D694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0D694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0D694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styleId="BalloonText">
    <w:name w:val="Balloon Text"/>
    <w:basedOn w:val="Normal"/>
    <w:link w:val="BalloonTextChar"/>
    <w:semiHidden/>
    <w:unhideWhenUsed/>
    <w:rsid w:val="001B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6CA5"/>
    <w:rPr>
      <w:rFonts w:ascii="Segoe UI" w:eastAsia="MS Mincho" w:hAnsi="Segoe UI" w:cs="Segoe UI"/>
      <w:sz w:val="18"/>
      <w:szCs w:val="18"/>
    </w:rPr>
  </w:style>
  <w:style w:type="character" w:customStyle="1" w:styleId="Normal-poolChar">
    <w:name w:val="Normal-pool Char"/>
    <w:link w:val="Normal-pool"/>
    <w:rsid w:val="007E2B3C"/>
    <w:rPr>
      <w:lang w:val="en-GB"/>
    </w:rPr>
  </w:style>
  <w:style w:type="table" w:styleId="TableGrid">
    <w:name w:val="Table Grid"/>
    <w:basedOn w:val="TableNormal"/>
    <w:rsid w:val="00834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rmallist1">
    <w:name w:val="Normal_list1"/>
    <w:basedOn w:val="NoList"/>
    <w:rsid w:val="00834CCA"/>
  </w:style>
  <w:style w:type="character" w:customStyle="1" w:styleId="FooterChar">
    <w:name w:val="Footer Char"/>
    <w:link w:val="Footer"/>
    <w:uiPriority w:val="99"/>
    <w:rsid w:val="00834CCA"/>
    <w:rPr>
      <w:rFonts w:ascii="Calibri" w:eastAsia="MS Mincho" w:hAnsi="Calibri"/>
      <w:sz w:val="18"/>
      <w:szCs w:val="22"/>
    </w:rPr>
  </w:style>
  <w:style w:type="character" w:customStyle="1" w:styleId="NormalnumberChar">
    <w:name w:val="Normal_number Char"/>
    <w:link w:val="Normalnumber"/>
    <w:rsid w:val="005A12BE"/>
    <w:rPr>
      <w:lang w:val="en-GB"/>
    </w:rPr>
  </w:style>
  <w:style w:type="character" w:styleId="CommentReference">
    <w:name w:val="annotation reference"/>
    <w:basedOn w:val="DefaultParagraphFont"/>
    <w:semiHidden/>
    <w:unhideWhenUsed/>
    <w:rsid w:val="003B6351"/>
    <w:rPr>
      <w:sz w:val="16"/>
      <w:szCs w:val="16"/>
    </w:rPr>
  </w:style>
  <w:style w:type="paragraph" w:styleId="CommentText">
    <w:name w:val="annotation text"/>
    <w:basedOn w:val="Normal"/>
    <w:link w:val="CommentTextChar"/>
    <w:semiHidden/>
    <w:unhideWhenUsed/>
    <w:rsid w:val="003B6351"/>
    <w:pPr>
      <w:spacing w:line="240" w:lineRule="auto"/>
    </w:pPr>
    <w:rPr>
      <w:sz w:val="20"/>
      <w:szCs w:val="20"/>
    </w:rPr>
  </w:style>
  <w:style w:type="character" w:customStyle="1" w:styleId="CommentTextChar">
    <w:name w:val="Comment Text Char"/>
    <w:basedOn w:val="DefaultParagraphFont"/>
    <w:link w:val="CommentText"/>
    <w:semiHidden/>
    <w:rsid w:val="003B6351"/>
    <w:rPr>
      <w:rFonts w:ascii="Calibri" w:eastAsia="MS Mincho" w:hAnsi="Calibri"/>
    </w:rPr>
  </w:style>
  <w:style w:type="paragraph" w:styleId="CommentSubject">
    <w:name w:val="annotation subject"/>
    <w:basedOn w:val="CommentText"/>
    <w:next w:val="CommentText"/>
    <w:link w:val="CommentSubjectChar"/>
    <w:semiHidden/>
    <w:unhideWhenUsed/>
    <w:rsid w:val="003B6351"/>
    <w:rPr>
      <w:b/>
      <w:bCs/>
    </w:rPr>
  </w:style>
  <w:style w:type="character" w:customStyle="1" w:styleId="CommentSubjectChar">
    <w:name w:val="Comment Subject Char"/>
    <w:basedOn w:val="CommentTextChar"/>
    <w:link w:val="CommentSubject"/>
    <w:semiHidden/>
    <w:rsid w:val="003B6351"/>
    <w:rPr>
      <w:rFonts w:ascii="Calibri" w:eastAsia="MS Mincho"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20templates%20and%20mastheads_BACKUP\TEMPLATES%20AND%20MASTHEADS\Document%20templates\IPBES%20NEW%20MASTHEAD\IPBES-5\IPBES%20-%205%20-%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21927-6B72-4253-82D8-39FDCBA0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IPBES - 5 - NEW</Template>
  <TotalTime>0</TotalTime>
  <Pages>7</Pages>
  <Words>2894</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Sarah Banda-Genchev ( IPBES Secretariat )</cp:lastModifiedBy>
  <cp:revision>2</cp:revision>
  <cp:lastPrinted>2017-12-14T14:32:00Z</cp:lastPrinted>
  <dcterms:created xsi:type="dcterms:W3CDTF">2018-02-05T15:06:00Z</dcterms:created>
  <dcterms:modified xsi:type="dcterms:W3CDTF">2018-02-05T15:06:00Z</dcterms:modified>
</cp:coreProperties>
</file>