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right"/>
        <w:tblLayout w:type="fixed"/>
        <w:tblLook w:val="0000" w:firstRow="0" w:lastRow="0" w:firstColumn="0" w:lastColumn="0" w:noHBand="0" w:noVBand="0"/>
      </w:tblPr>
      <w:tblGrid>
        <w:gridCol w:w="1542"/>
        <w:gridCol w:w="492"/>
        <w:gridCol w:w="514"/>
        <w:gridCol w:w="864"/>
        <w:gridCol w:w="1006"/>
        <w:gridCol w:w="2625"/>
        <w:gridCol w:w="294"/>
        <w:gridCol w:w="2493"/>
      </w:tblGrid>
      <w:tr w:rsidR="0043690E" w:rsidRPr="006E4E6C" w14:paraId="26C735BC" w14:textId="77777777" w:rsidTr="00BC6417">
        <w:trPr>
          <w:cantSplit/>
          <w:trHeight w:val="1079"/>
          <w:jc w:val="right"/>
        </w:trPr>
        <w:tc>
          <w:tcPr>
            <w:tcW w:w="1489" w:type="dxa"/>
          </w:tcPr>
          <w:p w14:paraId="48893D84" w14:textId="77777777" w:rsidR="0043690E" w:rsidRPr="006E4E6C" w:rsidRDefault="0043690E" w:rsidP="00BC6417">
            <w:pPr>
              <w:pStyle w:val="Normal-pool"/>
              <w:rPr>
                <w:sz w:val="27"/>
                <w:szCs w:val="27"/>
                <w:lang w:val="fr-FR"/>
              </w:rPr>
            </w:pPr>
            <w:bookmarkStart w:id="0" w:name="_GoBack"/>
            <w:bookmarkEnd w:id="0"/>
            <w:r w:rsidRPr="006E4E6C">
              <w:rPr>
                <w:rFonts w:ascii="Arial" w:hAnsi="Arial" w:cs="Arial"/>
                <w:b/>
                <w:sz w:val="27"/>
                <w:szCs w:val="27"/>
                <w:lang w:val="fr-FR"/>
              </w:rPr>
              <w:t>NATIONS UNIES</w:t>
            </w:r>
          </w:p>
        </w:tc>
        <w:tc>
          <w:tcPr>
            <w:tcW w:w="972" w:type="dxa"/>
            <w:gridSpan w:val="2"/>
            <w:tcBorders>
              <w:left w:val="nil"/>
            </w:tcBorders>
            <w:vAlign w:val="center"/>
          </w:tcPr>
          <w:p w14:paraId="5409C3BF" w14:textId="77777777" w:rsidR="0043690E" w:rsidRPr="006E4E6C" w:rsidRDefault="0043690E" w:rsidP="00BC6417">
            <w:pPr>
              <w:pStyle w:val="Normal-pool"/>
              <w:rPr>
                <w:lang w:val="fr-FR"/>
              </w:rPr>
            </w:pPr>
            <w:r w:rsidRPr="006E4E6C">
              <w:rPr>
                <w:noProof/>
                <w:lang w:eastAsia="en-GB"/>
              </w:rPr>
              <w:drawing>
                <wp:inline distT="0" distB="0" distL="0" distR="0" wp14:anchorId="50161B65" wp14:editId="7B25DCFC">
                  <wp:extent cx="537932" cy="468923"/>
                  <wp:effectExtent l="0" t="0" r="0" b="7620"/>
                  <wp:docPr id="29" name="Picture 29" descr="Description: Description: !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429" cy="475458"/>
                          </a:xfrm>
                          <a:prstGeom prst="rect">
                            <a:avLst/>
                          </a:prstGeom>
                          <a:noFill/>
                          <a:ln>
                            <a:noFill/>
                          </a:ln>
                        </pic:spPr>
                      </pic:pic>
                    </a:graphicData>
                  </a:graphic>
                </wp:inline>
              </w:drawing>
            </w:r>
          </w:p>
        </w:tc>
        <w:tc>
          <w:tcPr>
            <w:tcW w:w="835" w:type="dxa"/>
            <w:tcBorders>
              <w:left w:val="nil"/>
            </w:tcBorders>
            <w:vAlign w:val="center"/>
          </w:tcPr>
          <w:p w14:paraId="15A76B94" w14:textId="77777777" w:rsidR="0043690E" w:rsidRPr="006E4E6C" w:rsidRDefault="0043690E" w:rsidP="00BC6417">
            <w:pPr>
              <w:pStyle w:val="Normal-pool"/>
              <w:spacing w:before="160"/>
              <w:rPr>
                <w:lang w:val="fr-FR"/>
              </w:rPr>
            </w:pPr>
            <w:r w:rsidRPr="006E4E6C">
              <w:rPr>
                <w:noProof/>
                <w:lang w:eastAsia="en-GB"/>
              </w:rPr>
              <w:drawing>
                <wp:inline distT="0" distB="0" distL="0" distR="0" wp14:anchorId="769BB3F1" wp14:editId="4E532341">
                  <wp:extent cx="362710" cy="4788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UE-3.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2710" cy="478800"/>
                          </a:xfrm>
                          <a:prstGeom prst="rect">
                            <a:avLst/>
                          </a:prstGeom>
                        </pic:spPr>
                      </pic:pic>
                    </a:graphicData>
                  </a:graphic>
                </wp:inline>
              </w:drawing>
            </w:r>
          </w:p>
        </w:tc>
        <w:tc>
          <w:tcPr>
            <w:tcW w:w="972" w:type="dxa"/>
            <w:tcBorders>
              <w:left w:val="nil"/>
            </w:tcBorders>
            <w:vAlign w:val="center"/>
          </w:tcPr>
          <w:p w14:paraId="52D6C38A" w14:textId="77777777" w:rsidR="0043690E" w:rsidRPr="006E4E6C" w:rsidRDefault="0043690E" w:rsidP="00BC6417">
            <w:pPr>
              <w:pStyle w:val="Normal-pool"/>
              <w:rPr>
                <w:lang w:val="fr-FR"/>
              </w:rPr>
            </w:pPr>
            <w:r w:rsidRPr="006E4E6C">
              <w:rPr>
                <w:noProof/>
                <w:lang w:eastAsia="en-GB"/>
              </w:rPr>
              <w:drawing>
                <wp:inline distT="0" distB="0" distL="0" distR="0" wp14:anchorId="667C5472" wp14:editId="4AC07F77">
                  <wp:extent cx="574431" cy="475392"/>
                  <wp:effectExtent l="0" t="0" r="0" b="1270"/>
                  <wp:docPr id="31" name="Picture 70" descr="E:\Logos\UNESC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Logos\UNESCO (blac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513" cy="474632"/>
                          </a:xfrm>
                          <a:prstGeom prst="rect">
                            <a:avLst/>
                          </a:prstGeom>
                          <a:noFill/>
                          <a:ln>
                            <a:noFill/>
                          </a:ln>
                        </pic:spPr>
                      </pic:pic>
                    </a:graphicData>
                  </a:graphic>
                </wp:inline>
              </w:drawing>
            </w:r>
          </w:p>
        </w:tc>
        <w:tc>
          <w:tcPr>
            <w:tcW w:w="2536" w:type="dxa"/>
            <w:tcBorders>
              <w:left w:val="nil"/>
            </w:tcBorders>
            <w:vAlign w:val="center"/>
          </w:tcPr>
          <w:p w14:paraId="14185682" w14:textId="77777777" w:rsidR="0043690E" w:rsidRPr="006E4E6C" w:rsidRDefault="0043690E" w:rsidP="00BC6417">
            <w:pPr>
              <w:pStyle w:val="Normal-pool"/>
              <w:rPr>
                <w:lang w:val="fr-FR"/>
              </w:rPr>
            </w:pPr>
            <w:r>
              <w:rPr>
                <w:noProof/>
                <w:lang w:eastAsia="en-GB"/>
              </w:rPr>
              <w:drawing>
                <wp:inline distT="0" distB="0" distL="0" distR="0" wp14:anchorId="55E6E134" wp14:editId="155A7417">
                  <wp:extent cx="1485900" cy="354965"/>
                  <wp:effectExtent l="0" t="0" r="0" b="6985"/>
                  <wp:docPr id="32" name="Picture 6" descr="FA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O-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0" cy="354965"/>
                          </a:xfrm>
                          <a:prstGeom prst="rect">
                            <a:avLst/>
                          </a:prstGeom>
                          <a:noFill/>
                          <a:ln>
                            <a:noFill/>
                          </a:ln>
                        </pic:spPr>
                      </pic:pic>
                    </a:graphicData>
                  </a:graphic>
                </wp:inline>
              </w:drawing>
            </w:r>
          </w:p>
        </w:tc>
        <w:tc>
          <w:tcPr>
            <w:tcW w:w="2693" w:type="dxa"/>
            <w:gridSpan w:val="2"/>
            <w:tcBorders>
              <w:left w:val="nil"/>
            </w:tcBorders>
          </w:tcPr>
          <w:p w14:paraId="04BB76BF" w14:textId="77777777" w:rsidR="0043690E" w:rsidRPr="006E4E6C" w:rsidRDefault="0043690E" w:rsidP="00BC6417">
            <w:pPr>
              <w:pStyle w:val="Normal-pool"/>
              <w:tabs>
                <w:tab w:val="clear" w:pos="2381"/>
              </w:tabs>
              <w:ind w:right="-108"/>
              <w:jc w:val="right"/>
              <w:rPr>
                <w:rFonts w:ascii="Arial" w:hAnsi="Arial" w:cs="Arial"/>
                <w:b/>
                <w:sz w:val="64"/>
                <w:szCs w:val="64"/>
                <w:lang w:val="fr-FR"/>
              </w:rPr>
            </w:pPr>
            <w:r w:rsidRPr="006E4E6C">
              <w:rPr>
                <w:noProof/>
                <w:lang w:eastAsia="en-GB"/>
              </w:rPr>
              <w:drawing>
                <wp:inline distT="0" distB="0" distL="0" distR="0" wp14:anchorId="4A2454EC" wp14:editId="6EDAAEE8">
                  <wp:extent cx="304428" cy="635635"/>
                  <wp:effectExtent l="0" t="0" r="635"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UD.gif"/>
                          <pic:cNvPicPr/>
                        </pic:nvPicPr>
                        <pic:blipFill>
                          <a:blip r:embed="rId15">
                            <a:extLst>
                              <a:ext uri="{BEBA8EAE-BF5A-486C-A8C5-ECC9F3942E4B}">
                                <a14:imgProps xmlns:a14="http://schemas.microsoft.com/office/drawing/2010/main">
                                  <a14:imgLayer r:embed="rId16">
                                    <a14:imgEffect>
                                      <a14:sharpenSoften amount="10000"/>
                                    </a14:imgEffect>
                                    <a14:imgEffect>
                                      <a14:brightnessContrast bright="12000" contrast="21000"/>
                                    </a14:imgEffect>
                                  </a14:imgLayer>
                                </a14:imgProps>
                              </a:ext>
                              <a:ext uri="{28A0092B-C50C-407E-A947-70E740481C1C}">
                                <a14:useLocalDpi xmlns:a14="http://schemas.microsoft.com/office/drawing/2010/main" val="0"/>
                              </a:ext>
                            </a:extLst>
                          </a:blip>
                          <a:stretch>
                            <a:fillRect/>
                          </a:stretch>
                        </pic:blipFill>
                        <pic:spPr>
                          <a:xfrm>
                            <a:off x="0" y="0"/>
                            <a:ext cx="304428" cy="635635"/>
                          </a:xfrm>
                          <a:prstGeom prst="rect">
                            <a:avLst/>
                          </a:prstGeom>
                        </pic:spPr>
                      </pic:pic>
                    </a:graphicData>
                  </a:graphic>
                </wp:inline>
              </w:drawing>
            </w:r>
            <w:r>
              <w:rPr>
                <w:lang w:val="fr-FR"/>
              </w:rPr>
              <w:tab/>
            </w:r>
            <w:r w:rsidRPr="006E4E6C">
              <w:rPr>
                <w:rFonts w:ascii="Arial" w:hAnsi="Arial" w:cs="Arial"/>
                <w:b/>
                <w:sz w:val="64"/>
                <w:szCs w:val="64"/>
                <w:lang w:val="fr-FR"/>
              </w:rPr>
              <w:t>BES</w:t>
            </w:r>
          </w:p>
        </w:tc>
      </w:tr>
      <w:tr w:rsidR="0043690E" w:rsidRPr="006E4E6C" w14:paraId="5E92CD1B" w14:textId="77777777" w:rsidTr="00BC6417">
        <w:trPr>
          <w:cantSplit/>
          <w:trHeight w:val="282"/>
          <w:jc w:val="right"/>
        </w:trPr>
        <w:tc>
          <w:tcPr>
            <w:tcW w:w="1489" w:type="dxa"/>
            <w:tcBorders>
              <w:bottom w:val="single" w:sz="2" w:space="0" w:color="auto"/>
            </w:tcBorders>
          </w:tcPr>
          <w:p w14:paraId="4365378D" w14:textId="77777777" w:rsidR="0043690E" w:rsidRPr="006E4E6C" w:rsidRDefault="0043690E" w:rsidP="00BC6417">
            <w:pPr>
              <w:rPr>
                <w:noProof/>
              </w:rPr>
            </w:pPr>
          </w:p>
        </w:tc>
        <w:tc>
          <w:tcPr>
            <w:tcW w:w="5599" w:type="dxa"/>
            <w:gridSpan w:val="6"/>
            <w:tcBorders>
              <w:bottom w:val="single" w:sz="2" w:space="0" w:color="auto"/>
            </w:tcBorders>
          </w:tcPr>
          <w:p w14:paraId="1D10F64A" w14:textId="77777777" w:rsidR="0043690E" w:rsidRPr="006E4E6C" w:rsidRDefault="0043690E" w:rsidP="00BC6417">
            <w:pPr>
              <w:rPr>
                <w:b/>
                <w:sz w:val="24"/>
                <w:szCs w:val="24"/>
              </w:rPr>
            </w:pPr>
          </w:p>
        </w:tc>
        <w:tc>
          <w:tcPr>
            <w:tcW w:w="2409" w:type="dxa"/>
            <w:tcBorders>
              <w:bottom w:val="single" w:sz="2" w:space="0" w:color="auto"/>
            </w:tcBorders>
          </w:tcPr>
          <w:p w14:paraId="2EC53519" w14:textId="0AAB763C" w:rsidR="0043690E" w:rsidRPr="006E4E6C" w:rsidRDefault="0043690E" w:rsidP="00BC6417">
            <w:pPr>
              <w:pStyle w:val="Normal-pool"/>
              <w:rPr>
                <w:lang w:val="fr-FR"/>
              </w:rPr>
            </w:pPr>
            <w:r w:rsidRPr="006E4E6C">
              <w:rPr>
                <w:b/>
                <w:sz w:val="24"/>
                <w:szCs w:val="24"/>
                <w:lang w:val="fr-FR"/>
              </w:rPr>
              <w:t>IPBES</w:t>
            </w:r>
            <w:r>
              <w:rPr>
                <w:lang w:val="fr-FR"/>
              </w:rPr>
              <w:t>/6/11</w:t>
            </w:r>
          </w:p>
        </w:tc>
      </w:tr>
      <w:tr w:rsidR="0043690E" w:rsidRPr="00F75E86" w14:paraId="7172537C" w14:textId="77777777" w:rsidTr="00BC6417">
        <w:trPr>
          <w:cantSplit/>
          <w:trHeight w:val="1433"/>
          <w:jc w:val="right"/>
        </w:trPr>
        <w:tc>
          <w:tcPr>
            <w:tcW w:w="1964" w:type="dxa"/>
            <w:gridSpan w:val="2"/>
            <w:tcBorders>
              <w:top w:val="single" w:sz="2" w:space="0" w:color="auto"/>
              <w:bottom w:val="single" w:sz="24" w:space="0" w:color="auto"/>
            </w:tcBorders>
          </w:tcPr>
          <w:p w14:paraId="40D37A85" w14:textId="77777777" w:rsidR="0043690E" w:rsidRPr="006E4E6C" w:rsidRDefault="0043690E" w:rsidP="00BC6417">
            <w:pPr>
              <w:spacing w:before="240" w:after="240"/>
              <w:rPr>
                <w:rFonts w:ascii="Arial" w:hAnsi="Arial" w:cs="Arial"/>
                <w:b/>
                <w:sz w:val="28"/>
                <w:szCs w:val="28"/>
              </w:rPr>
            </w:pPr>
            <w:r w:rsidRPr="006E4E6C">
              <w:rPr>
                <w:rFonts w:ascii="Arial" w:hAnsi="Arial" w:cs="Arial"/>
                <w:b/>
                <w:noProof/>
                <w:sz w:val="28"/>
                <w:szCs w:val="28"/>
                <w:lang w:val="en-GB" w:eastAsia="en-GB"/>
              </w:rPr>
              <w:drawing>
                <wp:inline distT="0" distB="0" distL="0" distR="0" wp14:anchorId="5674FDEE" wp14:editId="613E72D8">
                  <wp:extent cx="1111406" cy="519379"/>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BES Logo MONO 2015-0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11408" cy="519380"/>
                          </a:xfrm>
                          <a:prstGeom prst="rect">
                            <a:avLst/>
                          </a:prstGeom>
                        </pic:spPr>
                      </pic:pic>
                    </a:graphicData>
                  </a:graphic>
                </wp:inline>
              </w:drawing>
            </w:r>
          </w:p>
        </w:tc>
        <w:tc>
          <w:tcPr>
            <w:tcW w:w="5124" w:type="dxa"/>
            <w:gridSpan w:val="5"/>
            <w:tcBorders>
              <w:top w:val="single" w:sz="2" w:space="0" w:color="auto"/>
              <w:bottom w:val="single" w:sz="24" w:space="0" w:color="auto"/>
            </w:tcBorders>
          </w:tcPr>
          <w:p w14:paraId="0C1027DF" w14:textId="77777777" w:rsidR="0043690E" w:rsidRPr="006E4E6C" w:rsidRDefault="00DC72C0" w:rsidP="00BC6417">
            <w:pPr>
              <w:pStyle w:val="Normal-pool"/>
              <w:spacing w:before="120" w:after="240"/>
              <w:rPr>
                <w:lang w:val="fr-FR"/>
              </w:rPr>
            </w:pPr>
            <w:hyperlink r:id="rId18" w:tgtFrame="_blank" w:history="1">
              <w:r w:rsidR="0043690E" w:rsidRPr="006E4E6C">
                <w:rPr>
                  <w:rFonts w:ascii="Arial" w:hAnsi="Arial" w:cs="Arial"/>
                  <w:b/>
                  <w:sz w:val="28"/>
                  <w:szCs w:val="28"/>
                  <w:lang w:val="fr-FR"/>
                </w:rPr>
                <w:t>Plateforme intergouvernementale scientifique et politique sur la biodiversité et les services écosystémiques</w:t>
              </w:r>
            </w:hyperlink>
          </w:p>
        </w:tc>
        <w:tc>
          <w:tcPr>
            <w:tcW w:w="2409" w:type="dxa"/>
            <w:tcBorders>
              <w:top w:val="single" w:sz="2" w:space="0" w:color="auto"/>
              <w:bottom w:val="single" w:sz="24" w:space="0" w:color="auto"/>
            </w:tcBorders>
          </w:tcPr>
          <w:p w14:paraId="62D64A89" w14:textId="404D56F7" w:rsidR="0043690E" w:rsidRPr="006E4E6C" w:rsidRDefault="0043690E" w:rsidP="00BC6417">
            <w:pPr>
              <w:pStyle w:val="Normal-pool"/>
              <w:spacing w:before="120"/>
              <w:rPr>
                <w:lang w:val="fr-FR"/>
              </w:rPr>
            </w:pPr>
            <w:r w:rsidRPr="006E4E6C">
              <w:rPr>
                <w:lang w:val="fr-FR"/>
              </w:rPr>
              <w:t xml:space="preserve">Distr. générale </w:t>
            </w:r>
            <w:r w:rsidRPr="006E4E6C">
              <w:rPr>
                <w:lang w:val="fr-FR"/>
              </w:rPr>
              <w:br/>
            </w:r>
            <w:r>
              <w:rPr>
                <w:lang w:val="fr-FR"/>
              </w:rPr>
              <w:t>11</w:t>
            </w:r>
            <w:r w:rsidRPr="006E4E6C">
              <w:rPr>
                <w:lang w:val="fr-FR"/>
              </w:rPr>
              <w:t> décembre 2017</w:t>
            </w:r>
          </w:p>
          <w:p w14:paraId="51F65045" w14:textId="77777777" w:rsidR="0043690E" w:rsidRPr="006E4E6C" w:rsidRDefault="0043690E" w:rsidP="00BC6417">
            <w:pPr>
              <w:pStyle w:val="Normal-pool"/>
              <w:spacing w:before="120"/>
              <w:rPr>
                <w:lang w:val="fr-FR"/>
              </w:rPr>
            </w:pPr>
            <w:r w:rsidRPr="006E4E6C">
              <w:rPr>
                <w:lang w:val="fr-FR"/>
              </w:rPr>
              <w:t xml:space="preserve">Français </w:t>
            </w:r>
            <w:r w:rsidRPr="006E4E6C">
              <w:rPr>
                <w:lang w:val="fr-FR"/>
              </w:rPr>
              <w:br/>
              <w:t>Original : anglais</w:t>
            </w:r>
          </w:p>
        </w:tc>
      </w:tr>
    </w:tbl>
    <w:p w14:paraId="49F9B5E1" w14:textId="77777777" w:rsidR="0043690E" w:rsidRPr="0043690E" w:rsidRDefault="0043690E" w:rsidP="0043690E">
      <w:pPr>
        <w:pStyle w:val="AATitle"/>
        <w:ind w:left="180" w:right="4160"/>
        <w:rPr>
          <w:lang w:val="fr-FR"/>
        </w:rPr>
      </w:pPr>
      <w:r w:rsidRPr="0043690E">
        <w:rPr>
          <w:lang w:val="fr-FR"/>
        </w:rPr>
        <w:t xml:space="preserve">Plénière de la Plateforme intergouvernementale </w:t>
      </w:r>
      <w:r w:rsidRPr="0043690E">
        <w:rPr>
          <w:lang w:val="fr-FR"/>
        </w:rPr>
        <w:br/>
        <w:t xml:space="preserve">scientifique et politique sur la biodiversité </w:t>
      </w:r>
      <w:r w:rsidRPr="0043690E">
        <w:rPr>
          <w:lang w:val="fr-FR"/>
        </w:rPr>
        <w:br/>
        <w:t>et les services écosystémiques</w:t>
      </w:r>
    </w:p>
    <w:p w14:paraId="0BC36011" w14:textId="77777777" w:rsidR="0043690E" w:rsidRPr="0043690E" w:rsidRDefault="0043690E" w:rsidP="0043690E">
      <w:pPr>
        <w:pStyle w:val="AATitle"/>
        <w:ind w:left="180" w:right="4160"/>
        <w:rPr>
          <w:lang w:val="fr-FR"/>
        </w:rPr>
      </w:pPr>
      <w:r w:rsidRPr="0043690E">
        <w:rPr>
          <w:lang w:val="fr-FR"/>
        </w:rPr>
        <w:t>Sixième session</w:t>
      </w:r>
    </w:p>
    <w:p w14:paraId="61493228" w14:textId="77777777" w:rsidR="0043690E" w:rsidRPr="0043690E" w:rsidRDefault="0043690E" w:rsidP="0043690E">
      <w:pPr>
        <w:pStyle w:val="AATitle"/>
        <w:ind w:left="180" w:right="4160"/>
        <w:rPr>
          <w:lang w:val="fr-FR"/>
        </w:rPr>
      </w:pPr>
      <w:r w:rsidRPr="0043690E">
        <w:rPr>
          <w:b w:val="0"/>
          <w:lang w:val="fr-FR" w:eastAsia="ja-JP"/>
        </w:rPr>
        <w:t>Medellin (Colombie), 18-24 mars 2018</w:t>
      </w:r>
    </w:p>
    <w:p w14:paraId="3C41C4D4" w14:textId="0230C8C2" w:rsidR="00F9521B" w:rsidRPr="00157DEB" w:rsidRDefault="00AF008F" w:rsidP="0043690E">
      <w:pPr>
        <w:pStyle w:val="AATitle"/>
        <w:ind w:left="180"/>
        <w:rPr>
          <w:b w:val="0"/>
          <w:lang w:val="fr-FR"/>
        </w:rPr>
      </w:pPr>
      <w:r w:rsidRPr="00157DEB">
        <w:rPr>
          <w:b w:val="0"/>
          <w:lang w:val="fr-FR"/>
        </w:rPr>
        <w:t>Point</w:t>
      </w:r>
      <w:r w:rsidR="0043690E">
        <w:rPr>
          <w:b w:val="0"/>
          <w:lang w:val="fr-FR"/>
        </w:rPr>
        <w:t> </w:t>
      </w:r>
      <w:r w:rsidR="00CE6210" w:rsidRPr="00157DEB">
        <w:rPr>
          <w:b w:val="0"/>
          <w:lang w:val="fr-FR"/>
        </w:rPr>
        <w:t>11</w:t>
      </w:r>
      <w:r w:rsidR="00E255F9" w:rsidRPr="00157DEB">
        <w:rPr>
          <w:b w:val="0"/>
          <w:lang w:val="fr-FR"/>
        </w:rPr>
        <w:t xml:space="preserve"> </w:t>
      </w:r>
      <w:r w:rsidRPr="00157DEB">
        <w:rPr>
          <w:b w:val="0"/>
          <w:lang w:val="fr-FR"/>
        </w:rPr>
        <w:t>de l</w:t>
      </w:r>
      <w:r w:rsidR="00C73372">
        <w:rPr>
          <w:b w:val="0"/>
          <w:lang w:val="fr-FR"/>
        </w:rPr>
        <w:t>’</w:t>
      </w:r>
      <w:r w:rsidRPr="00157DEB">
        <w:rPr>
          <w:b w:val="0"/>
          <w:lang w:val="fr-FR"/>
        </w:rPr>
        <w:t>ordre du jour provisoire</w:t>
      </w:r>
      <w:r w:rsidR="00E255F9" w:rsidRPr="00157DEB">
        <w:rPr>
          <w:rStyle w:val="FootnoteReference"/>
          <w:b w:val="0"/>
          <w:vertAlign w:val="baseline"/>
          <w:lang w:val="fr-FR"/>
        </w:rPr>
        <w:footnoteReference w:customMarkFollows="1" w:id="1"/>
        <w:t>*</w:t>
      </w:r>
    </w:p>
    <w:p w14:paraId="4228D3FB" w14:textId="2090FB51" w:rsidR="00C956B3" w:rsidRPr="00157DEB" w:rsidRDefault="00AF008F" w:rsidP="0043690E">
      <w:pPr>
        <w:pStyle w:val="AATitle2"/>
        <w:spacing w:before="60"/>
        <w:ind w:left="180"/>
        <w:rPr>
          <w:lang w:val="fr-FR"/>
        </w:rPr>
      </w:pPr>
      <w:r w:rsidRPr="00157DEB">
        <w:rPr>
          <w:lang w:val="fr-FR"/>
        </w:rPr>
        <w:t>Élaboration d</w:t>
      </w:r>
      <w:r w:rsidR="00C73372">
        <w:rPr>
          <w:lang w:val="fr-FR"/>
        </w:rPr>
        <w:t>’</w:t>
      </w:r>
      <w:r w:rsidRPr="00157DEB">
        <w:rPr>
          <w:lang w:val="fr-FR"/>
        </w:rPr>
        <w:t xml:space="preserve">un deuxième programme de travail </w:t>
      </w:r>
    </w:p>
    <w:p w14:paraId="33590B4B" w14:textId="067E79AB" w:rsidR="00062885" w:rsidRPr="00157DEB" w:rsidRDefault="00AF008F" w:rsidP="00225E39">
      <w:pPr>
        <w:pStyle w:val="BBTitle"/>
        <w:tabs>
          <w:tab w:val="left" w:pos="4082"/>
        </w:tabs>
        <w:rPr>
          <w:lang w:val="fr-FR"/>
        </w:rPr>
      </w:pPr>
      <w:r w:rsidRPr="00157DEB">
        <w:rPr>
          <w:lang w:val="fr-FR"/>
        </w:rPr>
        <w:t>Élaboration d</w:t>
      </w:r>
      <w:r w:rsidR="00C73372">
        <w:rPr>
          <w:lang w:val="fr-FR"/>
        </w:rPr>
        <w:t>’</w:t>
      </w:r>
      <w:r w:rsidRPr="00157DEB">
        <w:rPr>
          <w:lang w:val="fr-FR"/>
        </w:rPr>
        <w:t>un deuxième programme de travail</w:t>
      </w:r>
    </w:p>
    <w:p w14:paraId="7A12FE2E" w14:textId="2BB35FFC" w:rsidR="00C956B3" w:rsidRPr="00157DEB" w:rsidRDefault="00225E39" w:rsidP="00225E39">
      <w:pPr>
        <w:pStyle w:val="CH2"/>
        <w:tabs>
          <w:tab w:val="clear" w:pos="624"/>
          <w:tab w:val="left" w:pos="4082"/>
        </w:tabs>
        <w:spacing w:before="80"/>
        <w:ind w:left="1247" w:hanging="1247"/>
        <w:rPr>
          <w:rFonts w:eastAsia="Times New Roman"/>
          <w:lang w:val="fr-FR" w:eastAsia="en-US"/>
        </w:rPr>
      </w:pPr>
      <w:r w:rsidRPr="00157DEB">
        <w:rPr>
          <w:rFonts w:eastAsia="Times New Roman"/>
          <w:lang w:val="fr-FR" w:eastAsia="en-US"/>
        </w:rPr>
        <w:tab/>
      </w:r>
      <w:r w:rsidRPr="00157DEB">
        <w:rPr>
          <w:rFonts w:eastAsia="Times New Roman"/>
          <w:lang w:val="fr-FR" w:eastAsia="en-US"/>
        </w:rPr>
        <w:tab/>
      </w:r>
      <w:r w:rsidR="00F9521B" w:rsidRPr="00157DEB">
        <w:rPr>
          <w:rFonts w:eastAsia="Times New Roman"/>
          <w:lang w:val="fr-FR" w:eastAsia="en-US"/>
        </w:rPr>
        <w:t xml:space="preserve">Note </w:t>
      </w:r>
      <w:r w:rsidR="002C0F57" w:rsidRPr="00157DEB">
        <w:rPr>
          <w:rFonts w:eastAsia="Times New Roman"/>
          <w:lang w:val="fr-FR" w:eastAsia="en-US"/>
        </w:rPr>
        <w:t>du</w:t>
      </w:r>
      <w:r w:rsidR="00F9521B" w:rsidRPr="00157DEB">
        <w:rPr>
          <w:rFonts w:eastAsia="Times New Roman"/>
          <w:lang w:val="fr-FR" w:eastAsia="en-US"/>
        </w:rPr>
        <w:t xml:space="preserve"> </w:t>
      </w:r>
      <w:r w:rsidR="002C0F57" w:rsidRPr="00157DEB">
        <w:rPr>
          <w:rFonts w:eastAsia="Times New Roman"/>
          <w:lang w:val="fr-FR" w:eastAsia="en-US"/>
        </w:rPr>
        <w:t>secrétariat</w:t>
      </w:r>
      <w:r w:rsidR="00CE6210" w:rsidRPr="00157DEB">
        <w:rPr>
          <w:rFonts w:eastAsia="Times New Roman"/>
          <w:lang w:val="fr-FR" w:eastAsia="en-US"/>
        </w:rPr>
        <w:t xml:space="preserve"> </w:t>
      </w:r>
    </w:p>
    <w:p w14:paraId="44CB2F1A" w14:textId="2EA645EF" w:rsidR="0083580A" w:rsidRPr="00157DEB" w:rsidRDefault="00225E39" w:rsidP="00225E39">
      <w:pPr>
        <w:pStyle w:val="CH1"/>
        <w:tabs>
          <w:tab w:val="left" w:pos="4082"/>
        </w:tabs>
        <w:rPr>
          <w:lang w:val="fr-FR"/>
        </w:rPr>
      </w:pPr>
      <w:r w:rsidRPr="00157DEB">
        <w:rPr>
          <w:lang w:val="fr-FR"/>
        </w:rPr>
        <w:tab/>
      </w:r>
      <w:r w:rsidRPr="00157DEB">
        <w:rPr>
          <w:lang w:val="fr-FR"/>
        </w:rPr>
        <w:tab/>
      </w:r>
      <w:r w:rsidR="00E041D0" w:rsidRPr="00157DEB">
        <w:rPr>
          <w:lang w:val="fr-FR"/>
        </w:rPr>
        <w:t>Introduction</w:t>
      </w:r>
    </w:p>
    <w:p w14:paraId="41DAC938" w14:textId="6582E061" w:rsidR="00E041D0" w:rsidRPr="00157DEB" w:rsidRDefault="005308D5" w:rsidP="005308D5">
      <w:pPr>
        <w:pStyle w:val="Normalnumber"/>
        <w:tabs>
          <w:tab w:val="clear" w:pos="567"/>
          <w:tab w:val="clear" w:pos="1247"/>
          <w:tab w:val="clear" w:pos="1814"/>
          <w:tab w:val="clear" w:pos="2381"/>
          <w:tab w:val="clear" w:pos="2948"/>
          <w:tab w:val="clear" w:pos="3515"/>
          <w:tab w:val="num" w:pos="624"/>
        </w:tabs>
        <w:rPr>
          <w:lang w:val="fr-FR"/>
        </w:rPr>
      </w:pPr>
      <w:r w:rsidRPr="00157DEB">
        <w:rPr>
          <w:lang w:val="fr-FR"/>
        </w:rPr>
        <w:t>Dans sa décision</w:t>
      </w:r>
      <w:r w:rsidR="0043690E">
        <w:rPr>
          <w:lang w:val="fr-FR"/>
        </w:rPr>
        <w:t> </w:t>
      </w:r>
      <w:r w:rsidR="00256876" w:rsidRPr="00157DEB">
        <w:rPr>
          <w:lang w:val="fr-FR"/>
        </w:rPr>
        <w:t xml:space="preserve">IPBES-5/3, </w:t>
      </w:r>
      <w:r w:rsidRPr="00157DEB">
        <w:rPr>
          <w:lang w:val="fr-FR"/>
        </w:rPr>
        <w:t xml:space="preserve">la Plénière de la Plateforme intergouvernementale scientifique et politique sur la biodiversité et les services écosystémiques </w:t>
      </w:r>
      <w:r w:rsidR="002C0F57" w:rsidRPr="00157DEB">
        <w:rPr>
          <w:lang w:val="fr-FR"/>
        </w:rPr>
        <w:t>a prié le Groupe d</w:t>
      </w:r>
      <w:r w:rsidR="00C73372">
        <w:rPr>
          <w:lang w:val="fr-FR"/>
        </w:rPr>
        <w:t>’</w:t>
      </w:r>
      <w:r w:rsidR="002C0F57" w:rsidRPr="00157DEB">
        <w:rPr>
          <w:lang w:val="fr-FR"/>
        </w:rPr>
        <w:t>experts multidisciplinaire et le Bureau, avec l</w:t>
      </w:r>
      <w:r w:rsidR="00C73372">
        <w:rPr>
          <w:lang w:val="fr-FR"/>
        </w:rPr>
        <w:t>’</w:t>
      </w:r>
      <w:r w:rsidR="002C0F57" w:rsidRPr="00157DEB">
        <w:rPr>
          <w:lang w:val="fr-FR"/>
        </w:rPr>
        <w:t>appui du secrétariat, d</w:t>
      </w:r>
      <w:r w:rsidR="00C73372">
        <w:rPr>
          <w:lang w:val="fr-FR"/>
        </w:rPr>
        <w:t>’</w:t>
      </w:r>
      <w:r w:rsidR="002C0F57" w:rsidRPr="00157DEB">
        <w:rPr>
          <w:lang w:val="fr-FR"/>
        </w:rPr>
        <w:t>élaborer, pour examen par la Plénière à sa sixième session, des projets initiaux d</w:t>
      </w:r>
      <w:r w:rsidR="00C73372">
        <w:rPr>
          <w:lang w:val="fr-FR"/>
        </w:rPr>
        <w:t>’</w:t>
      </w:r>
      <w:r w:rsidR="002C0F57" w:rsidRPr="00157DEB">
        <w:rPr>
          <w:lang w:val="fr-FR"/>
        </w:rPr>
        <w:t>éléments relatifs au cadre du programme de travail glissant, notamment la structure éventuelle, des orientations concernant la manière de solliciter les demandes, la procédure pour recevoir et hiérarchiser les demandes et des estimations préliminaires des coûts et besoins en ressources humaines, en se penchant en particulier sur :</w:t>
      </w:r>
    </w:p>
    <w:p w14:paraId="01663BD8" w14:textId="1087F4EF" w:rsidR="00E041D0" w:rsidRPr="00157DEB" w:rsidRDefault="005308D5" w:rsidP="00FC6D51">
      <w:pPr>
        <w:pStyle w:val="Normalnumber"/>
        <w:numPr>
          <w:ilvl w:val="1"/>
          <w:numId w:val="4"/>
        </w:numPr>
        <w:tabs>
          <w:tab w:val="clear" w:pos="1247"/>
          <w:tab w:val="clear" w:pos="1814"/>
          <w:tab w:val="clear" w:pos="2381"/>
          <w:tab w:val="clear" w:pos="2948"/>
          <w:tab w:val="clear" w:pos="3515"/>
        </w:tabs>
        <w:rPr>
          <w:lang w:val="fr-FR"/>
        </w:rPr>
      </w:pPr>
      <w:r w:rsidRPr="00157DEB">
        <w:rPr>
          <w:lang w:val="fr-FR"/>
        </w:rPr>
        <w:t xml:space="preserve">Le cadre chronologique du deuxième programme de travail </w:t>
      </w:r>
      <w:r w:rsidR="00D1640E">
        <w:rPr>
          <w:lang w:val="fr-FR"/>
        </w:rPr>
        <w:t xml:space="preserve">couvrant une période de 10 ans </w:t>
      </w:r>
      <w:r w:rsidRPr="00157DEB">
        <w:rPr>
          <w:lang w:val="fr-FR"/>
        </w:rPr>
        <w:t>dans le contexte du Programme de développement durable à l</w:t>
      </w:r>
      <w:r w:rsidR="00C73372">
        <w:rPr>
          <w:lang w:val="fr-FR"/>
        </w:rPr>
        <w:t>’</w:t>
      </w:r>
      <w:r w:rsidRPr="00157DEB">
        <w:rPr>
          <w:lang w:val="fr-FR"/>
        </w:rPr>
        <w:t>horizon 2030, y compris les objectifs de développement durable, des conventions relatives à la diversité biologique, et d</w:t>
      </w:r>
      <w:r w:rsidR="00C73372">
        <w:rPr>
          <w:lang w:val="fr-FR"/>
        </w:rPr>
        <w:t>’</w:t>
      </w:r>
      <w:r w:rsidRPr="00157DEB">
        <w:rPr>
          <w:lang w:val="fr-FR"/>
        </w:rPr>
        <w:t>autres processus concernant la biodiversité et les services écosystémiques</w:t>
      </w:r>
      <w:r w:rsidR="00994B07" w:rsidRPr="00157DEB">
        <w:rPr>
          <w:lang w:val="fr-FR"/>
        </w:rPr>
        <w:t> ;</w:t>
      </w:r>
    </w:p>
    <w:p w14:paraId="4A12806B" w14:textId="6F8619BA" w:rsidR="00E041D0" w:rsidRPr="00157DEB" w:rsidRDefault="00994B07" w:rsidP="00994B07">
      <w:pPr>
        <w:pStyle w:val="Normalnumber"/>
        <w:numPr>
          <w:ilvl w:val="1"/>
          <w:numId w:val="4"/>
        </w:numPr>
        <w:tabs>
          <w:tab w:val="clear" w:pos="1247"/>
          <w:tab w:val="clear" w:pos="1814"/>
          <w:tab w:val="clear" w:pos="2381"/>
          <w:tab w:val="clear" w:pos="2948"/>
          <w:tab w:val="clear" w:pos="3515"/>
        </w:tabs>
        <w:rPr>
          <w:lang w:val="fr-FR"/>
        </w:rPr>
      </w:pPr>
      <w:r w:rsidRPr="00157DEB">
        <w:rPr>
          <w:lang w:val="fr-FR"/>
        </w:rPr>
        <w:t>Les opportunités qui pourraient se présenter dans le cadre des partenariats stratégiques ;</w:t>
      </w:r>
    </w:p>
    <w:p w14:paraId="42D5767E" w14:textId="143E8EA4" w:rsidR="00E041D0" w:rsidRPr="00157DEB" w:rsidRDefault="00994B07" w:rsidP="00994B07">
      <w:pPr>
        <w:pStyle w:val="Normalnumber"/>
        <w:numPr>
          <w:ilvl w:val="1"/>
          <w:numId w:val="4"/>
        </w:numPr>
        <w:tabs>
          <w:tab w:val="clear" w:pos="1247"/>
          <w:tab w:val="clear" w:pos="1814"/>
          <w:tab w:val="clear" w:pos="2381"/>
          <w:tab w:val="clear" w:pos="2948"/>
          <w:tab w:val="clear" w:pos="3515"/>
        </w:tabs>
        <w:rPr>
          <w:lang w:val="fr-FR"/>
        </w:rPr>
      </w:pPr>
      <w:r w:rsidRPr="00157DEB">
        <w:rPr>
          <w:lang w:val="fr-FR"/>
        </w:rPr>
        <w:t>Les options en matière de nombre et de calendrier des évaluations méthodologiques et thématiques, ainsi que des évaluations à des échelles spatiales différentes, étant entendu que la Plénière devra faire preuve de souplesse pour répondre aux besoins qui pourront survenir au cours de la période d</w:t>
      </w:r>
      <w:r w:rsidR="00C73372">
        <w:rPr>
          <w:lang w:val="fr-FR"/>
        </w:rPr>
        <w:t>’</w:t>
      </w:r>
      <w:r w:rsidRPr="00157DEB">
        <w:rPr>
          <w:lang w:val="fr-FR"/>
        </w:rPr>
        <w:t>exécution du programme de travail ;</w:t>
      </w:r>
    </w:p>
    <w:p w14:paraId="122F9B1D" w14:textId="06C68BDF" w:rsidR="00E041D0" w:rsidRPr="00157DEB" w:rsidRDefault="00994B07" w:rsidP="00994B07">
      <w:pPr>
        <w:pStyle w:val="Normalnumber"/>
        <w:numPr>
          <w:ilvl w:val="1"/>
          <w:numId w:val="4"/>
        </w:numPr>
        <w:tabs>
          <w:tab w:val="clear" w:pos="1247"/>
          <w:tab w:val="clear" w:pos="1814"/>
          <w:tab w:val="clear" w:pos="2381"/>
          <w:tab w:val="clear" w:pos="2948"/>
          <w:tab w:val="clear" w:pos="3515"/>
        </w:tabs>
        <w:rPr>
          <w:lang w:val="fr-FR"/>
        </w:rPr>
      </w:pPr>
      <w:r w:rsidRPr="00157DEB">
        <w:rPr>
          <w:lang w:val="fr-FR"/>
        </w:rPr>
        <w:t>Le fait que le deuxième programme de travail devrait tenir compte de la réalisation des quatre fonctions de la Plateforme, compte tenu des résultats de l</w:t>
      </w:r>
      <w:r w:rsidR="00C73372">
        <w:rPr>
          <w:lang w:val="fr-FR"/>
        </w:rPr>
        <w:t>’</w:t>
      </w:r>
      <w:r w:rsidRPr="00157DEB">
        <w:rPr>
          <w:lang w:val="fr-FR"/>
        </w:rPr>
        <w:t>e</w:t>
      </w:r>
      <w:r w:rsidR="0043690E">
        <w:rPr>
          <w:lang w:val="fr-FR"/>
        </w:rPr>
        <w:t>xamen de la Plateforme (produit 4 </w:t>
      </w:r>
      <w:r w:rsidRPr="00157DEB">
        <w:rPr>
          <w:lang w:val="fr-FR"/>
        </w:rPr>
        <w:t>e)) et des recommandations en découlant ;</w:t>
      </w:r>
    </w:p>
    <w:p w14:paraId="0C4057F6" w14:textId="1DCFD5DE" w:rsidR="00A7486A" w:rsidRPr="00157DEB" w:rsidRDefault="00994B07" w:rsidP="00994B07">
      <w:pPr>
        <w:pStyle w:val="Normalnumber"/>
        <w:numPr>
          <w:ilvl w:val="1"/>
          <w:numId w:val="4"/>
        </w:numPr>
        <w:tabs>
          <w:tab w:val="clear" w:pos="1247"/>
          <w:tab w:val="clear" w:pos="1814"/>
          <w:tab w:val="clear" w:pos="2381"/>
          <w:tab w:val="clear" w:pos="2948"/>
          <w:tab w:val="clear" w:pos="3515"/>
        </w:tabs>
        <w:rPr>
          <w:lang w:val="fr-FR"/>
        </w:rPr>
      </w:pPr>
      <w:r w:rsidRPr="00157DEB">
        <w:rPr>
          <w:lang w:val="fr-FR"/>
        </w:rPr>
        <w:t>Les modalités de mise en œuvre du deuxième programme de travail, en mettant à profit les premiers résultats de l</w:t>
      </w:r>
      <w:r w:rsidR="00C73372">
        <w:rPr>
          <w:lang w:val="fr-FR"/>
        </w:rPr>
        <w:t>’</w:t>
      </w:r>
      <w:r w:rsidRPr="00157DEB">
        <w:rPr>
          <w:lang w:val="fr-FR"/>
        </w:rPr>
        <w:t>examen de la Plateforme en ce qui concerne les modalités de la mise en œuvre du programme de travail initial de la Plateforme, notamment la structure de l</w:t>
      </w:r>
      <w:r w:rsidR="00C73372">
        <w:rPr>
          <w:lang w:val="fr-FR"/>
        </w:rPr>
        <w:t>’</w:t>
      </w:r>
      <w:r w:rsidRPr="00157DEB">
        <w:rPr>
          <w:lang w:val="fr-FR"/>
        </w:rPr>
        <w:t>appui technique, des équipes spéciales et des groupes d</w:t>
      </w:r>
      <w:r w:rsidR="00C73372">
        <w:rPr>
          <w:lang w:val="fr-FR"/>
        </w:rPr>
        <w:t>’</w:t>
      </w:r>
      <w:r w:rsidRPr="00157DEB">
        <w:rPr>
          <w:lang w:val="fr-FR"/>
        </w:rPr>
        <w:t>experts, et la composition du secrétariat</w:t>
      </w:r>
      <w:r w:rsidR="00E041D0" w:rsidRPr="00157DEB">
        <w:rPr>
          <w:lang w:val="fr-FR"/>
        </w:rPr>
        <w:t>.</w:t>
      </w:r>
    </w:p>
    <w:p w14:paraId="3E2C0706" w14:textId="5CFFE0EE" w:rsidR="001F1977" w:rsidRPr="00157DEB" w:rsidRDefault="003F26F9" w:rsidP="00225E39">
      <w:pPr>
        <w:pStyle w:val="Normalnumber"/>
        <w:tabs>
          <w:tab w:val="clear" w:pos="567"/>
          <w:tab w:val="clear" w:pos="1247"/>
          <w:tab w:val="clear" w:pos="1814"/>
          <w:tab w:val="clear" w:pos="2381"/>
          <w:tab w:val="clear" w:pos="2948"/>
          <w:tab w:val="clear" w:pos="3515"/>
          <w:tab w:val="num" w:pos="624"/>
        </w:tabs>
        <w:rPr>
          <w:lang w:val="fr-FR"/>
        </w:rPr>
      </w:pPr>
      <w:r w:rsidRPr="00157DEB">
        <w:rPr>
          <w:lang w:val="fr-FR"/>
        </w:rPr>
        <w:lastRenderedPageBreak/>
        <w:t>Comme suite à cette décision, le Groupe d</w:t>
      </w:r>
      <w:r w:rsidR="00C73372">
        <w:rPr>
          <w:lang w:val="fr-FR"/>
        </w:rPr>
        <w:t>’</w:t>
      </w:r>
      <w:r w:rsidRPr="00157DEB">
        <w:rPr>
          <w:lang w:val="fr-FR"/>
        </w:rPr>
        <w:t>experts multidisciplinaire et le Bureau ont élaboré des projets initiaux d</w:t>
      </w:r>
      <w:r w:rsidR="00C73372">
        <w:rPr>
          <w:lang w:val="fr-FR"/>
        </w:rPr>
        <w:t>’</w:t>
      </w:r>
      <w:r w:rsidRPr="00157DEB">
        <w:rPr>
          <w:lang w:val="fr-FR"/>
        </w:rPr>
        <w:t>éléments relatifs au cadre du deuxième programme de travail</w:t>
      </w:r>
      <w:r w:rsidR="001F1977" w:rsidRPr="00157DEB">
        <w:rPr>
          <w:lang w:val="fr-FR"/>
        </w:rPr>
        <w:t xml:space="preserve">, </w:t>
      </w:r>
      <w:r w:rsidRPr="00157DEB">
        <w:rPr>
          <w:lang w:val="fr-FR"/>
        </w:rPr>
        <w:t xml:space="preserve">qui figurent en annexe du présent </w:t>
      </w:r>
      <w:r w:rsidR="001F1977" w:rsidRPr="00157DEB">
        <w:rPr>
          <w:lang w:val="fr-FR"/>
        </w:rPr>
        <w:t xml:space="preserve">document, </w:t>
      </w:r>
      <w:r w:rsidRPr="00157DEB">
        <w:rPr>
          <w:lang w:val="fr-FR"/>
        </w:rPr>
        <w:t>pour examen par la Plénière</w:t>
      </w:r>
      <w:r w:rsidR="001F1977" w:rsidRPr="00157DEB">
        <w:rPr>
          <w:lang w:val="fr-FR"/>
        </w:rPr>
        <w:t xml:space="preserve">. </w:t>
      </w:r>
    </w:p>
    <w:p w14:paraId="5EAFB641" w14:textId="195DD764" w:rsidR="00C956B3" w:rsidRPr="00157DEB" w:rsidRDefault="00176EFA" w:rsidP="00176EFA">
      <w:pPr>
        <w:pStyle w:val="CH1"/>
        <w:tabs>
          <w:tab w:val="left" w:pos="4082"/>
        </w:tabs>
        <w:ind w:firstLine="0"/>
        <w:rPr>
          <w:lang w:val="fr-FR"/>
        </w:rPr>
      </w:pPr>
      <w:r w:rsidRPr="00157DEB">
        <w:rPr>
          <w:lang w:val="fr-FR"/>
        </w:rPr>
        <w:t>Mesure</w:t>
      </w:r>
      <w:r w:rsidR="00C139D3" w:rsidRPr="00157DEB">
        <w:rPr>
          <w:lang w:val="fr-FR"/>
        </w:rPr>
        <w:t>s</w:t>
      </w:r>
      <w:r w:rsidRPr="00157DEB">
        <w:rPr>
          <w:lang w:val="fr-FR"/>
        </w:rPr>
        <w:t xml:space="preserve"> proposée</w:t>
      </w:r>
      <w:r w:rsidR="00C139D3" w:rsidRPr="00157DEB">
        <w:rPr>
          <w:lang w:val="fr-FR"/>
        </w:rPr>
        <w:t>s</w:t>
      </w:r>
    </w:p>
    <w:p w14:paraId="58F8BCBF" w14:textId="0B96C59F" w:rsidR="00A7486A" w:rsidRPr="00157DEB" w:rsidRDefault="003F26F9" w:rsidP="00B2239E">
      <w:pPr>
        <w:pStyle w:val="Normalnumber"/>
        <w:keepNext/>
        <w:keepLines/>
        <w:tabs>
          <w:tab w:val="clear" w:pos="567"/>
          <w:tab w:val="clear" w:pos="1247"/>
          <w:tab w:val="clear" w:pos="1814"/>
          <w:tab w:val="clear" w:pos="2381"/>
          <w:tab w:val="clear" w:pos="2948"/>
          <w:tab w:val="clear" w:pos="3515"/>
          <w:tab w:val="num" w:pos="624"/>
        </w:tabs>
        <w:rPr>
          <w:lang w:val="fr-FR"/>
        </w:rPr>
      </w:pPr>
      <w:r w:rsidRPr="00157DEB">
        <w:rPr>
          <w:lang w:val="fr-FR"/>
        </w:rPr>
        <w:t>La Plénière souhaitera peut-être :</w:t>
      </w:r>
    </w:p>
    <w:p w14:paraId="62627AED" w14:textId="2682261A" w:rsidR="00030628" w:rsidRPr="00157DEB" w:rsidRDefault="003F26F9" w:rsidP="00B2239E">
      <w:pPr>
        <w:pStyle w:val="Normalnumber"/>
        <w:keepNext/>
        <w:keepLines/>
        <w:numPr>
          <w:ilvl w:val="1"/>
          <w:numId w:val="4"/>
        </w:numPr>
        <w:tabs>
          <w:tab w:val="clear" w:pos="1247"/>
          <w:tab w:val="clear" w:pos="1814"/>
          <w:tab w:val="clear" w:pos="2381"/>
          <w:tab w:val="clear" w:pos="2948"/>
          <w:tab w:val="clear" w:pos="3515"/>
        </w:tabs>
        <w:rPr>
          <w:lang w:val="fr-FR"/>
        </w:rPr>
      </w:pPr>
      <w:r w:rsidRPr="00157DEB">
        <w:rPr>
          <w:i/>
          <w:lang w:val="fr-FR"/>
        </w:rPr>
        <w:t>Prendre note</w:t>
      </w:r>
      <w:r w:rsidR="00256876" w:rsidRPr="00157DEB">
        <w:rPr>
          <w:lang w:val="fr-FR"/>
        </w:rPr>
        <w:t xml:space="preserve"> </w:t>
      </w:r>
      <w:r w:rsidR="00EC1BEE" w:rsidRPr="00157DEB">
        <w:rPr>
          <w:lang w:val="fr-FR"/>
        </w:rPr>
        <w:t>des projets initiaux d</w:t>
      </w:r>
      <w:r w:rsidR="00C73372">
        <w:rPr>
          <w:lang w:val="fr-FR"/>
        </w:rPr>
        <w:t>’</w:t>
      </w:r>
      <w:r w:rsidR="00EC1BEE" w:rsidRPr="00157DEB">
        <w:rPr>
          <w:lang w:val="fr-FR"/>
        </w:rPr>
        <w:t xml:space="preserve">éléments relatifs au cadre du deuxième programme de travail, qui figurent en annexe du </w:t>
      </w:r>
      <w:r w:rsidR="00C016C1" w:rsidRPr="00157DEB">
        <w:rPr>
          <w:lang w:val="fr-FR"/>
        </w:rPr>
        <w:t>document IPBES/6/11</w:t>
      </w:r>
      <w:r w:rsidR="002B475A">
        <w:rPr>
          <w:lang w:val="fr-FR"/>
        </w:rPr>
        <w:t> </w:t>
      </w:r>
      <w:r w:rsidR="00C016C1" w:rsidRPr="00157DEB">
        <w:rPr>
          <w:lang w:val="fr-FR"/>
        </w:rPr>
        <w:t>;</w:t>
      </w:r>
    </w:p>
    <w:p w14:paraId="03A37609" w14:textId="6C56F31B" w:rsidR="00030628" w:rsidRPr="00157DEB" w:rsidRDefault="00EC1BEE" w:rsidP="00225E39">
      <w:pPr>
        <w:pStyle w:val="Normalnumber"/>
        <w:numPr>
          <w:ilvl w:val="1"/>
          <w:numId w:val="4"/>
        </w:numPr>
        <w:tabs>
          <w:tab w:val="clear" w:pos="1247"/>
          <w:tab w:val="clear" w:pos="1814"/>
          <w:tab w:val="clear" w:pos="2381"/>
          <w:tab w:val="clear" w:pos="2948"/>
          <w:tab w:val="clear" w:pos="3515"/>
        </w:tabs>
        <w:rPr>
          <w:lang w:val="fr-FR"/>
        </w:rPr>
      </w:pPr>
      <w:r w:rsidRPr="00157DEB">
        <w:rPr>
          <w:i/>
          <w:lang w:val="fr-FR"/>
        </w:rPr>
        <w:t xml:space="preserve">Prier </w:t>
      </w:r>
      <w:r w:rsidRPr="00157DEB">
        <w:rPr>
          <w:lang w:val="fr-FR"/>
        </w:rPr>
        <w:t>le Groupe d</w:t>
      </w:r>
      <w:r w:rsidR="00C73372">
        <w:rPr>
          <w:lang w:val="fr-FR"/>
        </w:rPr>
        <w:t>’</w:t>
      </w:r>
      <w:r w:rsidRPr="00157DEB">
        <w:rPr>
          <w:lang w:val="fr-FR"/>
        </w:rPr>
        <w:t>experts multidisciplinaire et le Bureau, avec l</w:t>
      </w:r>
      <w:r w:rsidR="00C73372">
        <w:rPr>
          <w:lang w:val="fr-FR"/>
        </w:rPr>
        <w:t>’</w:t>
      </w:r>
      <w:r w:rsidRPr="00157DEB">
        <w:rPr>
          <w:lang w:val="fr-FR"/>
        </w:rPr>
        <w:t>appui du secrétariat :</w:t>
      </w:r>
    </w:p>
    <w:p w14:paraId="5987495C" w14:textId="04510742" w:rsidR="001844C0" w:rsidRPr="00157DEB" w:rsidRDefault="00495FFB" w:rsidP="00FC6D51">
      <w:pPr>
        <w:pStyle w:val="Normalnumber"/>
        <w:numPr>
          <w:ilvl w:val="2"/>
          <w:numId w:val="4"/>
        </w:numPr>
        <w:tabs>
          <w:tab w:val="clear" w:pos="1247"/>
          <w:tab w:val="clear" w:pos="1814"/>
          <w:tab w:val="clear" w:pos="2381"/>
          <w:tab w:val="clear" w:pos="2948"/>
          <w:tab w:val="clear" w:pos="3515"/>
        </w:tabs>
        <w:rPr>
          <w:lang w:val="fr-FR"/>
        </w:rPr>
      </w:pPr>
      <w:r w:rsidRPr="00157DEB">
        <w:rPr>
          <w:lang w:val="fr-FR"/>
        </w:rPr>
        <w:t>De réviser les projets initiaux d</w:t>
      </w:r>
      <w:r w:rsidR="00C73372">
        <w:rPr>
          <w:lang w:val="fr-FR"/>
        </w:rPr>
        <w:t>’</w:t>
      </w:r>
      <w:r w:rsidRPr="00157DEB">
        <w:rPr>
          <w:lang w:val="fr-FR"/>
        </w:rPr>
        <w:t>éléments relatifs au cadre du deuxième programme de travail</w:t>
      </w:r>
      <w:r w:rsidR="00C73372" w:rsidRPr="00157DEB">
        <w:rPr>
          <w:rStyle w:val="FootnoteReference"/>
          <w:lang w:val="fr-FR"/>
        </w:rPr>
        <w:footnoteReference w:id="2"/>
      </w:r>
      <w:r w:rsidR="001844C0" w:rsidRPr="00157DEB">
        <w:rPr>
          <w:lang w:val="fr-FR"/>
        </w:rPr>
        <w:t xml:space="preserve">, </w:t>
      </w:r>
      <w:r w:rsidRPr="00157DEB">
        <w:rPr>
          <w:lang w:val="fr-FR"/>
        </w:rPr>
        <w:t xml:space="preserve">en tenant compte des vues exprimées par </w:t>
      </w:r>
      <w:r w:rsidR="00D1640E">
        <w:rPr>
          <w:lang w:val="fr-FR"/>
        </w:rPr>
        <w:t>la Plénière, lors de sa sixième </w:t>
      </w:r>
      <w:r w:rsidR="001844C0" w:rsidRPr="00157DEB">
        <w:rPr>
          <w:lang w:val="fr-FR"/>
        </w:rPr>
        <w:t>session</w:t>
      </w:r>
      <w:r w:rsidRPr="00157DEB">
        <w:rPr>
          <w:lang w:val="fr-FR"/>
        </w:rPr>
        <w:t> ;</w:t>
      </w:r>
    </w:p>
    <w:p w14:paraId="3616378C" w14:textId="3B333190" w:rsidR="001844C0" w:rsidRPr="00157DEB" w:rsidRDefault="00495FFB" w:rsidP="00225E39">
      <w:pPr>
        <w:pStyle w:val="Normalnumber"/>
        <w:numPr>
          <w:ilvl w:val="2"/>
          <w:numId w:val="4"/>
        </w:numPr>
        <w:tabs>
          <w:tab w:val="clear" w:pos="1247"/>
          <w:tab w:val="clear" w:pos="1814"/>
          <w:tab w:val="clear" w:pos="2381"/>
          <w:tab w:val="clear" w:pos="2948"/>
          <w:tab w:val="clear" w:pos="3515"/>
        </w:tabs>
        <w:rPr>
          <w:lang w:val="fr-FR"/>
        </w:rPr>
      </w:pPr>
      <w:r w:rsidRPr="00157DEB">
        <w:rPr>
          <w:lang w:val="fr-FR"/>
        </w:rPr>
        <w:t>D</w:t>
      </w:r>
      <w:r w:rsidR="00C73372">
        <w:rPr>
          <w:lang w:val="fr-FR"/>
        </w:rPr>
        <w:t>’</w:t>
      </w:r>
      <w:r w:rsidRPr="00157DEB">
        <w:rPr>
          <w:lang w:val="fr-FR"/>
        </w:rPr>
        <w:t xml:space="preserve">organiser </w:t>
      </w:r>
      <w:r w:rsidR="00B06334" w:rsidRPr="00157DEB">
        <w:rPr>
          <w:lang w:val="fr-FR"/>
        </w:rPr>
        <w:t xml:space="preserve">tôt dans le cadre du processus </w:t>
      </w:r>
      <w:r w:rsidRPr="00157DEB">
        <w:rPr>
          <w:lang w:val="fr-FR"/>
        </w:rPr>
        <w:t>une série de consultations régionales</w:t>
      </w:r>
      <w:r w:rsidR="00B06334" w:rsidRPr="00157DEB">
        <w:rPr>
          <w:lang w:val="fr-FR"/>
        </w:rPr>
        <w:t>, afin</w:t>
      </w:r>
      <w:r w:rsidRPr="00157DEB">
        <w:rPr>
          <w:lang w:val="fr-FR"/>
        </w:rPr>
        <w:t xml:space="preserve"> </w:t>
      </w:r>
      <w:r w:rsidR="00B06334" w:rsidRPr="00157DEB">
        <w:rPr>
          <w:lang w:val="fr-FR"/>
        </w:rPr>
        <w:t>de recueillir les avis des gouverne</w:t>
      </w:r>
      <w:r w:rsidR="0043690E">
        <w:rPr>
          <w:lang w:val="fr-FR"/>
        </w:rPr>
        <w:t>ments et des parties prenantes</w:t>
      </w:r>
      <w:r w:rsidR="00B06334" w:rsidRPr="00157DEB">
        <w:rPr>
          <w:lang w:val="fr-FR"/>
        </w:rPr>
        <w:t xml:space="preserve"> au sujet de la version révisée du projet de cadre du deuxième programme de travail ;</w:t>
      </w:r>
      <w:r w:rsidR="001844C0" w:rsidRPr="00157DEB">
        <w:rPr>
          <w:lang w:val="fr-FR"/>
        </w:rPr>
        <w:t xml:space="preserve"> </w:t>
      </w:r>
    </w:p>
    <w:p w14:paraId="5727F914" w14:textId="68DF71FC" w:rsidR="00CF6AE6" w:rsidRPr="00157DEB" w:rsidRDefault="005A273C" w:rsidP="005A273C">
      <w:pPr>
        <w:pStyle w:val="Normalnumber"/>
        <w:numPr>
          <w:ilvl w:val="2"/>
          <w:numId w:val="4"/>
        </w:numPr>
        <w:tabs>
          <w:tab w:val="clear" w:pos="1247"/>
          <w:tab w:val="clear" w:pos="1814"/>
          <w:tab w:val="clear" w:pos="2381"/>
          <w:tab w:val="clear" w:pos="2948"/>
          <w:tab w:val="clear" w:pos="3515"/>
        </w:tabs>
        <w:rPr>
          <w:lang w:val="fr-FR"/>
        </w:rPr>
      </w:pPr>
      <w:r w:rsidRPr="00157DEB">
        <w:rPr>
          <w:lang w:val="fr-FR"/>
        </w:rPr>
        <w:t>De lancer un appel pour recevoir des demandes, des contributions</w:t>
      </w:r>
      <w:r w:rsidR="0043690E">
        <w:rPr>
          <w:lang w:val="fr-FR"/>
        </w:rPr>
        <w:t xml:space="preserve"> et des suggestions d</w:t>
      </w:r>
      <w:r w:rsidR="00C73372">
        <w:rPr>
          <w:lang w:val="fr-FR"/>
        </w:rPr>
        <w:t>’</w:t>
      </w:r>
      <w:r w:rsidR="0043690E">
        <w:rPr>
          <w:lang w:val="fr-FR"/>
        </w:rPr>
        <w:t>ici au 30 </w:t>
      </w:r>
      <w:r w:rsidRPr="00157DEB">
        <w:rPr>
          <w:lang w:val="fr-FR"/>
        </w:rPr>
        <w:t>septembre 2018, dernier délai, selon la procédure et les orientations qui ont été établies et fi</w:t>
      </w:r>
      <w:r w:rsidR="0043690E">
        <w:rPr>
          <w:lang w:val="fr-FR"/>
        </w:rPr>
        <w:t>gurent en annexe de la décision </w:t>
      </w:r>
      <w:r w:rsidRPr="00157DEB">
        <w:rPr>
          <w:lang w:val="fr-FR"/>
        </w:rPr>
        <w:t>IPBES-1/3 concernant les modalités de réception et de hiérarchisation des demandes soumises à la Plateforme</w:t>
      </w:r>
      <w:r w:rsidR="00C1356F" w:rsidRPr="00157DEB">
        <w:rPr>
          <w:lang w:val="fr-FR"/>
        </w:rPr>
        <w:t>,</w:t>
      </w:r>
      <w:r w:rsidR="00CF6AE6" w:rsidRPr="00157DEB">
        <w:rPr>
          <w:lang w:val="fr-FR"/>
        </w:rPr>
        <w:t xml:space="preserve"> </w:t>
      </w:r>
      <w:r w:rsidRPr="00157DEB">
        <w:rPr>
          <w:lang w:val="fr-FR"/>
        </w:rPr>
        <w:t>et :</w:t>
      </w:r>
    </w:p>
    <w:p w14:paraId="191E62F7" w14:textId="5C9E3626" w:rsidR="00CF6AE6" w:rsidRPr="00157DEB" w:rsidRDefault="006225E9" w:rsidP="003503B8">
      <w:pPr>
        <w:pStyle w:val="Normalnumber"/>
        <w:numPr>
          <w:ilvl w:val="3"/>
          <w:numId w:val="4"/>
        </w:numPr>
        <w:tabs>
          <w:tab w:val="clear" w:pos="1247"/>
          <w:tab w:val="clear" w:pos="1814"/>
          <w:tab w:val="clear" w:pos="2381"/>
          <w:tab w:val="clear" w:pos="2948"/>
          <w:tab w:val="clear" w:pos="3515"/>
        </w:tabs>
        <w:rPr>
          <w:lang w:val="fr-FR"/>
        </w:rPr>
      </w:pPr>
      <w:r w:rsidRPr="00157DEB">
        <w:rPr>
          <w:lang w:val="fr-FR"/>
        </w:rPr>
        <w:t>D</w:t>
      </w:r>
      <w:r w:rsidR="00C73372">
        <w:rPr>
          <w:lang w:val="fr-FR"/>
        </w:rPr>
        <w:t>’</w:t>
      </w:r>
      <w:r w:rsidRPr="00157DEB">
        <w:rPr>
          <w:lang w:val="fr-FR"/>
        </w:rPr>
        <w:t>inviter les membres à présenter des demandes, y compris celles qui découlent des accords multilatéraux sur l</w:t>
      </w:r>
      <w:r w:rsidR="00C73372">
        <w:rPr>
          <w:lang w:val="fr-FR"/>
        </w:rPr>
        <w:t>’</w:t>
      </w:r>
      <w:r w:rsidRPr="00157DEB">
        <w:rPr>
          <w:lang w:val="fr-FR"/>
        </w:rPr>
        <w:t>environnement relatifs à la biodiversité et aux services écosystémiques</w:t>
      </w:r>
      <w:r w:rsidR="001A4274" w:rsidRPr="00157DEB">
        <w:rPr>
          <w:lang w:val="fr-FR"/>
        </w:rPr>
        <w:t xml:space="preserve">, </w:t>
      </w:r>
      <w:r w:rsidR="00AC20BB" w:rsidRPr="00157DEB">
        <w:rPr>
          <w:lang w:val="fr-FR"/>
        </w:rPr>
        <w:t>tel que le détermineront leurs organes directeurs respectifs ;</w:t>
      </w:r>
    </w:p>
    <w:p w14:paraId="3F7E522A" w14:textId="3656EACE" w:rsidR="00C016C1" w:rsidRPr="00157DEB" w:rsidRDefault="0043690E" w:rsidP="00AC20BB">
      <w:pPr>
        <w:pStyle w:val="Normalnumber"/>
        <w:numPr>
          <w:ilvl w:val="3"/>
          <w:numId w:val="4"/>
        </w:numPr>
        <w:tabs>
          <w:tab w:val="clear" w:pos="1247"/>
          <w:tab w:val="clear" w:pos="1814"/>
          <w:tab w:val="clear" w:pos="2381"/>
          <w:tab w:val="clear" w:pos="2948"/>
          <w:tab w:val="clear" w:pos="3515"/>
        </w:tabs>
        <w:rPr>
          <w:lang w:val="fr-FR"/>
        </w:rPr>
      </w:pPr>
      <w:r>
        <w:rPr>
          <w:lang w:val="fr-FR"/>
        </w:rPr>
        <w:t>D</w:t>
      </w:r>
      <w:r w:rsidR="00C73372">
        <w:rPr>
          <w:lang w:val="fr-FR"/>
        </w:rPr>
        <w:t>’</w:t>
      </w:r>
      <w:r>
        <w:rPr>
          <w:lang w:val="fr-FR"/>
        </w:rPr>
        <w:t>inviter les organismes</w:t>
      </w:r>
      <w:r w:rsidR="006225E9" w:rsidRPr="00157DEB">
        <w:rPr>
          <w:lang w:val="fr-FR"/>
        </w:rPr>
        <w:t xml:space="preserve"> des Nations Unies</w:t>
      </w:r>
      <w:r w:rsidR="00AC20BB" w:rsidRPr="00157DEB">
        <w:rPr>
          <w:lang w:val="fr-FR"/>
        </w:rPr>
        <w:t xml:space="preserve"> </w:t>
      </w:r>
      <w:r>
        <w:rPr>
          <w:lang w:val="fr-FR"/>
        </w:rPr>
        <w:t>dont les travaux portent sur</w:t>
      </w:r>
      <w:r w:rsidR="00AC20BB" w:rsidRPr="00157DEB">
        <w:rPr>
          <w:lang w:val="fr-FR"/>
        </w:rPr>
        <w:t xml:space="preserve"> la biodiversité et les services écosystémiques ainsi que les parties prenantes intéressées, telles que les autres organisations intergouvernementales, les organisations scientifiques internationales et régionales, les fonds d</w:t>
      </w:r>
      <w:r w:rsidR="00C73372">
        <w:rPr>
          <w:lang w:val="fr-FR"/>
        </w:rPr>
        <w:t>’</w:t>
      </w:r>
      <w:r w:rsidR="00AC20BB" w:rsidRPr="00157DEB">
        <w:rPr>
          <w:lang w:val="fr-FR"/>
        </w:rPr>
        <w:t xml:space="preserve">affectation spéciale </w:t>
      </w:r>
      <w:r>
        <w:rPr>
          <w:lang w:val="fr-FR"/>
        </w:rPr>
        <w:t xml:space="preserve">pour </w:t>
      </w:r>
      <w:r w:rsidR="00AC20BB" w:rsidRPr="00157DEB">
        <w:rPr>
          <w:lang w:val="fr-FR"/>
        </w:rPr>
        <w:t>l</w:t>
      </w:r>
      <w:r w:rsidR="00C73372">
        <w:rPr>
          <w:lang w:val="fr-FR"/>
        </w:rPr>
        <w:t>’</w:t>
      </w:r>
      <w:r w:rsidR="00AC20BB" w:rsidRPr="00157DEB">
        <w:rPr>
          <w:lang w:val="fr-FR"/>
        </w:rPr>
        <w:t>environnement</w:t>
      </w:r>
      <w:r w:rsidR="00C016C1" w:rsidRPr="00157DEB">
        <w:rPr>
          <w:lang w:val="fr-FR"/>
        </w:rPr>
        <w:t>,</w:t>
      </w:r>
      <w:r w:rsidR="00D45C35" w:rsidRPr="00157DEB">
        <w:rPr>
          <w:lang w:val="fr-FR"/>
        </w:rPr>
        <w:t xml:space="preserve"> </w:t>
      </w:r>
      <w:r w:rsidR="00AC20BB" w:rsidRPr="00157DEB">
        <w:rPr>
          <w:lang w:val="fr-FR"/>
        </w:rPr>
        <w:t xml:space="preserve">les organisations non gouvernementales, les </w:t>
      </w:r>
      <w:r w:rsidR="002C0190">
        <w:rPr>
          <w:lang w:val="fr-FR"/>
        </w:rPr>
        <w:t xml:space="preserve">peuples </w:t>
      </w:r>
      <w:r w:rsidR="00AC20BB" w:rsidRPr="00157DEB">
        <w:rPr>
          <w:lang w:val="fr-FR"/>
        </w:rPr>
        <w:t>autochtones et les communautés locales</w:t>
      </w:r>
      <w:r w:rsidR="002C0190">
        <w:rPr>
          <w:lang w:val="fr-FR"/>
        </w:rPr>
        <w:t xml:space="preserve"> ainsi que </w:t>
      </w:r>
      <w:r w:rsidR="00AC20BB" w:rsidRPr="00157DEB">
        <w:rPr>
          <w:lang w:val="fr-FR"/>
        </w:rPr>
        <w:t>le secteur privé, à</w:t>
      </w:r>
      <w:r w:rsidR="002C0190">
        <w:rPr>
          <w:lang w:val="fr-FR"/>
        </w:rPr>
        <w:t xml:space="preserve"> présenter</w:t>
      </w:r>
      <w:r w:rsidR="00AC20BB" w:rsidRPr="00157DEB">
        <w:rPr>
          <w:lang w:val="fr-FR"/>
        </w:rPr>
        <w:t xml:space="preserve"> des demandes et des suggestions ; </w:t>
      </w:r>
    </w:p>
    <w:p w14:paraId="3DBCED39" w14:textId="5F4D5391" w:rsidR="00860363" w:rsidRPr="00157DEB" w:rsidRDefault="00BF5752" w:rsidP="003503B8">
      <w:pPr>
        <w:pStyle w:val="Normalnumber"/>
        <w:numPr>
          <w:ilvl w:val="3"/>
          <w:numId w:val="4"/>
        </w:numPr>
        <w:tabs>
          <w:tab w:val="clear" w:pos="1247"/>
          <w:tab w:val="clear" w:pos="1814"/>
          <w:tab w:val="clear" w:pos="2381"/>
          <w:tab w:val="clear" w:pos="2948"/>
          <w:tab w:val="clear" w:pos="3515"/>
        </w:tabs>
        <w:rPr>
          <w:lang w:val="fr-FR"/>
        </w:rPr>
      </w:pPr>
      <w:r w:rsidRPr="00157DEB">
        <w:rPr>
          <w:lang w:val="fr-FR"/>
        </w:rPr>
        <w:t>D</w:t>
      </w:r>
      <w:r w:rsidR="00C73372">
        <w:rPr>
          <w:lang w:val="fr-FR"/>
        </w:rPr>
        <w:t>’</w:t>
      </w:r>
      <w:r w:rsidRPr="00157DEB">
        <w:rPr>
          <w:lang w:val="fr-FR"/>
        </w:rPr>
        <w:t>inviter les experts et les détenteurs des savoirs autochtones et locaux à proposer leurs contributions et leurs suggestions dans le cadre du mécanisme participatif de la Plateforme ;</w:t>
      </w:r>
      <w:r w:rsidR="00860363" w:rsidRPr="00157DEB">
        <w:rPr>
          <w:lang w:val="fr-FR"/>
        </w:rPr>
        <w:t xml:space="preserve"> </w:t>
      </w:r>
    </w:p>
    <w:p w14:paraId="56173FA9" w14:textId="6D66FF84" w:rsidR="00C016C1" w:rsidRPr="00157DEB" w:rsidRDefault="00BF5752" w:rsidP="003503B8">
      <w:pPr>
        <w:pStyle w:val="Normalnumber"/>
        <w:numPr>
          <w:ilvl w:val="2"/>
          <w:numId w:val="4"/>
        </w:numPr>
        <w:tabs>
          <w:tab w:val="clear" w:pos="1247"/>
          <w:tab w:val="clear" w:pos="1814"/>
          <w:tab w:val="clear" w:pos="2381"/>
          <w:tab w:val="clear" w:pos="2948"/>
          <w:tab w:val="clear" w:pos="3515"/>
        </w:tabs>
        <w:rPr>
          <w:lang w:val="fr-FR"/>
        </w:rPr>
      </w:pPr>
      <w:r w:rsidRPr="00157DEB">
        <w:rPr>
          <w:lang w:val="fr-FR"/>
        </w:rPr>
        <w:t>D</w:t>
      </w:r>
      <w:r w:rsidR="00C73372">
        <w:rPr>
          <w:lang w:val="fr-FR"/>
        </w:rPr>
        <w:t>’</w:t>
      </w:r>
      <w:r w:rsidRPr="00157DEB">
        <w:rPr>
          <w:lang w:val="fr-FR"/>
        </w:rPr>
        <w:t>établir une liste des demandes, des contributions et des suggestions qui ont été formulées et d</w:t>
      </w:r>
      <w:r w:rsidR="00C73372">
        <w:rPr>
          <w:lang w:val="fr-FR"/>
        </w:rPr>
        <w:t>’</w:t>
      </w:r>
      <w:r w:rsidRPr="00157DEB">
        <w:rPr>
          <w:lang w:val="fr-FR"/>
        </w:rPr>
        <w:t xml:space="preserve">élaborer un rapport qui contiendra une liste hiérarchisée des demandes, des contributions et des suggestions pour examen par la Plénière à sa septième session ; </w:t>
      </w:r>
    </w:p>
    <w:p w14:paraId="4B5E7A16" w14:textId="408F7B58" w:rsidR="004609B1" w:rsidRPr="00157DEB" w:rsidRDefault="00BF5752" w:rsidP="003503B8">
      <w:pPr>
        <w:pStyle w:val="Normalnumber"/>
        <w:numPr>
          <w:ilvl w:val="2"/>
          <w:numId w:val="4"/>
        </w:numPr>
        <w:tabs>
          <w:tab w:val="clear" w:pos="1247"/>
          <w:tab w:val="clear" w:pos="1814"/>
          <w:tab w:val="clear" w:pos="2381"/>
          <w:tab w:val="clear" w:pos="2948"/>
          <w:tab w:val="clear" w:pos="3515"/>
        </w:tabs>
        <w:rPr>
          <w:lang w:val="fr-FR"/>
        </w:rPr>
      </w:pPr>
      <w:r w:rsidRPr="00157DEB">
        <w:rPr>
          <w:lang w:val="fr-FR"/>
        </w:rPr>
        <w:t>De poursuivre la révision du projet de cadre du deuxième programme de travail, en prenant en compte les commentaires reçus dans le contexte des consultations régionales</w:t>
      </w:r>
      <w:r w:rsidR="000635F5" w:rsidRPr="00157DEB">
        <w:rPr>
          <w:lang w:val="fr-FR"/>
        </w:rPr>
        <w:t>, ainsi que le rapport dans lequel figure la liste hiérarchisée mentionnée au paragraphe</w:t>
      </w:r>
      <w:r w:rsidR="00E45A48" w:rsidRPr="00157DEB">
        <w:rPr>
          <w:lang w:val="fr-FR"/>
        </w:rPr>
        <w:t> </w:t>
      </w:r>
      <w:r w:rsidR="00883A34" w:rsidRPr="00157DEB">
        <w:rPr>
          <w:lang w:val="fr-FR"/>
        </w:rPr>
        <w:t>iv)</w:t>
      </w:r>
      <w:r w:rsidR="000635F5" w:rsidRPr="00157DEB">
        <w:rPr>
          <w:lang w:val="fr-FR"/>
        </w:rPr>
        <w:t xml:space="preserve"> ci-dessus ;</w:t>
      </w:r>
    </w:p>
    <w:p w14:paraId="1BA442ED" w14:textId="7EF09217" w:rsidR="00CF6AE6" w:rsidRPr="00157DEB" w:rsidRDefault="009B097C" w:rsidP="009B097C">
      <w:pPr>
        <w:pStyle w:val="Normalnumber"/>
        <w:numPr>
          <w:ilvl w:val="2"/>
          <w:numId w:val="4"/>
        </w:numPr>
        <w:tabs>
          <w:tab w:val="clear" w:pos="1247"/>
          <w:tab w:val="clear" w:pos="1814"/>
          <w:tab w:val="clear" w:pos="2381"/>
          <w:tab w:val="clear" w:pos="2948"/>
          <w:tab w:val="clear" w:pos="3515"/>
        </w:tabs>
        <w:rPr>
          <w:lang w:val="fr-FR"/>
        </w:rPr>
      </w:pPr>
      <w:r w:rsidRPr="00157DEB">
        <w:rPr>
          <w:lang w:val="fr-FR"/>
        </w:rPr>
        <w:t>D</w:t>
      </w:r>
      <w:r w:rsidR="00C73372">
        <w:rPr>
          <w:lang w:val="fr-FR"/>
        </w:rPr>
        <w:t>’</w:t>
      </w:r>
      <w:r w:rsidRPr="00157DEB">
        <w:rPr>
          <w:lang w:val="fr-FR"/>
        </w:rPr>
        <w:t>envoyer la nouvelle version révisée du projet de cadre du deuxième programme de travail aux gouvernements et aux parties prenantes pour qu</w:t>
      </w:r>
      <w:r w:rsidR="00C73372">
        <w:rPr>
          <w:lang w:val="fr-FR"/>
        </w:rPr>
        <w:t>’</w:t>
      </w:r>
      <w:r w:rsidRPr="00157DEB">
        <w:rPr>
          <w:lang w:val="fr-FR"/>
        </w:rPr>
        <w:t>ils puissent formuler de nouvelles observations ;</w:t>
      </w:r>
    </w:p>
    <w:p w14:paraId="1D53F146" w14:textId="15698F10" w:rsidR="00BC628D" w:rsidRPr="00157DEB" w:rsidRDefault="00C73372" w:rsidP="001620DA">
      <w:pPr>
        <w:pStyle w:val="Normalnumber"/>
        <w:keepNext/>
        <w:keepLines/>
        <w:numPr>
          <w:ilvl w:val="2"/>
          <w:numId w:val="4"/>
        </w:numPr>
        <w:tabs>
          <w:tab w:val="clear" w:pos="1247"/>
          <w:tab w:val="clear" w:pos="1814"/>
          <w:tab w:val="clear" w:pos="2381"/>
          <w:tab w:val="clear" w:pos="2948"/>
          <w:tab w:val="clear" w:pos="3515"/>
        </w:tabs>
        <w:ind w:left="2938" w:hanging="562"/>
        <w:rPr>
          <w:lang w:val="fr-FR"/>
        </w:rPr>
      </w:pPr>
      <w:r>
        <w:rPr>
          <w:lang w:val="fr-FR"/>
        </w:rPr>
        <w:lastRenderedPageBreak/>
        <w:t>De finaliser le</w:t>
      </w:r>
      <w:r w:rsidR="00892F5B" w:rsidRPr="00157DEB">
        <w:rPr>
          <w:lang w:val="fr-FR"/>
        </w:rPr>
        <w:t xml:space="preserve"> projet de cadre du deuxième programme de travail, en prenant en compte les commentaires qui ont été reçu</w:t>
      </w:r>
      <w:r w:rsidR="002C0190">
        <w:rPr>
          <w:lang w:val="fr-FR"/>
        </w:rPr>
        <w:t>s</w:t>
      </w:r>
      <w:r w:rsidR="00892F5B" w:rsidRPr="00157DEB">
        <w:rPr>
          <w:lang w:val="fr-FR"/>
        </w:rPr>
        <w:t xml:space="preserve"> dans le cadre du passage en revue mentionné au </w:t>
      </w:r>
      <w:r w:rsidR="00673606" w:rsidRPr="00157DEB">
        <w:rPr>
          <w:lang w:val="fr-FR"/>
        </w:rPr>
        <w:t>paragraph</w:t>
      </w:r>
      <w:r w:rsidR="002C0190">
        <w:rPr>
          <w:lang w:val="fr-FR"/>
        </w:rPr>
        <w:t>e </w:t>
      </w:r>
      <w:r w:rsidR="00673606" w:rsidRPr="00157DEB">
        <w:rPr>
          <w:lang w:val="fr-FR"/>
        </w:rPr>
        <w:t>vi)</w:t>
      </w:r>
      <w:r w:rsidR="004609B1" w:rsidRPr="00157DEB">
        <w:rPr>
          <w:lang w:val="fr-FR"/>
        </w:rPr>
        <w:t>,</w:t>
      </w:r>
      <w:r w:rsidR="00CF6AE6" w:rsidRPr="00157DEB">
        <w:rPr>
          <w:lang w:val="fr-FR"/>
        </w:rPr>
        <w:t xml:space="preserve"> </w:t>
      </w:r>
      <w:r w:rsidR="009B097C" w:rsidRPr="00157DEB">
        <w:rPr>
          <w:lang w:val="fr-FR"/>
        </w:rPr>
        <w:t>pour exame</w:t>
      </w:r>
      <w:r w:rsidR="002C0190">
        <w:rPr>
          <w:lang w:val="fr-FR"/>
        </w:rPr>
        <w:t>n par la Plénière à sa septième </w:t>
      </w:r>
      <w:r w:rsidR="009B097C" w:rsidRPr="00157DEB">
        <w:rPr>
          <w:lang w:val="fr-FR"/>
        </w:rPr>
        <w:t xml:space="preserve">session, </w:t>
      </w:r>
      <w:r>
        <w:rPr>
          <w:lang w:val="fr-FR"/>
        </w:rPr>
        <w:t xml:space="preserve">ainsi que </w:t>
      </w:r>
      <w:r w:rsidR="009B097C" w:rsidRPr="00157DEB">
        <w:rPr>
          <w:lang w:val="fr-FR"/>
        </w:rPr>
        <w:t>le rapport contenant la liste hiéra</w:t>
      </w:r>
      <w:r w:rsidR="002C0190">
        <w:rPr>
          <w:lang w:val="fr-FR"/>
        </w:rPr>
        <w:t>rchisée mentionné au paragraphe </w:t>
      </w:r>
      <w:r w:rsidR="00883A34" w:rsidRPr="00157DEB">
        <w:rPr>
          <w:lang w:val="fr-FR"/>
        </w:rPr>
        <w:t>iv)</w:t>
      </w:r>
      <w:r w:rsidR="00673606" w:rsidRPr="00157DEB">
        <w:rPr>
          <w:lang w:val="fr-FR"/>
        </w:rPr>
        <w:t xml:space="preserve">, </w:t>
      </w:r>
      <w:r w:rsidR="00892F5B" w:rsidRPr="00157DEB">
        <w:rPr>
          <w:lang w:val="fr-FR"/>
        </w:rPr>
        <w:t>en vue d</w:t>
      </w:r>
      <w:r>
        <w:rPr>
          <w:lang w:val="fr-FR"/>
        </w:rPr>
        <w:t>’</w:t>
      </w:r>
      <w:r w:rsidR="00892F5B" w:rsidRPr="00157DEB">
        <w:rPr>
          <w:lang w:val="fr-FR"/>
        </w:rPr>
        <w:t>approuver le deuxième programme de travail de la Plateforme lors de cette session</w:t>
      </w:r>
      <w:r w:rsidR="00546A63" w:rsidRPr="00157DEB">
        <w:rPr>
          <w:lang w:val="fr-FR"/>
        </w:rPr>
        <w:t>.</w:t>
      </w:r>
      <w:r w:rsidR="00C31492" w:rsidRPr="00157DEB">
        <w:rPr>
          <w:lang w:val="fr-FR"/>
        </w:rPr>
        <w:t xml:space="preserve"> </w:t>
      </w:r>
    </w:p>
    <w:p w14:paraId="279B60C8" w14:textId="77777777" w:rsidR="004D76EB" w:rsidRPr="00157DEB" w:rsidRDefault="004D76EB">
      <w:pPr>
        <w:rPr>
          <w:rFonts w:eastAsia="Calibri"/>
          <w:b/>
          <w:bCs/>
          <w:w w:val="103"/>
          <w:sz w:val="28"/>
          <w:szCs w:val="22"/>
          <w:lang w:val="fr-FR"/>
        </w:rPr>
      </w:pPr>
      <w:r w:rsidRPr="00157DEB">
        <w:rPr>
          <w:rFonts w:eastAsia="Calibri"/>
          <w:w w:val="103"/>
          <w:lang w:val="fr-FR"/>
        </w:rPr>
        <w:br w:type="page"/>
      </w:r>
    </w:p>
    <w:p w14:paraId="0134475C" w14:textId="66BFC6B9" w:rsidR="00320BDB" w:rsidRPr="00157DEB" w:rsidRDefault="0058611F" w:rsidP="00A14966">
      <w:pPr>
        <w:pStyle w:val="ZZAnxheader"/>
        <w:spacing w:before="240" w:after="120"/>
        <w:rPr>
          <w:lang w:val="fr-FR"/>
        </w:rPr>
      </w:pPr>
      <w:r w:rsidRPr="00157DEB">
        <w:rPr>
          <w:lang w:val="fr-FR"/>
        </w:rPr>
        <w:lastRenderedPageBreak/>
        <w:t>Annex</w:t>
      </w:r>
      <w:r w:rsidR="00892F5B" w:rsidRPr="00157DEB">
        <w:rPr>
          <w:lang w:val="fr-FR"/>
        </w:rPr>
        <w:t>e</w:t>
      </w:r>
    </w:p>
    <w:p w14:paraId="4DA23863" w14:textId="1C8A86E3" w:rsidR="004A36DE" w:rsidRPr="00157DEB" w:rsidRDefault="00892F5B" w:rsidP="00A14966">
      <w:pPr>
        <w:pStyle w:val="ZZAnxtitle"/>
        <w:spacing w:before="240"/>
        <w:rPr>
          <w:lang w:val="fr-FR"/>
        </w:rPr>
      </w:pPr>
      <w:r w:rsidRPr="00157DEB">
        <w:rPr>
          <w:lang w:val="fr-FR"/>
        </w:rPr>
        <w:t>Projets</w:t>
      </w:r>
      <w:r w:rsidR="00C73372">
        <w:rPr>
          <w:lang w:val="fr-FR"/>
        </w:rPr>
        <w:t xml:space="preserve"> initiaux d’éléments relatifs au</w:t>
      </w:r>
      <w:r w:rsidRPr="00157DEB">
        <w:rPr>
          <w:lang w:val="fr-FR"/>
        </w:rPr>
        <w:t xml:space="preserve"> deuxième programme de travail </w:t>
      </w:r>
    </w:p>
    <w:p w14:paraId="584A353B" w14:textId="6653CF25" w:rsidR="00363299" w:rsidRPr="00157DEB" w:rsidRDefault="003503B8" w:rsidP="00A14966">
      <w:pPr>
        <w:pStyle w:val="CH1"/>
        <w:rPr>
          <w:rFonts w:eastAsiaTheme="majorEastAsia"/>
          <w:lang w:val="fr-FR"/>
        </w:rPr>
      </w:pPr>
      <w:r w:rsidRPr="00157DEB">
        <w:rPr>
          <w:rFonts w:eastAsiaTheme="majorEastAsia"/>
          <w:lang w:val="fr-FR"/>
        </w:rPr>
        <w:tab/>
      </w:r>
      <w:r w:rsidRPr="00157DEB">
        <w:rPr>
          <w:rFonts w:eastAsiaTheme="majorEastAsia"/>
          <w:lang w:val="fr-FR"/>
        </w:rPr>
        <w:tab/>
      </w:r>
      <w:r w:rsidR="00892F5B" w:rsidRPr="00157DEB">
        <w:rPr>
          <w:rFonts w:eastAsiaTheme="majorEastAsia"/>
          <w:lang w:val="fr-FR"/>
        </w:rPr>
        <w:t>Préambule</w:t>
      </w:r>
    </w:p>
    <w:p w14:paraId="4803BE25" w14:textId="511CA067" w:rsidR="00E53EF0" w:rsidRPr="00157DEB" w:rsidRDefault="00065792" w:rsidP="00461E1A">
      <w:pPr>
        <w:pStyle w:val="Normalnumber"/>
        <w:numPr>
          <w:ilvl w:val="0"/>
          <w:numId w:val="125"/>
        </w:numPr>
        <w:tabs>
          <w:tab w:val="clear" w:pos="567"/>
          <w:tab w:val="clear" w:pos="1247"/>
          <w:tab w:val="clear" w:pos="1814"/>
          <w:tab w:val="clear" w:pos="2381"/>
          <w:tab w:val="clear" w:pos="2948"/>
          <w:tab w:val="clear" w:pos="3515"/>
          <w:tab w:val="num" w:pos="624"/>
        </w:tabs>
        <w:rPr>
          <w:lang w:val="fr-FR"/>
        </w:rPr>
      </w:pPr>
      <w:r w:rsidRPr="00157DEB">
        <w:rPr>
          <w:lang w:val="fr-FR"/>
        </w:rPr>
        <w:t>Le Groupe d</w:t>
      </w:r>
      <w:r w:rsidR="00C73372">
        <w:rPr>
          <w:lang w:val="fr-FR"/>
        </w:rPr>
        <w:t>’</w:t>
      </w:r>
      <w:r w:rsidRPr="00157DEB">
        <w:rPr>
          <w:lang w:val="fr-FR"/>
        </w:rPr>
        <w:t>experts multidisciplinaire et le Bureau estiment qu</w:t>
      </w:r>
      <w:r w:rsidR="00C73372">
        <w:rPr>
          <w:lang w:val="fr-FR"/>
        </w:rPr>
        <w:t>’</w:t>
      </w:r>
      <w:r w:rsidR="00461E1A" w:rsidRPr="00157DEB">
        <w:rPr>
          <w:lang w:val="fr-FR"/>
        </w:rPr>
        <w:t xml:space="preserve">à ce jour, </w:t>
      </w:r>
      <w:r w:rsidRPr="00157DEB">
        <w:rPr>
          <w:lang w:val="fr-FR"/>
        </w:rPr>
        <w:t xml:space="preserve">le Programme de travail initial de la Plateforme intergouvernementale scientifique et politique sur la biodiversité et les services écosystémiques </w:t>
      </w:r>
      <w:r w:rsidR="008E65E9" w:rsidRPr="00157DEB">
        <w:rPr>
          <w:lang w:val="fr-FR"/>
        </w:rPr>
        <w:t>(IPBES)</w:t>
      </w:r>
      <w:r w:rsidR="002D6C07" w:rsidRPr="00157DEB">
        <w:rPr>
          <w:lang w:val="fr-FR"/>
        </w:rPr>
        <w:t xml:space="preserve">, </w:t>
      </w:r>
      <w:r w:rsidRPr="00157DEB">
        <w:rPr>
          <w:lang w:val="fr-FR"/>
        </w:rPr>
        <w:t>qui arrivera à son terme à la fin mai 201</w:t>
      </w:r>
      <w:r w:rsidR="002D6C07" w:rsidRPr="00157DEB">
        <w:rPr>
          <w:lang w:val="fr-FR"/>
        </w:rPr>
        <w:t xml:space="preserve">9, </w:t>
      </w:r>
      <w:r w:rsidR="00461E1A" w:rsidRPr="00157DEB">
        <w:rPr>
          <w:lang w:val="fr-FR"/>
        </w:rPr>
        <w:t>a atteint tous ses objectifs</w:t>
      </w:r>
      <w:r w:rsidR="001125EE" w:rsidRPr="00157DEB">
        <w:rPr>
          <w:lang w:val="fr-FR"/>
        </w:rPr>
        <w:t xml:space="preserve">, </w:t>
      </w:r>
      <w:r w:rsidR="00461E1A" w:rsidRPr="00157DEB">
        <w:rPr>
          <w:lang w:val="fr-FR"/>
        </w:rPr>
        <w:t>et qu</w:t>
      </w:r>
      <w:r w:rsidR="00C73372">
        <w:rPr>
          <w:lang w:val="fr-FR"/>
        </w:rPr>
        <w:t>’</w:t>
      </w:r>
      <w:r w:rsidR="00461E1A" w:rsidRPr="00157DEB">
        <w:rPr>
          <w:lang w:val="fr-FR"/>
        </w:rPr>
        <w:t>après quatre ans, il</w:t>
      </w:r>
      <w:r w:rsidR="002D6C07" w:rsidRPr="00157DEB">
        <w:rPr>
          <w:lang w:val="fr-FR"/>
        </w:rPr>
        <w:t xml:space="preserve"> </w:t>
      </w:r>
      <w:r w:rsidR="00DF473D">
        <w:rPr>
          <w:lang w:val="fr-FR"/>
        </w:rPr>
        <w:t xml:space="preserve">a permis à la Plateforme </w:t>
      </w:r>
      <w:r w:rsidR="00461E1A" w:rsidRPr="00157DEB">
        <w:rPr>
          <w:lang w:val="fr-FR"/>
        </w:rPr>
        <w:t>de réaliser des progrès notables afin de devenir la plateforme scientifique et politique sur la biodiversité et les services écosystémiques de référence. La Plateforme a fourni avec succès sa première série de rapports d</w:t>
      </w:r>
      <w:r w:rsidR="00C73372">
        <w:rPr>
          <w:lang w:val="fr-FR"/>
        </w:rPr>
        <w:t>’</w:t>
      </w:r>
      <w:r w:rsidR="00461E1A" w:rsidRPr="00157DEB">
        <w:rPr>
          <w:lang w:val="fr-FR"/>
        </w:rPr>
        <w:t>évaluation crédibles. Elle a été à l</w:t>
      </w:r>
      <w:r w:rsidR="00C73372">
        <w:rPr>
          <w:lang w:val="fr-FR"/>
        </w:rPr>
        <w:t>’</w:t>
      </w:r>
      <w:r w:rsidR="00461E1A" w:rsidRPr="00157DEB">
        <w:rPr>
          <w:lang w:val="fr-FR"/>
        </w:rPr>
        <w:t>origine de l</w:t>
      </w:r>
      <w:r w:rsidR="00C73372">
        <w:rPr>
          <w:lang w:val="fr-FR"/>
        </w:rPr>
        <w:t>’</w:t>
      </w:r>
      <w:r w:rsidR="00461E1A" w:rsidRPr="00157DEB">
        <w:rPr>
          <w:lang w:val="fr-FR"/>
        </w:rPr>
        <w:t>élaboration de nouveaux concepts</w:t>
      </w:r>
      <w:r w:rsidR="008E65E9" w:rsidRPr="00157DEB">
        <w:rPr>
          <w:lang w:val="fr-FR"/>
        </w:rPr>
        <w:t>,</w:t>
      </w:r>
      <w:r w:rsidR="00E53EF0" w:rsidRPr="00157DEB">
        <w:rPr>
          <w:lang w:val="fr-FR"/>
        </w:rPr>
        <w:t xml:space="preserve"> </w:t>
      </w:r>
      <w:r w:rsidR="00461E1A" w:rsidRPr="00157DEB">
        <w:rPr>
          <w:lang w:val="fr-FR"/>
        </w:rPr>
        <w:t xml:space="preserve">tels que les multiples valeurs de la nature et ses bienfaits, ainsi que de nouvelles approches, </w:t>
      </w:r>
      <w:r w:rsidR="00DF473D">
        <w:rPr>
          <w:lang w:val="fr-FR"/>
        </w:rPr>
        <w:t>celles consistant à tirer parti des</w:t>
      </w:r>
      <w:r w:rsidR="00461E1A" w:rsidRPr="00157DEB">
        <w:rPr>
          <w:lang w:val="fr-FR"/>
        </w:rPr>
        <w:t xml:space="preserve"> savoirs autochtones et locaux ; et elle a joué un rôle de catalyseur pour de nouvelles activités scientifiques, telles que celles portant sur les scénarios et les modèles</w:t>
      </w:r>
      <w:r w:rsidR="002D6C07" w:rsidRPr="00157DEB">
        <w:rPr>
          <w:lang w:val="fr-FR"/>
        </w:rPr>
        <w:t>.</w:t>
      </w:r>
      <w:r w:rsidR="001125EE" w:rsidRPr="00157DEB">
        <w:rPr>
          <w:lang w:val="fr-FR"/>
        </w:rPr>
        <w:t xml:space="preserve"> </w:t>
      </w:r>
      <w:r w:rsidR="00461E1A" w:rsidRPr="00157DEB">
        <w:rPr>
          <w:lang w:val="fr-FR"/>
        </w:rPr>
        <w:t>De nouvelles procédures ont été mises en place, de nouvelles règles ont été mises à l</w:t>
      </w:r>
      <w:r w:rsidR="00C73372">
        <w:rPr>
          <w:lang w:val="fr-FR"/>
        </w:rPr>
        <w:t>’</w:t>
      </w:r>
      <w:r w:rsidR="00461E1A" w:rsidRPr="00157DEB">
        <w:rPr>
          <w:lang w:val="fr-FR"/>
        </w:rPr>
        <w:t>essai et de ce fait, de nombreux enseignements ont été tirés par toutes les parties concernées</w:t>
      </w:r>
      <w:r w:rsidR="00E53EF0" w:rsidRPr="00157DEB">
        <w:rPr>
          <w:lang w:val="fr-FR"/>
        </w:rPr>
        <w:t xml:space="preserve">. </w:t>
      </w:r>
      <w:r w:rsidR="00461E1A" w:rsidRPr="00157DEB">
        <w:rPr>
          <w:lang w:val="fr-FR"/>
        </w:rPr>
        <w:t>Le Groupe d</w:t>
      </w:r>
      <w:r w:rsidR="00C73372">
        <w:rPr>
          <w:lang w:val="fr-FR"/>
        </w:rPr>
        <w:t>’</w:t>
      </w:r>
      <w:r w:rsidR="00461E1A" w:rsidRPr="00157DEB">
        <w:rPr>
          <w:lang w:val="fr-FR"/>
        </w:rPr>
        <w:t>experts multidisciplinaire et le Bureau sont convaincus que la communauté dans son ensemble, forte de cette expérience collective à grande échelle, est tout à fa</w:t>
      </w:r>
      <w:r w:rsidR="00FB67C6">
        <w:rPr>
          <w:lang w:val="fr-FR"/>
        </w:rPr>
        <w:t>it en mesure de concevoir un</w:t>
      </w:r>
      <w:r w:rsidR="00461E1A" w:rsidRPr="00157DEB">
        <w:rPr>
          <w:lang w:val="fr-FR"/>
        </w:rPr>
        <w:t xml:space="preserve"> deuxième programme de travail </w:t>
      </w:r>
      <w:r w:rsidR="00FB67C6">
        <w:rPr>
          <w:lang w:val="fr-FR"/>
        </w:rPr>
        <w:t>qui emporte l</w:t>
      </w:r>
      <w:r w:rsidR="00C73372">
        <w:rPr>
          <w:lang w:val="fr-FR"/>
        </w:rPr>
        <w:t>’</w:t>
      </w:r>
      <w:r w:rsidR="00FB67C6">
        <w:rPr>
          <w:lang w:val="fr-FR"/>
        </w:rPr>
        <w:t>adhésion et soit capable de</w:t>
      </w:r>
      <w:r w:rsidR="00461E1A" w:rsidRPr="00157DEB">
        <w:rPr>
          <w:lang w:val="fr-FR"/>
        </w:rPr>
        <w:t xml:space="preserve"> faire la différence quant à l</w:t>
      </w:r>
      <w:r w:rsidR="00C73372">
        <w:rPr>
          <w:lang w:val="fr-FR"/>
        </w:rPr>
        <w:t>’</w:t>
      </w:r>
      <w:r w:rsidR="00461E1A" w:rsidRPr="00157DEB">
        <w:rPr>
          <w:lang w:val="fr-FR"/>
        </w:rPr>
        <w:t>importance accordée à la biodiversité et aux services écosystémiques en vue de la réalisation des objectifs de développement durable</w:t>
      </w:r>
      <w:r w:rsidR="001125EE" w:rsidRPr="00157DEB">
        <w:rPr>
          <w:lang w:val="fr-FR"/>
        </w:rPr>
        <w:t>.</w:t>
      </w:r>
    </w:p>
    <w:p w14:paraId="1B382408" w14:textId="77777777" w:rsidR="001125EE" w:rsidRPr="00157DEB" w:rsidRDefault="001125EE" w:rsidP="001125EE">
      <w:pPr>
        <w:pStyle w:val="Normalnumber"/>
        <w:keepNext/>
        <w:keepLines/>
        <w:numPr>
          <w:ilvl w:val="0"/>
          <w:numId w:val="0"/>
        </w:numPr>
        <w:suppressAutoHyphens/>
        <w:spacing w:before="240" w:line="240" w:lineRule="exact"/>
        <w:ind w:left="1247"/>
        <w:outlineLvl w:val="0"/>
        <w:rPr>
          <w:rFonts w:eastAsiaTheme="majorEastAsia"/>
          <w:b/>
          <w:bCs/>
          <w:sz w:val="28"/>
          <w:szCs w:val="28"/>
          <w:lang w:val="fr-FR"/>
        </w:rPr>
      </w:pPr>
      <w:r w:rsidRPr="00157DEB">
        <w:rPr>
          <w:rFonts w:eastAsiaTheme="majorEastAsia"/>
          <w:b/>
          <w:bCs/>
          <w:sz w:val="28"/>
          <w:szCs w:val="28"/>
          <w:lang w:val="fr-FR"/>
        </w:rPr>
        <w:t>Introduction</w:t>
      </w:r>
    </w:p>
    <w:p w14:paraId="448E3C94" w14:textId="1CC8F913" w:rsidR="00E53EF0" w:rsidRPr="00465F94" w:rsidRDefault="00C55F82" w:rsidP="001A4274">
      <w:pPr>
        <w:pStyle w:val="Normalnumber"/>
        <w:numPr>
          <w:ilvl w:val="0"/>
          <w:numId w:val="125"/>
        </w:numPr>
        <w:tabs>
          <w:tab w:val="clear" w:pos="567"/>
          <w:tab w:val="clear" w:pos="1247"/>
          <w:tab w:val="clear" w:pos="1814"/>
          <w:tab w:val="clear" w:pos="2381"/>
          <w:tab w:val="clear" w:pos="2948"/>
          <w:tab w:val="clear" w:pos="3515"/>
          <w:tab w:val="num" w:pos="624"/>
        </w:tabs>
        <w:rPr>
          <w:lang w:val="fr-FR"/>
        </w:rPr>
      </w:pPr>
      <w:r w:rsidRPr="00465F94">
        <w:rPr>
          <w:lang w:val="fr-FR"/>
        </w:rPr>
        <w:t>Le présent</w:t>
      </w:r>
      <w:r w:rsidR="00E53EF0" w:rsidRPr="00465F94">
        <w:rPr>
          <w:lang w:val="fr-FR"/>
        </w:rPr>
        <w:t xml:space="preserve"> document </w:t>
      </w:r>
      <w:r w:rsidR="00461E1A" w:rsidRPr="00465F94">
        <w:rPr>
          <w:lang w:val="fr-FR"/>
        </w:rPr>
        <w:t>rend compte des résultats de l</w:t>
      </w:r>
      <w:r w:rsidR="00C73372">
        <w:rPr>
          <w:lang w:val="fr-FR"/>
        </w:rPr>
        <w:t>’</w:t>
      </w:r>
      <w:r w:rsidR="00461E1A" w:rsidRPr="00465F94">
        <w:rPr>
          <w:lang w:val="fr-FR"/>
        </w:rPr>
        <w:t>examen interne de la Plateforme</w:t>
      </w:r>
      <w:r w:rsidR="00E53EF0" w:rsidRPr="00465F94">
        <w:rPr>
          <w:lang w:val="fr-FR"/>
        </w:rPr>
        <w:t xml:space="preserve"> (IPBES/6/INF/32) </w:t>
      </w:r>
      <w:r w:rsidR="00461E1A" w:rsidRPr="00465F94">
        <w:rPr>
          <w:lang w:val="fr-FR"/>
        </w:rPr>
        <w:t xml:space="preserve">et des enseignements tirés de la mise en œuvre du </w:t>
      </w:r>
      <w:r w:rsidR="001A4274" w:rsidRPr="00465F94">
        <w:rPr>
          <w:lang w:val="fr-FR"/>
        </w:rPr>
        <w:t>programme de travail initial</w:t>
      </w:r>
      <w:r w:rsidR="00E53EF0" w:rsidRPr="00465F94">
        <w:rPr>
          <w:lang w:val="fr-FR"/>
        </w:rPr>
        <w:t xml:space="preserve">. </w:t>
      </w:r>
      <w:r w:rsidR="00F75E86">
        <w:rPr>
          <w:lang w:val="fr-FR"/>
        </w:rPr>
        <w:t>Lors de </w:t>
      </w:r>
      <w:r w:rsidR="00461E1A" w:rsidRPr="00465F94">
        <w:rPr>
          <w:lang w:val="fr-FR"/>
        </w:rPr>
        <w:t>sa sixième session, la Plénière souhaitera peut-être consacrer une partie de ses échanges de vues aux nouvelles orientations qui pourraient être données, s</w:t>
      </w:r>
      <w:r w:rsidR="00C73372">
        <w:rPr>
          <w:lang w:val="fr-FR"/>
        </w:rPr>
        <w:t>’</w:t>
      </w:r>
      <w:r w:rsidR="00461E1A" w:rsidRPr="00465F94">
        <w:rPr>
          <w:lang w:val="fr-FR"/>
        </w:rPr>
        <w:t>agissant des options éventuelles figurant en caractères gras</w:t>
      </w:r>
      <w:r w:rsidR="009B0098" w:rsidRPr="00465F94">
        <w:rPr>
          <w:lang w:val="fr-FR"/>
        </w:rPr>
        <w:t>.</w:t>
      </w:r>
      <w:r w:rsidR="00C31492" w:rsidRPr="00465F94">
        <w:rPr>
          <w:lang w:val="fr-FR"/>
        </w:rPr>
        <w:t xml:space="preserve"> </w:t>
      </w:r>
    </w:p>
    <w:p w14:paraId="77DD8B00" w14:textId="1E6D40B8" w:rsidR="00CF41C0" w:rsidRPr="00157DEB" w:rsidRDefault="00461E1A" w:rsidP="00461E1A">
      <w:pPr>
        <w:pStyle w:val="Normalnumber"/>
        <w:numPr>
          <w:ilvl w:val="0"/>
          <w:numId w:val="125"/>
        </w:numPr>
        <w:tabs>
          <w:tab w:val="clear" w:pos="567"/>
          <w:tab w:val="clear" w:pos="1247"/>
          <w:tab w:val="clear" w:pos="1814"/>
          <w:tab w:val="clear" w:pos="2381"/>
          <w:tab w:val="clear" w:pos="2948"/>
          <w:tab w:val="clear" w:pos="3515"/>
          <w:tab w:val="num" w:pos="624"/>
        </w:tabs>
        <w:rPr>
          <w:kern w:val="14"/>
          <w:lang w:val="fr-FR" w:eastAsia="ja-JP"/>
        </w:rPr>
      </w:pPr>
      <w:r w:rsidRPr="00157DEB">
        <w:rPr>
          <w:kern w:val="14"/>
          <w:lang w:val="fr-FR" w:eastAsia="ja-JP"/>
        </w:rPr>
        <w:t>Le deuxi</w:t>
      </w:r>
      <w:r w:rsidR="00FB67C6">
        <w:rPr>
          <w:kern w:val="14"/>
          <w:lang w:val="fr-FR" w:eastAsia="ja-JP"/>
        </w:rPr>
        <w:t>ème programme de travail de la P</w:t>
      </w:r>
      <w:r w:rsidRPr="00157DEB">
        <w:rPr>
          <w:kern w:val="14"/>
          <w:lang w:val="fr-FR" w:eastAsia="ja-JP"/>
        </w:rPr>
        <w:t xml:space="preserve">lateforme </w:t>
      </w:r>
      <w:r w:rsidR="00FB67C6">
        <w:rPr>
          <w:kern w:val="14"/>
          <w:lang w:val="fr-FR" w:eastAsia="ja-JP"/>
        </w:rPr>
        <w:t>devrait</w:t>
      </w:r>
      <w:r w:rsidRPr="00157DEB">
        <w:rPr>
          <w:kern w:val="14"/>
          <w:lang w:val="fr-FR" w:eastAsia="ja-JP"/>
        </w:rPr>
        <w:t xml:space="preserve"> à</w:t>
      </w:r>
      <w:r w:rsidR="00CF41C0" w:rsidRPr="00157DEB">
        <w:rPr>
          <w:kern w:val="14"/>
          <w:lang w:val="fr-FR" w:eastAsia="ja-JP"/>
        </w:rPr>
        <w:t xml:space="preserve"> </w:t>
      </w:r>
      <w:r w:rsidRPr="00157DEB">
        <w:rPr>
          <w:kern w:val="14"/>
          <w:lang w:val="fr-FR" w:eastAsia="ja-JP"/>
        </w:rPr>
        <w:t>poursuivre la mise en œuvre des quatre fonctions de la Plateforme</w:t>
      </w:r>
      <w:r w:rsidR="001F2AE4" w:rsidRPr="00157DEB">
        <w:rPr>
          <w:kern w:val="14"/>
          <w:lang w:val="fr-FR" w:eastAsia="ja-JP"/>
        </w:rPr>
        <w:t>,</w:t>
      </w:r>
      <w:r w:rsidRPr="00157DEB">
        <w:rPr>
          <w:kern w:val="14"/>
          <w:lang w:val="fr-FR" w:eastAsia="ja-JP"/>
        </w:rPr>
        <w:t xml:space="preserve"> guidé par les principes énoncés dans la résolution portant création de la Platef</w:t>
      </w:r>
      <w:r w:rsidR="00DF473D">
        <w:rPr>
          <w:kern w:val="14"/>
          <w:lang w:val="fr-FR" w:eastAsia="ja-JP"/>
        </w:rPr>
        <w:t>orme (UNEP/IPBES.MI/2/9, annexe I, appendice </w:t>
      </w:r>
      <w:r w:rsidRPr="00157DEB">
        <w:rPr>
          <w:kern w:val="14"/>
          <w:lang w:val="fr-FR" w:eastAsia="ja-JP"/>
        </w:rPr>
        <w:t>I)</w:t>
      </w:r>
      <w:r w:rsidR="00752465" w:rsidRPr="00157DEB">
        <w:rPr>
          <w:kern w:val="14"/>
          <w:lang w:val="fr-FR" w:eastAsia="ja-JP"/>
        </w:rPr>
        <w:t xml:space="preserve">. </w:t>
      </w:r>
    </w:p>
    <w:p w14:paraId="3788C529" w14:textId="48B92983" w:rsidR="007A73EF" w:rsidRPr="00157DEB" w:rsidRDefault="00461E1A" w:rsidP="00461E1A">
      <w:pPr>
        <w:pStyle w:val="Normalnumber"/>
        <w:numPr>
          <w:ilvl w:val="0"/>
          <w:numId w:val="125"/>
        </w:numPr>
        <w:tabs>
          <w:tab w:val="clear" w:pos="567"/>
          <w:tab w:val="clear" w:pos="1247"/>
          <w:tab w:val="clear" w:pos="1814"/>
          <w:tab w:val="clear" w:pos="2381"/>
          <w:tab w:val="clear" w:pos="2948"/>
          <w:tab w:val="clear" w:pos="3515"/>
          <w:tab w:val="num" w:pos="624"/>
        </w:tabs>
        <w:rPr>
          <w:kern w:val="14"/>
          <w:lang w:val="fr-FR" w:eastAsia="ja-JP"/>
        </w:rPr>
      </w:pPr>
      <w:r w:rsidRPr="00157DEB">
        <w:rPr>
          <w:kern w:val="14"/>
          <w:lang w:val="fr-FR" w:eastAsia="ja-JP"/>
        </w:rPr>
        <w:t xml:space="preserve">Afin de </w:t>
      </w:r>
      <w:r w:rsidR="008418B5" w:rsidRPr="00157DEB">
        <w:rPr>
          <w:kern w:val="14"/>
          <w:lang w:val="fr-FR" w:eastAsia="ja-JP"/>
        </w:rPr>
        <w:t xml:space="preserve">veiller à la souplesse qui est attendue </w:t>
      </w:r>
      <w:r w:rsidRPr="00157DEB">
        <w:rPr>
          <w:kern w:val="14"/>
          <w:lang w:val="fr-FR" w:eastAsia="ja-JP"/>
        </w:rPr>
        <w:t>du deuxième programme de travail</w:t>
      </w:r>
      <w:r w:rsidR="008418B5" w:rsidRPr="00157DEB">
        <w:rPr>
          <w:kern w:val="14"/>
          <w:lang w:val="fr-FR" w:eastAsia="ja-JP"/>
        </w:rPr>
        <w:t xml:space="preserve"> et de prendre en compte sa nature “glissante”</w:t>
      </w:r>
      <w:r w:rsidRPr="00157DEB">
        <w:rPr>
          <w:kern w:val="14"/>
          <w:lang w:val="fr-FR" w:eastAsia="ja-JP"/>
        </w:rPr>
        <w:t xml:space="preserve">, </w:t>
      </w:r>
      <w:r w:rsidRPr="00157DEB">
        <w:rPr>
          <w:b/>
          <w:kern w:val="14"/>
          <w:lang w:val="fr-FR" w:eastAsia="ja-JP"/>
        </w:rPr>
        <w:t>il pourrait être envisagé de déterminer certains éléments du programme de travail, tels que les thèmes des évaluations possibles</w:t>
      </w:r>
      <w:r w:rsidR="007A73EF" w:rsidRPr="00157DEB">
        <w:rPr>
          <w:b/>
          <w:kern w:val="14"/>
          <w:lang w:val="fr-FR" w:eastAsia="ja-JP"/>
        </w:rPr>
        <w:t xml:space="preserve">, </w:t>
      </w:r>
      <w:r w:rsidRPr="00157DEB">
        <w:rPr>
          <w:b/>
          <w:kern w:val="14"/>
          <w:lang w:val="fr-FR" w:eastAsia="ja-JP"/>
        </w:rPr>
        <w:t xml:space="preserve">à divers moments au cours du </w:t>
      </w:r>
      <w:r w:rsidR="008D1CD2" w:rsidRPr="00157DEB">
        <w:rPr>
          <w:b/>
          <w:kern w:val="14"/>
          <w:lang w:val="fr-FR" w:eastAsia="ja-JP"/>
        </w:rPr>
        <w:t>programme</w:t>
      </w:r>
      <w:r w:rsidR="001740E1" w:rsidRPr="00157DEB">
        <w:rPr>
          <w:b/>
          <w:kern w:val="14"/>
          <w:lang w:val="fr-FR" w:eastAsia="ja-JP"/>
        </w:rPr>
        <w:t xml:space="preserve">, </w:t>
      </w:r>
      <w:r w:rsidRPr="00157DEB">
        <w:rPr>
          <w:b/>
          <w:kern w:val="14"/>
          <w:lang w:val="fr-FR" w:eastAsia="ja-JP"/>
        </w:rPr>
        <w:t>dans le cadre d</w:t>
      </w:r>
      <w:r w:rsidR="00C73372">
        <w:rPr>
          <w:b/>
          <w:kern w:val="14"/>
          <w:lang w:val="fr-FR" w:eastAsia="ja-JP"/>
        </w:rPr>
        <w:t>’</w:t>
      </w:r>
      <w:r w:rsidRPr="00157DEB">
        <w:rPr>
          <w:b/>
          <w:kern w:val="14"/>
          <w:lang w:val="fr-FR" w:eastAsia="ja-JP"/>
        </w:rPr>
        <w:t>une série d</w:t>
      </w:r>
      <w:r w:rsidR="00C73372">
        <w:rPr>
          <w:b/>
          <w:kern w:val="14"/>
          <w:lang w:val="fr-FR" w:eastAsia="ja-JP"/>
        </w:rPr>
        <w:t>’</w:t>
      </w:r>
      <w:r w:rsidRPr="00157DEB">
        <w:rPr>
          <w:b/>
          <w:kern w:val="14"/>
          <w:lang w:val="fr-FR" w:eastAsia="ja-JP"/>
        </w:rPr>
        <w:t>appels à recevoir</w:t>
      </w:r>
      <w:r w:rsidR="00E000C0" w:rsidRPr="00157DEB">
        <w:rPr>
          <w:b/>
          <w:kern w:val="14"/>
          <w:lang w:val="fr-FR" w:eastAsia="ja-JP"/>
        </w:rPr>
        <w:t xml:space="preserve"> des</w:t>
      </w:r>
      <w:r w:rsidRPr="00157DEB">
        <w:rPr>
          <w:b/>
          <w:kern w:val="14"/>
          <w:lang w:val="fr-FR" w:eastAsia="ja-JP"/>
        </w:rPr>
        <w:t xml:space="preserve"> demandes, des contributions et des suggestions, plutôt que de le faire dès le début</w:t>
      </w:r>
      <w:r w:rsidR="00A062F8" w:rsidRPr="00157DEB">
        <w:rPr>
          <w:kern w:val="14"/>
          <w:lang w:val="fr-FR" w:eastAsia="ja-JP"/>
        </w:rPr>
        <w:t>.</w:t>
      </w:r>
    </w:p>
    <w:p w14:paraId="74958193" w14:textId="62F7A92E" w:rsidR="006B5820" w:rsidRPr="00157DEB" w:rsidRDefault="00461E1A" w:rsidP="003503B8">
      <w:pPr>
        <w:pStyle w:val="Normalnumber"/>
        <w:numPr>
          <w:ilvl w:val="0"/>
          <w:numId w:val="125"/>
        </w:numPr>
        <w:tabs>
          <w:tab w:val="clear" w:pos="567"/>
          <w:tab w:val="clear" w:pos="1247"/>
          <w:tab w:val="clear" w:pos="1814"/>
          <w:tab w:val="clear" w:pos="2381"/>
          <w:tab w:val="clear" w:pos="2948"/>
          <w:tab w:val="clear" w:pos="3515"/>
          <w:tab w:val="num" w:pos="624"/>
        </w:tabs>
        <w:rPr>
          <w:kern w:val="14"/>
          <w:lang w:val="fr-FR" w:eastAsia="ja-JP"/>
        </w:rPr>
      </w:pPr>
      <w:r w:rsidRPr="00157DEB">
        <w:rPr>
          <w:kern w:val="14"/>
          <w:lang w:val="fr-FR" w:eastAsia="ja-JP"/>
        </w:rPr>
        <w:t>Afin de permettre plus de synergies entre les quatre fonctions, conformément aux recommandations découlant de l</w:t>
      </w:r>
      <w:r w:rsidR="00C73372">
        <w:rPr>
          <w:kern w:val="14"/>
          <w:lang w:val="fr-FR" w:eastAsia="ja-JP"/>
        </w:rPr>
        <w:t>’</w:t>
      </w:r>
      <w:r w:rsidRPr="00157DEB">
        <w:rPr>
          <w:kern w:val="14"/>
          <w:lang w:val="fr-FR" w:eastAsia="ja-JP"/>
        </w:rPr>
        <w:t>examen interne,</w:t>
      </w:r>
      <w:r w:rsidR="006B5820" w:rsidRPr="00157DEB">
        <w:rPr>
          <w:kern w:val="14"/>
          <w:lang w:val="fr-FR" w:eastAsia="ja-JP"/>
        </w:rPr>
        <w:t xml:space="preserve"> </w:t>
      </w:r>
      <w:r w:rsidRPr="00157DEB">
        <w:rPr>
          <w:b/>
          <w:kern w:val="14"/>
          <w:lang w:val="fr-FR" w:eastAsia="ja-JP"/>
        </w:rPr>
        <w:t>le deuxième programme de travail pourrait être structuré de manière plus intégrée</w:t>
      </w:r>
      <w:r w:rsidR="006B5820" w:rsidRPr="00157DEB">
        <w:rPr>
          <w:kern w:val="14"/>
          <w:lang w:val="fr-FR" w:eastAsia="ja-JP"/>
        </w:rPr>
        <w:t xml:space="preserve">. </w:t>
      </w:r>
      <w:r w:rsidRPr="00157DEB">
        <w:rPr>
          <w:kern w:val="14"/>
          <w:lang w:val="fr-FR" w:eastAsia="ja-JP"/>
        </w:rPr>
        <w:t>Par exemple, tout thème sélectionné par la Plateforme pourrait inclure une composante d</w:t>
      </w:r>
      <w:r w:rsidR="00C73372">
        <w:rPr>
          <w:kern w:val="14"/>
          <w:lang w:val="fr-FR" w:eastAsia="ja-JP"/>
        </w:rPr>
        <w:t>’</w:t>
      </w:r>
      <w:r w:rsidRPr="00157DEB">
        <w:rPr>
          <w:kern w:val="14"/>
          <w:lang w:val="fr-FR" w:eastAsia="ja-JP"/>
        </w:rPr>
        <w:t xml:space="preserve">évaluation, mais également des composantes bien définies de renforcement des capacités, </w:t>
      </w:r>
      <w:r w:rsidRPr="00157DEB">
        <w:rPr>
          <w:lang w:val="fr-FR"/>
        </w:rPr>
        <w:t>d</w:t>
      </w:r>
      <w:r w:rsidR="00C73372">
        <w:rPr>
          <w:lang w:val="fr-FR"/>
        </w:rPr>
        <w:t>’</w:t>
      </w:r>
      <w:r w:rsidRPr="00157DEB">
        <w:rPr>
          <w:lang w:val="fr-FR"/>
        </w:rPr>
        <w:t>appui à l</w:t>
      </w:r>
      <w:r w:rsidR="00C73372">
        <w:rPr>
          <w:lang w:val="fr-FR"/>
        </w:rPr>
        <w:t>’</w:t>
      </w:r>
      <w:r w:rsidRPr="00157DEB">
        <w:rPr>
          <w:lang w:val="fr-FR"/>
        </w:rPr>
        <w:t xml:space="preserve">élaboration des politiques et de </w:t>
      </w:r>
      <w:r w:rsidRPr="00157DEB">
        <w:rPr>
          <w:kern w:val="14"/>
          <w:lang w:val="fr-FR" w:eastAsia="ja-JP"/>
        </w:rPr>
        <w:t>production de connaissances</w:t>
      </w:r>
      <w:r w:rsidR="006B5820" w:rsidRPr="00157DEB">
        <w:rPr>
          <w:kern w:val="14"/>
          <w:lang w:val="fr-FR" w:eastAsia="ja-JP"/>
        </w:rPr>
        <w:t>.</w:t>
      </w:r>
      <w:r w:rsidR="00CC1381" w:rsidRPr="00157DEB">
        <w:rPr>
          <w:kern w:val="14"/>
          <w:lang w:val="fr-FR" w:eastAsia="ja-JP"/>
        </w:rPr>
        <w:t xml:space="preserve"> </w:t>
      </w:r>
    </w:p>
    <w:p w14:paraId="3857B4DC" w14:textId="0DE15CDB" w:rsidR="00752465" w:rsidRPr="00157DEB" w:rsidRDefault="00FB67C6" w:rsidP="00461E1A">
      <w:pPr>
        <w:pStyle w:val="Normalnumber"/>
        <w:numPr>
          <w:ilvl w:val="0"/>
          <w:numId w:val="125"/>
        </w:numPr>
        <w:tabs>
          <w:tab w:val="clear" w:pos="567"/>
          <w:tab w:val="clear" w:pos="1247"/>
          <w:tab w:val="clear" w:pos="1814"/>
          <w:tab w:val="clear" w:pos="2381"/>
          <w:tab w:val="clear" w:pos="2948"/>
          <w:tab w:val="clear" w:pos="3515"/>
          <w:tab w:val="num" w:pos="624"/>
        </w:tabs>
        <w:rPr>
          <w:kern w:val="14"/>
          <w:lang w:val="fr-FR" w:eastAsia="ja-JP"/>
        </w:rPr>
      </w:pPr>
      <w:r>
        <w:rPr>
          <w:kern w:val="14"/>
          <w:lang w:val="fr-FR" w:eastAsia="ja-JP"/>
        </w:rPr>
        <w:t>Les trois évaluations en attente</w:t>
      </w:r>
      <w:r w:rsidR="00461E1A" w:rsidRPr="00157DEB">
        <w:rPr>
          <w:kern w:val="14"/>
          <w:lang w:val="fr-FR" w:eastAsia="ja-JP"/>
        </w:rPr>
        <w:t xml:space="preserve"> dans le cadre du premier programme de travail ne sont pas mentionnées dans le présent document</w:t>
      </w:r>
      <w:r w:rsidR="00752465" w:rsidRPr="00157DEB">
        <w:rPr>
          <w:kern w:val="14"/>
          <w:lang w:val="fr-FR" w:eastAsia="ja-JP"/>
        </w:rPr>
        <w:t xml:space="preserve">. </w:t>
      </w:r>
    </w:p>
    <w:p w14:paraId="5885AF5C" w14:textId="02812C7C" w:rsidR="00CE6210" w:rsidRDefault="00FB67C6" w:rsidP="001D440D">
      <w:pPr>
        <w:pStyle w:val="CH1"/>
        <w:numPr>
          <w:ilvl w:val="0"/>
          <w:numId w:val="167"/>
        </w:numPr>
        <w:rPr>
          <w:rFonts w:eastAsiaTheme="majorEastAsia"/>
          <w:lang w:val="fr-FR"/>
        </w:rPr>
      </w:pPr>
      <w:r>
        <w:rPr>
          <w:rFonts w:eastAsiaTheme="majorEastAsia"/>
          <w:lang w:val="fr-FR"/>
        </w:rPr>
        <w:t>Champ</w:t>
      </w:r>
      <w:r w:rsidR="008D1218" w:rsidRPr="00157DEB">
        <w:rPr>
          <w:rFonts w:eastAsiaTheme="majorEastAsia"/>
          <w:lang w:val="fr-FR"/>
        </w:rPr>
        <w:t xml:space="preserve"> d</w:t>
      </w:r>
      <w:r w:rsidR="00C73372">
        <w:rPr>
          <w:rFonts w:eastAsiaTheme="majorEastAsia"/>
          <w:lang w:val="fr-FR"/>
        </w:rPr>
        <w:t>’</w:t>
      </w:r>
      <w:r w:rsidR="008D1218" w:rsidRPr="00157DEB">
        <w:rPr>
          <w:rFonts w:eastAsiaTheme="majorEastAsia"/>
          <w:lang w:val="fr-FR"/>
        </w:rPr>
        <w:t>application</w:t>
      </w:r>
    </w:p>
    <w:p w14:paraId="039E4ED1" w14:textId="63DF4D30" w:rsidR="001D440D" w:rsidRPr="001D440D" w:rsidRDefault="001D440D" w:rsidP="001D440D">
      <w:pPr>
        <w:pStyle w:val="Normalnumber"/>
        <w:numPr>
          <w:ilvl w:val="0"/>
          <w:numId w:val="125"/>
        </w:numPr>
        <w:tabs>
          <w:tab w:val="clear" w:pos="567"/>
          <w:tab w:val="clear" w:pos="1247"/>
          <w:tab w:val="clear" w:pos="1814"/>
          <w:tab w:val="clear" w:pos="2381"/>
          <w:tab w:val="clear" w:pos="2948"/>
          <w:tab w:val="clear" w:pos="3515"/>
          <w:tab w:val="num" w:pos="624"/>
        </w:tabs>
        <w:rPr>
          <w:kern w:val="14"/>
          <w:lang w:val="fr-FR" w:eastAsia="ja-JP"/>
        </w:rPr>
      </w:pPr>
      <w:bookmarkStart w:id="1" w:name="_Hlk498674831"/>
      <w:r w:rsidRPr="001D440D">
        <w:rPr>
          <w:kern w:val="14"/>
          <w:lang w:val="fr-FR" w:eastAsia="ja-JP"/>
        </w:rPr>
        <w:t>Le deuxième programme de travail sera guidé par l</w:t>
      </w:r>
      <w:r w:rsidR="00C73372">
        <w:rPr>
          <w:kern w:val="14"/>
          <w:lang w:val="fr-FR" w:eastAsia="ja-JP"/>
        </w:rPr>
        <w:t>’</w:t>
      </w:r>
      <w:r w:rsidRPr="001D440D">
        <w:rPr>
          <w:kern w:val="14"/>
          <w:lang w:val="fr-FR" w:eastAsia="ja-JP"/>
        </w:rPr>
        <w:t>objectif d</w:t>
      </w:r>
      <w:r w:rsidR="006F38C1">
        <w:rPr>
          <w:kern w:val="14"/>
          <w:lang w:val="fr-FR" w:eastAsia="ja-JP"/>
        </w:rPr>
        <w:t>e la Plateforme qui consiste à « </w:t>
      </w:r>
      <w:r w:rsidRPr="001D440D">
        <w:rPr>
          <w:kern w:val="14"/>
          <w:lang w:val="fr-FR" w:eastAsia="ja-JP"/>
        </w:rPr>
        <w:t>renforcer l</w:t>
      </w:r>
      <w:r w:rsidR="00C73372">
        <w:rPr>
          <w:kern w:val="14"/>
          <w:lang w:val="fr-FR" w:eastAsia="ja-JP"/>
        </w:rPr>
        <w:t>’</w:t>
      </w:r>
      <w:r w:rsidRPr="001D440D">
        <w:rPr>
          <w:kern w:val="14"/>
          <w:lang w:val="fr-FR" w:eastAsia="ja-JP"/>
        </w:rPr>
        <w:t>interface science-politique pour la biodiversité et les services écosystémiques aux fins de la conservation et de l</w:t>
      </w:r>
      <w:r w:rsidR="00C73372">
        <w:rPr>
          <w:kern w:val="14"/>
          <w:lang w:val="fr-FR" w:eastAsia="ja-JP"/>
        </w:rPr>
        <w:t>’</w:t>
      </w:r>
      <w:r w:rsidRPr="001D440D">
        <w:rPr>
          <w:kern w:val="14"/>
          <w:lang w:val="fr-FR" w:eastAsia="ja-JP"/>
        </w:rPr>
        <w:t>utilisation durable de la diversité biologique, du bien-être à long terme de l</w:t>
      </w:r>
      <w:r w:rsidR="00C73372">
        <w:rPr>
          <w:kern w:val="14"/>
          <w:lang w:val="fr-FR" w:eastAsia="ja-JP"/>
        </w:rPr>
        <w:t>’</w:t>
      </w:r>
      <w:r w:rsidRPr="001D440D">
        <w:rPr>
          <w:kern w:val="14"/>
          <w:lang w:val="fr-FR" w:eastAsia="ja-JP"/>
        </w:rPr>
        <w:t>humanité et du développement durable</w:t>
      </w:r>
      <w:bookmarkEnd w:id="1"/>
      <w:r w:rsidR="006F38C1">
        <w:rPr>
          <w:kern w:val="14"/>
          <w:lang w:val="fr-FR" w:eastAsia="ja-JP"/>
        </w:rPr>
        <w:t> »</w:t>
      </w:r>
      <w:r w:rsidRPr="001D440D">
        <w:rPr>
          <w:kern w:val="14"/>
          <w:lang w:val="fr-FR" w:eastAsia="ja-JP"/>
        </w:rPr>
        <w:t>.</w:t>
      </w:r>
    </w:p>
    <w:p w14:paraId="2DEE4531" w14:textId="6030A27C" w:rsidR="00CE6210" w:rsidRPr="00157DEB" w:rsidRDefault="00461E1A" w:rsidP="006C3441">
      <w:pPr>
        <w:pStyle w:val="Normalnumber"/>
        <w:keepNext/>
        <w:keepLines/>
        <w:numPr>
          <w:ilvl w:val="0"/>
          <w:numId w:val="125"/>
        </w:numPr>
        <w:tabs>
          <w:tab w:val="clear" w:pos="567"/>
          <w:tab w:val="clear" w:pos="1247"/>
          <w:tab w:val="clear" w:pos="1814"/>
          <w:tab w:val="clear" w:pos="2381"/>
          <w:tab w:val="clear" w:pos="2948"/>
          <w:tab w:val="clear" w:pos="3515"/>
          <w:tab w:val="num" w:pos="624"/>
        </w:tabs>
        <w:ind w:left="1253"/>
        <w:rPr>
          <w:kern w:val="14"/>
          <w:lang w:val="fr-FR" w:eastAsia="ja-JP"/>
        </w:rPr>
      </w:pPr>
      <w:r w:rsidRPr="00157DEB">
        <w:rPr>
          <w:kern w:val="14"/>
          <w:lang w:val="fr-FR" w:eastAsia="ja-JP"/>
        </w:rPr>
        <w:lastRenderedPageBreak/>
        <w:t>Le deuxième programme de t</w:t>
      </w:r>
      <w:r w:rsidR="00EE1C8C">
        <w:rPr>
          <w:kern w:val="14"/>
          <w:lang w:val="fr-FR" w:eastAsia="ja-JP"/>
        </w:rPr>
        <w:t>ravail couvrira la période 2020–</w:t>
      </w:r>
      <w:r w:rsidRPr="00157DEB">
        <w:rPr>
          <w:kern w:val="14"/>
          <w:lang w:val="fr-FR" w:eastAsia="ja-JP"/>
        </w:rPr>
        <w:t>2030, durant laquelle l</w:t>
      </w:r>
      <w:r w:rsidR="00C73372">
        <w:rPr>
          <w:kern w:val="14"/>
          <w:lang w:val="fr-FR" w:eastAsia="ja-JP"/>
        </w:rPr>
        <w:t>’</w:t>
      </w:r>
      <w:r w:rsidRPr="00157DEB">
        <w:rPr>
          <w:kern w:val="14"/>
          <w:lang w:val="fr-FR" w:eastAsia="ja-JP"/>
        </w:rPr>
        <w:t xml:space="preserve">interface science-politique pour la biodiversité et les services écosystémiques sera dominée par les efforts visant à mettre en œuvre le suivi du Plan stratégique </w:t>
      </w:r>
      <w:r w:rsidR="00EE1C8C">
        <w:rPr>
          <w:kern w:val="14"/>
          <w:lang w:val="fr-FR" w:eastAsia="ja-JP"/>
        </w:rPr>
        <w:t>2011–</w:t>
      </w:r>
      <w:r w:rsidRPr="00157DEB">
        <w:rPr>
          <w:kern w:val="14"/>
          <w:lang w:val="fr-FR" w:eastAsia="ja-JP"/>
        </w:rPr>
        <w:t>2020</w:t>
      </w:r>
      <w:r w:rsidR="00EE1C8C" w:rsidRPr="00EE1C8C">
        <w:rPr>
          <w:kern w:val="14"/>
          <w:lang w:val="fr-FR" w:eastAsia="ja-JP"/>
        </w:rPr>
        <w:t xml:space="preserve"> </w:t>
      </w:r>
      <w:r w:rsidR="00EE1C8C" w:rsidRPr="00157DEB">
        <w:rPr>
          <w:kern w:val="14"/>
          <w:lang w:val="fr-FR" w:eastAsia="ja-JP"/>
        </w:rPr>
        <w:t>po</w:t>
      </w:r>
      <w:r w:rsidR="00EE1C8C">
        <w:rPr>
          <w:kern w:val="14"/>
          <w:lang w:val="fr-FR" w:eastAsia="ja-JP"/>
        </w:rPr>
        <w:t>ur la diversité biologique</w:t>
      </w:r>
      <w:r w:rsidRPr="00157DEB">
        <w:rPr>
          <w:kern w:val="14"/>
          <w:lang w:val="fr-FR" w:eastAsia="ja-JP"/>
        </w:rPr>
        <w:t xml:space="preserve">, </w:t>
      </w:r>
      <w:r w:rsidR="009D74B7" w:rsidRPr="00157DEB">
        <w:rPr>
          <w:kern w:val="14"/>
          <w:lang w:val="fr-FR" w:eastAsia="ja-JP"/>
        </w:rPr>
        <w:t>du </w:t>
      </w:r>
      <w:r w:rsidRPr="00157DEB">
        <w:rPr>
          <w:kern w:val="14"/>
          <w:lang w:val="fr-FR" w:eastAsia="ja-JP"/>
        </w:rPr>
        <w:t>programme de développement durable à l</w:t>
      </w:r>
      <w:r w:rsidR="00C73372">
        <w:rPr>
          <w:kern w:val="14"/>
          <w:lang w:val="fr-FR" w:eastAsia="ja-JP"/>
        </w:rPr>
        <w:t>’</w:t>
      </w:r>
      <w:r w:rsidRPr="00157DEB">
        <w:rPr>
          <w:kern w:val="14"/>
          <w:lang w:val="fr-FR" w:eastAsia="ja-JP"/>
        </w:rPr>
        <w:t xml:space="preserve">horizon 2030, y compris les objectifs de développement durable, et </w:t>
      </w:r>
      <w:r w:rsidR="008D1218" w:rsidRPr="00157DEB">
        <w:rPr>
          <w:kern w:val="14"/>
          <w:lang w:val="fr-FR" w:eastAsia="ja-JP"/>
        </w:rPr>
        <w:t xml:space="preserve">de </w:t>
      </w:r>
      <w:r w:rsidRPr="00157DEB">
        <w:rPr>
          <w:kern w:val="14"/>
          <w:lang w:val="fr-FR" w:eastAsia="ja-JP"/>
        </w:rPr>
        <w:t>l</w:t>
      </w:r>
      <w:r w:rsidR="00C73372">
        <w:rPr>
          <w:kern w:val="14"/>
          <w:lang w:val="fr-FR" w:eastAsia="ja-JP"/>
        </w:rPr>
        <w:t>’</w:t>
      </w:r>
      <w:r w:rsidRPr="00157DEB">
        <w:rPr>
          <w:kern w:val="14"/>
          <w:lang w:val="fr-FR" w:eastAsia="ja-JP"/>
        </w:rPr>
        <w:t>Accord de Paris sur les changements climatiques</w:t>
      </w:r>
      <w:r w:rsidR="001D442A" w:rsidRPr="00157DEB">
        <w:rPr>
          <w:kern w:val="14"/>
          <w:lang w:val="fr-FR" w:eastAsia="ja-JP"/>
        </w:rPr>
        <w:t>.</w:t>
      </w:r>
    </w:p>
    <w:p w14:paraId="360278F8" w14:textId="23413D96" w:rsidR="00CE6210" w:rsidRPr="00157DEB" w:rsidRDefault="00461E1A" w:rsidP="00CB2057">
      <w:pPr>
        <w:pStyle w:val="Normalnumber"/>
        <w:numPr>
          <w:ilvl w:val="0"/>
          <w:numId w:val="125"/>
        </w:numPr>
        <w:tabs>
          <w:tab w:val="clear" w:pos="567"/>
          <w:tab w:val="clear" w:pos="1247"/>
          <w:tab w:val="clear" w:pos="1814"/>
          <w:tab w:val="clear" w:pos="2381"/>
          <w:tab w:val="clear" w:pos="2948"/>
          <w:tab w:val="clear" w:pos="3515"/>
          <w:tab w:val="num" w:pos="624"/>
        </w:tabs>
        <w:rPr>
          <w:kern w:val="14"/>
          <w:lang w:val="fr-FR" w:eastAsia="ja-JP"/>
        </w:rPr>
      </w:pPr>
      <w:r w:rsidRPr="00157DEB">
        <w:rPr>
          <w:kern w:val="14"/>
          <w:lang w:val="fr-FR" w:eastAsia="ja-JP"/>
        </w:rPr>
        <w:t>Les objectifs de ces trois instruments reflètent les éléments centraux de ce que le cadre conceptuel de la Plateforme qual</w:t>
      </w:r>
      <w:r w:rsidR="009159DA">
        <w:rPr>
          <w:kern w:val="14"/>
          <w:lang w:val="fr-FR" w:eastAsia="ja-JP"/>
        </w:rPr>
        <w:t>ifie de « bonne qualité de vie »</w:t>
      </w:r>
      <w:r w:rsidRPr="00157DEB">
        <w:rPr>
          <w:kern w:val="14"/>
          <w:lang w:val="fr-FR" w:eastAsia="ja-JP"/>
        </w:rPr>
        <w:t>, c</w:t>
      </w:r>
      <w:r w:rsidR="00C73372">
        <w:rPr>
          <w:kern w:val="14"/>
          <w:lang w:val="fr-FR" w:eastAsia="ja-JP"/>
        </w:rPr>
        <w:t>’</w:t>
      </w:r>
      <w:r w:rsidRPr="00157DEB">
        <w:rPr>
          <w:kern w:val="14"/>
          <w:lang w:val="fr-FR" w:eastAsia="ja-JP"/>
        </w:rPr>
        <w:t>est-à-dire une vie humaine accomplie, ce qui peut être compris comme incluant l</w:t>
      </w:r>
      <w:r w:rsidR="00C73372">
        <w:rPr>
          <w:kern w:val="14"/>
          <w:lang w:val="fr-FR" w:eastAsia="ja-JP"/>
        </w:rPr>
        <w:t>’</w:t>
      </w:r>
      <w:r w:rsidRPr="00157DEB">
        <w:rPr>
          <w:kern w:val="14"/>
          <w:lang w:val="fr-FR" w:eastAsia="ja-JP"/>
        </w:rPr>
        <w:t>accès à l</w:t>
      </w:r>
      <w:r w:rsidR="00C73372">
        <w:rPr>
          <w:kern w:val="14"/>
          <w:lang w:val="fr-FR" w:eastAsia="ja-JP"/>
        </w:rPr>
        <w:t>’</w:t>
      </w:r>
      <w:r w:rsidRPr="00157DEB">
        <w:rPr>
          <w:kern w:val="14"/>
          <w:lang w:val="fr-FR" w:eastAsia="ja-JP"/>
        </w:rPr>
        <w:t>alimentation, à l</w:t>
      </w:r>
      <w:r w:rsidR="00C73372">
        <w:rPr>
          <w:kern w:val="14"/>
          <w:lang w:val="fr-FR" w:eastAsia="ja-JP"/>
        </w:rPr>
        <w:t>’</w:t>
      </w:r>
      <w:r w:rsidRPr="00157DEB">
        <w:rPr>
          <w:kern w:val="14"/>
          <w:lang w:val="fr-FR" w:eastAsia="ja-JP"/>
        </w:rPr>
        <w:t>eau et au logement ; la santé, l</w:t>
      </w:r>
      <w:r w:rsidR="00C73372">
        <w:rPr>
          <w:kern w:val="14"/>
          <w:lang w:val="fr-FR" w:eastAsia="ja-JP"/>
        </w:rPr>
        <w:t>’</w:t>
      </w:r>
      <w:r w:rsidRPr="00157DEB">
        <w:rPr>
          <w:kern w:val="14"/>
          <w:lang w:val="fr-FR" w:eastAsia="ja-JP"/>
        </w:rPr>
        <w:t xml:space="preserve">éducation et la qualité des relations sociales </w:t>
      </w:r>
      <w:r w:rsidR="00D530EB" w:rsidRPr="00157DEB">
        <w:rPr>
          <w:kern w:val="14"/>
          <w:lang w:val="fr-FR" w:eastAsia="ja-JP"/>
        </w:rPr>
        <w:t>;</w:t>
      </w:r>
      <w:r w:rsidR="00CE6210" w:rsidRPr="00157DEB">
        <w:rPr>
          <w:kern w:val="14"/>
          <w:lang w:val="fr-FR" w:eastAsia="ja-JP"/>
        </w:rPr>
        <w:t xml:space="preserve"> </w:t>
      </w:r>
      <w:r w:rsidR="00CB2057" w:rsidRPr="00157DEB">
        <w:rPr>
          <w:kern w:val="14"/>
          <w:lang w:val="fr-FR" w:eastAsia="ja-JP"/>
        </w:rPr>
        <w:t>la sécurité physique, énergétique et des moyens de subsistance ;</w:t>
      </w:r>
      <w:r w:rsidR="00CE6210" w:rsidRPr="00157DEB">
        <w:rPr>
          <w:kern w:val="14"/>
          <w:lang w:val="fr-FR" w:eastAsia="ja-JP"/>
        </w:rPr>
        <w:t xml:space="preserve"> </w:t>
      </w:r>
      <w:r w:rsidR="00CB2057" w:rsidRPr="00157DEB">
        <w:rPr>
          <w:kern w:val="14"/>
          <w:lang w:val="fr-FR" w:eastAsia="ja-JP"/>
        </w:rPr>
        <w:t>l</w:t>
      </w:r>
      <w:r w:rsidR="00C73372">
        <w:rPr>
          <w:kern w:val="14"/>
          <w:lang w:val="fr-FR" w:eastAsia="ja-JP"/>
        </w:rPr>
        <w:t>’</w:t>
      </w:r>
      <w:r w:rsidR="00CB2057" w:rsidRPr="00157DEB">
        <w:rPr>
          <w:kern w:val="14"/>
          <w:lang w:val="fr-FR" w:eastAsia="ja-JP"/>
        </w:rPr>
        <w:t>équité</w:t>
      </w:r>
      <w:r w:rsidR="00CE6210" w:rsidRPr="00157DEB">
        <w:rPr>
          <w:kern w:val="14"/>
          <w:lang w:val="fr-FR" w:eastAsia="ja-JP"/>
        </w:rPr>
        <w:t xml:space="preserve">, </w:t>
      </w:r>
      <w:r w:rsidR="00CB2057" w:rsidRPr="00157DEB">
        <w:rPr>
          <w:kern w:val="14"/>
          <w:lang w:val="fr-FR" w:eastAsia="ja-JP"/>
        </w:rPr>
        <w:t>l</w:t>
      </w:r>
      <w:r w:rsidR="00C73372">
        <w:rPr>
          <w:kern w:val="14"/>
          <w:lang w:val="fr-FR" w:eastAsia="ja-JP"/>
        </w:rPr>
        <w:t>’</w:t>
      </w:r>
      <w:r w:rsidR="00CB2057" w:rsidRPr="00157DEB">
        <w:rPr>
          <w:kern w:val="14"/>
          <w:lang w:val="fr-FR" w:eastAsia="ja-JP"/>
        </w:rPr>
        <w:t xml:space="preserve">identité culturelle, la prospérité matérielle et la </w:t>
      </w:r>
      <w:r w:rsidR="00CE6210" w:rsidRPr="00157DEB">
        <w:rPr>
          <w:kern w:val="14"/>
          <w:lang w:val="fr-FR" w:eastAsia="ja-JP"/>
        </w:rPr>
        <w:t>satisfaction</w:t>
      </w:r>
      <w:r w:rsidR="00CB2057" w:rsidRPr="00157DEB">
        <w:rPr>
          <w:kern w:val="14"/>
          <w:lang w:val="fr-FR" w:eastAsia="ja-JP"/>
        </w:rPr>
        <w:t xml:space="preserve"> spirituelle ;</w:t>
      </w:r>
      <w:r w:rsidR="00CE6210" w:rsidRPr="00157DEB">
        <w:rPr>
          <w:kern w:val="14"/>
          <w:lang w:val="fr-FR" w:eastAsia="ja-JP"/>
        </w:rPr>
        <w:t xml:space="preserve"> </w:t>
      </w:r>
      <w:r w:rsidR="00CB2057" w:rsidRPr="00157DEB">
        <w:rPr>
          <w:kern w:val="14"/>
          <w:lang w:val="fr-FR" w:eastAsia="ja-JP"/>
        </w:rPr>
        <w:t>la liberté de choix et d</w:t>
      </w:r>
      <w:r w:rsidR="00C73372">
        <w:rPr>
          <w:kern w:val="14"/>
          <w:lang w:val="fr-FR" w:eastAsia="ja-JP"/>
        </w:rPr>
        <w:t>’</w:t>
      </w:r>
      <w:r w:rsidR="00CB2057" w:rsidRPr="00157DEB">
        <w:rPr>
          <w:kern w:val="14"/>
          <w:lang w:val="fr-FR" w:eastAsia="ja-JP"/>
        </w:rPr>
        <w:t xml:space="preserve">action ; et la </w:t>
      </w:r>
      <w:r w:rsidR="00CE6210" w:rsidRPr="00157DEB">
        <w:rPr>
          <w:kern w:val="14"/>
          <w:lang w:val="fr-FR" w:eastAsia="ja-JP"/>
        </w:rPr>
        <w:t xml:space="preserve">participation </w:t>
      </w:r>
      <w:r w:rsidR="00CB2057" w:rsidRPr="00157DEB">
        <w:rPr>
          <w:kern w:val="14"/>
          <w:lang w:val="fr-FR" w:eastAsia="ja-JP"/>
        </w:rPr>
        <w:t>à la société</w:t>
      </w:r>
      <w:r w:rsidR="00CE6210" w:rsidRPr="00157DEB">
        <w:rPr>
          <w:kern w:val="14"/>
          <w:lang w:val="fr-FR" w:eastAsia="ja-JP"/>
        </w:rPr>
        <w:t xml:space="preserve">. </w:t>
      </w:r>
    </w:p>
    <w:p w14:paraId="17E79DA9" w14:textId="60DDD599" w:rsidR="00CE6210" w:rsidRPr="00157DEB" w:rsidRDefault="00CB2057" w:rsidP="00CB2057">
      <w:pPr>
        <w:pStyle w:val="Normalnumber"/>
        <w:numPr>
          <w:ilvl w:val="0"/>
          <w:numId w:val="125"/>
        </w:numPr>
        <w:tabs>
          <w:tab w:val="clear" w:pos="567"/>
          <w:tab w:val="clear" w:pos="1247"/>
          <w:tab w:val="clear" w:pos="1814"/>
          <w:tab w:val="clear" w:pos="2381"/>
          <w:tab w:val="clear" w:pos="2948"/>
          <w:tab w:val="clear" w:pos="3515"/>
          <w:tab w:val="num" w:pos="624"/>
        </w:tabs>
        <w:rPr>
          <w:kern w:val="14"/>
          <w:lang w:val="fr-FR" w:eastAsia="ja-JP"/>
        </w:rPr>
      </w:pPr>
      <w:r w:rsidRPr="00157DEB">
        <w:rPr>
          <w:kern w:val="14"/>
          <w:lang w:val="fr-FR" w:eastAsia="ja-JP"/>
        </w:rPr>
        <w:t>Grâce au sens de la perspective du cadre conceptuel de la Plateforme, le deuxième programme de travail pourrait continuer à œuvrer à une meilleure compréhension des relations entre les êtres humains et la nature, notamment comment la nature contribue à une bonne qualité de vie</w:t>
      </w:r>
      <w:r w:rsidR="004A3C53" w:rsidRPr="00157DEB">
        <w:rPr>
          <w:kern w:val="14"/>
          <w:lang w:val="fr-FR" w:eastAsia="ja-JP"/>
        </w:rPr>
        <w:t>,</w:t>
      </w:r>
      <w:r w:rsidR="00CE6210" w:rsidRPr="00157DEB">
        <w:rPr>
          <w:kern w:val="14"/>
          <w:lang w:val="fr-FR" w:eastAsia="ja-JP"/>
        </w:rPr>
        <w:t xml:space="preserve"> </w:t>
      </w:r>
      <w:r w:rsidRPr="00157DEB">
        <w:rPr>
          <w:kern w:val="14"/>
          <w:lang w:val="fr-FR" w:eastAsia="ja-JP"/>
        </w:rPr>
        <w:t>en mettant l</w:t>
      </w:r>
      <w:r w:rsidR="00C73372">
        <w:rPr>
          <w:kern w:val="14"/>
          <w:lang w:val="fr-FR" w:eastAsia="ja-JP"/>
        </w:rPr>
        <w:t>’</w:t>
      </w:r>
      <w:r w:rsidRPr="00157DEB">
        <w:rPr>
          <w:kern w:val="14"/>
          <w:lang w:val="fr-FR" w:eastAsia="ja-JP"/>
        </w:rPr>
        <w:t>accent sur les aspects qui se rapportent au Plan stratégique</w:t>
      </w:r>
      <w:r w:rsidR="00EE1C8C">
        <w:rPr>
          <w:kern w:val="14"/>
          <w:lang w:val="fr-FR" w:eastAsia="ja-JP"/>
        </w:rPr>
        <w:t xml:space="preserve"> 2011–</w:t>
      </w:r>
      <w:r w:rsidRPr="00157DEB">
        <w:rPr>
          <w:kern w:val="14"/>
          <w:lang w:val="fr-FR" w:eastAsia="ja-JP"/>
        </w:rPr>
        <w:t>2020</w:t>
      </w:r>
      <w:r w:rsidR="00EE1C8C" w:rsidRPr="00EE1C8C">
        <w:rPr>
          <w:kern w:val="14"/>
          <w:lang w:val="fr-FR" w:eastAsia="ja-JP"/>
        </w:rPr>
        <w:t xml:space="preserve"> </w:t>
      </w:r>
      <w:r w:rsidR="00EE1C8C" w:rsidRPr="00157DEB">
        <w:rPr>
          <w:kern w:val="14"/>
          <w:lang w:val="fr-FR" w:eastAsia="ja-JP"/>
        </w:rPr>
        <w:t>pour la diversité biologique</w:t>
      </w:r>
      <w:r w:rsidRPr="00157DEB">
        <w:rPr>
          <w:kern w:val="14"/>
          <w:lang w:val="fr-FR" w:eastAsia="ja-JP"/>
        </w:rPr>
        <w:t>, aux objectifs de développement durable et à l</w:t>
      </w:r>
      <w:r w:rsidR="00C73372">
        <w:rPr>
          <w:kern w:val="14"/>
          <w:lang w:val="fr-FR" w:eastAsia="ja-JP"/>
        </w:rPr>
        <w:t>’</w:t>
      </w:r>
      <w:r w:rsidRPr="00157DEB">
        <w:rPr>
          <w:kern w:val="14"/>
          <w:lang w:val="fr-FR" w:eastAsia="ja-JP"/>
        </w:rPr>
        <w:t>Accord de Paris sur les changements climatiques</w:t>
      </w:r>
      <w:r w:rsidR="00CE6210" w:rsidRPr="00157DEB">
        <w:rPr>
          <w:kern w:val="14"/>
          <w:lang w:val="fr-FR" w:eastAsia="ja-JP"/>
        </w:rPr>
        <w:t>.</w:t>
      </w:r>
    </w:p>
    <w:p w14:paraId="26844B16" w14:textId="0D77C2B7" w:rsidR="00381372" w:rsidRPr="00157DEB" w:rsidRDefault="003503B8" w:rsidP="003503B8">
      <w:pPr>
        <w:pStyle w:val="CH1"/>
        <w:rPr>
          <w:rFonts w:eastAsiaTheme="majorEastAsia"/>
          <w:lang w:val="fr-FR"/>
        </w:rPr>
      </w:pPr>
      <w:r w:rsidRPr="00157DEB">
        <w:rPr>
          <w:rFonts w:eastAsiaTheme="majorEastAsia"/>
          <w:lang w:val="fr-FR"/>
        </w:rPr>
        <w:tab/>
      </w:r>
      <w:r w:rsidR="008D1CD2" w:rsidRPr="00157DEB">
        <w:rPr>
          <w:rFonts w:eastAsiaTheme="majorEastAsia"/>
          <w:lang w:val="fr-FR"/>
        </w:rPr>
        <w:t>I</w:t>
      </w:r>
      <w:r w:rsidR="00510E1A" w:rsidRPr="00157DEB">
        <w:rPr>
          <w:rFonts w:eastAsiaTheme="majorEastAsia"/>
          <w:lang w:val="fr-FR"/>
        </w:rPr>
        <w:t>I</w:t>
      </w:r>
      <w:r w:rsidR="00B45105" w:rsidRPr="00157DEB">
        <w:rPr>
          <w:rFonts w:eastAsiaTheme="majorEastAsia"/>
          <w:lang w:val="fr-FR"/>
        </w:rPr>
        <w:t>.</w:t>
      </w:r>
      <w:r w:rsidR="00B45105" w:rsidRPr="00157DEB">
        <w:rPr>
          <w:rFonts w:eastAsiaTheme="majorEastAsia"/>
          <w:lang w:val="fr-FR"/>
        </w:rPr>
        <w:tab/>
      </w:r>
      <w:r w:rsidR="00C521A7" w:rsidRPr="00157DEB">
        <w:rPr>
          <w:rFonts w:eastAsiaTheme="majorEastAsia"/>
          <w:lang w:val="fr-FR"/>
        </w:rPr>
        <w:t>P</w:t>
      </w:r>
      <w:r w:rsidR="00FB6A5B" w:rsidRPr="00157DEB">
        <w:rPr>
          <w:rFonts w:eastAsiaTheme="majorEastAsia"/>
          <w:lang w:val="fr-FR"/>
        </w:rPr>
        <w:t>rocess</w:t>
      </w:r>
      <w:r w:rsidR="00B77149" w:rsidRPr="00157DEB">
        <w:rPr>
          <w:rFonts w:eastAsiaTheme="majorEastAsia"/>
          <w:lang w:val="fr-FR"/>
        </w:rPr>
        <w:t>us de réception et de hiérarchisation des demandes</w:t>
      </w:r>
    </w:p>
    <w:p w14:paraId="183E65E8" w14:textId="45732E58" w:rsidR="00381372" w:rsidRPr="00157DEB" w:rsidRDefault="00B77149" w:rsidP="00B77149">
      <w:pPr>
        <w:pStyle w:val="Normalnumber"/>
        <w:numPr>
          <w:ilvl w:val="0"/>
          <w:numId w:val="125"/>
        </w:numPr>
        <w:tabs>
          <w:tab w:val="clear" w:pos="567"/>
          <w:tab w:val="clear" w:pos="1247"/>
          <w:tab w:val="clear" w:pos="1814"/>
          <w:tab w:val="clear" w:pos="2381"/>
          <w:tab w:val="clear" w:pos="2948"/>
          <w:tab w:val="clear" w:pos="3515"/>
          <w:tab w:val="num" w:pos="624"/>
        </w:tabs>
        <w:rPr>
          <w:kern w:val="14"/>
          <w:lang w:val="fr-FR" w:eastAsia="ja-JP"/>
        </w:rPr>
      </w:pPr>
      <w:r w:rsidRPr="00157DEB">
        <w:rPr>
          <w:kern w:val="14"/>
          <w:lang w:val="fr-FR" w:eastAsia="ja-JP"/>
        </w:rPr>
        <w:t>La Plateforme devrait répondre aux demandes des gouvernements, notamment à celles qui sont transmises dans le cadre des accords multilatéraux sur l</w:t>
      </w:r>
      <w:r w:rsidR="00C73372">
        <w:rPr>
          <w:kern w:val="14"/>
          <w:lang w:val="fr-FR" w:eastAsia="ja-JP"/>
        </w:rPr>
        <w:t>’</w:t>
      </w:r>
      <w:r w:rsidRPr="00157DEB">
        <w:rPr>
          <w:kern w:val="14"/>
          <w:lang w:val="fr-FR" w:eastAsia="ja-JP"/>
        </w:rPr>
        <w:t>environnement relatifs à la biodiversité et aux services écosystémiques, ainsi que déterminé par leurs organ</w:t>
      </w:r>
      <w:r w:rsidR="00EE1C8C">
        <w:rPr>
          <w:kern w:val="14"/>
          <w:lang w:val="fr-FR" w:eastAsia="ja-JP"/>
        </w:rPr>
        <w:t>es directeurs respectifs </w:t>
      </w:r>
      <w:r w:rsidR="00381372" w:rsidRPr="00157DEB">
        <w:rPr>
          <w:kern w:val="14"/>
          <w:lang w:val="fr-FR" w:eastAsia="ja-JP"/>
        </w:rPr>
        <w:t xml:space="preserve">; </w:t>
      </w:r>
      <w:r w:rsidRPr="00157DEB">
        <w:rPr>
          <w:kern w:val="14"/>
          <w:lang w:val="fr-FR" w:eastAsia="ja-JP"/>
        </w:rPr>
        <w:t>accueillir favorablement les contributions et les suggestions</w:t>
      </w:r>
      <w:r w:rsidR="00EE1C8C">
        <w:rPr>
          <w:kern w:val="14"/>
          <w:lang w:val="fr-FR" w:eastAsia="ja-JP"/>
        </w:rPr>
        <w:t xml:space="preserve"> </w:t>
      </w:r>
      <w:r w:rsidRPr="00157DEB">
        <w:rPr>
          <w:kern w:val="14"/>
          <w:lang w:val="fr-FR" w:eastAsia="ja-JP"/>
        </w:rPr>
        <w:t xml:space="preserve">des organismes </w:t>
      </w:r>
      <w:r w:rsidR="00EE1C8C">
        <w:rPr>
          <w:kern w:val="14"/>
          <w:lang w:val="fr-FR" w:eastAsia="ja-JP"/>
        </w:rPr>
        <w:t>des Nations Unies dont les travaux portent sur la biodiversité et les se</w:t>
      </w:r>
      <w:r w:rsidR="009159DA">
        <w:rPr>
          <w:kern w:val="14"/>
          <w:lang w:val="fr-FR" w:eastAsia="ja-JP"/>
        </w:rPr>
        <w:t xml:space="preserve">rvices écosystémiques et </w:t>
      </w:r>
      <w:r w:rsidR="00EE1C8C">
        <w:rPr>
          <w:kern w:val="14"/>
          <w:lang w:val="fr-FR" w:eastAsia="ja-JP"/>
        </w:rPr>
        <w:t>la participation de ces organismes, ainsi que déterminé</w:t>
      </w:r>
      <w:r w:rsidRPr="00157DEB">
        <w:rPr>
          <w:kern w:val="14"/>
          <w:lang w:val="fr-FR" w:eastAsia="ja-JP"/>
        </w:rPr>
        <w:t xml:space="preserve"> par leurs organes directeurs respectifs ; </w:t>
      </w:r>
      <w:r w:rsidR="00EE1C8C">
        <w:rPr>
          <w:kern w:val="14"/>
          <w:lang w:val="fr-FR" w:eastAsia="ja-JP"/>
        </w:rPr>
        <w:t>et encourager et prendre en compte, selon qu</w:t>
      </w:r>
      <w:r w:rsidR="00C73372">
        <w:rPr>
          <w:kern w:val="14"/>
          <w:lang w:val="fr-FR" w:eastAsia="ja-JP"/>
        </w:rPr>
        <w:t>’</w:t>
      </w:r>
      <w:r w:rsidR="00EE1C8C">
        <w:rPr>
          <w:kern w:val="14"/>
          <w:lang w:val="fr-FR" w:eastAsia="ja-JP"/>
        </w:rPr>
        <w:t xml:space="preserve">il y a lieu, </w:t>
      </w:r>
      <w:r w:rsidRPr="00157DEB">
        <w:rPr>
          <w:kern w:val="14"/>
          <w:lang w:val="fr-FR" w:eastAsia="ja-JP"/>
        </w:rPr>
        <w:t>les contributions et les suggestions formulées par les parties prenantes concernées, telles que les autres organisations intergouvernementales, les organisations scientifiques internationales et régionales, les fonds d</w:t>
      </w:r>
      <w:r w:rsidR="00C73372">
        <w:rPr>
          <w:kern w:val="14"/>
          <w:lang w:val="fr-FR" w:eastAsia="ja-JP"/>
        </w:rPr>
        <w:t>’</w:t>
      </w:r>
      <w:r w:rsidRPr="00157DEB">
        <w:rPr>
          <w:kern w:val="14"/>
          <w:lang w:val="fr-FR" w:eastAsia="ja-JP"/>
        </w:rPr>
        <w:t>affectation spéciale pour l</w:t>
      </w:r>
      <w:r w:rsidR="00C73372">
        <w:rPr>
          <w:kern w:val="14"/>
          <w:lang w:val="fr-FR" w:eastAsia="ja-JP"/>
        </w:rPr>
        <w:t>’</w:t>
      </w:r>
      <w:r w:rsidRPr="00157DEB">
        <w:rPr>
          <w:kern w:val="14"/>
          <w:lang w:val="fr-FR" w:eastAsia="ja-JP"/>
        </w:rPr>
        <w:t>environnement, les organisations non gouvernementales, les peuples autochtones</w:t>
      </w:r>
      <w:r w:rsidR="009159DA">
        <w:rPr>
          <w:kern w:val="14"/>
          <w:lang w:val="fr-FR" w:eastAsia="ja-JP"/>
        </w:rPr>
        <w:t xml:space="preserve"> et les communautés locales, ainsi que</w:t>
      </w:r>
      <w:r w:rsidR="00EE1C8C">
        <w:rPr>
          <w:kern w:val="14"/>
          <w:lang w:val="fr-FR" w:eastAsia="ja-JP"/>
        </w:rPr>
        <w:t xml:space="preserve"> </w:t>
      </w:r>
      <w:r w:rsidRPr="00157DEB">
        <w:rPr>
          <w:kern w:val="14"/>
          <w:lang w:val="fr-FR" w:eastAsia="ja-JP"/>
        </w:rPr>
        <w:t>le secteur privé</w:t>
      </w:r>
      <w:r w:rsidR="00381372" w:rsidRPr="00157DEB">
        <w:rPr>
          <w:kern w:val="14"/>
          <w:lang w:val="fr-FR" w:eastAsia="ja-JP"/>
        </w:rPr>
        <w:t xml:space="preserve">. </w:t>
      </w:r>
    </w:p>
    <w:p w14:paraId="3144ABA3" w14:textId="54178E13" w:rsidR="00EF185E" w:rsidRPr="00157DEB" w:rsidRDefault="00E000C0" w:rsidP="00E000C0">
      <w:pPr>
        <w:pStyle w:val="Normalnumber"/>
        <w:numPr>
          <w:ilvl w:val="0"/>
          <w:numId w:val="125"/>
        </w:numPr>
        <w:tabs>
          <w:tab w:val="clear" w:pos="567"/>
          <w:tab w:val="clear" w:pos="1247"/>
          <w:tab w:val="clear" w:pos="1814"/>
          <w:tab w:val="clear" w:pos="2381"/>
          <w:tab w:val="clear" w:pos="2948"/>
          <w:tab w:val="clear" w:pos="3515"/>
          <w:tab w:val="num" w:pos="624"/>
        </w:tabs>
        <w:rPr>
          <w:kern w:val="14"/>
          <w:lang w:val="fr-FR" w:eastAsia="ja-JP"/>
        </w:rPr>
      </w:pPr>
      <w:r w:rsidRPr="00157DEB">
        <w:rPr>
          <w:kern w:val="14"/>
          <w:lang w:val="fr-FR" w:eastAsia="ja-JP"/>
        </w:rPr>
        <w:t>L</w:t>
      </w:r>
      <w:r w:rsidR="00C73372">
        <w:rPr>
          <w:kern w:val="14"/>
          <w:lang w:val="fr-FR" w:eastAsia="ja-JP"/>
        </w:rPr>
        <w:t>’</w:t>
      </w:r>
      <w:r w:rsidRPr="00157DEB">
        <w:rPr>
          <w:kern w:val="14"/>
          <w:lang w:val="fr-FR" w:eastAsia="ja-JP"/>
        </w:rPr>
        <w:t>examen interne de la Plateforme a indiqué que cette dernière devrait trouver des moyens de renforcer ses échanges avec les gouvernements dans le cadre de ses activités</w:t>
      </w:r>
      <w:r w:rsidR="00FB6A5B" w:rsidRPr="00157DEB">
        <w:rPr>
          <w:kern w:val="14"/>
          <w:lang w:val="fr-FR" w:eastAsia="ja-JP"/>
        </w:rPr>
        <w:t xml:space="preserve"> (</w:t>
      </w:r>
      <w:r w:rsidR="00C17BF1" w:rsidRPr="00157DEB">
        <w:rPr>
          <w:kern w:val="14"/>
          <w:lang w:val="fr-FR" w:eastAsia="ja-JP"/>
        </w:rPr>
        <w:t>IPBES/6/INF/32</w:t>
      </w:r>
      <w:r w:rsidR="00FB6A5B" w:rsidRPr="00157DEB">
        <w:rPr>
          <w:kern w:val="14"/>
          <w:lang w:val="fr-FR" w:eastAsia="ja-JP"/>
        </w:rPr>
        <w:t>)</w:t>
      </w:r>
      <w:r w:rsidR="001D442A" w:rsidRPr="00157DEB">
        <w:rPr>
          <w:kern w:val="14"/>
          <w:lang w:val="fr-FR" w:eastAsia="ja-JP"/>
        </w:rPr>
        <w:t xml:space="preserve">. </w:t>
      </w:r>
      <w:r w:rsidR="000E2B0F">
        <w:rPr>
          <w:b/>
          <w:kern w:val="14"/>
          <w:lang w:val="fr-FR" w:eastAsia="ja-JP"/>
        </w:rPr>
        <w:t>Une </w:t>
      </w:r>
      <w:r w:rsidRPr="00157DEB">
        <w:rPr>
          <w:b/>
          <w:kern w:val="14"/>
          <w:lang w:val="fr-FR" w:eastAsia="ja-JP"/>
        </w:rPr>
        <w:t>solution pour faciliter ces échanges consisterait à tenir des consultations informelles, à divers moments au cours de la période couverte par le deuxième programme de travail, en y invitant les correspondants nationaux de la Plateforme et les représentants d</w:t>
      </w:r>
      <w:r w:rsidR="00C73372">
        <w:rPr>
          <w:b/>
          <w:kern w:val="14"/>
          <w:lang w:val="fr-FR" w:eastAsia="ja-JP"/>
        </w:rPr>
        <w:t>’</w:t>
      </w:r>
      <w:r w:rsidRPr="00157DEB">
        <w:rPr>
          <w:b/>
          <w:kern w:val="14"/>
          <w:lang w:val="fr-FR" w:eastAsia="ja-JP"/>
        </w:rPr>
        <w:t>autres parties prenantes concernées, afin d</w:t>
      </w:r>
      <w:r w:rsidR="00C73372">
        <w:rPr>
          <w:b/>
          <w:kern w:val="14"/>
          <w:lang w:val="fr-FR" w:eastAsia="ja-JP"/>
        </w:rPr>
        <w:t>’</w:t>
      </w:r>
      <w:r w:rsidRPr="00157DEB">
        <w:rPr>
          <w:b/>
          <w:kern w:val="14"/>
          <w:lang w:val="fr-FR" w:eastAsia="ja-JP"/>
        </w:rPr>
        <w:t>échanger des points de vue, notamment sur d</w:t>
      </w:r>
      <w:r w:rsidR="00C73372">
        <w:rPr>
          <w:b/>
          <w:kern w:val="14"/>
          <w:lang w:val="fr-FR" w:eastAsia="ja-JP"/>
        </w:rPr>
        <w:t>’</w:t>
      </w:r>
      <w:r w:rsidRPr="00157DEB">
        <w:rPr>
          <w:b/>
          <w:kern w:val="14"/>
          <w:lang w:val="fr-FR" w:eastAsia="ja-JP"/>
        </w:rPr>
        <w:t>éventuels futurs domaines d</w:t>
      </w:r>
      <w:r w:rsidR="00C73372">
        <w:rPr>
          <w:b/>
          <w:kern w:val="14"/>
          <w:lang w:val="fr-FR" w:eastAsia="ja-JP"/>
        </w:rPr>
        <w:t>’</w:t>
      </w:r>
      <w:r w:rsidRPr="00157DEB">
        <w:rPr>
          <w:b/>
          <w:kern w:val="14"/>
          <w:lang w:val="fr-FR" w:eastAsia="ja-JP"/>
        </w:rPr>
        <w:t>activités qui pourraient être pris en charge par la Plateforme</w:t>
      </w:r>
      <w:r w:rsidR="00F8723E" w:rsidRPr="00157DEB">
        <w:rPr>
          <w:kern w:val="14"/>
          <w:lang w:val="fr-FR" w:eastAsia="ja-JP"/>
        </w:rPr>
        <w:t xml:space="preserve">. </w:t>
      </w:r>
      <w:r w:rsidRPr="00157DEB">
        <w:rPr>
          <w:kern w:val="14"/>
          <w:lang w:val="fr-FR" w:eastAsia="ja-JP"/>
        </w:rPr>
        <w:t>Les</w:t>
      </w:r>
      <w:r w:rsidR="00084D4F" w:rsidRPr="00157DEB">
        <w:rPr>
          <w:kern w:val="14"/>
          <w:lang w:val="fr-FR" w:eastAsia="ja-JP"/>
        </w:rPr>
        <w:t xml:space="preserve"> consultations</w:t>
      </w:r>
      <w:r w:rsidR="009C701A" w:rsidRPr="00157DEB">
        <w:rPr>
          <w:kern w:val="14"/>
          <w:lang w:val="fr-FR" w:eastAsia="ja-JP"/>
        </w:rPr>
        <w:t xml:space="preserve"> </w:t>
      </w:r>
      <w:r w:rsidRPr="00157DEB">
        <w:rPr>
          <w:kern w:val="14"/>
          <w:lang w:val="fr-FR" w:eastAsia="ja-JP"/>
        </w:rPr>
        <w:t>pourraient s</w:t>
      </w:r>
      <w:r w:rsidR="00C73372">
        <w:rPr>
          <w:kern w:val="14"/>
          <w:lang w:val="fr-FR" w:eastAsia="ja-JP"/>
        </w:rPr>
        <w:t>’</w:t>
      </w:r>
      <w:r w:rsidRPr="00157DEB">
        <w:rPr>
          <w:kern w:val="14"/>
          <w:lang w:val="fr-FR" w:eastAsia="ja-JP"/>
        </w:rPr>
        <w:t>effectuer au niveau régional, ou bien lors de réunions d</w:t>
      </w:r>
      <w:r w:rsidR="00C73372">
        <w:rPr>
          <w:kern w:val="14"/>
          <w:lang w:val="fr-FR" w:eastAsia="ja-JP"/>
        </w:rPr>
        <w:t>’</w:t>
      </w:r>
      <w:r w:rsidRPr="00157DEB">
        <w:rPr>
          <w:kern w:val="14"/>
          <w:lang w:val="fr-FR" w:eastAsia="ja-JP"/>
        </w:rPr>
        <w:t>un ou deux jours couplées avec une session de la Plénière</w:t>
      </w:r>
      <w:r w:rsidR="009C701A" w:rsidRPr="00157DEB">
        <w:rPr>
          <w:kern w:val="14"/>
          <w:lang w:val="fr-FR" w:eastAsia="ja-JP"/>
        </w:rPr>
        <w:t>.</w:t>
      </w:r>
      <w:r w:rsidR="00084D4F" w:rsidRPr="00157DEB">
        <w:rPr>
          <w:kern w:val="14"/>
          <w:lang w:val="fr-FR" w:eastAsia="ja-JP"/>
        </w:rPr>
        <w:t xml:space="preserve"> </w:t>
      </w:r>
    </w:p>
    <w:p w14:paraId="1078445D" w14:textId="7FED9523" w:rsidR="004D2FA0" w:rsidRPr="00157DEB" w:rsidRDefault="00E000C0" w:rsidP="00E000C0">
      <w:pPr>
        <w:pStyle w:val="Normalnumber"/>
        <w:rPr>
          <w:b/>
          <w:lang w:val="fr-FR"/>
        </w:rPr>
      </w:pPr>
      <w:r w:rsidRPr="00157DEB">
        <w:rPr>
          <w:b/>
          <w:kern w:val="14"/>
          <w:lang w:val="fr-FR" w:eastAsia="ja-JP"/>
        </w:rPr>
        <w:t>Le processus visant à mettre au point le cadre d</w:t>
      </w:r>
      <w:r w:rsidR="00C73372">
        <w:rPr>
          <w:b/>
          <w:kern w:val="14"/>
          <w:lang w:val="fr-FR" w:eastAsia="ja-JP"/>
        </w:rPr>
        <w:t>’</w:t>
      </w:r>
      <w:r w:rsidRPr="00157DEB">
        <w:rPr>
          <w:b/>
          <w:kern w:val="14"/>
          <w:lang w:val="fr-FR" w:eastAsia="ja-JP"/>
        </w:rPr>
        <w:t>un deuxième programme de travail après la sixième session de la plénière pourrait inclure les</w:t>
      </w:r>
      <w:r w:rsidR="008D1218" w:rsidRPr="00157DEB">
        <w:rPr>
          <w:b/>
          <w:kern w:val="14"/>
          <w:lang w:val="fr-FR" w:eastAsia="ja-JP"/>
        </w:rPr>
        <w:t xml:space="preserve"> étapes</w:t>
      </w:r>
      <w:r w:rsidRPr="00157DEB">
        <w:rPr>
          <w:b/>
          <w:kern w:val="14"/>
          <w:lang w:val="fr-FR" w:eastAsia="ja-JP"/>
        </w:rPr>
        <w:t xml:space="preserve"> suivantes : </w:t>
      </w:r>
    </w:p>
    <w:p w14:paraId="2E02CB58" w14:textId="29618E30" w:rsidR="00F45689" w:rsidRPr="00157DEB" w:rsidRDefault="00E000C0" w:rsidP="00F63AC1">
      <w:pPr>
        <w:pStyle w:val="Normalnumber"/>
        <w:numPr>
          <w:ilvl w:val="1"/>
          <w:numId w:val="125"/>
        </w:numPr>
        <w:tabs>
          <w:tab w:val="clear" w:pos="1247"/>
          <w:tab w:val="clear" w:pos="1814"/>
          <w:tab w:val="clear" w:pos="2381"/>
          <w:tab w:val="clear" w:pos="2948"/>
          <w:tab w:val="clear" w:pos="3515"/>
        </w:tabs>
        <w:rPr>
          <w:b/>
          <w:kern w:val="14"/>
          <w:lang w:val="fr-FR" w:eastAsia="ja-JP"/>
        </w:rPr>
      </w:pPr>
      <w:r w:rsidRPr="00157DEB">
        <w:rPr>
          <w:b/>
          <w:lang w:val="fr-FR"/>
        </w:rPr>
        <w:t>Révision</w:t>
      </w:r>
      <w:r w:rsidR="00D7506D" w:rsidRPr="00157DEB">
        <w:rPr>
          <w:b/>
          <w:lang w:val="fr-FR"/>
        </w:rPr>
        <w:t xml:space="preserve"> </w:t>
      </w:r>
      <w:r w:rsidR="008D1218" w:rsidRPr="00157DEB">
        <w:rPr>
          <w:b/>
          <w:lang w:val="fr-FR"/>
        </w:rPr>
        <w:t xml:space="preserve">des </w:t>
      </w:r>
      <w:r w:rsidRPr="00157DEB">
        <w:rPr>
          <w:b/>
          <w:lang w:val="fr-FR"/>
        </w:rPr>
        <w:t>projets initiaux d</w:t>
      </w:r>
      <w:r w:rsidR="00C73372">
        <w:rPr>
          <w:b/>
          <w:lang w:val="fr-FR"/>
        </w:rPr>
        <w:t>’</w:t>
      </w:r>
      <w:r w:rsidRPr="00157DEB">
        <w:rPr>
          <w:b/>
          <w:lang w:val="fr-FR"/>
        </w:rPr>
        <w:t>éléments relatifs au cadre du deuxième programme de travail, en prenant en compte les vues exprimées par la Plénière à sa sixième session ;</w:t>
      </w:r>
      <w:r w:rsidR="00715A7A" w:rsidRPr="00157DEB">
        <w:rPr>
          <w:b/>
          <w:kern w:val="14"/>
          <w:lang w:val="fr-FR" w:eastAsia="ja-JP"/>
        </w:rPr>
        <w:t xml:space="preserve"> </w:t>
      </w:r>
    </w:p>
    <w:p w14:paraId="70E35BC1" w14:textId="094F3A50" w:rsidR="004D2FA0" w:rsidRPr="00157DEB" w:rsidRDefault="004D2FA0" w:rsidP="003503B8">
      <w:pPr>
        <w:pStyle w:val="Normalnumber"/>
        <w:numPr>
          <w:ilvl w:val="1"/>
          <w:numId w:val="125"/>
        </w:numPr>
        <w:tabs>
          <w:tab w:val="clear" w:pos="1247"/>
          <w:tab w:val="clear" w:pos="1814"/>
          <w:tab w:val="clear" w:pos="2381"/>
          <w:tab w:val="clear" w:pos="2948"/>
          <w:tab w:val="clear" w:pos="3515"/>
        </w:tabs>
        <w:rPr>
          <w:b/>
          <w:kern w:val="14"/>
          <w:lang w:val="fr-FR" w:eastAsia="ja-JP"/>
        </w:rPr>
      </w:pPr>
      <w:r w:rsidRPr="00157DEB">
        <w:rPr>
          <w:b/>
          <w:kern w:val="14"/>
          <w:lang w:val="fr-FR" w:eastAsia="ja-JP"/>
        </w:rPr>
        <w:t>Conv</w:t>
      </w:r>
      <w:r w:rsidR="00E000C0" w:rsidRPr="00157DEB">
        <w:rPr>
          <w:b/>
          <w:kern w:val="14"/>
          <w:lang w:val="fr-FR" w:eastAsia="ja-JP"/>
        </w:rPr>
        <w:t>ocation de consultations régionales afin de solliciter les contributions stratégiques des gouvernements et des parties prenantes au sujet de la version révisée du projet de cadre du deuxième programme de travail ;</w:t>
      </w:r>
      <w:r w:rsidRPr="00157DEB">
        <w:rPr>
          <w:b/>
          <w:kern w:val="14"/>
          <w:lang w:val="fr-FR" w:eastAsia="ja-JP"/>
        </w:rPr>
        <w:t xml:space="preserve"> </w:t>
      </w:r>
    </w:p>
    <w:p w14:paraId="5D43EF40" w14:textId="32AEFE6E" w:rsidR="004D2FA0" w:rsidRPr="00157DEB" w:rsidRDefault="00E000C0" w:rsidP="00E000C0">
      <w:pPr>
        <w:pStyle w:val="Normalnumber"/>
        <w:numPr>
          <w:ilvl w:val="1"/>
          <w:numId w:val="125"/>
        </w:numPr>
        <w:tabs>
          <w:tab w:val="clear" w:pos="1247"/>
          <w:tab w:val="clear" w:pos="1814"/>
          <w:tab w:val="clear" w:pos="2381"/>
          <w:tab w:val="clear" w:pos="2948"/>
          <w:tab w:val="clear" w:pos="3515"/>
        </w:tabs>
        <w:rPr>
          <w:b/>
          <w:kern w:val="14"/>
          <w:lang w:val="fr-FR" w:eastAsia="ja-JP"/>
        </w:rPr>
      </w:pPr>
      <w:r w:rsidRPr="00157DEB">
        <w:rPr>
          <w:b/>
          <w:kern w:val="14"/>
          <w:lang w:val="fr-FR" w:eastAsia="ja-JP"/>
        </w:rPr>
        <w:t>Publication à l</w:t>
      </w:r>
      <w:r w:rsidR="00C73372">
        <w:rPr>
          <w:b/>
          <w:kern w:val="14"/>
          <w:lang w:val="fr-FR" w:eastAsia="ja-JP"/>
        </w:rPr>
        <w:t>’</w:t>
      </w:r>
      <w:r w:rsidRPr="00157DEB">
        <w:rPr>
          <w:b/>
          <w:kern w:val="14"/>
          <w:lang w:val="fr-FR" w:eastAsia="ja-JP"/>
        </w:rPr>
        <w:t>attention des gouvernements et autres parties prenantes d</w:t>
      </w:r>
      <w:r w:rsidR="00C73372">
        <w:rPr>
          <w:b/>
          <w:kern w:val="14"/>
          <w:lang w:val="fr-FR" w:eastAsia="ja-JP"/>
        </w:rPr>
        <w:t>’</w:t>
      </w:r>
      <w:r w:rsidRPr="00157DEB">
        <w:rPr>
          <w:b/>
          <w:kern w:val="14"/>
          <w:lang w:val="fr-FR" w:eastAsia="ja-JP"/>
        </w:rPr>
        <w:t>une invitation à présenter des demandes, des contributions et des suggestions ;</w:t>
      </w:r>
    </w:p>
    <w:p w14:paraId="123E5912" w14:textId="423FB07C" w:rsidR="004D2FA0" w:rsidRPr="00157DEB" w:rsidRDefault="00E000C0" w:rsidP="00E000C0">
      <w:pPr>
        <w:pStyle w:val="Normalnumber"/>
        <w:numPr>
          <w:ilvl w:val="1"/>
          <w:numId w:val="125"/>
        </w:numPr>
        <w:tabs>
          <w:tab w:val="clear" w:pos="1247"/>
          <w:tab w:val="clear" w:pos="1814"/>
          <w:tab w:val="clear" w:pos="2381"/>
          <w:tab w:val="clear" w:pos="2948"/>
          <w:tab w:val="clear" w:pos="3515"/>
        </w:tabs>
        <w:rPr>
          <w:b/>
          <w:kern w:val="14"/>
          <w:lang w:val="fr-FR" w:eastAsia="ja-JP"/>
        </w:rPr>
      </w:pPr>
      <w:r w:rsidRPr="00157DEB">
        <w:rPr>
          <w:b/>
          <w:kern w:val="14"/>
          <w:lang w:val="fr-FR" w:eastAsia="ja-JP"/>
        </w:rPr>
        <w:t>Recensement et hiérarchisation</w:t>
      </w:r>
      <w:r w:rsidR="00F63AC1">
        <w:rPr>
          <w:b/>
          <w:kern w:val="14"/>
          <w:lang w:val="fr-FR" w:eastAsia="ja-JP"/>
        </w:rPr>
        <w:t>,</w:t>
      </w:r>
      <w:r w:rsidRPr="00157DEB">
        <w:rPr>
          <w:b/>
          <w:kern w:val="14"/>
          <w:lang w:val="fr-FR" w:eastAsia="ja-JP"/>
        </w:rPr>
        <w:t xml:space="preserve"> par le Groupe d</w:t>
      </w:r>
      <w:r w:rsidR="00C73372">
        <w:rPr>
          <w:b/>
          <w:kern w:val="14"/>
          <w:lang w:val="fr-FR" w:eastAsia="ja-JP"/>
        </w:rPr>
        <w:t>’</w:t>
      </w:r>
      <w:r w:rsidRPr="00157DEB">
        <w:rPr>
          <w:b/>
          <w:kern w:val="14"/>
          <w:lang w:val="fr-FR" w:eastAsia="ja-JP"/>
        </w:rPr>
        <w:t>experts multidisciplinaire et le Bureau</w:t>
      </w:r>
      <w:r w:rsidR="00F63AC1">
        <w:rPr>
          <w:b/>
          <w:kern w:val="14"/>
          <w:lang w:val="fr-FR" w:eastAsia="ja-JP"/>
        </w:rPr>
        <w:t>,</w:t>
      </w:r>
      <w:r w:rsidRPr="00157DEB">
        <w:rPr>
          <w:b/>
          <w:kern w:val="14"/>
          <w:lang w:val="fr-FR" w:eastAsia="ja-JP"/>
        </w:rPr>
        <w:t xml:space="preserve"> des demandes, contributions et suggestions reçues en réponse à l</w:t>
      </w:r>
      <w:r w:rsidR="00C73372">
        <w:rPr>
          <w:b/>
          <w:kern w:val="14"/>
          <w:lang w:val="fr-FR" w:eastAsia="ja-JP"/>
        </w:rPr>
        <w:t>’</w:t>
      </w:r>
      <w:r w:rsidRPr="00157DEB">
        <w:rPr>
          <w:b/>
          <w:kern w:val="14"/>
          <w:lang w:val="fr-FR" w:eastAsia="ja-JP"/>
        </w:rPr>
        <w:t>appel ;</w:t>
      </w:r>
    </w:p>
    <w:p w14:paraId="7CEBD3D0" w14:textId="3DDCDF83" w:rsidR="004D2FA0" w:rsidRPr="00157DEB" w:rsidRDefault="00E000C0" w:rsidP="003503B8">
      <w:pPr>
        <w:pStyle w:val="Normalnumber"/>
        <w:numPr>
          <w:ilvl w:val="1"/>
          <w:numId w:val="125"/>
        </w:numPr>
        <w:tabs>
          <w:tab w:val="clear" w:pos="1247"/>
          <w:tab w:val="clear" w:pos="1814"/>
          <w:tab w:val="clear" w:pos="2381"/>
          <w:tab w:val="clear" w:pos="2948"/>
          <w:tab w:val="clear" w:pos="3515"/>
        </w:tabs>
        <w:rPr>
          <w:b/>
          <w:kern w:val="14"/>
          <w:lang w:val="fr-FR" w:eastAsia="ja-JP"/>
        </w:rPr>
      </w:pPr>
      <w:r w:rsidRPr="00157DEB">
        <w:rPr>
          <w:b/>
          <w:kern w:val="14"/>
          <w:lang w:val="fr-FR" w:eastAsia="ja-JP"/>
        </w:rPr>
        <w:t>Nouvelle révision du projet de cadre par le Groupe d</w:t>
      </w:r>
      <w:r w:rsidR="00C73372">
        <w:rPr>
          <w:b/>
          <w:kern w:val="14"/>
          <w:lang w:val="fr-FR" w:eastAsia="ja-JP"/>
        </w:rPr>
        <w:t>’</w:t>
      </w:r>
      <w:r w:rsidRPr="00157DEB">
        <w:rPr>
          <w:b/>
          <w:kern w:val="14"/>
          <w:lang w:val="fr-FR" w:eastAsia="ja-JP"/>
        </w:rPr>
        <w:t>experts multidisciplinaire et le Bureau, en prenant en compte les observations formulées dans le contexte des consultations régionales ainsi que les résultats de l</w:t>
      </w:r>
      <w:r w:rsidR="00C73372">
        <w:rPr>
          <w:b/>
          <w:kern w:val="14"/>
          <w:lang w:val="fr-FR" w:eastAsia="ja-JP"/>
        </w:rPr>
        <w:t>’</w:t>
      </w:r>
      <w:r w:rsidRPr="00157DEB">
        <w:rPr>
          <w:b/>
          <w:kern w:val="14"/>
          <w:lang w:val="fr-FR" w:eastAsia="ja-JP"/>
        </w:rPr>
        <w:t>exercice de hiérarchisation ;</w:t>
      </w:r>
      <w:r w:rsidR="004D2FA0" w:rsidRPr="00157DEB">
        <w:rPr>
          <w:b/>
          <w:kern w:val="14"/>
          <w:lang w:val="fr-FR" w:eastAsia="ja-JP"/>
        </w:rPr>
        <w:t xml:space="preserve"> </w:t>
      </w:r>
    </w:p>
    <w:p w14:paraId="7E29CF51" w14:textId="48EA19C9" w:rsidR="004D2FA0" w:rsidRPr="00157DEB" w:rsidRDefault="00E000C0" w:rsidP="003503B8">
      <w:pPr>
        <w:pStyle w:val="Normalnumber"/>
        <w:numPr>
          <w:ilvl w:val="1"/>
          <w:numId w:val="125"/>
        </w:numPr>
        <w:tabs>
          <w:tab w:val="clear" w:pos="1247"/>
          <w:tab w:val="clear" w:pos="1814"/>
          <w:tab w:val="clear" w:pos="2381"/>
          <w:tab w:val="clear" w:pos="2948"/>
          <w:tab w:val="clear" w:pos="3515"/>
        </w:tabs>
        <w:rPr>
          <w:b/>
          <w:kern w:val="14"/>
          <w:lang w:val="fr-FR" w:eastAsia="ja-JP"/>
        </w:rPr>
      </w:pPr>
      <w:r w:rsidRPr="00157DEB">
        <w:rPr>
          <w:b/>
          <w:kern w:val="14"/>
          <w:lang w:val="fr-FR" w:eastAsia="ja-JP"/>
        </w:rPr>
        <w:lastRenderedPageBreak/>
        <w:t>Présentation d</w:t>
      </w:r>
      <w:r w:rsidR="00C73372">
        <w:rPr>
          <w:b/>
          <w:kern w:val="14"/>
          <w:lang w:val="fr-FR" w:eastAsia="ja-JP"/>
        </w:rPr>
        <w:t>’</w:t>
      </w:r>
      <w:r w:rsidRPr="00157DEB">
        <w:rPr>
          <w:b/>
          <w:kern w:val="14"/>
          <w:lang w:val="fr-FR" w:eastAsia="ja-JP"/>
        </w:rPr>
        <w:t>une nouvelle version révisée du projet de cadre aux gouvernements et aux parties prenantes, afin de recueillir leurs observations ;</w:t>
      </w:r>
    </w:p>
    <w:p w14:paraId="250340E7" w14:textId="2DCE1E25" w:rsidR="004D2FA0" w:rsidRPr="00157DEB" w:rsidRDefault="008418B5" w:rsidP="008418B5">
      <w:pPr>
        <w:pStyle w:val="Normalnumber"/>
        <w:numPr>
          <w:ilvl w:val="1"/>
          <w:numId w:val="125"/>
        </w:numPr>
        <w:tabs>
          <w:tab w:val="clear" w:pos="1247"/>
          <w:tab w:val="clear" w:pos="1814"/>
          <w:tab w:val="clear" w:pos="2381"/>
          <w:tab w:val="clear" w:pos="2948"/>
          <w:tab w:val="clear" w:pos="3515"/>
        </w:tabs>
        <w:rPr>
          <w:b/>
          <w:lang w:val="fr-FR"/>
        </w:rPr>
      </w:pPr>
      <w:r w:rsidRPr="00157DEB">
        <w:rPr>
          <w:b/>
          <w:kern w:val="14"/>
          <w:lang w:val="fr-FR" w:eastAsia="ja-JP"/>
        </w:rPr>
        <w:t>Achèvement de</w:t>
      </w:r>
      <w:r w:rsidR="00F63AC1">
        <w:rPr>
          <w:b/>
          <w:kern w:val="14"/>
          <w:lang w:val="fr-FR" w:eastAsia="ja-JP"/>
        </w:rPr>
        <w:t xml:space="preserve"> la rédaction du projet </w:t>
      </w:r>
      <w:r w:rsidRPr="00157DEB">
        <w:rPr>
          <w:b/>
          <w:kern w:val="14"/>
          <w:lang w:val="fr-FR" w:eastAsia="ja-JP"/>
        </w:rPr>
        <w:t>du deuxième programme de travail pour examen par la Plénière à sa septième session</w:t>
      </w:r>
      <w:r w:rsidR="001A33EE" w:rsidRPr="00157DEB">
        <w:rPr>
          <w:b/>
          <w:kern w:val="14"/>
          <w:lang w:val="fr-FR" w:eastAsia="ja-JP"/>
        </w:rPr>
        <w:t>.</w:t>
      </w:r>
    </w:p>
    <w:p w14:paraId="52116CA9" w14:textId="140237EF" w:rsidR="00E80DBA" w:rsidRPr="00157DEB" w:rsidRDefault="008418B5" w:rsidP="008418B5">
      <w:pPr>
        <w:pStyle w:val="Normalnumber"/>
        <w:tabs>
          <w:tab w:val="left" w:pos="1080"/>
        </w:tabs>
        <w:suppressAutoHyphens/>
        <w:spacing w:line="240" w:lineRule="exact"/>
        <w:jc w:val="both"/>
        <w:rPr>
          <w:kern w:val="14"/>
          <w:lang w:val="fr-FR" w:eastAsia="ja-JP"/>
        </w:rPr>
      </w:pPr>
      <w:r w:rsidRPr="00157DEB">
        <w:rPr>
          <w:kern w:val="14"/>
          <w:lang w:val="fr-FR" w:eastAsia="ja-JP"/>
        </w:rPr>
        <w:t>Comme indiqué dans l</w:t>
      </w:r>
      <w:r w:rsidR="00C73372">
        <w:rPr>
          <w:kern w:val="14"/>
          <w:lang w:val="fr-FR" w:eastAsia="ja-JP"/>
        </w:rPr>
        <w:t>’</w:t>
      </w:r>
      <w:r w:rsidR="00976021" w:rsidRPr="00157DEB">
        <w:rPr>
          <w:kern w:val="14"/>
          <w:lang w:val="fr-FR" w:eastAsia="ja-JP"/>
        </w:rPr>
        <w:t xml:space="preserve">introduction, </w:t>
      </w:r>
      <w:r w:rsidRPr="00157DEB">
        <w:rPr>
          <w:kern w:val="14"/>
          <w:lang w:val="fr-FR" w:eastAsia="ja-JP"/>
        </w:rPr>
        <w:t xml:space="preserve">afin de veiller à la souplesse qui est attendue du programme de travail, </w:t>
      </w:r>
      <w:r w:rsidRPr="00157DEB">
        <w:rPr>
          <w:b/>
          <w:kern w:val="14"/>
          <w:lang w:val="fr-FR" w:eastAsia="ja-JP"/>
        </w:rPr>
        <w:t>plusieurs appels à recevoir des demandes, des contributions et des suggestions pourraient être lancés à divers moment au cours de la période couverte par le deuxième programme de travail</w:t>
      </w:r>
      <w:r w:rsidR="00D5710E" w:rsidRPr="00157DEB">
        <w:rPr>
          <w:b/>
          <w:kern w:val="14"/>
          <w:lang w:val="fr-FR" w:eastAsia="ja-JP"/>
        </w:rPr>
        <w:t xml:space="preserve">. </w:t>
      </w:r>
      <w:r w:rsidRPr="00157DEB">
        <w:rPr>
          <w:b/>
          <w:kern w:val="14"/>
          <w:lang w:val="fr-FR" w:eastAsia="ja-JP"/>
        </w:rPr>
        <w:t>Les consultations régionales susmentionnées pourraient se tenir en conjonction avec chacun de ces appels, afin de faire participer encore davantage les gouvernements et autres parties prenantes</w:t>
      </w:r>
      <w:r w:rsidR="00EC66D4" w:rsidRPr="00157DEB">
        <w:rPr>
          <w:kern w:val="14"/>
          <w:lang w:val="fr-FR" w:eastAsia="ja-JP"/>
        </w:rPr>
        <w:t xml:space="preserve">. </w:t>
      </w:r>
    </w:p>
    <w:p w14:paraId="455E33EF" w14:textId="6240B8EF" w:rsidR="00CE6210" w:rsidRPr="00157DEB" w:rsidRDefault="003503B8" w:rsidP="00215A93">
      <w:pPr>
        <w:pStyle w:val="CH1"/>
        <w:rPr>
          <w:rFonts w:eastAsiaTheme="majorEastAsia"/>
          <w:lang w:val="fr-FR"/>
        </w:rPr>
      </w:pPr>
      <w:r w:rsidRPr="00157DEB">
        <w:rPr>
          <w:lang w:val="fr-FR"/>
        </w:rPr>
        <w:tab/>
        <w:t>III.</w:t>
      </w:r>
      <w:r w:rsidRPr="00157DEB">
        <w:rPr>
          <w:lang w:val="fr-FR"/>
        </w:rPr>
        <w:tab/>
      </w:r>
      <w:r w:rsidR="00E000C0" w:rsidRPr="00157DEB">
        <w:rPr>
          <w:lang w:val="fr-FR"/>
        </w:rPr>
        <w:t>Fonctions</w:t>
      </w:r>
    </w:p>
    <w:p w14:paraId="56276A8C" w14:textId="14C1AF72" w:rsidR="00E7057B" w:rsidRPr="00157DEB" w:rsidRDefault="00BC32AD" w:rsidP="00215A93">
      <w:pPr>
        <w:pStyle w:val="Normalnumber"/>
        <w:keepNext/>
        <w:keepLines/>
        <w:rPr>
          <w:kern w:val="14"/>
          <w:lang w:val="fr-FR" w:eastAsia="ja-JP"/>
        </w:rPr>
      </w:pPr>
      <w:r w:rsidRPr="00157DEB">
        <w:rPr>
          <w:kern w:val="14"/>
          <w:lang w:val="fr-FR" w:eastAsia="ja-JP"/>
        </w:rPr>
        <w:t>Les éléments du deuxième programme de travail devraient favoriser l</w:t>
      </w:r>
      <w:r w:rsidR="00C73372">
        <w:rPr>
          <w:kern w:val="14"/>
          <w:lang w:val="fr-FR" w:eastAsia="ja-JP"/>
        </w:rPr>
        <w:t>’</w:t>
      </w:r>
      <w:r w:rsidRPr="00157DEB">
        <w:rPr>
          <w:kern w:val="14"/>
          <w:lang w:val="fr-FR" w:eastAsia="ja-JP"/>
        </w:rPr>
        <w:t>intégration synergique des quatre fonctions de la Plateforme</w:t>
      </w:r>
      <w:r w:rsidR="00603314" w:rsidRPr="00157DEB">
        <w:rPr>
          <w:kern w:val="14"/>
          <w:lang w:val="fr-FR" w:eastAsia="ja-JP"/>
        </w:rPr>
        <w:t>.</w:t>
      </w:r>
    </w:p>
    <w:p w14:paraId="64D549B0" w14:textId="7707AFF0" w:rsidR="00D666BD" w:rsidRPr="00157DEB" w:rsidRDefault="003503B8" w:rsidP="00215A93">
      <w:pPr>
        <w:pStyle w:val="CH2"/>
        <w:tabs>
          <w:tab w:val="clear" w:pos="624"/>
          <w:tab w:val="left" w:pos="4082"/>
        </w:tabs>
        <w:spacing w:before="80"/>
        <w:ind w:left="1247" w:hanging="1247"/>
        <w:rPr>
          <w:lang w:val="fr-FR"/>
        </w:rPr>
      </w:pPr>
      <w:r w:rsidRPr="00157DEB">
        <w:rPr>
          <w:rFonts w:eastAsia="Times New Roman"/>
          <w:lang w:val="fr-FR" w:eastAsia="en-US"/>
        </w:rPr>
        <w:tab/>
        <w:t>A.</w:t>
      </w:r>
      <w:r w:rsidRPr="00157DEB">
        <w:rPr>
          <w:rFonts w:eastAsia="Times New Roman"/>
          <w:lang w:val="fr-FR" w:eastAsia="en-US"/>
        </w:rPr>
        <w:tab/>
      </w:r>
      <w:r w:rsidR="008418B5" w:rsidRPr="00157DEB">
        <w:rPr>
          <w:rFonts w:eastAsia="Times New Roman"/>
          <w:lang w:val="fr-FR" w:eastAsia="en-US"/>
        </w:rPr>
        <w:t>Évaluation des connaissances</w:t>
      </w:r>
      <w:r w:rsidR="000F1F67" w:rsidRPr="00157DEB">
        <w:rPr>
          <w:rFonts w:eastAsia="Times New Roman"/>
          <w:lang w:val="fr-FR" w:eastAsia="en-US"/>
        </w:rPr>
        <w:t xml:space="preserve"> </w:t>
      </w:r>
    </w:p>
    <w:p w14:paraId="362BB624" w14:textId="590E265A" w:rsidR="00CE6210" w:rsidRPr="00157DEB" w:rsidRDefault="00BC32AD" w:rsidP="00BC32AD">
      <w:pPr>
        <w:pStyle w:val="Normalnumber"/>
        <w:rPr>
          <w:kern w:val="14"/>
          <w:lang w:val="fr-FR" w:eastAsia="ja-JP"/>
        </w:rPr>
      </w:pPr>
      <w:r w:rsidRPr="00157DEB">
        <w:rPr>
          <w:kern w:val="14"/>
          <w:lang w:val="fr-FR" w:eastAsia="ja-JP"/>
        </w:rPr>
        <w:t>Il est prévu que la Plateforme continue de mener des évaluations périodiques et opportunes de l</w:t>
      </w:r>
      <w:r w:rsidR="00C73372">
        <w:rPr>
          <w:kern w:val="14"/>
          <w:lang w:val="fr-FR" w:eastAsia="ja-JP"/>
        </w:rPr>
        <w:t>’</w:t>
      </w:r>
      <w:r w:rsidRPr="00157DEB">
        <w:rPr>
          <w:kern w:val="14"/>
          <w:lang w:val="fr-FR" w:eastAsia="ja-JP"/>
        </w:rPr>
        <w:t>état des connaissances sur la biodiversité et les services écosystémiques ainsi que leurs interactions – à l</w:t>
      </w:r>
      <w:r w:rsidR="00C73372">
        <w:rPr>
          <w:kern w:val="14"/>
          <w:lang w:val="fr-FR" w:eastAsia="ja-JP"/>
        </w:rPr>
        <w:t>’</w:t>
      </w:r>
      <w:r w:rsidRPr="00157DEB">
        <w:rPr>
          <w:kern w:val="14"/>
          <w:lang w:val="fr-FR" w:eastAsia="ja-JP"/>
        </w:rPr>
        <w:t xml:space="preserve">échelle mondiale, régionale et, si nécessaire, sous régionale – ainsi que des questions thématiques et </w:t>
      </w:r>
      <w:r w:rsidR="009159DA">
        <w:rPr>
          <w:kern w:val="14"/>
          <w:lang w:val="fr-FR" w:eastAsia="ja-JP"/>
        </w:rPr>
        <w:t>méthod</w:t>
      </w:r>
      <w:r w:rsidRPr="00157DEB">
        <w:rPr>
          <w:kern w:val="14"/>
          <w:lang w:val="fr-FR" w:eastAsia="ja-JP"/>
        </w:rPr>
        <w:t>ologiques, conformément aux procédures d</w:t>
      </w:r>
      <w:r w:rsidR="00C73372">
        <w:rPr>
          <w:kern w:val="14"/>
          <w:lang w:val="fr-FR" w:eastAsia="ja-JP"/>
        </w:rPr>
        <w:t>’</w:t>
      </w:r>
      <w:r w:rsidRPr="00157DEB">
        <w:rPr>
          <w:kern w:val="14"/>
          <w:lang w:val="fr-FR" w:eastAsia="ja-JP"/>
        </w:rPr>
        <w:t>élaboration des produits de la Plateforme définies dans l</w:t>
      </w:r>
      <w:r w:rsidR="00C73372">
        <w:rPr>
          <w:kern w:val="14"/>
          <w:lang w:val="fr-FR" w:eastAsia="ja-JP"/>
        </w:rPr>
        <w:t>’</w:t>
      </w:r>
      <w:r w:rsidR="00EA15FA" w:rsidRPr="00157DEB">
        <w:rPr>
          <w:kern w:val="14"/>
          <w:lang w:val="fr-FR" w:eastAsia="ja-JP"/>
        </w:rPr>
        <w:t>A</w:t>
      </w:r>
      <w:r w:rsidR="00CE6210" w:rsidRPr="00157DEB">
        <w:rPr>
          <w:kern w:val="14"/>
          <w:lang w:val="fr-FR" w:eastAsia="ja-JP"/>
        </w:rPr>
        <w:t>nnex</w:t>
      </w:r>
      <w:r w:rsidRPr="00157DEB">
        <w:rPr>
          <w:kern w:val="14"/>
          <w:lang w:val="fr-FR" w:eastAsia="ja-JP"/>
        </w:rPr>
        <w:t>e</w:t>
      </w:r>
      <w:r w:rsidR="004D4047" w:rsidRPr="00157DEB">
        <w:rPr>
          <w:kern w:val="14"/>
          <w:lang w:val="fr-FR" w:eastAsia="ja-JP"/>
        </w:rPr>
        <w:t> </w:t>
      </w:r>
      <w:r w:rsidR="00CE6210" w:rsidRPr="00157DEB">
        <w:rPr>
          <w:kern w:val="14"/>
          <w:lang w:val="fr-FR" w:eastAsia="ja-JP"/>
        </w:rPr>
        <w:t xml:space="preserve">I </w:t>
      </w:r>
      <w:r w:rsidR="00354DC9">
        <w:rPr>
          <w:kern w:val="14"/>
          <w:lang w:val="fr-FR" w:eastAsia="ja-JP"/>
        </w:rPr>
        <w:t>à</w:t>
      </w:r>
      <w:r w:rsidRPr="00157DEB">
        <w:rPr>
          <w:kern w:val="14"/>
          <w:lang w:val="fr-FR" w:eastAsia="ja-JP"/>
        </w:rPr>
        <w:t xml:space="preserve"> la</w:t>
      </w:r>
      <w:r w:rsidR="00CE6210" w:rsidRPr="00157DEB">
        <w:rPr>
          <w:kern w:val="14"/>
          <w:lang w:val="fr-FR" w:eastAsia="ja-JP"/>
        </w:rPr>
        <w:t xml:space="preserve"> </w:t>
      </w:r>
      <w:r w:rsidRPr="00157DEB">
        <w:rPr>
          <w:kern w:val="14"/>
          <w:lang w:val="fr-FR" w:eastAsia="ja-JP"/>
        </w:rPr>
        <w:t>décision</w:t>
      </w:r>
      <w:r w:rsidR="00F63AC1">
        <w:rPr>
          <w:kern w:val="14"/>
          <w:lang w:val="fr-FR" w:eastAsia="ja-JP"/>
        </w:rPr>
        <w:t> </w:t>
      </w:r>
      <w:r w:rsidR="00CE6210" w:rsidRPr="00157DEB">
        <w:rPr>
          <w:kern w:val="14"/>
          <w:lang w:val="fr-FR" w:eastAsia="ja-JP"/>
        </w:rPr>
        <w:t xml:space="preserve">IPBES-3/3. </w:t>
      </w:r>
    </w:p>
    <w:p w14:paraId="080A9DEF" w14:textId="4780E290" w:rsidR="00875D9B" w:rsidRPr="00157DEB" w:rsidRDefault="00BC32AD" w:rsidP="00E97A23">
      <w:pPr>
        <w:pStyle w:val="Normalnumber"/>
        <w:rPr>
          <w:kern w:val="14"/>
          <w:lang w:val="fr-FR" w:eastAsia="ja-JP"/>
        </w:rPr>
      </w:pPr>
      <w:r w:rsidRPr="00157DEB">
        <w:rPr>
          <w:kern w:val="14"/>
          <w:lang w:val="fr-FR" w:eastAsia="ja-JP"/>
        </w:rPr>
        <w:t>Dans ce contexte, il est prévu que la Plateforme continue d</w:t>
      </w:r>
      <w:r w:rsidR="00C73372">
        <w:rPr>
          <w:kern w:val="14"/>
          <w:lang w:val="fr-FR" w:eastAsia="ja-JP"/>
        </w:rPr>
        <w:t>’</w:t>
      </w:r>
      <w:r w:rsidRPr="00157DEB">
        <w:rPr>
          <w:kern w:val="14"/>
          <w:lang w:val="fr-FR" w:eastAsia="ja-JP"/>
        </w:rPr>
        <w:t xml:space="preserve">adopter la démarche qui consiste à tenir compte des savoirs autochtones et locaux et de les utiliser, </w:t>
      </w:r>
      <w:r w:rsidR="00F63AC1">
        <w:rPr>
          <w:kern w:val="14"/>
          <w:lang w:val="fr-FR" w:eastAsia="ja-JP"/>
        </w:rPr>
        <w:t>en application de la décision </w:t>
      </w:r>
      <w:r w:rsidRPr="00157DEB">
        <w:rPr>
          <w:kern w:val="14"/>
          <w:lang w:val="fr-FR" w:eastAsia="ja-JP"/>
        </w:rPr>
        <w:t>IPBES-5/1 (partie II) adoptée par la Plénière</w:t>
      </w:r>
      <w:r w:rsidR="00875D9B" w:rsidRPr="00157DEB">
        <w:rPr>
          <w:kern w:val="14"/>
          <w:lang w:val="fr-FR" w:eastAsia="ja-JP"/>
        </w:rPr>
        <w:t xml:space="preserve">, </w:t>
      </w:r>
      <w:r w:rsidRPr="00157DEB">
        <w:rPr>
          <w:kern w:val="14"/>
          <w:lang w:val="fr-FR" w:eastAsia="ja-JP"/>
        </w:rPr>
        <w:t>et selon laquelle les problèmes et les objectifs sont recensés dans le cadre d</w:t>
      </w:r>
      <w:r w:rsidR="00C73372">
        <w:rPr>
          <w:kern w:val="14"/>
          <w:lang w:val="fr-FR" w:eastAsia="ja-JP"/>
        </w:rPr>
        <w:t>’</w:t>
      </w:r>
      <w:r w:rsidRPr="00157DEB">
        <w:rPr>
          <w:kern w:val="14"/>
          <w:lang w:val="fr-FR" w:eastAsia="ja-JP"/>
        </w:rPr>
        <w:t>un effort conjoint, tandis que sont élaborées une série de questions essentielles propres à chaque évaluation ; il est également prévu que la Plateforme réalise la synthèse des éléments probants et des données provenant de sources multiples de connaissances autochtones et locales ; qu</w:t>
      </w:r>
      <w:r w:rsidR="00C73372">
        <w:rPr>
          <w:kern w:val="14"/>
          <w:lang w:val="fr-FR" w:eastAsia="ja-JP"/>
        </w:rPr>
        <w:t>’</w:t>
      </w:r>
      <w:r w:rsidRPr="00157DEB">
        <w:rPr>
          <w:kern w:val="14"/>
          <w:lang w:val="fr-FR" w:eastAsia="ja-JP"/>
        </w:rPr>
        <w:t>elle fasse participer de manière appropriée les peuples autochtones et les populations locales à l</w:t>
      </w:r>
      <w:r w:rsidR="00C73372">
        <w:rPr>
          <w:kern w:val="14"/>
          <w:lang w:val="fr-FR" w:eastAsia="ja-JP"/>
        </w:rPr>
        <w:t>’</w:t>
      </w:r>
      <w:r w:rsidRPr="00157DEB">
        <w:rPr>
          <w:kern w:val="14"/>
          <w:lang w:val="fr-FR" w:eastAsia="ja-JP"/>
        </w:rPr>
        <w:t>examen des divers projets d</w:t>
      </w:r>
      <w:r w:rsidR="00C73372">
        <w:rPr>
          <w:kern w:val="14"/>
          <w:lang w:val="fr-FR" w:eastAsia="ja-JP"/>
        </w:rPr>
        <w:t>’</w:t>
      </w:r>
      <w:r w:rsidRPr="00157DEB">
        <w:rPr>
          <w:kern w:val="14"/>
          <w:lang w:val="fr-FR" w:eastAsia="ja-JP"/>
        </w:rPr>
        <w:t>évaluation ; et qu</w:t>
      </w:r>
      <w:r w:rsidR="00C73372">
        <w:rPr>
          <w:kern w:val="14"/>
          <w:lang w:val="fr-FR" w:eastAsia="ja-JP"/>
        </w:rPr>
        <w:t>’</w:t>
      </w:r>
      <w:r w:rsidRPr="00157DEB">
        <w:rPr>
          <w:kern w:val="14"/>
          <w:lang w:val="fr-FR" w:eastAsia="ja-JP"/>
        </w:rPr>
        <w:t>une fois les évaluations terminées, elle partage les savoirs et ce qu</w:t>
      </w:r>
      <w:r w:rsidR="00C73372">
        <w:rPr>
          <w:kern w:val="14"/>
          <w:lang w:val="fr-FR" w:eastAsia="ja-JP"/>
        </w:rPr>
        <w:t>’</w:t>
      </w:r>
      <w:r w:rsidRPr="00157DEB">
        <w:rPr>
          <w:kern w:val="14"/>
          <w:lang w:val="fr-FR" w:eastAsia="ja-JP"/>
        </w:rPr>
        <w:t>ont révélé ces évaluations avec les peuples autochtones et les populations locales</w:t>
      </w:r>
      <w:r w:rsidR="005C329C" w:rsidRPr="00157DEB">
        <w:rPr>
          <w:kern w:val="14"/>
          <w:lang w:val="fr-FR" w:eastAsia="ja-JP"/>
        </w:rPr>
        <w:t>.</w:t>
      </w:r>
      <w:r w:rsidR="00673B87" w:rsidRPr="00157DEB">
        <w:rPr>
          <w:kern w:val="14"/>
          <w:lang w:val="fr-FR" w:eastAsia="ja-JP"/>
        </w:rPr>
        <w:t xml:space="preserve"> </w:t>
      </w:r>
    </w:p>
    <w:p w14:paraId="36AD09C6" w14:textId="662F6E26" w:rsidR="007D45D5" w:rsidRPr="00157DEB" w:rsidRDefault="00BC32AD" w:rsidP="00BC32AD">
      <w:pPr>
        <w:pStyle w:val="Normalnumber"/>
        <w:rPr>
          <w:kern w:val="14"/>
          <w:lang w:val="fr-FR" w:eastAsia="ja-JP"/>
        </w:rPr>
      </w:pPr>
      <w:r w:rsidRPr="00157DEB">
        <w:rPr>
          <w:kern w:val="14"/>
          <w:lang w:val="fr-FR" w:eastAsia="ja-JP"/>
        </w:rPr>
        <w:t>En fonction des enseignements tirés et compte tenu de la lourde charge de travail de toutes les personnes qui ont participé au premier programme de travail</w:t>
      </w:r>
      <w:r w:rsidR="00285615" w:rsidRPr="00157DEB">
        <w:rPr>
          <w:kern w:val="14"/>
          <w:lang w:val="fr-FR" w:eastAsia="ja-JP"/>
        </w:rPr>
        <w:t xml:space="preserve">, </w:t>
      </w:r>
      <w:r w:rsidRPr="00157DEB">
        <w:rPr>
          <w:b/>
          <w:kern w:val="14"/>
          <w:lang w:val="fr-FR" w:eastAsia="ja-JP"/>
        </w:rPr>
        <w:t>la Plénière souhaitera peut-être examiner s</w:t>
      </w:r>
      <w:r w:rsidR="00C73372">
        <w:rPr>
          <w:b/>
          <w:kern w:val="14"/>
          <w:lang w:val="fr-FR" w:eastAsia="ja-JP"/>
        </w:rPr>
        <w:t>’</w:t>
      </w:r>
      <w:r w:rsidRPr="00157DEB">
        <w:rPr>
          <w:b/>
          <w:kern w:val="14"/>
          <w:lang w:val="fr-FR" w:eastAsia="ja-JP"/>
        </w:rPr>
        <w:t>il serait utile de limiter, par exemple à trois, le nombre d</w:t>
      </w:r>
      <w:r w:rsidR="00C73372">
        <w:rPr>
          <w:b/>
          <w:kern w:val="14"/>
          <w:lang w:val="fr-FR" w:eastAsia="ja-JP"/>
        </w:rPr>
        <w:t>’</w:t>
      </w:r>
      <w:r w:rsidRPr="00157DEB">
        <w:rPr>
          <w:b/>
          <w:kern w:val="14"/>
          <w:lang w:val="fr-FR" w:eastAsia="ja-JP"/>
        </w:rPr>
        <w:t>évaluations conduites en parallèle, ainsi que de fixer, à deux par exemple, le nombre maximal d</w:t>
      </w:r>
      <w:r w:rsidR="00C73372">
        <w:rPr>
          <w:b/>
          <w:kern w:val="14"/>
          <w:lang w:val="fr-FR" w:eastAsia="ja-JP"/>
        </w:rPr>
        <w:t>’</w:t>
      </w:r>
      <w:r w:rsidRPr="00157DEB">
        <w:rPr>
          <w:b/>
          <w:kern w:val="14"/>
          <w:lang w:val="fr-FR" w:eastAsia="ja-JP"/>
        </w:rPr>
        <w:t>évaluations examinées lors d</w:t>
      </w:r>
      <w:r w:rsidR="00C73372">
        <w:rPr>
          <w:b/>
          <w:kern w:val="14"/>
          <w:lang w:val="fr-FR" w:eastAsia="ja-JP"/>
        </w:rPr>
        <w:t>’</w:t>
      </w:r>
      <w:r w:rsidRPr="00157DEB">
        <w:rPr>
          <w:b/>
          <w:kern w:val="14"/>
          <w:lang w:val="fr-FR" w:eastAsia="ja-JP"/>
        </w:rPr>
        <w:t>une même session plénière</w:t>
      </w:r>
      <w:r w:rsidR="00285615" w:rsidRPr="00157DEB">
        <w:rPr>
          <w:kern w:val="14"/>
          <w:lang w:val="fr-FR" w:eastAsia="ja-JP"/>
        </w:rPr>
        <w:t>.</w:t>
      </w:r>
      <w:r w:rsidR="002049F7" w:rsidRPr="00157DEB">
        <w:rPr>
          <w:kern w:val="14"/>
          <w:lang w:val="fr-FR" w:eastAsia="ja-JP"/>
        </w:rPr>
        <w:t xml:space="preserve"> </w:t>
      </w:r>
      <w:r w:rsidRPr="00157DEB">
        <w:rPr>
          <w:kern w:val="14"/>
          <w:lang w:val="fr-FR" w:eastAsia="ja-JP"/>
        </w:rPr>
        <w:t>Ces limites permettraient de répartir la charge de travail des gouvernements, de la communauté scientifique, du Groupe d</w:t>
      </w:r>
      <w:r w:rsidR="00C73372">
        <w:rPr>
          <w:kern w:val="14"/>
          <w:lang w:val="fr-FR" w:eastAsia="ja-JP"/>
        </w:rPr>
        <w:t>’</w:t>
      </w:r>
      <w:r w:rsidRPr="00157DEB">
        <w:rPr>
          <w:kern w:val="14"/>
          <w:lang w:val="fr-FR" w:eastAsia="ja-JP"/>
        </w:rPr>
        <w:t>experts multidisciplinaire, du Bureau et du secrétariat</w:t>
      </w:r>
      <w:r w:rsidR="002049F7" w:rsidRPr="00157DEB">
        <w:rPr>
          <w:kern w:val="14"/>
          <w:lang w:val="fr-FR" w:eastAsia="ja-JP"/>
        </w:rPr>
        <w:t>.</w:t>
      </w:r>
    </w:p>
    <w:p w14:paraId="6BAC51CB" w14:textId="67D8B526" w:rsidR="007C30B4" w:rsidRPr="00157DEB" w:rsidRDefault="001B793E" w:rsidP="002829C2">
      <w:pPr>
        <w:pStyle w:val="Normalnumber"/>
        <w:rPr>
          <w:kern w:val="14"/>
          <w:lang w:val="fr-FR" w:eastAsia="ja-JP"/>
        </w:rPr>
      </w:pPr>
      <w:r w:rsidRPr="00157DEB">
        <w:rPr>
          <w:b/>
          <w:kern w:val="14"/>
          <w:lang w:val="fr-FR" w:eastAsia="ja-JP"/>
        </w:rPr>
        <w:t>Compte tenu de l</w:t>
      </w:r>
      <w:r w:rsidR="00C73372">
        <w:rPr>
          <w:b/>
          <w:kern w:val="14"/>
          <w:lang w:val="fr-FR" w:eastAsia="ja-JP"/>
        </w:rPr>
        <w:t>’</w:t>
      </w:r>
      <w:r w:rsidRPr="00157DEB">
        <w:rPr>
          <w:b/>
          <w:kern w:val="14"/>
          <w:lang w:val="fr-FR" w:eastAsia="ja-JP"/>
        </w:rPr>
        <w:t xml:space="preserve">objectif selon lequel le deuxième programme de travail devrait </w:t>
      </w:r>
      <w:r w:rsidR="00F63AC1">
        <w:rPr>
          <w:b/>
          <w:kern w:val="14"/>
          <w:lang w:val="fr-FR" w:eastAsia="ja-JP"/>
        </w:rPr>
        <w:t>s</w:t>
      </w:r>
      <w:r w:rsidR="00C73372">
        <w:rPr>
          <w:b/>
          <w:kern w:val="14"/>
          <w:lang w:val="fr-FR" w:eastAsia="ja-JP"/>
        </w:rPr>
        <w:t>’</w:t>
      </w:r>
      <w:r w:rsidR="00F63AC1">
        <w:rPr>
          <w:b/>
          <w:kern w:val="14"/>
          <w:lang w:val="fr-FR" w:eastAsia="ja-JP"/>
        </w:rPr>
        <w:t>inscrire dans le contexte du P</w:t>
      </w:r>
      <w:r w:rsidRPr="00157DEB">
        <w:rPr>
          <w:b/>
          <w:kern w:val="14"/>
          <w:lang w:val="fr-FR" w:eastAsia="ja-JP"/>
        </w:rPr>
        <w:t>rogramme de développement durable à l</w:t>
      </w:r>
      <w:r w:rsidR="00C73372">
        <w:rPr>
          <w:b/>
          <w:kern w:val="14"/>
          <w:lang w:val="fr-FR" w:eastAsia="ja-JP"/>
        </w:rPr>
        <w:t>’</w:t>
      </w:r>
      <w:r w:rsidRPr="00157DEB">
        <w:rPr>
          <w:b/>
          <w:kern w:val="14"/>
          <w:lang w:val="fr-FR" w:eastAsia="ja-JP"/>
        </w:rPr>
        <w:t>horizon 2030, une des solutions à envisager pourrait consister à mettre l</w:t>
      </w:r>
      <w:r w:rsidR="00C73372">
        <w:rPr>
          <w:b/>
          <w:kern w:val="14"/>
          <w:lang w:val="fr-FR" w:eastAsia="ja-JP"/>
        </w:rPr>
        <w:t>’</w:t>
      </w:r>
      <w:r w:rsidRPr="00157DEB">
        <w:rPr>
          <w:b/>
          <w:kern w:val="14"/>
          <w:lang w:val="fr-FR" w:eastAsia="ja-JP"/>
        </w:rPr>
        <w:t>accent sur le rôle de la biodiversité marine et terrestre, ainsi que sur les contributions apportées par la nature aux populations en ce qui concerne les questions interdépendantes telles que l</w:t>
      </w:r>
      <w:r w:rsidR="00C73372">
        <w:rPr>
          <w:b/>
          <w:kern w:val="14"/>
          <w:lang w:val="fr-FR" w:eastAsia="ja-JP"/>
        </w:rPr>
        <w:t>’</w:t>
      </w:r>
      <w:r w:rsidRPr="00157DEB">
        <w:rPr>
          <w:b/>
          <w:kern w:val="14"/>
          <w:lang w:val="fr-FR" w:eastAsia="ja-JP"/>
        </w:rPr>
        <w:t>alimentation et l</w:t>
      </w:r>
      <w:r w:rsidR="00C73372">
        <w:rPr>
          <w:b/>
          <w:kern w:val="14"/>
          <w:lang w:val="fr-FR" w:eastAsia="ja-JP"/>
        </w:rPr>
        <w:t>’</w:t>
      </w:r>
      <w:r w:rsidRPr="00157DEB">
        <w:rPr>
          <w:b/>
          <w:kern w:val="14"/>
          <w:lang w:val="fr-FR" w:eastAsia="ja-JP"/>
        </w:rPr>
        <w:t>eau ; l</w:t>
      </w:r>
      <w:r w:rsidR="00C73372">
        <w:rPr>
          <w:b/>
          <w:kern w:val="14"/>
          <w:lang w:val="fr-FR" w:eastAsia="ja-JP"/>
        </w:rPr>
        <w:t>’</w:t>
      </w:r>
      <w:r w:rsidRPr="00157DEB">
        <w:rPr>
          <w:b/>
          <w:kern w:val="14"/>
          <w:lang w:val="fr-FR" w:eastAsia="ja-JP"/>
        </w:rPr>
        <w:t>alimentation, l</w:t>
      </w:r>
      <w:r w:rsidR="00C73372">
        <w:rPr>
          <w:b/>
          <w:kern w:val="14"/>
          <w:lang w:val="fr-FR" w:eastAsia="ja-JP"/>
        </w:rPr>
        <w:t>’</w:t>
      </w:r>
      <w:r w:rsidRPr="00157DEB">
        <w:rPr>
          <w:b/>
          <w:kern w:val="14"/>
          <w:lang w:val="fr-FR" w:eastAsia="ja-JP"/>
        </w:rPr>
        <w:t>eau et la santé/la nutrition ; ainsi que l</w:t>
      </w:r>
      <w:r w:rsidR="00C73372">
        <w:rPr>
          <w:b/>
          <w:kern w:val="14"/>
          <w:lang w:val="fr-FR" w:eastAsia="ja-JP"/>
        </w:rPr>
        <w:t>’</w:t>
      </w:r>
      <w:r w:rsidRPr="00157DEB">
        <w:rPr>
          <w:b/>
          <w:kern w:val="14"/>
          <w:lang w:val="fr-FR" w:eastAsia="ja-JP"/>
        </w:rPr>
        <w:t>alimentation, l</w:t>
      </w:r>
      <w:r w:rsidR="00C73372">
        <w:rPr>
          <w:b/>
          <w:kern w:val="14"/>
          <w:lang w:val="fr-FR" w:eastAsia="ja-JP"/>
        </w:rPr>
        <w:t>’</w:t>
      </w:r>
      <w:r w:rsidRPr="00157DEB">
        <w:rPr>
          <w:b/>
          <w:kern w:val="14"/>
          <w:lang w:val="fr-FR" w:eastAsia="ja-JP"/>
        </w:rPr>
        <w:t>eau, la santé et l</w:t>
      </w:r>
      <w:r w:rsidR="00C73372">
        <w:rPr>
          <w:b/>
          <w:kern w:val="14"/>
          <w:lang w:val="fr-FR" w:eastAsia="ja-JP"/>
        </w:rPr>
        <w:t>’</w:t>
      </w:r>
      <w:r w:rsidRPr="00157DEB">
        <w:rPr>
          <w:b/>
          <w:kern w:val="14"/>
          <w:lang w:val="fr-FR" w:eastAsia="ja-JP"/>
        </w:rPr>
        <w:t>énergie</w:t>
      </w:r>
      <w:r w:rsidR="00643498" w:rsidRPr="00157DEB">
        <w:rPr>
          <w:kern w:val="14"/>
          <w:lang w:val="fr-FR" w:eastAsia="ja-JP"/>
        </w:rPr>
        <w:t xml:space="preserve">. </w:t>
      </w:r>
      <w:r w:rsidRPr="00157DEB">
        <w:rPr>
          <w:kern w:val="14"/>
          <w:lang w:val="fr-FR" w:eastAsia="ja-JP"/>
        </w:rPr>
        <w:t>En se concentrant sur ces thèmes, il serait possible de</w:t>
      </w:r>
      <w:r w:rsidR="0029265C" w:rsidRPr="00157DEB">
        <w:rPr>
          <w:kern w:val="14"/>
          <w:lang w:val="fr-FR" w:eastAsia="ja-JP"/>
        </w:rPr>
        <w:t xml:space="preserve"> </w:t>
      </w:r>
      <w:r w:rsidRPr="00157DEB">
        <w:rPr>
          <w:kern w:val="14"/>
          <w:lang w:val="fr-FR" w:eastAsia="ja-JP"/>
        </w:rPr>
        <w:t>s</w:t>
      </w:r>
      <w:r w:rsidR="00C73372">
        <w:rPr>
          <w:kern w:val="14"/>
          <w:lang w:val="fr-FR" w:eastAsia="ja-JP"/>
        </w:rPr>
        <w:t>’</w:t>
      </w:r>
      <w:r w:rsidRPr="00157DEB">
        <w:rPr>
          <w:kern w:val="14"/>
          <w:lang w:val="fr-FR" w:eastAsia="ja-JP"/>
        </w:rPr>
        <w:t>intéresser aux contributions qui constituent le fondement d</w:t>
      </w:r>
      <w:r w:rsidR="00C73372">
        <w:rPr>
          <w:kern w:val="14"/>
          <w:lang w:val="fr-FR" w:eastAsia="ja-JP"/>
        </w:rPr>
        <w:t>’</w:t>
      </w:r>
      <w:r w:rsidRPr="00157DEB">
        <w:rPr>
          <w:kern w:val="14"/>
          <w:lang w:val="fr-FR" w:eastAsia="ja-JP"/>
        </w:rPr>
        <w:t xml:space="preserve">une production alimentaire durable, y compris la quantité et la qualité des ressources en eau douce ; </w:t>
      </w:r>
      <w:r w:rsidR="002829C2" w:rsidRPr="00157DEB">
        <w:rPr>
          <w:kern w:val="14"/>
          <w:lang w:val="fr-FR" w:eastAsia="ja-JP"/>
        </w:rPr>
        <w:t>l</w:t>
      </w:r>
      <w:r w:rsidR="00C73372">
        <w:rPr>
          <w:kern w:val="14"/>
          <w:lang w:val="fr-FR" w:eastAsia="ja-JP"/>
        </w:rPr>
        <w:t>’</w:t>
      </w:r>
      <w:r w:rsidR="002829C2" w:rsidRPr="00157DEB">
        <w:rPr>
          <w:kern w:val="14"/>
          <w:lang w:val="fr-FR" w:eastAsia="ja-JP"/>
        </w:rPr>
        <w:t>amélioration de la nutrition et l</w:t>
      </w:r>
      <w:r w:rsidR="00C73372">
        <w:rPr>
          <w:kern w:val="14"/>
          <w:lang w:val="fr-FR" w:eastAsia="ja-JP"/>
        </w:rPr>
        <w:t>’</w:t>
      </w:r>
      <w:r w:rsidR="002829C2" w:rsidRPr="00157DEB">
        <w:rPr>
          <w:kern w:val="14"/>
          <w:lang w:val="fr-FR" w:eastAsia="ja-JP"/>
        </w:rPr>
        <w:t>agriculture durable ; les services énergétiques modernes et durables ; et les efforts visant à assurer une bonne santé pour tous</w:t>
      </w:r>
      <w:r w:rsidR="00643498" w:rsidRPr="00157DEB">
        <w:rPr>
          <w:kern w:val="14"/>
          <w:lang w:val="fr-FR" w:eastAsia="ja-JP"/>
        </w:rPr>
        <w:t xml:space="preserve">. </w:t>
      </w:r>
      <w:r w:rsidR="002829C2" w:rsidRPr="00157DEB">
        <w:rPr>
          <w:kern w:val="14"/>
          <w:lang w:val="fr-FR" w:eastAsia="ja-JP"/>
        </w:rPr>
        <w:t>Cette solution pourrait également permettre d</w:t>
      </w:r>
      <w:r w:rsidR="00C73372">
        <w:rPr>
          <w:kern w:val="14"/>
          <w:lang w:val="fr-FR" w:eastAsia="ja-JP"/>
        </w:rPr>
        <w:t>’</w:t>
      </w:r>
      <w:r w:rsidR="002829C2" w:rsidRPr="00157DEB">
        <w:rPr>
          <w:kern w:val="14"/>
          <w:lang w:val="fr-FR" w:eastAsia="ja-JP"/>
        </w:rPr>
        <w:t>examiner le rôle que jouent ces questions dans la réalisation des objectifs en matière de qualité de vie satisfaisante, ainsi que les compromis entre ces différents objectifs et les choix politiques y afférant. L</w:t>
      </w:r>
      <w:r w:rsidR="00C73372">
        <w:rPr>
          <w:kern w:val="14"/>
          <w:lang w:val="fr-FR" w:eastAsia="ja-JP"/>
        </w:rPr>
        <w:t>’</w:t>
      </w:r>
      <w:r w:rsidR="002829C2" w:rsidRPr="00157DEB">
        <w:rPr>
          <w:kern w:val="14"/>
          <w:lang w:val="fr-FR" w:eastAsia="ja-JP"/>
        </w:rPr>
        <w:t>évaluation de ces thèmes pourrait constituer la base scientifique</w:t>
      </w:r>
      <w:r w:rsidR="003C49D5" w:rsidRPr="00157DEB">
        <w:rPr>
          <w:kern w:val="14"/>
          <w:lang w:val="fr-FR" w:eastAsia="ja-JP"/>
        </w:rPr>
        <w:t xml:space="preserve"> qui permettrait de favoriser la prise en compte de la biodiversité et des contributions apportées par la nature aux populations dans les décisions et les politiques relatives à plusieurs objectifs de développement durable</w:t>
      </w:r>
      <w:r w:rsidR="00643498" w:rsidRPr="00157DEB">
        <w:rPr>
          <w:kern w:val="14"/>
          <w:lang w:val="fr-FR" w:eastAsia="ja-JP"/>
        </w:rPr>
        <w:t xml:space="preserve">. </w:t>
      </w:r>
      <w:r w:rsidR="003C49D5" w:rsidRPr="00157DEB">
        <w:rPr>
          <w:kern w:val="14"/>
          <w:lang w:val="fr-FR" w:eastAsia="ja-JP"/>
        </w:rPr>
        <w:t>D</w:t>
      </w:r>
      <w:r w:rsidR="00C73372">
        <w:rPr>
          <w:kern w:val="14"/>
          <w:lang w:val="fr-FR" w:eastAsia="ja-JP"/>
        </w:rPr>
        <w:t>’</w:t>
      </w:r>
      <w:r w:rsidR="003C49D5" w:rsidRPr="00157DEB">
        <w:rPr>
          <w:kern w:val="14"/>
          <w:lang w:val="fr-FR" w:eastAsia="ja-JP"/>
        </w:rPr>
        <w:t>autres thèmes pourraient être proposés, évalués et adoptés ultérieurement</w:t>
      </w:r>
      <w:r w:rsidR="00643498" w:rsidRPr="00157DEB">
        <w:rPr>
          <w:kern w:val="14"/>
          <w:lang w:val="fr-FR" w:eastAsia="ja-JP"/>
        </w:rPr>
        <w:t>.</w:t>
      </w:r>
    </w:p>
    <w:p w14:paraId="4A66FF20" w14:textId="4D8D9AC0" w:rsidR="00643498" w:rsidRPr="00157DEB" w:rsidRDefault="003C49D5" w:rsidP="00E97A23">
      <w:pPr>
        <w:pStyle w:val="Normalnumber"/>
        <w:rPr>
          <w:kern w:val="14"/>
          <w:lang w:val="fr-FR" w:eastAsia="ja-JP"/>
        </w:rPr>
      </w:pPr>
      <w:r w:rsidRPr="00157DEB">
        <w:rPr>
          <w:kern w:val="14"/>
          <w:lang w:val="fr-FR" w:eastAsia="ja-JP"/>
        </w:rPr>
        <w:t xml:space="preserve">Lors de sa septième session, </w:t>
      </w:r>
      <w:r w:rsidR="00737CFC" w:rsidRPr="00157DEB">
        <w:rPr>
          <w:kern w:val="14"/>
          <w:lang w:val="fr-FR" w:eastAsia="ja-JP"/>
        </w:rPr>
        <w:t xml:space="preserve">dans la cadre du deuxième programme de travail, </w:t>
      </w:r>
      <w:r w:rsidRPr="00157DEB">
        <w:rPr>
          <w:kern w:val="14"/>
          <w:lang w:val="fr-FR" w:eastAsia="ja-JP"/>
        </w:rPr>
        <w:t xml:space="preserve">la Plénière souhaitera peut-être commencer par </w:t>
      </w:r>
      <w:r w:rsidR="00737CFC" w:rsidRPr="00157DEB">
        <w:rPr>
          <w:kern w:val="14"/>
          <w:lang w:val="fr-FR" w:eastAsia="ja-JP"/>
        </w:rPr>
        <w:t>approuver, au moins pour un thème, l</w:t>
      </w:r>
      <w:r w:rsidR="00C73372">
        <w:rPr>
          <w:kern w:val="14"/>
          <w:lang w:val="fr-FR" w:eastAsia="ja-JP"/>
        </w:rPr>
        <w:t>’</w:t>
      </w:r>
      <w:r w:rsidR="00737CFC" w:rsidRPr="00157DEB">
        <w:rPr>
          <w:kern w:val="14"/>
          <w:lang w:val="fr-FR" w:eastAsia="ja-JP"/>
        </w:rPr>
        <w:t>élaboration d</w:t>
      </w:r>
      <w:r w:rsidR="00C73372">
        <w:rPr>
          <w:kern w:val="14"/>
          <w:lang w:val="fr-FR" w:eastAsia="ja-JP"/>
        </w:rPr>
        <w:t>’</w:t>
      </w:r>
      <w:r w:rsidR="00737CFC" w:rsidRPr="00157DEB">
        <w:rPr>
          <w:kern w:val="14"/>
          <w:lang w:val="fr-FR" w:eastAsia="ja-JP"/>
        </w:rPr>
        <w:t>un processus de cadrage</w:t>
      </w:r>
      <w:r w:rsidR="00643498" w:rsidRPr="00157DEB">
        <w:rPr>
          <w:kern w:val="14"/>
          <w:lang w:val="fr-FR" w:eastAsia="ja-JP"/>
        </w:rPr>
        <w:t>.</w:t>
      </w:r>
    </w:p>
    <w:p w14:paraId="701E83F1" w14:textId="30FF65D1" w:rsidR="00CE6210" w:rsidRPr="00157DEB" w:rsidRDefault="00737CFC" w:rsidP="009D74B7">
      <w:pPr>
        <w:pStyle w:val="Normalnumber"/>
        <w:rPr>
          <w:kern w:val="14"/>
          <w:lang w:val="fr-FR" w:eastAsia="ja-JP"/>
        </w:rPr>
      </w:pPr>
      <w:r w:rsidRPr="00157DEB">
        <w:rPr>
          <w:kern w:val="14"/>
          <w:lang w:val="fr-FR" w:eastAsia="ja-JP"/>
        </w:rPr>
        <w:lastRenderedPageBreak/>
        <w:t>Il faudrait peut-être se demander s</w:t>
      </w:r>
      <w:r w:rsidR="00C73372">
        <w:rPr>
          <w:kern w:val="14"/>
          <w:lang w:val="fr-FR" w:eastAsia="ja-JP"/>
        </w:rPr>
        <w:t>’</w:t>
      </w:r>
      <w:r w:rsidRPr="00157DEB">
        <w:rPr>
          <w:kern w:val="14"/>
          <w:lang w:val="fr-FR" w:eastAsia="ja-JP"/>
        </w:rPr>
        <w:t>il serait nécessaire de procéder à nouveau à des évaluations régionales et mondiales, et s</w:t>
      </w:r>
      <w:r w:rsidR="00C73372">
        <w:rPr>
          <w:kern w:val="14"/>
          <w:lang w:val="fr-FR" w:eastAsia="ja-JP"/>
        </w:rPr>
        <w:t>’</w:t>
      </w:r>
      <w:r w:rsidRPr="00157DEB">
        <w:rPr>
          <w:kern w:val="14"/>
          <w:lang w:val="fr-FR" w:eastAsia="ja-JP"/>
        </w:rPr>
        <w:t>il conviendrait de proposer des modifications quant à la préparation de ces évaluations. L</w:t>
      </w:r>
      <w:r w:rsidR="00C73372">
        <w:rPr>
          <w:kern w:val="14"/>
          <w:lang w:val="fr-FR" w:eastAsia="ja-JP"/>
        </w:rPr>
        <w:t>’</w:t>
      </w:r>
      <w:r w:rsidRPr="00157DEB">
        <w:rPr>
          <w:kern w:val="14"/>
          <w:lang w:val="fr-FR" w:eastAsia="ja-JP"/>
        </w:rPr>
        <w:t>intégration des activités associées à quatre évaluations régionales distinctes, ainsi que celles qui découlent de ces évaluations et de l</w:t>
      </w:r>
      <w:r w:rsidR="00C73372">
        <w:rPr>
          <w:kern w:val="14"/>
          <w:lang w:val="fr-FR" w:eastAsia="ja-JP"/>
        </w:rPr>
        <w:t>’</w:t>
      </w:r>
      <w:r w:rsidRPr="00157DEB">
        <w:rPr>
          <w:kern w:val="14"/>
          <w:lang w:val="fr-FR" w:eastAsia="ja-JP"/>
        </w:rPr>
        <w:t>évaluation mondiale</w:t>
      </w:r>
      <w:r w:rsidR="00AF7375">
        <w:rPr>
          <w:kern w:val="14"/>
          <w:lang w:val="fr-FR" w:eastAsia="ja-JP"/>
        </w:rPr>
        <w:t>,</w:t>
      </w:r>
      <w:r w:rsidRPr="00157DEB">
        <w:rPr>
          <w:kern w:val="14"/>
          <w:lang w:val="fr-FR" w:eastAsia="ja-JP"/>
        </w:rPr>
        <w:t xml:space="preserve"> a relevé du défi pour toutes les personnes qui ont participé </w:t>
      </w:r>
      <w:r w:rsidR="00AF7375">
        <w:rPr>
          <w:kern w:val="14"/>
          <w:lang w:val="fr-FR" w:eastAsia="ja-JP"/>
        </w:rPr>
        <w:t>au programme de travail initial, étant donné que l</w:t>
      </w:r>
      <w:r w:rsidR="00C73372">
        <w:rPr>
          <w:kern w:val="14"/>
          <w:lang w:val="fr-FR" w:eastAsia="ja-JP"/>
        </w:rPr>
        <w:t>’</w:t>
      </w:r>
      <w:r w:rsidRPr="00157DEB">
        <w:rPr>
          <w:kern w:val="14"/>
          <w:lang w:val="fr-FR" w:eastAsia="ja-JP"/>
        </w:rPr>
        <w:t>intégration des travaux de cinq groupes distincts travaillant séparément les uns des autres s</w:t>
      </w:r>
      <w:r w:rsidR="00C73372">
        <w:rPr>
          <w:kern w:val="14"/>
          <w:lang w:val="fr-FR" w:eastAsia="ja-JP"/>
        </w:rPr>
        <w:t>’</w:t>
      </w:r>
      <w:r w:rsidRPr="00157DEB">
        <w:rPr>
          <w:kern w:val="14"/>
          <w:lang w:val="fr-FR" w:eastAsia="ja-JP"/>
        </w:rPr>
        <w:t>est avérée difficile</w:t>
      </w:r>
      <w:r w:rsidR="00CD3133" w:rsidRPr="00157DEB">
        <w:rPr>
          <w:kern w:val="14"/>
          <w:lang w:val="fr-FR" w:eastAsia="ja-JP"/>
        </w:rPr>
        <w:t xml:space="preserve">. </w:t>
      </w:r>
      <w:r w:rsidRPr="00157DEB">
        <w:rPr>
          <w:b/>
          <w:kern w:val="14"/>
          <w:lang w:val="fr-FR" w:eastAsia="ja-JP"/>
        </w:rPr>
        <w:t>Un</w:t>
      </w:r>
      <w:r w:rsidR="009F6CB8" w:rsidRPr="00157DEB">
        <w:rPr>
          <w:b/>
          <w:kern w:val="14"/>
          <w:lang w:val="fr-FR" w:eastAsia="ja-JP"/>
        </w:rPr>
        <w:t xml:space="preserve">e </w:t>
      </w:r>
      <w:r w:rsidRPr="00157DEB">
        <w:rPr>
          <w:b/>
          <w:kern w:val="14"/>
          <w:lang w:val="fr-FR" w:eastAsia="ja-JP"/>
        </w:rPr>
        <w:t xml:space="preserve">solution à envisager afin de favoriser </w:t>
      </w:r>
      <w:r w:rsidR="00E96773">
        <w:rPr>
          <w:b/>
          <w:kern w:val="14"/>
          <w:lang w:val="fr-FR" w:eastAsia="ja-JP"/>
        </w:rPr>
        <w:t xml:space="preserve">une plus grande </w:t>
      </w:r>
      <w:r w:rsidRPr="00157DEB">
        <w:rPr>
          <w:b/>
          <w:kern w:val="14"/>
          <w:lang w:val="fr-FR" w:eastAsia="ja-JP"/>
        </w:rPr>
        <w:t>intégration des différentes évaluations régionales entre elles, ainsi qu</w:t>
      </w:r>
      <w:r w:rsidR="00C73372">
        <w:rPr>
          <w:b/>
          <w:kern w:val="14"/>
          <w:lang w:val="fr-FR" w:eastAsia="ja-JP"/>
        </w:rPr>
        <w:t>’</w:t>
      </w:r>
      <w:r w:rsidRPr="00157DEB">
        <w:rPr>
          <w:b/>
          <w:kern w:val="14"/>
          <w:lang w:val="fr-FR" w:eastAsia="ja-JP"/>
        </w:rPr>
        <w:t>avec l</w:t>
      </w:r>
      <w:r w:rsidR="00C73372">
        <w:rPr>
          <w:b/>
          <w:kern w:val="14"/>
          <w:lang w:val="fr-FR" w:eastAsia="ja-JP"/>
        </w:rPr>
        <w:t>’</w:t>
      </w:r>
      <w:r w:rsidRPr="00157DEB">
        <w:rPr>
          <w:b/>
          <w:kern w:val="14"/>
          <w:lang w:val="fr-FR" w:eastAsia="ja-JP"/>
        </w:rPr>
        <w:t>évaluation mondiale pourrait consister à charger un groupe d</w:t>
      </w:r>
      <w:r w:rsidR="00C73372">
        <w:rPr>
          <w:b/>
          <w:kern w:val="14"/>
          <w:lang w:val="fr-FR" w:eastAsia="ja-JP"/>
        </w:rPr>
        <w:t>’</w:t>
      </w:r>
      <w:r w:rsidRPr="00157DEB">
        <w:rPr>
          <w:b/>
          <w:kern w:val="14"/>
          <w:lang w:val="fr-FR" w:eastAsia="ja-JP"/>
        </w:rPr>
        <w:t>experts plus nombreux d</w:t>
      </w:r>
      <w:r w:rsidR="00C73372">
        <w:rPr>
          <w:b/>
          <w:kern w:val="14"/>
          <w:lang w:val="fr-FR" w:eastAsia="ja-JP"/>
        </w:rPr>
        <w:t>’</w:t>
      </w:r>
      <w:r w:rsidRPr="00157DEB">
        <w:rPr>
          <w:b/>
          <w:kern w:val="14"/>
          <w:lang w:val="fr-FR" w:eastAsia="ja-JP"/>
        </w:rPr>
        <w:t>élaborer une seule évaluation qui intégrerait les composantes tant régionales que mondiale</w:t>
      </w:r>
      <w:r w:rsidR="008471E6" w:rsidRPr="00157DEB">
        <w:rPr>
          <w:kern w:val="14"/>
          <w:lang w:val="fr-FR" w:eastAsia="ja-JP"/>
        </w:rPr>
        <w:t xml:space="preserve">. </w:t>
      </w:r>
      <w:r w:rsidR="009D74B7" w:rsidRPr="00157DEB">
        <w:rPr>
          <w:kern w:val="14"/>
          <w:lang w:val="fr-FR" w:eastAsia="ja-JP"/>
        </w:rPr>
        <w:t>En termes de calendrier</w:t>
      </w:r>
      <w:r w:rsidR="009F6CB8" w:rsidRPr="00157DEB">
        <w:rPr>
          <w:kern w:val="14"/>
          <w:lang w:val="fr-FR" w:eastAsia="ja-JP"/>
        </w:rPr>
        <w:t xml:space="preserve">, </w:t>
      </w:r>
      <w:r w:rsidR="009D74B7" w:rsidRPr="00157DEB">
        <w:rPr>
          <w:b/>
          <w:kern w:val="14"/>
          <w:lang w:val="fr-FR" w:eastAsia="ja-JP"/>
        </w:rPr>
        <w:t>cette évaluation unique pour</w:t>
      </w:r>
      <w:r w:rsidR="008D1218" w:rsidRPr="00157DEB">
        <w:rPr>
          <w:b/>
          <w:kern w:val="14"/>
          <w:lang w:val="fr-FR" w:eastAsia="ja-JP"/>
        </w:rPr>
        <w:t>rait</w:t>
      </w:r>
      <w:r w:rsidR="009D74B7" w:rsidRPr="00157DEB">
        <w:rPr>
          <w:b/>
          <w:kern w:val="14"/>
          <w:lang w:val="fr-FR" w:eastAsia="ja-JP"/>
        </w:rPr>
        <w:t>, par exemple, être publiée en 2028 ou 2029, conformément à la demande de la Plénière qui souhaitait appuyer l</w:t>
      </w:r>
      <w:r w:rsidR="00C73372">
        <w:rPr>
          <w:b/>
          <w:kern w:val="14"/>
          <w:lang w:val="fr-FR" w:eastAsia="ja-JP"/>
        </w:rPr>
        <w:t>’</w:t>
      </w:r>
      <w:r w:rsidR="009D74B7" w:rsidRPr="00157DEB">
        <w:rPr>
          <w:b/>
          <w:kern w:val="14"/>
          <w:lang w:val="fr-FR" w:eastAsia="ja-JP"/>
        </w:rPr>
        <w:t>élaboration d</w:t>
      </w:r>
      <w:r w:rsidR="00C73372">
        <w:rPr>
          <w:b/>
          <w:kern w:val="14"/>
          <w:lang w:val="fr-FR" w:eastAsia="ja-JP"/>
        </w:rPr>
        <w:t>’</w:t>
      </w:r>
      <w:r w:rsidR="009D74B7" w:rsidRPr="00157DEB">
        <w:rPr>
          <w:b/>
          <w:kern w:val="14"/>
          <w:lang w:val="fr-FR" w:eastAsia="ja-JP"/>
        </w:rPr>
        <w:t>un suivi du Plan stratégique pour l</w:t>
      </w:r>
      <w:r w:rsidR="00E96773">
        <w:rPr>
          <w:b/>
          <w:kern w:val="14"/>
          <w:lang w:val="fr-FR" w:eastAsia="ja-JP"/>
        </w:rPr>
        <w:t>a biodiversité 2011-2020 et du P</w:t>
      </w:r>
      <w:r w:rsidR="009D74B7" w:rsidRPr="00157DEB">
        <w:rPr>
          <w:b/>
          <w:kern w:val="14"/>
          <w:lang w:val="fr-FR" w:eastAsia="ja-JP"/>
        </w:rPr>
        <w:t>rogramme de développement durable à l</w:t>
      </w:r>
      <w:r w:rsidR="00C73372">
        <w:rPr>
          <w:b/>
          <w:kern w:val="14"/>
          <w:lang w:val="fr-FR" w:eastAsia="ja-JP"/>
        </w:rPr>
        <w:t>’</w:t>
      </w:r>
      <w:r w:rsidR="009D74B7" w:rsidRPr="00157DEB">
        <w:rPr>
          <w:b/>
          <w:kern w:val="14"/>
          <w:lang w:val="fr-FR" w:eastAsia="ja-JP"/>
        </w:rPr>
        <w:t xml:space="preserve">horizon 2030. </w:t>
      </w:r>
      <w:r w:rsidR="009D74B7" w:rsidRPr="00157DEB">
        <w:rPr>
          <w:kern w:val="14"/>
          <w:lang w:val="fr-FR" w:eastAsia="ja-JP"/>
        </w:rPr>
        <w:t>Ainsi, l</w:t>
      </w:r>
      <w:r w:rsidR="00C73372">
        <w:rPr>
          <w:kern w:val="14"/>
          <w:lang w:val="fr-FR" w:eastAsia="ja-JP"/>
        </w:rPr>
        <w:t>’</w:t>
      </w:r>
      <w:r w:rsidR="009D74B7" w:rsidRPr="00157DEB">
        <w:rPr>
          <w:kern w:val="14"/>
          <w:lang w:val="fr-FR" w:eastAsia="ja-JP"/>
        </w:rPr>
        <w:t>évaluation serait publiée environ dix ans après la publication de l</w:t>
      </w:r>
      <w:r w:rsidR="00C73372">
        <w:rPr>
          <w:kern w:val="14"/>
          <w:lang w:val="fr-FR" w:eastAsia="ja-JP"/>
        </w:rPr>
        <w:t>’</w:t>
      </w:r>
      <w:r w:rsidR="009D74B7" w:rsidRPr="00157DEB">
        <w:rPr>
          <w:kern w:val="14"/>
          <w:lang w:val="fr-FR" w:eastAsia="ja-JP"/>
        </w:rPr>
        <w:t xml:space="preserve">évaluation mondiale, qui est prévue pour mai </w:t>
      </w:r>
      <w:r w:rsidR="00CE6210" w:rsidRPr="00157DEB">
        <w:rPr>
          <w:kern w:val="14"/>
          <w:lang w:val="fr-FR" w:eastAsia="ja-JP"/>
        </w:rPr>
        <w:t xml:space="preserve">2019. </w:t>
      </w:r>
    </w:p>
    <w:p w14:paraId="748F7500" w14:textId="61E98E68" w:rsidR="00B3684F" w:rsidRPr="00157DEB" w:rsidRDefault="003503B8" w:rsidP="00215A93">
      <w:pPr>
        <w:pStyle w:val="CH2"/>
        <w:tabs>
          <w:tab w:val="clear" w:pos="624"/>
          <w:tab w:val="left" w:pos="4082"/>
        </w:tabs>
        <w:spacing w:before="80"/>
        <w:ind w:left="1247" w:hanging="1247"/>
        <w:rPr>
          <w:rFonts w:eastAsia="MS Mincho"/>
          <w:sz w:val="20"/>
          <w:szCs w:val="20"/>
          <w:highlight w:val="red"/>
          <w:lang w:val="fr-FR"/>
        </w:rPr>
      </w:pPr>
      <w:r w:rsidRPr="00157DEB">
        <w:rPr>
          <w:rFonts w:eastAsia="Times New Roman"/>
          <w:lang w:val="fr-FR" w:eastAsia="en-US"/>
        </w:rPr>
        <w:tab/>
      </w:r>
      <w:r w:rsidR="00B3684F" w:rsidRPr="00157DEB">
        <w:rPr>
          <w:rFonts w:eastAsia="Times New Roman"/>
          <w:lang w:val="fr-FR" w:eastAsia="en-US"/>
        </w:rPr>
        <w:t>B.</w:t>
      </w:r>
      <w:r w:rsidR="00B3684F" w:rsidRPr="00157DEB">
        <w:rPr>
          <w:rFonts w:eastAsia="Times New Roman"/>
          <w:lang w:val="fr-FR" w:eastAsia="en-US"/>
        </w:rPr>
        <w:tab/>
      </w:r>
      <w:r w:rsidR="00432689" w:rsidRPr="00157DEB">
        <w:rPr>
          <w:rFonts w:eastAsia="Times New Roman"/>
          <w:lang w:val="fr-FR" w:eastAsia="en-US"/>
        </w:rPr>
        <w:t xml:space="preserve">Appui à la formulation et à la mise en œuvre des politiques </w:t>
      </w:r>
    </w:p>
    <w:p w14:paraId="5DB8B414" w14:textId="20C748DA" w:rsidR="00CE6210" w:rsidRPr="00157DEB" w:rsidRDefault="001E4B99" w:rsidP="00E97A23">
      <w:pPr>
        <w:pStyle w:val="Normalnumber"/>
        <w:rPr>
          <w:kern w:val="14"/>
          <w:lang w:val="fr-FR" w:eastAsia="ja-JP"/>
        </w:rPr>
      </w:pPr>
      <w:r w:rsidRPr="00157DEB">
        <w:rPr>
          <w:kern w:val="14"/>
          <w:lang w:val="fr-FR" w:eastAsia="ja-JP"/>
        </w:rPr>
        <w:t>On s</w:t>
      </w:r>
      <w:r w:rsidR="00C73372">
        <w:rPr>
          <w:kern w:val="14"/>
          <w:lang w:val="fr-FR" w:eastAsia="ja-JP"/>
        </w:rPr>
        <w:t>’</w:t>
      </w:r>
      <w:r w:rsidRPr="00157DEB">
        <w:rPr>
          <w:kern w:val="14"/>
          <w:lang w:val="fr-FR" w:eastAsia="ja-JP"/>
        </w:rPr>
        <w:t>attend à ce que la Plateforme poursuive et intensifie ses efforts d</w:t>
      </w:r>
      <w:r w:rsidR="00C73372">
        <w:rPr>
          <w:kern w:val="14"/>
          <w:lang w:val="fr-FR" w:eastAsia="ja-JP"/>
        </w:rPr>
        <w:t>’</w:t>
      </w:r>
      <w:r w:rsidRPr="00157DEB">
        <w:rPr>
          <w:kern w:val="14"/>
          <w:lang w:val="fr-FR" w:eastAsia="ja-JP"/>
        </w:rPr>
        <w:t>identification d</w:t>
      </w:r>
      <w:r w:rsidR="00C73372">
        <w:rPr>
          <w:kern w:val="14"/>
          <w:lang w:val="fr-FR" w:eastAsia="ja-JP"/>
        </w:rPr>
        <w:t>’</w:t>
      </w:r>
      <w:r w:rsidRPr="00157DEB">
        <w:rPr>
          <w:kern w:val="14"/>
          <w:lang w:val="fr-FR" w:eastAsia="ja-JP"/>
        </w:rPr>
        <w:t>outils et de méthodes pertinents du point de vue des politiques afin de permettre aux décideurs d</w:t>
      </w:r>
      <w:r w:rsidR="00C73372">
        <w:rPr>
          <w:kern w:val="14"/>
          <w:lang w:val="fr-FR" w:eastAsia="ja-JP"/>
        </w:rPr>
        <w:t>’</w:t>
      </w:r>
      <w:r w:rsidRPr="00157DEB">
        <w:rPr>
          <w:kern w:val="14"/>
          <w:lang w:val="fr-FR" w:eastAsia="ja-JP"/>
        </w:rPr>
        <w:t>y avoir accès et, le cas échéant, d</w:t>
      </w:r>
      <w:r w:rsidR="00C73372">
        <w:rPr>
          <w:kern w:val="14"/>
          <w:lang w:val="fr-FR" w:eastAsia="ja-JP"/>
        </w:rPr>
        <w:t>’</w:t>
      </w:r>
      <w:r w:rsidRPr="00157DEB">
        <w:rPr>
          <w:kern w:val="14"/>
          <w:lang w:val="fr-FR" w:eastAsia="ja-JP"/>
        </w:rPr>
        <w:t>encourager la poursuite de leur élaboration</w:t>
      </w:r>
      <w:r w:rsidR="00CE6210" w:rsidRPr="00157DEB">
        <w:rPr>
          <w:kern w:val="14"/>
          <w:lang w:val="fr-FR" w:eastAsia="ja-JP"/>
        </w:rPr>
        <w:t xml:space="preserve">. </w:t>
      </w:r>
    </w:p>
    <w:p w14:paraId="7564BFE3" w14:textId="7029F730" w:rsidR="009E57C9" w:rsidRPr="00157DEB" w:rsidRDefault="001E4B99" w:rsidP="00DC21D3">
      <w:pPr>
        <w:pStyle w:val="Normalnumber"/>
        <w:rPr>
          <w:kern w:val="14"/>
          <w:lang w:val="fr-FR" w:eastAsia="ja-JP"/>
        </w:rPr>
      </w:pPr>
      <w:r w:rsidRPr="00157DEB">
        <w:rPr>
          <w:kern w:val="14"/>
          <w:lang w:val="fr-FR" w:eastAsia="ja-JP"/>
        </w:rPr>
        <w:t>Les observations recueillies dans le cadre de l</w:t>
      </w:r>
      <w:r w:rsidR="00C73372">
        <w:rPr>
          <w:kern w:val="14"/>
          <w:lang w:val="fr-FR" w:eastAsia="ja-JP"/>
        </w:rPr>
        <w:t>’</w:t>
      </w:r>
      <w:r w:rsidRPr="00157DEB">
        <w:rPr>
          <w:kern w:val="14"/>
          <w:lang w:val="fr-FR" w:eastAsia="ja-JP"/>
        </w:rPr>
        <w:t>examen interne ont souligné qu</w:t>
      </w:r>
      <w:r w:rsidR="00C73372">
        <w:rPr>
          <w:kern w:val="14"/>
          <w:lang w:val="fr-FR" w:eastAsia="ja-JP"/>
        </w:rPr>
        <w:t>’</w:t>
      </w:r>
      <w:r w:rsidRPr="00157DEB">
        <w:rPr>
          <w:kern w:val="14"/>
          <w:lang w:val="fr-FR" w:eastAsia="ja-JP"/>
        </w:rPr>
        <w:t>il fallait veiller à ce que les activités d</w:t>
      </w:r>
      <w:r w:rsidR="00C73372">
        <w:rPr>
          <w:kern w:val="14"/>
          <w:lang w:val="fr-FR" w:eastAsia="ja-JP"/>
        </w:rPr>
        <w:t>’</w:t>
      </w:r>
      <w:r w:rsidRPr="00157DEB">
        <w:rPr>
          <w:kern w:val="14"/>
          <w:lang w:val="fr-FR" w:eastAsia="ja-JP"/>
        </w:rPr>
        <w:t>appui à l</w:t>
      </w:r>
      <w:r w:rsidR="00C73372">
        <w:rPr>
          <w:kern w:val="14"/>
          <w:lang w:val="fr-FR" w:eastAsia="ja-JP"/>
        </w:rPr>
        <w:t>’</w:t>
      </w:r>
      <w:r w:rsidRPr="00157DEB">
        <w:rPr>
          <w:kern w:val="14"/>
          <w:lang w:val="fr-FR" w:eastAsia="ja-JP"/>
        </w:rPr>
        <w:t xml:space="preserve">élaboration des politiques soient davantage intégrées aux autres produits de la Plateforme, notamment aux évaluations, et que les liens avec les </w:t>
      </w:r>
      <w:r w:rsidR="008D1218" w:rsidRPr="00157DEB">
        <w:rPr>
          <w:kern w:val="14"/>
          <w:lang w:val="fr-FR" w:eastAsia="ja-JP"/>
        </w:rPr>
        <w:t>communautés</w:t>
      </w:r>
      <w:r w:rsidRPr="00157DEB">
        <w:rPr>
          <w:kern w:val="14"/>
          <w:lang w:val="fr-FR" w:eastAsia="ja-JP"/>
        </w:rPr>
        <w:t xml:space="preserve"> de praticiens et les </w:t>
      </w:r>
      <w:r w:rsidR="00DC21D3" w:rsidRPr="00157DEB">
        <w:rPr>
          <w:kern w:val="14"/>
          <w:lang w:val="fr-FR" w:eastAsia="ja-JP"/>
        </w:rPr>
        <w:t xml:space="preserve">possibilités de renforcement des capacités </w:t>
      </w:r>
      <w:r w:rsidRPr="00157DEB">
        <w:rPr>
          <w:kern w:val="14"/>
          <w:lang w:val="fr-FR" w:eastAsia="ja-JP"/>
        </w:rPr>
        <w:t>soient renforcés</w:t>
      </w:r>
      <w:r w:rsidR="009E57C9" w:rsidRPr="00157DEB">
        <w:rPr>
          <w:kern w:val="14"/>
          <w:lang w:val="fr-FR" w:eastAsia="ja-JP"/>
        </w:rPr>
        <w:t xml:space="preserve">. </w:t>
      </w:r>
    </w:p>
    <w:p w14:paraId="16A72AC9" w14:textId="3643633D" w:rsidR="00FA184F" w:rsidRPr="00157DEB" w:rsidRDefault="001E4B99" w:rsidP="00DC21D3">
      <w:pPr>
        <w:pStyle w:val="Normalnumber"/>
        <w:rPr>
          <w:kern w:val="14"/>
          <w:lang w:val="fr-FR" w:eastAsia="ja-JP"/>
        </w:rPr>
      </w:pPr>
      <w:r w:rsidRPr="00157DEB">
        <w:rPr>
          <w:kern w:val="14"/>
          <w:lang w:val="fr-FR" w:eastAsia="ja-JP"/>
        </w:rPr>
        <w:t>Les efforts déployés dans le cadre du programme de travail initial ont notamment permis</w:t>
      </w:r>
      <w:r w:rsidR="00DC21D3" w:rsidRPr="00157DEB">
        <w:rPr>
          <w:kern w:val="14"/>
          <w:lang w:val="fr-FR" w:eastAsia="ja-JP"/>
        </w:rPr>
        <w:t xml:space="preserve"> en 2016 à la Plateforme d</w:t>
      </w:r>
      <w:r w:rsidR="00C73372">
        <w:rPr>
          <w:kern w:val="14"/>
          <w:lang w:val="fr-FR" w:eastAsia="ja-JP"/>
        </w:rPr>
        <w:t>’</w:t>
      </w:r>
      <w:r w:rsidR="00DC21D3" w:rsidRPr="00157DEB">
        <w:rPr>
          <w:kern w:val="14"/>
          <w:lang w:val="fr-FR" w:eastAsia="ja-JP"/>
        </w:rPr>
        <w:t xml:space="preserve">élaborer sa première évaluation méthodologique des scénarios et modèles, suivie par les activités du </w:t>
      </w:r>
      <w:r w:rsidR="00DC21D3" w:rsidRPr="00157DEB">
        <w:rPr>
          <w:lang w:val="fr-FR"/>
        </w:rPr>
        <w:t>groupe d</w:t>
      </w:r>
      <w:r w:rsidR="00C73372">
        <w:rPr>
          <w:lang w:val="fr-FR"/>
        </w:rPr>
        <w:t>’</w:t>
      </w:r>
      <w:r w:rsidR="00DC21D3" w:rsidRPr="00157DEB">
        <w:rPr>
          <w:lang w:val="fr-FR"/>
        </w:rPr>
        <w:t xml:space="preserve">experts de la Plateforme sur les scénarios et les modèles dans le but de promouvoir la conception de scénarios et de modèles nouveaux </w:t>
      </w:r>
      <w:r w:rsidR="00E76A02" w:rsidRPr="00157DEB">
        <w:rPr>
          <w:kern w:val="14"/>
          <w:lang w:val="fr-FR" w:eastAsia="ja-JP"/>
        </w:rPr>
        <w:t>(IPBES/6/INF/15)</w:t>
      </w:r>
      <w:r w:rsidR="00F610D3" w:rsidRPr="00157DEB">
        <w:rPr>
          <w:kern w:val="14"/>
          <w:lang w:val="fr-FR" w:eastAsia="ja-JP"/>
        </w:rPr>
        <w:t>,</w:t>
      </w:r>
      <w:r w:rsidR="00FA184F" w:rsidRPr="00157DEB">
        <w:rPr>
          <w:kern w:val="14"/>
          <w:lang w:val="fr-FR" w:eastAsia="ja-JP"/>
        </w:rPr>
        <w:t xml:space="preserve"> </w:t>
      </w:r>
      <w:r w:rsidR="00DC21D3" w:rsidRPr="00157DEB">
        <w:rPr>
          <w:kern w:val="14"/>
          <w:lang w:val="fr-FR" w:eastAsia="ja-JP"/>
        </w:rPr>
        <w:t>permettant ainsi de proposer de nouvelles solutions lors de la prise de décisions dans le cadre de l</w:t>
      </w:r>
      <w:r w:rsidR="00C73372">
        <w:rPr>
          <w:kern w:val="14"/>
          <w:lang w:val="fr-FR" w:eastAsia="ja-JP"/>
        </w:rPr>
        <w:t>’</w:t>
      </w:r>
      <w:r w:rsidR="00DC21D3" w:rsidRPr="00157DEB">
        <w:rPr>
          <w:kern w:val="14"/>
          <w:lang w:val="fr-FR" w:eastAsia="ja-JP"/>
        </w:rPr>
        <w:t>évaluation mondiale et des futures activités de la Plateforme</w:t>
      </w:r>
      <w:r w:rsidR="00FA184F" w:rsidRPr="00157DEB">
        <w:rPr>
          <w:kern w:val="14"/>
          <w:lang w:val="fr-FR" w:eastAsia="ja-JP"/>
        </w:rPr>
        <w:t xml:space="preserve">. </w:t>
      </w:r>
      <w:r w:rsidR="00DC21D3" w:rsidRPr="00157DEB">
        <w:rPr>
          <w:kern w:val="14"/>
          <w:lang w:val="fr-FR" w:eastAsia="ja-JP"/>
        </w:rPr>
        <w:t xml:space="preserve">Ces activités devraient se poursuivre. </w:t>
      </w:r>
      <w:r w:rsidR="00DC21D3" w:rsidRPr="00157DEB">
        <w:rPr>
          <w:b/>
          <w:kern w:val="14"/>
          <w:lang w:val="fr-FR" w:eastAsia="ja-JP"/>
        </w:rPr>
        <w:t>Dans le cadre du deuxième programme de travail, une solution pourrait consister à réaliser des évaluations méthodologiques qui mettraient l</w:t>
      </w:r>
      <w:r w:rsidR="00C73372">
        <w:rPr>
          <w:b/>
          <w:kern w:val="14"/>
          <w:lang w:val="fr-FR" w:eastAsia="ja-JP"/>
        </w:rPr>
        <w:t>’</w:t>
      </w:r>
      <w:r w:rsidR="00DC21D3" w:rsidRPr="00157DEB">
        <w:rPr>
          <w:b/>
          <w:kern w:val="14"/>
          <w:lang w:val="fr-FR" w:eastAsia="ja-JP"/>
        </w:rPr>
        <w:t>accent sur l</w:t>
      </w:r>
      <w:r w:rsidR="00C73372">
        <w:rPr>
          <w:b/>
          <w:kern w:val="14"/>
          <w:lang w:val="fr-FR" w:eastAsia="ja-JP"/>
        </w:rPr>
        <w:t>’</w:t>
      </w:r>
      <w:r w:rsidR="00DC21D3" w:rsidRPr="00157DEB">
        <w:rPr>
          <w:b/>
          <w:kern w:val="14"/>
          <w:lang w:val="fr-FR" w:eastAsia="ja-JP"/>
        </w:rPr>
        <w:t>efficacité des divers instruments et outils d</w:t>
      </w:r>
      <w:r w:rsidR="00C73372">
        <w:rPr>
          <w:b/>
          <w:kern w:val="14"/>
          <w:lang w:val="fr-FR" w:eastAsia="ja-JP"/>
        </w:rPr>
        <w:t>’</w:t>
      </w:r>
      <w:r w:rsidR="00DC21D3" w:rsidRPr="00157DEB">
        <w:rPr>
          <w:b/>
          <w:kern w:val="14"/>
          <w:lang w:val="fr-FR" w:eastAsia="ja-JP"/>
        </w:rPr>
        <w:t>appui à l</w:t>
      </w:r>
      <w:r w:rsidR="00C73372">
        <w:rPr>
          <w:b/>
          <w:kern w:val="14"/>
          <w:lang w:val="fr-FR" w:eastAsia="ja-JP"/>
        </w:rPr>
        <w:t>’</w:t>
      </w:r>
      <w:r w:rsidR="004B3780">
        <w:rPr>
          <w:b/>
          <w:kern w:val="14"/>
          <w:lang w:val="fr-FR" w:eastAsia="ja-JP"/>
        </w:rPr>
        <w:t>élaboration de politiques. Ces </w:t>
      </w:r>
      <w:r w:rsidR="00DC21D3" w:rsidRPr="00157DEB">
        <w:rPr>
          <w:b/>
          <w:kern w:val="14"/>
          <w:lang w:val="fr-FR" w:eastAsia="ja-JP"/>
        </w:rPr>
        <w:t xml:space="preserve">évaluations pourraient prendre la forme de rapports traitant séparément de ces questions, ou bien figurer dans des rapports sur la gouvernance et les </w:t>
      </w:r>
      <w:r w:rsidR="00B337C0" w:rsidRPr="00157DEB">
        <w:rPr>
          <w:b/>
          <w:kern w:val="14"/>
          <w:lang w:val="fr-FR" w:eastAsia="ja-JP"/>
        </w:rPr>
        <w:t>institutions</w:t>
      </w:r>
      <w:r w:rsidR="00DC21D3" w:rsidRPr="00157DEB">
        <w:rPr>
          <w:b/>
          <w:kern w:val="14"/>
          <w:lang w:val="fr-FR" w:eastAsia="ja-JP"/>
        </w:rPr>
        <w:t>. Elles pourraient aussi être réalisées en choisissant un thème plus vaste, et favoriser la poursuite de leur élaboration en adoptant une démarche similaire à celle du groupe d</w:t>
      </w:r>
      <w:r w:rsidR="00C73372">
        <w:rPr>
          <w:b/>
          <w:kern w:val="14"/>
          <w:lang w:val="fr-FR" w:eastAsia="ja-JP"/>
        </w:rPr>
        <w:t>’</w:t>
      </w:r>
      <w:r w:rsidR="00DC21D3" w:rsidRPr="00157DEB">
        <w:rPr>
          <w:b/>
          <w:kern w:val="14"/>
          <w:lang w:val="fr-FR" w:eastAsia="ja-JP"/>
        </w:rPr>
        <w:t>experts sur les scénarios et modèles</w:t>
      </w:r>
      <w:r w:rsidR="00510E1A" w:rsidRPr="00157DEB">
        <w:rPr>
          <w:b/>
          <w:kern w:val="14"/>
          <w:lang w:val="fr-FR" w:eastAsia="ja-JP"/>
        </w:rPr>
        <w:t>.</w:t>
      </w:r>
    </w:p>
    <w:p w14:paraId="2ECF3AB7" w14:textId="569F3601" w:rsidR="009E57C9" w:rsidRPr="00157DEB" w:rsidRDefault="001646DA" w:rsidP="001646DA">
      <w:pPr>
        <w:pStyle w:val="Normalnumber"/>
        <w:rPr>
          <w:kern w:val="14"/>
          <w:lang w:val="fr-FR" w:eastAsia="ja-JP"/>
        </w:rPr>
      </w:pPr>
      <w:r w:rsidRPr="00157DEB">
        <w:rPr>
          <w:kern w:val="14"/>
          <w:lang w:val="fr-FR" w:eastAsia="ja-JP"/>
        </w:rPr>
        <w:t>Parmi les autres efforts déployés dans le cadre du programme de travail initial, l</w:t>
      </w:r>
      <w:r w:rsidR="00C73372">
        <w:rPr>
          <w:kern w:val="14"/>
          <w:lang w:val="fr-FR" w:eastAsia="ja-JP"/>
        </w:rPr>
        <w:t>’</w:t>
      </w:r>
      <w:r w:rsidRPr="00157DEB">
        <w:rPr>
          <w:kern w:val="14"/>
          <w:lang w:val="fr-FR" w:eastAsia="ja-JP"/>
        </w:rPr>
        <w:t>on peut citer l</w:t>
      </w:r>
      <w:r w:rsidR="00C73372">
        <w:rPr>
          <w:kern w:val="14"/>
          <w:lang w:val="fr-FR" w:eastAsia="ja-JP"/>
        </w:rPr>
        <w:t>’</w:t>
      </w:r>
      <w:r w:rsidRPr="00157DEB">
        <w:rPr>
          <w:kern w:val="14"/>
          <w:lang w:val="fr-FR" w:eastAsia="ja-JP"/>
        </w:rPr>
        <w:t>identification dans les évaluations de la Plateforme des méthodes et outils appropriés, ainsi que des renseignements concernant leur efficacité et leur utilisation, conformément au</w:t>
      </w:r>
      <w:r w:rsidR="00E96773">
        <w:rPr>
          <w:kern w:val="14"/>
          <w:lang w:val="fr-FR" w:eastAsia="ja-JP"/>
        </w:rPr>
        <w:t>x orientations fournies par le g</w:t>
      </w:r>
      <w:r w:rsidRPr="00157DEB">
        <w:rPr>
          <w:kern w:val="14"/>
          <w:lang w:val="fr-FR" w:eastAsia="ja-JP"/>
        </w:rPr>
        <w:t>roupe d</w:t>
      </w:r>
      <w:r w:rsidR="00C73372">
        <w:rPr>
          <w:kern w:val="14"/>
          <w:lang w:val="fr-FR" w:eastAsia="ja-JP"/>
        </w:rPr>
        <w:t>’</w:t>
      </w:r>
      <w:r w:rsidRPr="00157DEB">
        <w:rPr>
          <w:kern w:val="14"/>
          <w:lang w:val="fr-FR" w:eastAsia="ja-JP"/>
        </w:rPr>
        <w:t>experts sur les outils et méthodes d</w:t>
      </w:r>
      <w:r w:rsidR="00C73372">
        <w:rPr>
          <w:kern w:val="14"/>
          <w:lang w:val="fr-FR" w:eastAsia="ja-JP"/>
        </w:rPr>
        <w:t>’</w:t>
      </w:r>
      <w:r w:rsidRPr="00157DEB">
        <w:rPr>
          <w:kern w:val="14"/>
          <w:lang w:val="fr-FR" w:eastAsia="ja-JP"/>
        </w:rPr>
        <w:t>appui aux politiques</w:t>
      </w:r>
      <w:r w:rsidR="00510E1A" w:rsidRPr="00157DEB">
        <w:rPr>
          <w:kern w:val="14"/>
          <w:lang w:val="fr-FR" w:eastAsia="ja-JP"/>
        </w:rPr>
        <w:t xml:space="preserve">. </w:t>
      </w:r>
      <w:r w:rsidR="0031485E" w:rsidRPr="00157DEB">
        <w:rPr>
          <w:kern w:val="14"/>
          <w:lang w:val="fr-FR" w:eastAsia="ja-JP"/>
        </w:rPr>
        <w:t>Un catalogue des outils d</w:t>
      </w:r>
      <w:r w:rsidR="00C73372">
        <w:rPr>
          <w:kern w:val="14"/>
          <w:lang w:val="fr-FR" w:eastAsia="ja-JP"/>
        </w:rPr>
        <w:t>’</w:t>
      </w:r>
      <w:r w:rsidR="0031485E" w:rsidRPr="00157DEB">
        <w:rPr>
          <w:kern w:val="14"/>
          <w:lang w:val="fr-FR" w:eastAsia="ja-JP"/>
        </w:rPr>
        <w:t>appui aux politiques, sous la forme d</w:t>
      </w:r>
      <w:r w:rsidR="00C73372">
        <w:rPr>
          <w:kern w:val="14"/>
          <w:lang w:val="fr-FR" w:eastAsia="ja-JP"/>
        </w:rPr>
        <w:t>’</w:t>
      </w:r>
      <w:r w:rsidR="0031485E" w:rsidRPr="00157DEB">
        <w:rPr>
          <w:kern w:val="14"/>
          <w:lang w:val="fr-FR" w:eastAsia="ja-JP"/>
        </w:rPr>
        <w:t>un site web interactif, a été lancé afin de recenser les outils qui ont été identifiés et les informations concernant leur utilisation, afin de permettre aux gouvernements et à d</w:t>
      </w:r>
      <w:r w:rsidR="00C73372">
        <w:rPr>
          <w:kern w:val="14"/>
          <w:lang w:val="fr-FR" w:eastAsia="ja-JP"/>
        </w:rPr>
        <w:t>’</w:t>
      </w:r>
      <w:r w:rsidR="0031485E" w:rsidRPr="00157DEB">
        <w:rPr>
          <w:kern w:val="14"/>
          <w:lang w:val="fr-FR" w:eastAsia="ja-JP"/>
        </w:rPr>
        <w:t xml:space="preserve">autres </w:t>
      </w:r>
      <w:r w:rsidR="00E96773">
        <w:rPr>
          <w:kern w:val="14"/>
          <w:lang w:val="fr-FR" w:eastAsia="ja-JP"/>
        </w:rPr>
        <w:t>intéressé</w:t>
      </w:r>
      <w:r w:rsidR="0031485E" w:rsidRPr="00157DEB">
        <w:rPr>
          <w:kern w:val="14"/>
          <w:lang w:val="fr-FR" w:eastAsia="ja-JP"/>
        </w:rPr>
        <w:t>s d</w:t>
      </w:r>
      <w:r w:rsidR="00C73372">
        <w:rPr>
          <w:kern w:val="14"/>
          <w:lang w:val="fr-FR" w:eastAsia="ja-JP"/>
        </w:rPr>
        <w:t>’</w:t>
      </w:r>
      <w:r w:rsidR="0031485E" w:rsidRPr="00157DEB">
        <w:rPr>
          <w:kern w:val="14"/>
          <w:lang w:val="fr-FR" w:eastAsia="ja-JP"/>
        </w:rPr>
        <w:t>accéder à ces outils et de faire part de leurs réflexions lorsqu</w:t>
      </w:r>
      <w:r w:rsidR="00C73372">
        <w:rPr>
          <w:kern w:val="14"/>
          <w:lang w:val="fr-FR" w:eastAsia="ja-JP"/>
        </w:rPr>
        <w:t>’</w:t>
      </w:r>
      <w:r w:rsidR="0031485E" w:rsidRPr="00157DEB">
        <w:rPr>
          <w:kern w:val="14"/>
          <w:lang w:val="fr-FR" w:eastAsia="ja-JP"/>
        </w:rPr>
        <w:t>ils les utilisent ou lorsqu</w:t>
      </w:r>
      <w:r w:rsidR="00C73372">
        <w:rPr>
          <w:kern w:val="14"/>
          <w:lang w:val="fr-FR" w:eastAsia="ja-JP"/>
        </w:rPr>
        <w:t>’</w:t>
      </w:r>
      <w:r w:rsidR="0031485E" w:rsidRPr="00157DEB">
        <w:rPr>
          <w:kern w:val="14"/>
          <w:lang w:val="fr-FR" w:eastAsia="ja-JP"/>
        </w:rPr>
        <w:t>ils font appel à d</w:t>
      </w:r>
      <w:r w:rsidR="00C73372">
        <w:rPr>
          <w:kern w:val="14"/>
          <w:lang w:val="fr-FR" w:eastAsia="ja-JP"/>
        </w:rPr>
        <w:t>’</w:t>
      </w:r>
      <w:r w:rsidR="0031485E" w:rsidRPr="00157DEB">
        <w:rPr>
          <w:kern w:val="14"/>
          <w:lang w:val="fr-FR" w:eastAsia="ja-JP"/>
        </w:rPr>
        <w:t>autres outils</w:t>
      </w:r>
      <w:r w:rsidR="009E57C9" w:rsidRPr="00157DEB">
        <w:rPr>
          <w:kern w:val="14"/>
          <w:lang w:val="fr-FR" w:eastAsia="ja-JP"/>
        </w:rPr>
        <w:t>.</w:t>
      </w:r>
      <w:r w:rsidR="00E02899" w:rsidRPr="00157DEB">
        <w:rPr>
          <w:kern w:val="14"/>
          <w:lang w:val="fr-FR" w:eastAsia="ja-JP"/>
        </w:rPr>
        <w:t xml:space="preserve"> </w:t>
      </w:r>
    </w:p>
    <w:p w14:paraId="371584F3" w14:textId="7D28F82F" w:rsidR="005C329C" w:rsidRPr="00157DEB" w:rsidRDefault="007149CF" w:rsidP="00E67B17">
      <w:pPr>
        <w:pStyle w:val="Normalnumber"/>
        <w:rPr>
          <w:kern w:val="14"/>
          <w:lang w:val="fr-FR" w:eastAsia="ja-JP"/>
        </w:rPr>
      </w:pPr>
      <w:r w:rsidRPr="00157DEB">
        <w:rPr>
          <w:kern w:val="14"/>
          <w:lang w:val="fr-FR" w:eastAsia="ja-JP"/>
        </w:rPr>
        <w:t>L</w:t>
      </w:r>
      <w:r w:rsidR="00C73372">
        <w:rPr>
          <w:kern w:val="14"/>
          <w:lang w:val="fr-FR" w:eastAsia="ja-JP"/>
        </w:rPr>
        <w:t>’</w:t>
      </w:r>
      <w:r w:rsidRPr="00157DEB">
        <w:rPr>
          <w:kern w:val="14"/>
          <w:lang w:val="fr-FR" w:eastAsia="ja-JP"/>
        </w:rPr>
        <w:t xml:space="preserve">approche retenue pour les savoirs autochtones et locaux </w:t>
      </w:r>
      <w:r w:rsidR="00EA2981" w:rsidRPr="00157DEB">
        <w:rPr>
          <w:kern w:val="14"/>
          <w:lang w:val="fr-FR" w:eastAsia="ja-JP"/>
        </w:rPr>
        <w:t>dans</w:t>
      </w:r>
      <w:r w:rsidRPr="00157DEB">
        <w:rPr>
          <w:kern w:val="14"/>
          <w:lang w:val="fr-FR" w:eastAsia="ja-JP"/>
        </w:rPr>
        <w:t xml:space="preserve"> cette fonction permettra de déterminer, de décrire et d</w:t>
      </w:r>
      <w:r w:rsidR="00C73372">
        <w:rPr>
          <w:kern w:val="14"/>
          <w:lang w:val="fr-FR" w:eastAsia="ja-JP"/>
        </w:rPr>
        <w:t>’</w:t>
      </w:r>
      <w:r w:rsidRPr="00157DEB">
        <w:rPr>
          <w:kern w:val="14"/>
          <w:lang w:val="fr-FR" w:eastAsia="ja-JP"/>
        </w:rPr>
        <w:t>encourager l</w:t>
      </w:r>
      <w:r w:rsidR="00C73372">
        <w:rPr>
          <w:kern w:val="14"/>
          <w:lang w:val="fr-FR" w:eastAsia="ja-JP"/>
        </w:rPr>
        <w:t>’</w:t>
      </w:r>
      <w:r w:rsidRPr="00157DEB">
        <w:rPr>
          <w:kern w:val="14"/>
          <w:lang w:val="fr-FR" w:eastAsia="ja-JP"/>
        </w:rPr>
        <w:t>élaboration des outils et méthodes nécessaires à la mise en œuvre des quatre phases du processus d</w:t>
      </w:r>
      <w:r w:rsidR="00C73372">
        <w:rPr>
          <w:kern w:val="14"/>
          <w:lang w:val="fr-FR" w:eastAsia="ja-JP"/>
        </w:rPr>
        <w:t>’</w:t>
      </w:r>
      <w:r w:rsidRPr="00157DEB">
        <w:rPr>
          <w:kern w:val="14"/>
          <w:lang w:val="fr-FR" w:eastAsia="ja-JP"/>
        </w:rPr>
        <w:t xml:space="preserve">évaluation, et de </w:t>
      </w:r>
      <w:r w:rsidR="00E67B17" w:rsidRPr="00157DEB">
        <w:rPr>
          <w:kern w:val="14"/>
          <w:lang w:val="fr-FR" w:eastAsia="ja-JP"/>
        </w:rPr>
        <w:t>faire en sorte que les mesures prises, les instruments de prise de décision et les procédures intéressant les savoirs autochtones et locaux et les peuples autochtones et les populations locales soient évalués dans le cadre des évaluations de la Plateforme</w:t>
      </w:r>
      <w:r w:rsidR="005C329C" w:rsidRPr="00157DEB">
        <w:rPr>
          <w:kern w:val="14"/>
          <w:lang w:val="fr-FR" w:eastAsia="ja-JP"/>
        </w:rPr>
        <w:t>.</w:t>
      </w:r>
    </w:p>
    <w:p w14:paraId="642DCF7D" w14:textId="3FBD4DD8" w:rsidR="005C329C" w:rsidRPr="00157DEB" w:rsidRDefault="00E67B17" w:rsidP="00E67B17">
      <w:pPr>
        <w:pStyle w:val="Normalnumber"/>
        <w:rPr>
          <w:b/>
          <w:kern w:val="14"/>
          <w:lang w:val="fr-FR" w:eastAsia="ja-JP"/>
        </w:rPr>
      </w:pPr>
      <w:r w:rsidRPr="00157DEB">
        <w:rPr>
          <w:b/>
          <w:kern w:val="14"/>
          <w:lang w:val="fr-FR" w:eastAsia="ja-JP"/>
        </w:rPr>
        <w:t>Ces activités devraient se poursuivre, avec davantage d</w:t>
      </w:r>
      <w:r w:rsidR="00C73372">
        <w:rPr>
          <w:b/>
          <w:kern w:val="14"/>
          <w:lang w:val="fr-FR" w:eastAsia="ja-JP"/>
        </w:rPr>
        <w:t>’</w:t>
      </w:r>
      <w:r w:rsidRPr="00157DEB">
        <w:rPr>
          <w:b/>
          <w:kern w:val="14"/>
          <w:lang w:val="fr-FR" w:eastAsia="ja-JP"/>
        </w:rPr>
        <w:t>orientations à l</w:t>
      </w:r>
      <w:r w:rsidR="00C73372">
        <w:rPr>
          <w:b/>
          <w:kern w:val="14"/>
          <w:lang w:val="fr-FR" w:eastAsia="ja-JP"/>
        </w:rPr>
        <w:t>’</w:t>
      </w:r>
      <w:r w:rsidRPr="00157DEB">
        <w:rPr>
          <w:b/>
          <w:kern w:val="14"/>
          <w:lang w:val="fr-FR" w:eastAsia="ja-JP"/>
        </w:rPr>
        <w:t>attention des groupes d</w:t>
      </w:r>
      <w:r w:rsidR="00C73372">
        <w:rPr>
          <w:b/>
          <w:kern w:val="14"/>
          <w:lang w:val="fr-FR" w:eastAsia="ja-JP"/>
        </w:rPr>
        <w:t>’</w:t>
      </w:r>
      <w:r w:rsidRPr="00157DEB">
        <w:rPr>
          <w:b/>
          <w:kern w:val="14"/>
          <w:lang w:val="fr-FR" w:eastAsia="ja-JP"/>
        </w:rPr>
        <w:t>experts menant une évaluation, et en tenant compte d</w:t>
      </w:r>
      <w:r w:rsidR="00C73372">
        <w:rPr>
          <w:b/>
          <w:kern w:val="14"/>
          <w:lang w:val="fr-FR" w:eastAsia="ja-JP"/>
        </w:rPr>
        <w:t>’</w:t>
      </w:r>
      <w:r w:rsidRPr="00157DEB">
        <w:rPr>
          <w:b/>
          <w:kern w:val="14"/>
          <w:lang w:val="fr-FR" w:eastAsia="ja-JP"/>
        </w:rPr>
        <w:t>interactions renforcées avec les gouvernements et les autres utilisateurs</w:t>
      </w:r>
      <w:r w:rsidR="005C329C" w:rsidRPr="00157DEB">
        <w:rPr>
          <w:b/>
          <w:kern w:val="14"/>
          <w:lang w:val="fr-FR" w:eastAsia="ja-JP"/>
        </w:rPr>
        <w:t>.</w:t>
      </w:r>
    </w:p>
    <w:p w14:paraId="1DD5455A" w14:textId="6E62371F" w:rsidR="00B3684F" w:rsidRPr="00157DEB" w:rsidRDefault="003503B8" w:rsidP="004B3780">
      <w:pPr>
        <w:pStyle w:val="CH2"/>
        <w:tabs>
          <w:tab w:val="clear" w:pos="624"/>
          <w:tab w:val="left" w:pos="4082"/>
        </w:tabs>
        <w:spacing w:before="80"/>
        <w:ind w:left="1247" w:hanging="1247"/>
        <w:rPr>
          <w:rFonts w:eastAsia="Times New Roman"/>
          <w:lang w:val="fr-FR"/>
        </w:rPr>
      </w:pPr>
      <w:r w:rsidRPr="00157DEB">
        <w:rPr>
          <w:rFonts w:eastAsia="Times New Roman"/>
          <w:lang w:val="fr-FR" w:eastAsia="en-US"/>
        </w:rPr>
        <w:lastRenderedPageBreak/>
        <w:tab/>
      </w:r>
      <w:r w:rsidR="00B3684F" w:rsidRPr="00157DEB">
        <w:rPr>
          <w:rFonts w:eastAsia="Times New Roman"/>
          <w:lang w:val="fr-FR" w:eastAsia="en-US"/>
        </w:rPr>
        <w:t>C.</w:t>
      </w:r>
      <w:r w:rsidR="00B3684F" w:rsidRPr="00157DEB">
        <w:rPr>
          <w:rFonts w:eastAsia="Times New Roman"/>
          <w:lang w:val="fr-FR" w:eastAsia="en-US"/>
        </w:rPr>
        <w:tab/>
      </w:r>
      <w:r w:rsidR="00FD3F51" w:rsidRPr="00157DEB">
        <w:rPr>
          <w:rFonts w:eastAsia="Times New Roman"/>
          <w:lang w:val="fr-FR" w:eastAsia="en-US"/>
        </w:rPr>
        <w:t>Promotion d</w:t>
      </w:r>
      <w:r w:rsidR="00C73372">
        <w:rPr>
          <w:rFonts w:eastAsia="Times New Roman"/>
          <w:lang w:val="fr-FR" w:eastAsia="en-US"/>
        </w:rPr>
        <w:t>’</w:t>
      </w:r>
      <w:r w:rsidR="00FD3F51" w:rsidRPr="00157DEB">
        <w:rPr>
          <w:rFonts w:eastAsia="Times New Roman"/>
          <w:lang w:val="fr-FR" w:eastAsia="en-US"/>
        </w:rPr>
        <w:t>efforts de production de nouveaux savoirs</w:t>
      </w:r>
    </w:p>
    <w:p w14:paraId="25FAFC3E" w14:textId="45E32539" w:rsidR="00CE6210" w:rsidRPr="00157DEB" w:rsidRDefault="00FD3F51" w:rsidP="004B3780">
      <w:pPr>
        <w:pStyle w:val="Normalnumber"/>
        <w:keepNext/>
        <w:keepLines/>
        <w:rPr>
          <w:kern w:val="14"/>
          <w:lang w:val="fr-FR" w:eastAsia="ja-JP"/>
        </w:rPr>
      </w:pPr>
      <w:r w:rsidRPr="00157DEB">
        <w:rPr>
          <w:kern w:val="14"/>
          <w:lang w:val="fr-FR" w:eastAsia="ja-JP"/>
        </w:rPr>
        <w:t xml:space="preserve">La Plateforme devrait être appelée à poursuivre le </w:t>
      </w:r>
      <w:r w:rsidRPr="00157DEB">
        <w:rPr>
          <w:b/>
          <w:kern w:val="14"/>
          <w:lang w:val="fr-FR" w:eastAsia="ja-JP"/>
        </w:rPr>
        <w:t>recensement et la hiérarchisation des informations scientifiques essentielles dont les décideurs ont besoin à un niveau approprié ;</w:t>
      </w:r>
      <w:r w:rsidR="00CE6210" w:rsidRPr="00157DEB">
        <w:rPr>
          <w:kern w:val="14"/>
          <w:lang w:val="fr-FR" w:eastAsia="ja-JP"/>
        </w:rPr>
        <w:t xml:space="preserve"> </w:t>
      </w:r>
      <w:r w:rsidRPr="00157DEB">
        <w:rPr>
          <w:kern w:val="14"/>
          <w:lang w:val="fr-FR" w:eastAsia="ja-JP"/>
        </w:rPr>
        <w:t xml:space="preserve">à continuer de </w:t>
      </w:r>
      <w:r w:rsidRPr="00157DEB">
        <w:rPr>
          <w:b/>
          <w:kern w:val="14"/>
          <w:lang w:val="fr-FR" w:eastAsia="ja-JP"/>
        </w:rPr>
        <w:t xml:space="preserve">galvaniser les efforts de production de nouveaux savoirs </w:t>
      </w:r>
      <w:r w:rsidRPr="00157DEB">
        <w:rPr>
          <w:kern w:val="14"/>
          <w:lang w:val="fr-FR" w:eastAsia="ja-JP"/>
        </w:rPr>
        <w:t>en engageant un dialogue avec les principales organisations scientifiques, les décideurs et les organismes de financement afin d</w:t>
      </w:r>
      <w:r w:rsidR="00C73372">
        <w:rPr>
          <w:kern w:val="14"/>
          <w:lang w:val="fr-FR" w:eastAsia="ja-JP"/>
        </w:rPr>
        <w:t>’</w:t>
      </w:r>
      <w:r w:rsidRPr="00157DEB">
        <w:rPr>
          <w:kern w:val="14"/>
          <w:lang w:val="fr-FR" w:eastAsia="ja-JP"/>
        </w:rPr>
        <w:t xml:space="preserve">aborder les priorités recensées ; et à </w:t>
      </w:r>
      <w:r w:rsidRPr="00157DEB">
        <w:rPr>
          <w:b/>
          <w:kern w:val="14"/>
          <w:lang w:val="fr-FR" w:eastAsia="ja-JP"/>
        </w:rPr>
        <w:t xml:space="preserve">poursuivre la mise en œuvre de la démarche consistant à reconnaître et </w:t>
      </w:r>
      <w:r w:rsidR="00EA2981" w:rsidRPr="00157DEB">
        <w:rPr>
          <w:b/>
          <w:kern w:val="14"/>
          <w:lang w:val="fr-FR" w:eastAsia="ja-JP"/>
        </w:rPr>
        <w:t>à</w:t>
      </w:r>
      <w:r w:rsidRPr="00157DEB">
        <w:rPr>
          <w:b/>
          <w:kern w:val="14"/>
          <w:lang w:val="fr-FR" w:eastAsia="ja-JP"/>
        </w:rPr>
        <w:t xml:space="preserve"> tirer parti des savoirs autochtones et locaux </w:t>
      </w:r>
      <w:r w:rsidRPr="00157DEB">
        <w:rPr>
          <w:kern w:val="14"/>
          <w:lang w:val="fr-FR" w:eastAsia="ja-JP"/>
        </w:rPr>
        <w:t>dans ce contexte</w:t>
      </w:r>
      <w:r w:rsidR="00CB4973" w:rsidRPr="00157DEB">
        <w:rPr>
          <w:kern w:val="14"/>
          <w:lang w:val="fr-FR" w:eastAsia="ja-JP"/>
        </w:rPr>
        <w:t>.</w:t>
      </w:r>
    </w:p>
    <w:p w14:paraId="5419CC67" w14:textId="42850D95" w:rsidR="00CE6210" w:rsidRPr="00157DEB" w:rsidRDefault="00CB3031" w:rsidP="00CB3031">
      <w:pPr>
        <w:pStyle w:val="Normalnumber"/>
        <w:rPr>
          <w:spacing w:val="4"/>
          <w:w w:val="103"/>
          <w:kern w:val="14"/>
          <w:lang w:val="fr-FR" w:eastAsia="ja-JP"/>
        </w:rPr>
      </w:pPr>
      <w:r w:rsidRPr="00157DEB">
        <w:rPr>
          <w:kern w:val="14"/>
          <w:lang w:val="fr-FR" w:eastAsia="ja-JP"/>
        </w:rPr>
        <w:t>Dans le cadre du programme de travail</w:t>
      </w:r>
      <w:r w:rsidR="00C420DE" w:rsidRPr="00157DEB">
        <w:rPr>
          <w:kern w:val="14"/>
          <w:lang w:val="fr-FR" w:eastAsia="ja-JP"/>
        </w:rPr>
        <w:t xml:space="preserve"> initial</w:t>
      </w:r>
      <w:r w:rsidRPr="00157DEB">
        <w:rPr>
          <w:kern w:val="14"/>
          <w:lang w:val="fr-FR" w:eastAsia="ja-JP"/>
        </w:rPr>
        <w:t>, un processus a été élaboré et est actuellement mis à l</w:t>
      </w:r>
      <w:r w:rsidR="00C73372">
        <w:rPr>
          <w:kern w:val="14"/>
          <w:lang w:val="fr-FR" w:eastAsia="ja-JP"/>
        </w:rPr>
        <w:t>’</w:t>
      </w:r>
      <w:r w:rsidRPr="00157DEB">
        <w:rPr>
          <w:kern w:val="14"/>
          <w:lang w:val="fr-FR" w:eastAsia="ja-JP"/>
        </w:rPr>
        <w:t>essai, dont le but est de recenser les lacunes en matière de connaissances figurant dans les évaluations qui ont déjà été réalisées ; de tenir des consultations au sujet de ces lacunes avec la communauté scientifique et les autres détenteurs de savoirs afin d</w:t>
      </w:r>
      <w:r w:rsidR="00C73372">
        <w:rPr>
          <w:kern w:val="14"/>
          <w:lang w:val="fr-FR" w:eastAsia="ja-JP"/>
        </w:rPr>
        <w:t>’</w:t>
      </w:r>
      <w:r w:rsidRPr="00157DEB">
        <w:rPr>
          <w:kern w:val="14"/>
          <w:lang w:val="fr-FR" w:eastAsia="ja-JP"/>
        </w:rPr>
        <w:t>établir des priorités en termes de recherches scientifiques et d</w:t>
      </w:r>
      <w:r w:rsidR="00C73372">
        <w:rPr>
          <w:kern w:val="14"/>
          <w:lang w:val="fr-FR" w:eastAsia="ja-JP"/>
        </w:rPr>
        <w:t>’</w:t>
      </w:r>
      <w:r w:rsidRPr="00157DEB">
        <w:rPr>
          <w:kern w:val="14"/>
          <w:lang w:val="fr-FR" w:eastAsia="ja-JP"/>
        </w:rPr>
        <w:t>autres formes de production de savoirs ;</w:t>
      </w:r>
      <w:r w:rsidR="00CE6210" w:rsidRPr="00157DEB">
        <w:rPr>
          <w:spacing w:val="4"/>
          <w:w w:val="103"/>
          <w:kern w:val="14"/>
          <w:lang w:val="fr-FR" w:eastAsia="ja-JP"/>
        </w:rPr>
        <w:t xml:space="preserve"> </w:t>
      </w:r>
      <w:r w:rsidR="00252C1B" w:rsidRPr="00157DEB">
        <w:rPr>
          <w:spacing w:val="4"/>
          <w:w w:val="103"/>
          <w:kern w:val="14"/>
          <w:lang w:val="fr-FR" w:eastAsia="ja-JP"/>
        </w:rPr>
        <w:t>ainsi que de prendre part à l</w:t>
      </w:r>
      <w:r w:rsidR="00C73372">
        <w:rPr>
          <w:spacing w:val="4"/>
          <w:w w:val="103"/>
          <w:kern w:val="14"/>
          <w:lang w:val="fr-FR" w:eastAsia="ja-JP"/>
        </w:rPr>
        <w:t>’</w:t>
      </w:r>
      <w:r w:rsidR="00252C1B" w:rsidRPr="00157DEB">
        <w:rPr>
          <w:spacing w:val="4"/>
          <w:w w:val="103"/>
          <w:kern w:val="14"/>
          <w:lang w:val="fr-FR" w:eastAsia="ja-JP"/>
        </w:rPr>
        <w:t>examen de ces priorités avec des institutions qui pourraient financer les recherches et avec d</w:t>
      </w:r>
      <w:r w:rsidR="00C73372">
        <w:rPr>
          <w:spacing w:val="4"/>
          <w:w w:val="103"/>
          <w:kern w:val="14"/>
          <w:lang w:val="fr-FR" w:eastAsia="ja-JP"/>
        </w:rPr>
        <w:t>’</w:t>
      </w:r>
      <w:r w:rsidR="00252C1B" w:rsidRPr="00157DEB">
        <w:rPr>
          <w:spacing w:val="4"/>
          <w:w w:val="103"/>
          <w:kern w:val="14"/>
          <w:lang w:val="fr-FR" w:eastAsia="ja-JP"/>
        </w:rPr>
        <w:t>autres instances de financement</w:t>
      </w:r>
      <w:r w:rsidR="00CE6210" w:rsidRPr="00157DEB">
        <w:rPr>
          <w:spacing w:val="4"/>
          <w:w w:val="103"/>
          <w:kern w:val="14"/>
          <w:lang w:val="fr-FR" w:eastAsia="ja-JP"/>
        </w:rPr>
        <w:t xml:space="preserve">. </w:t>
      </w:r>
    </w:p>
    <w:p w14:paraId="1547804E" w14:textId="6CFAEDE6" w:rsidR="00341E5D" w:rsidRPr="00157DEB" w:rsidRDefault="00C420DE" w:rsidP="00C420DE">
      <w:pPr>
        <w:pStyle w:val="Normalnumber"/>
        <w:rPr>
          <w:spacing w:val="4"/>
          <w:w w:val="103"/>
          <w:kern w:val="14"/>
          <w:lang w:val="fr-FR" w:eastAsia="ja-JP"/>
        </w:rPr>
      </w:pPr>
      <w:r w:rsidRPr="00157DEB">
        <w:rPr>
          <w:kern w:val="14"/>
          <w:lang w:val="fr-FR" w:eastAsia="ja-JP"/>
        </w:rPr>
        <w:t>Des processus ont été mis au point dans le cadre du programme de travail initial, afin de mobiliser des données, des informations et des connaissances, y compris des indicateurs, pour contribuer aux évaluations de la Plateforme</w:t>
      </w:r>
      <w:r w:rsidR="00341E5D" w:rsidRPr="00157DEB">
        <w:rPr>
          <w:kern w:val="14"/>
          <w:lang w:val="fr-FR" w:eastAsia="ja-JP"/>
        </w:rPr>
        <w:t xml:space="preserve">. </w:t>
      </w:r>
      <w:r w:rsidRPr="00157DEB">
        <w:rPr>
          <w:kern w:val="14"/>
          <w:lang w:val="fr-FR" w:eastAsia="ja-JP"/>
        </w:rPr>
        <w:t>Les travaux sur les indicateurs et sur leur définition dans les évaluations devraient continuer, avec notamment la poursuite de l</w:t>
      </w:r>
      <w:r w:rsidR="00C73372">
        <w:rPr>
          <w:kern w:val="14"/>
          <w:lang w:val="fr-FR" w:eastAsia="ja-JP"/>
        </w:rPr>
        <w:t>’</w:t>
      </w:r>
      <w:r w:rsidRPr="00157DEB">
        <w:rPr>
          <w:kern w:val="14"/>
          <w:lang w:val="fr-FR" w:eastAsia="ja-JP"/>
        </w:rPr>
        <w:t>élaboration d</w:t>
      </w:r>
      <w:r w:rsidR="00C73372">
        <w:rPr>
          <w:kern w:val="14"/>
          <w:lang w:val="fr-FR" w:eastAsia="ja-JP"/>
        </w:rPr>
        <w:t>’</w:t>
      </w:r>
      <w:r w:rsidRPr="00157DEB">
        <w:rPr>
          <w:kern w:val="14"/>
          <w:lang w:val="fr-FR" w:eastAsia="ja-JP"/>
        </w:rPr>
        <w:t>une liste d</w:t>
      </w:r>
      <w:r w:rsidR="00C73372">
        <w:rPr>
          <w:kern w:val="14"/>
          <w:lang w:val="fr-FR" w:eastAsia="ja-JP"/>
        </w:rPr>
        <w:t>’</w:t>
      </w:r>
      <w:r w:rsidRPr="00157DEB">
        <w:rPr>
          <w:kern w:val="14"/>
          <w:lang w:val="fr-FR" w:eastAsia="ja-JP"/>
        </w:rPr>
        <w:t>indicateurs qui encouragera une meilleure prise en considération des éléments socioéconomiques et des aspects qui intéressent les peuples autochtones et les communautés locales, et qui permettra de poursuivre le renforcement et le développement des partenariats qui s</w:t>
      </w:r>
      <w:r w:rsidR="00C73372">
        <w:rPr>
          <w:kern w:val="14"/>
          <w:lang w:val="fr-FR" w:eastAsia="ja-JP"/>
        </w:rPr>
        <w:t>’</w:t>
      </w:r>
      <w:r w:rsidRPr="00157DEB">
        <w:rPr>
          <w:kern w:val="14"/>
          <w:lang w:val="fr-FR" w:eastAsia="ja-JP"/>
        </w:rPr>
        <w:t>avèrent nécessaires en la matière</w:t>
      </w:r>
      <w:r w:rsidR="00341E5D" w:rsidRPr="00157DEB">
        <w:rPr>
          <w:kern w:val="14"/>
          <w:lang w:val="fr-FR" w:eastAsia="ja-JP"/>
        </w:rPr>
        <w:t>.</w:t>
      </w:r>
    </w:p>
    <w:p w14:paraId="4D45BF4B" w14:textId="234F0986" w:rsidR="00CB4973" w:rsidRPr="00157DEB" w:rsidRDefault="00194014" w:rsidP="00E97A23">
      <w:pPr>
        <w:pStyle w:val="Normalnumber"/>
        <w:rPr>
          <w:spacing w:val="4"/>
          <w:w w:val="103"/>
          <w:kern w:val="14"/>
          <w:lang w:val="fr-FR" w:eastAsia="ja-JP"/>
        </w:rPr>
      </w:pPr>
      <w:r w:rsidRPr="00157DEB">
        <w:rPr>
          <w:kern w:val="14"/>
          <w:lang w:val="fr-FR" w:eastAsia="ja-JP"/>
        </w:rPr>
        <w:t>S</w:t>
      </w:r>
      <w:r w:rsidR="00C73372">
        <w:rPr>
          <w:kern w:val="14"/>
          <w:lang w:val="fr-FR" w:eastAsia="ja-JP"/>
        </w:rPr>
        <w:t>’</w:t>
      </w:r>
      <w:r w:rsidRPr="00157DEB">
        <w:rPr>
          <w:kern w:val="14"/>
          <w:lang w:val="fr-FR" w:eastAsia="ja-JP"/>
        </w:rPr>
        <w:t>agissant des savoirs autochtones et locaux, une démarche a été retenue dans le cadre du programme de travail initial, dont le but est de recenser les pratiques permettant de mieux gérer les éléments probants et les données collectés lors des évaluations ; de faciliter l</w:t>
      </w:r>
      <w:r w:rsidR="00C73372">
        <w:rPr>
          <w:kern w:val="14"/>
          <w:lang w:val="fr-FR" w:eastAsia="ja-JP"/>
        </w:rPr>
        <w:t>’</w:t>
      </w:r>
      <w:r w:rsidRPr="00157DEB">
        <w:rPr>
          <w:kern w:val="14"/>
          <w:lang w:val="fr-FR" w:eastAsia="ja-JP"/>
        </w:rPr>
        <w:t>accès aux sources de savoirs autochtones et locaux disponibles ainsi que la gestion de ces savoirs ; et de promouvoir et d</w:t>
      </w:r>
      <w:r w:rsidR="00184A6E" w:rsidRPr="00157DEB">
        <w:rPr>
          <w:kern w:val="14"/>
          <w:lang w:val="fr-FR" w:eastAsia="ja-JP"/>
        </w:rPr>
        <w:t>e faciliter</w:t>
      </w:r>
      <w:r w:rsidRPr="00157DEB">
        <w:rPr>
          <w:kern w:val="14"/>
          <w:lang w:val="fr-FR" w:eastAsia="ja-JP"/>
        </w:rPr>
        <w:t xml:space="preserve"> la mobilisation de savoirs autochtones et locaux, </w:t>
      </w:r>
      <w:r w:rsidR="00184A6E" w:rsidRPr="00157DEB">
        <w:rPr>
          <w:kern w:val="14"/>
          <w:lang w:val="fr-FR" w:eastAsia="ja-JP"/>
        </w:rPr>
        <w:t>lorsqu</w:t>
      </w:r>
      <w:r w:rsidR="00C73372">
        <w:rPr>
          <w:kern w:val="14"/>
          <w:lang w:val="fr-FR" w:eastAsia="ja-JP"/>
        </w:rPr>
        <w:t>’</w:t>
      </w:r>
      <w:r w:rsidR="00184A6E" w:rsidRPr="00157DEB">
        <w:rPr>
          <w:kern w:val="14"/>
          <w:lang w:val="fr-FR" w:eastAsia="ja-JP"/>
        </w:rPr>
        <w:t>ils n</w:t>
      </w:r>
      <w:r w:rsidR="00C73372">
        <w:rPr>
          <w:kern w:val="14"/>
          <w:lang w:val="fr-FR" w:eastAsia="ja-JP"/>
        </w:rPr>
        <w:t>’</w:t>
      </w:r>
      <w:r w:rsidR="00184A6E" w:rsidRPr="00157DEB">
        <w:rPr>
          <w:kern w:val="14"/>
          <w:lang w:val="fr-FR" w:eastAsia="ja-JP"/>
        </w:rPr>
        <w:t>existent pas sous des formes déjà accessibles</w:t>
      </w:r>
      <w:r w:rsidR="00186FAD" w:rsidRPr="00157DEB">
        <w:rPr>
          <w:kern w:val="14"/>
          <w:lang w:val="fr-FR" w:eastAsia="ja-JP"/>
        </w:rPr>
        <w:t>.</w:t>
      </w:r>
    </w:p>
    <w:p w14:paraId="73CCE73B" w14:textId="2F65AE11" w:rsidR="008E0233" w:rsidRPr="00157DEB" w:rsidRDefault="00184A6E" w:rsidP="00E97A23">
      <w:pPr>
        <w:pStyle w:val="Normalnumber"/>
        <w:rPr>
          <w:b/>
          <w:spacing w:val="4"/>
          <w:w w:val="103"/>
          <w:kern w:val="14"/>
          <w:lang w:val="fr-FR" w:eastAsia="ja-JP"/>
        </w:rPr>
      </w:pPr>
      <w:r w:rsidRPr="00157DEB">
        <w:rPr>
          <w:b/>
          <w:kern w:val="14"/>
          <w:lang w:val="fr-FR" w:eastAsia="ja-JP"/>
        </w:rPr>
        <w:t>Ces activités devraient se poursuivre et les processus devraient être appliqués aux évaluations qui seront menées dans le cadre du deuxième programme de travail,  tout en bénéficiant de l</w:t>
      </w:r>
      <w:r w:rsidR="00C73372">
        <w:rPr>
          <w:b/>
          <w:kern w:val="14"/>
          <w:lang w:val="fr-FR" w:eastAsia="ja-JP"/>
        </w:rPr>
        <w:t>’</w:t>
      </w:r>
      <w:r w:rsidRPr="00157DEB">
        <w:rPr>
          <w:b/>
          <w:kern w:val="14"/>
          <w:lang w:val="fr-FR" w:eastAsia="ja-JP"/>
        </w:rPr>
        <w:t>apprentissage continu et d</w:t>
      </w:r>
      <w:r w:rsidR="00C73372">
        <w:rPr>
          <w:b/>
          <w:kern w:val="14"/>
          <w:lang w:val="fr-FR" w:eastAsia="ja-JP"/>
        </w:rPr>
        <w:t>’</w:t>
      </w:r>
      <w:r w:rsidRPr="00157DEB">
        <w:rPr>
          <w:b/>
          <w:kern w:val="14"/>
          <w:lang w:val="fr-FR" w:eastAsia="ja-JP"/>
        </w:rPr>
        <w:t>améliorations constantes</w:t>
      </w:r>
      <w:r w:rsidR="008E0233" w:rsidRPr="00157DEB">
        <w:rPr>
          <w:b/>
          <w:kern w:val="14"/>
          <w:lang w:val="fr-FR" w:eastAsia="ja-JP"/>
        </w:rPr>
        <w:t xml:space="preserve">. </w:t>
      </w:r>
    </w:p>
    <w:p w14:paraId="2D8F091A" w14:textId="5A09CF95" w:rsidR="00186FAD" w:rsidRPr="00157DEB" w:rsidRDefault="003503B8" w:rsidP="00215A93">
      <w:pPr>
        <w:pStyle w:val="CH2"/>
        <w:tabs>
          <w:tab w:val="clear" w:pos="624"/>
          <w:tab w:val="left" w:pos="4082"/>
        </w:tabs>
        <w:spacing w:before="80"/>
        <w:ind w:left="1247" w:hanging="1247"/>
        <w:rPr>
          <w:rFonts w:eastAsia="Times New Roman"/>
          <w:lang w:val="fr-FR"/>
        </w:rPr>
      </w:pPr>
      <w:r w:rsidRPr="00157DEB">
        <w:rPr>
          <w:rFonts w:eastAsia="Times New Roman"/>
          <w:lang w:val="fr-FR" w:eastAsia="en-US"/>
        </w:rPr>
        <w:tab/>
      </w:r>
      <w:r w:rsidR="00186FAD" w:rsidRPr="00157DEB">
        <w:rPr>
          <w:rFonts w:eastAsia="Times New Roman"/>
          <w:lang w:val="fr-FR" w:eastAsia="en-US"/>
        </w:rPr>
        <w:t>D.</w:t>
      </w:r>
      <w:r w:rsidR="00186FAD" w:rsidRPr="00157DEB">
        <w:rPr>
          <w:rFonts w:eastAsia="Times New Roman"/>
          <w:lang w:val="fr-FR" w:eastAsia="en-US"/>
        </w:rPr>
        <w:tab/>
      </w:r>
      <w:r w:rsidR="00184A6E" w:rsidRPr="00157DEB">
        <w:rPr>
          <w:rFonts w:eastAsia="Times New Roman"/>
          <w:lang w:val="fr-FR" w:eastAsia="en-US"/>
        </w:rPr>
        <w:t>Renforcement des capacités</w:t>
      </w:r>
    </w:p>
    <w:p w14:paraId="58ABF193" w14:textId="3D66953E" w:rsidR="00BF69BE" w:rsidRPr="00157DEB" w:rsidRDefault="00031F59" w:rsidP="00413849">
      <w:pPr>
        <w:pStyle w:val="Normalnumber"/>
        <w:rPr>
          <w:kern w:val="14"/>
          <w:lang w:val="fr-FR" w:eastAsia="ja-JP"/>
        </w:rPr>
      </w:pPr>
      <w:r w:rsidRPr="00157DEB">
        <w:rPr>
          <w:kern w:val="14"/>
          <w:lang w:val="fr-FR" w:eastAsia="ja-JP"/>
        </w:rPr>
        <w:t>Il est prévu que la Plateforme continue de hiérarchiser les besoins essentiels en matière de renforcement des capacités afin d</w:t>
      </w:r>
      <w:r w:rsidR="00C73372">
        <w:rPr>
          <w:kern w:val="14"/>
          <w:lang w:val="fr-FR" w:eastAsia="ja-JP"/>
        </w:rPr>
        <w:t>’</w:t>
      </w:r>
      <w:r w:rsidRPr="00157DEB">
        <w:rPr>
          <w:kern w:val="14"/>
          <w:lang w:val="fr-FR" w:eastAsia="ja-JP"/>
        </w:rPr>
        <w:t>apporter des améliorations à l</w:t>
      </w:r>
      <w:r w:rsidR="00C73372">
        <w:rPr>
          <w:kern w:val="14"/>
          <w:lang w:val="fr-FR" w:eastAsia="ja-JP"/>
        </w:rPr>
        <w:t>’</w:t>
      </w:r>
      <w:r w:rsidRPr="00157DEB">
        <w:rPr>
          <w:kern w:val="14"/>
          <w:lang w:val="fr-FR" w:eastAsia="ja-JP"/>
        </w:rPr>
        <w:t xml:space="preserve">interface science-politique </w:t>
      </w:r>
      <w:r w:rsidRPr="00157DEB">
        <w:rPr>
          <w:lang w:val="fr-FR"/>
        </w:rPr>
        <w:t>aux niveaux appropriés</w:t>
      </w:r>
      <w:r w:rsidR="00AE1C30" w:rsidRPr="00157DEB">
        <w:rPr>
          <w:kern w:val="14"/>
          <w:lang w:val="fr-FR" w:eastAsia="ja-JP"/>
        </w:rPr>
        <w:t>,</w:t>
      </w:r>
      <w:r w:rsidR="00BF69BE" w:rsidRPr="00157DEB">
        <w:rPr>
          <w:kern w:val="14"/>
          <w:lang w:val="fr-FR" w:eastAsia="ja-JP"/>
        </w:rPr>
        <w:t xml:space="preserve"> </w:t>
      </w:r>
      <w:r w:rsidRPr="00157DEB">
        <w:rPr>
          <w:kern w:val="14"/>
          <w:lang w:val="fr-FR" w:eastAsia="ja-JP"/>
        </w:rPr>
        <w:t>et qu</w:t>
      </w:r>
      <w:r w:rsidR="00C73372">
        <w:rPr>
          <w:kern w:val="14"/>
          <w:lang w:val="fr-FR" w:eastAsia="ja-JP"/>
        </w:rPr>
        <w:t>’</w:t>
      </w:r>
      <w:r w:rsidRPr="00157DEB">
        <w:rPr>
          <w:kern w:val="14"/>
          <w:lang w:val="fr-FR" w:eastAsia="ja-JP"/>
        </w:rPr>
        <w:t>elle fournisse et encourage les contributions financières et autres types d</w:t>
      </w:r>
      <w:r w:rsidR="00C73372">
        <w:rPr>
          <w:kern w:val="14"/>
          <w:lang w:val="fr-FR" w:eastAsia="ja-JP"/>
        </w:rPr>
        <w:t>’</w:t>
      </w:r>
      <w:r w:rsidRPr="00157DEB">
        <w:rPr>
          <w:kern w:val="14"/>
          <w:lang w:val="fr-FR" w:eastAsia="ja-JP"/>
        </w:rPr>
        <w:t xml:space="preserve">appui afin de satisfaire les </w:t>
      </w:r>
      <w:r w:rsidRPr="00157DEB">
        <w:rPr>
          <w:lang w:val="fr-FR"/>
        </w:rPr>
        <w:t>besoins les plus pressants directement liés à ses activités, conformément à la décision prise par la Plénière</w:t>
      </w:r>
      <w:r w:rsidR="00BF69BE" w:rsidRPr="00157DEB">
        <w:rPr>
          <w:kern w:val="14"/>
          <w:lang w:val="fr-FR" w:eastAsia="ja-JP"/>
        </w:rPr>
        <w:t>. I</w:t>
      </w:r>
      <w:r w:rsidR="008B7ADA" w:rsidRPr="00157DEB">
        <w:rPr>
          <w:kern w:val="14"/>
          <w:lang w:val="fr-FR" w:eastAsia="ja-JP"/>
        </w:rPr>
        <w:t>l est également prévu d</w:t>
      </w:r>
      <w:r w:rsidR="00C73372">
        <w:rPr>
          <w:kern w:val="14"/>
          <w:lang w:val="fr-FR" w:eastAsia="ja-JP"/>
        </w:rPr>
        <w:t>’</w:t>
      </w:r>
      <w:r w:rsidR="008B7ADA" w:rsidRPr="00157DEB">
        <w:rPr>
          <w:kern w:val="14"/>
          <w:lang w:val="fr-FR" w:eastAsia="ja-JP"/>
        </w:rPr>
        <w:t>organiser un forum pour attirer des sources conventionnelles ainsi que de nouvelles sources potentielles pour le financement de ces activités de renforcement des capacités</w:t>
      </w:r>
      <w:r w:rsidR="00BF69BE" w:rsidRPr="00157DEB">
        <w:rPr>
          <w:kern w:val="14"/>
          <w:lang w:val="fr-FR" w:eastAsia="ja-JP"/>
        </w:rPr>
        <w:t xml:space="preserve">. </w:t>
      </w:r>
    </w:p>
    <w:p w14:paraId="0E5BDCA6" w14:textId="137C399A" w:rsidR="00673B87" w:rsidRPr="00157DEB" w:rsidRDefault="00EB0E3E" w:rsidP="00413849">
      <w:pPr>
        <w:pStyle w:val="Normalnumber"/>
        <w:rPr>
          <w:kern w:val="14"/>
          <w:lang w:val="fr-FR" w:eastAsia="ja-JP"/>
        </w:rPr>
      </w:pPr>
      <w:r w:rsidRPr="00157DEB">
        <w:rPr>
          <w:kern w:val="14"/>
          <w:lang w:val="fr-FR" w:eastAsia="ja-JP"/>
        </w:rPr>
        <w:t>S</w:t>
      </w:r>
      <w:r w:rsidR="00C73372">
        <w:rPr>
          <w:kern w:val="14"/>
          <w:lang w:val="fr-FR" w:eastAsia="ja-JP"/>
        </w:rPr>
        <w:t>’</w:t>
      </w:r>
      <w:r w:rsidRPr="00157DEB">
        <w:rPr>
          <w:kern w:val="14"/>
          <w:lang w:val="fr-FR" w:eastAsia="ja-JP"/>
        </w:rPr>
        <w:t xml:space="preserve">agissant des travaux relatifs aux savoirs autochtones et locaux, la Plateforme devrait continuer de rechercher, de hiérarchiser et de renforcer les capacités essentielles à la mise en œuvre de </w:t>
      </w:r>
      <w:r w:rsidR="00AA3EE4" w:rsidRPr="00157DEB">
        <w:rPr>
          <w:kern w:val="14"/>
          <w:lang w:val="fr-FR" w:eastAsia="ja-JP"/>
        </w:rPr>
        <w:t>l</w:t>
      </w:r>
      <w:r w:rsidR="00C73372">
        <w:rPr>
          <w:kern w:val="14"/>
          <w:lang w:val="fr-FR" w:eastAsia="ja-JP"/>
        </w:rPr>
        <w:t>’</w:t>
      </w:r>
      <w:r w:rsidR="00AA3EE4" w:rsidRPr="00157DEB">
        <w:rPr>
          <w:kern w:val="14"/>
          <w:lang w:val="fr-FR" w:eastAsia="ja-JP"/>
        </w:rPr>
        <w:t>approche concernant les savoirs autochtones et locaux ;</w:t>
      </w:r>
      <w:r w:rsidR="00CB4973" w:rsidRPr="00157DEB">
        <w:rPr>
          <w:kern w:val="14"/>
          <w:lang w:val="fr-FR" w:eastAsia="ja-JP"/>
        </w:rPr>
        <w:t xml:space="preserve"> </w:t>
      </w:r>
      <w:r w:rsidR="00AA3EE4" w:rsidRPr="00157DEB">
        <w:rPr>
          <w:kern w:val="14"/>
          <w:lang w:val="fr-FR" w:eastAsia="ja-JP"/>
        </w:rPr>
        <w:t>d</w:t>
      </w:r>
      <w:r w:rsidR="00C73372">
        <w:rPr>
          <w:kern w:val="14"/>
          <w:lang w:val="fr-FR" w:eastAsia="ja-JP"/>
        </w:rPr>
        <w:t>’</w:t>
      </w:r>
      <w:r w:rsidR="00AA3EE4" w:rsidRPr="00157DEB">
        <w:rPr>
          <w:kern w:val="14"/>
          <w:lang w:val="fr-FR" w:eastAsia="ja-JP"/>
        </w:rPr>
        <w:t>encourager et de faciliter la mise en place d</w:t>
      </w:r>
      <w:r w:rsidR="00C73372">
        <w:rPr>
          <w:kern w:val="14"/>
          <w:lang w:val="fr-FR" w:eastAsia="ja-JP"/>
        </w:rPr>
        <w:t>’</w:t>
      </w:r>
      <w:r w:rsidR="00AA3EE4" w:rsidRPr="00157DEB">
        <w:rPr>
          <w:kern w:val="14"/>
          <w:lang w:val="fr-FR" w:eastAsia="ja-JP"/>
        </w:rPr>
        <w:t>activités de renforcement des capacités en vue de satisfaire les besoins des peuples autochtones et des communautés locale</w:t>
      </w:r>
      <w:r w:rsidR="00E96773">
        <w:rPr>
          <w:kern w:val="14"/>
          <w:lang w:val="fr-FR" w:eastAsia="ja-JP"/>
        </w:rPr>
        <w:t>s, s</w:t>
      </w:r>
      <w:r w:rsidR="00C73372">
        <w:rPr>
          <w:kern w:val="14"/>
          <w:lang w:val="fr-FR" w:eastAsia="ja-JP"/>
        </w:rPr>
        <w:t>’</w:t>
      </w:r>
      <w:r w:rsidR="00E96773">
        <w:rPr>
          <w:kern w:val="14"/>
          <w:lang w:val="fr-FR" w:eastAsia="ja-JP"/>
        </w:rPr>
        <w:t>agissant</w:t>
      </w:r>
      <w:r w:rsidR="00AA3EE4" w:rsidRPr="00157DEB">
        <w:rPr>
          <w:kern w:val="14"/>
          <w:lang w:val="fr-FR" w:eastAsia="ja-JP"/>
        </w:rPr>
        <w:t xml:space="preserve"> de leur engagement au sein de la Plateforme</w:t>
      </w:r>
      <w:r w:rsidR="00061E26" w:rsidRPr="00157DEB">
        <w:rPr>
          <w:kern w:val="14"/>
          <w:lang w:val="fr-FR" w:eastAsia="ja-JP"/>
        </w:rPr>
        <w:t xml:space="preserve">; </w:t>
      </w:r>
      <w:r w:rsidR="00AA3EE4" w:rsidRPr="00157DEB">
        <w:rPr>
          <w:kern w:val="14"/>
          <w:lang w:val="fr-FR" w:eastAsia="ja-JP"/>
        </w:rPr>
        <w:t>et d</w:t>
      </w:r>
      <w:r w:rsidR="00C73372">
        <w:rPr>
          <w:kern w:val="14"/>
          <w:lang w:val="fr-FR" w:eastAsia="ja-JP"/>
        </w:rPr>
        <w:t>’</w:t>
      </w:r>
      <w:r w:rsidR="00AA3EE4" w:rsidRPr="00157DEB">
        <w:rPr>
          <w:kern w:val="14"/>
          <w:lang w:val="fr-FR" w:eastAsia="ja-JP"/>
        </w:rPr>
        <w:t>élaborer et de mettre totalement en place le mécanisme participatif permettant de renforcer l</w:t>
      </w:r>
      <w:r w:rsidR="00C73372">
        <w:rPr>
          <w:kern w:val="14"/>
          <w:lang w:val="fr-FR" w:eastAsia="ja-JP"/>
        </w:rPr>
        <w:t>’</w:t>
      </w:r>
      <w:r w:rsidR="00AA3EE4" w:rsidRPr="00157DEB">
        <w:rPr>
          <w:kern w:val="14"/>
          <w:lang w:val="fr-FR" w:eastAsia="ja-JP"/>
        </w:rPr>
        <w:t>aptitude des peuples autochtones et des populations locales à prendre part aux quatre fonctions de la Plateforme</w:t>
      </w:r>
      <w:r w:rsidR="00673B87" w:rsidRPr="00157DEB">
        <w:rPr>
          <w:kern w:val="14"/>
          <w:lang w:val="fr-FR" w:eastAsia="ja-JP"/>
        </w:rPr>
        <w:t>.</w:t>
      </w:r>
    </w:p>
    <w:p w14:paraId="575F8638" w14:textId="65959E7C" w:rsidR="00BF69BE" w:rsidRPr="00157DEB" w:rsidRDefault="0021073A" w:rsidP="00413849">
      <w:pPr>
        <w:pStyle w:val="Normalnumber"/>
        <w:rPr>
          <w:kern w:val="14"/>
          <w:lang w:val="fr-FR" w:eastAsia="ja-JP"/>
        </w:rPr>
      </w:pPr>
      <w:r w:rsidRPr="00157DEB">
        <w:rPr>
          <w:kern w:val="14"/>
          <w:lang w:val="fr-FR" w:eastAsia="ja-JP"/>
        </w:rPr>
        <w:t>Les observations recueillies dans le cadre de l</w:t>
      </w:r>
      <w:r w:rsidR="00C73372">
        <w:rPr>
          <w:kern w:val="14"/>
          <w:lang w:val="fr-FR" w:eastAsia="ja-JP"/>
        </w:rPr>
        <w:t>’</w:t>
      </w:r>
      <w:r w:rsidRPr="00157DEB">
        <w:rPr>
          <w:kern w:val="14"/>
          <w:lang w:val="fr-FR" w:eastAsia="ja-JP"/>
        </w:rPr>
        <w:t>examen interne ont souligné qu</w:t>
      </w:r>
      <w:r w:rsidR="00C73372">
        <w:rPr>
          <w:kern w:val="14"/>
          <w:lang w:val="fr-FR" w:eastAsia="ja-JP"/>
        </w:rPr>
        <w:t>’</w:t>
      </w:r>
      <w:r w:rsidRPr="00157DEB">
        <w:rPr>
          <w:kern w:val="14"/>
          <w:lang w:val="fr-FR" w:eastAsia="ja-JP"/>
        </w:rPr>
        <w:t>il fallait offrir aux partenaires plus de possibilité de participer aux activités de la Plateforme et de renforcer ses capacités, tout en veillant à ce que les activités de renforcement des capacités s</w:t>
      </w:r>
      <w:r w:rsidR="00C73372">
        <w:rPr>
          <w:kern w:val="14"/>
          <w:lang w:val="fr-FR" w:eastAsia="ja-JP"/>
        </w:rPr>
        <w:t>’</w:t>
      </w:r>
      <w:r w:rsidRPr="00157DEB">
        <w:rPr>
          <w:kern w:val="14"/>
          <w:lang w:val="fr-FR" w:eastAsia="ja-JP"/>
        </w:rPr>
        <w:t>intègrent davantage dans les autres composantes d</w:t>
      </w:r>
      <w:r w:rsidR="00C73372">
        <w:rPr>
          <w:kern w:val="14"/>
          <w:lang w:val="fr-FR" w:eastAsia="ja-JP"/>
        </w:rPr>
        <w:t>’</w:t>
      </w:r>
      <w:r w:rsidRPr="00157DEB">
        <w:rPr>
          <w:kern w:val="14"/>
          <w:lang w:val="fr-FR" w:eastAsia="ja-JP"/>
        </w:rPr>
        <w:t>un future programme de travail</w:t>
      </w:r>
      <w:r w:rsidR="00F53652" w:rsidRPr="00157DEB">
        <w:rPr>
          <w:kern w:val="14"/>
          <w:lang w:val="fr-FR" w:eastAsia="ja-JP"/>
        </w:rPr>
        <w:t xml:space="preserve"> (IPBES/</w:t>
      </w:r>
      <w:r w:rsidR="00061E26" w:rsidRPr="00157DEB">
        <w:rPr>
          <w:kern w:val="14"/>
          <w:lang w:val="fr-FR" w:eastAsia="ja-JP"/>
        </w:rPr>
        <w:t>6/</w:t>
      </w:r>
      <w:r w:rsidR="00F53652" w:rsidRPr="00157DEB">
        <w:rPr>
          <w:kern w:val="14"/>
          <w:lang w:val="fr-FR" w:eastAsia="ja-JP"/>
        </w:rPr>
        <w:t>INF/32)</w:t>
      </w:r>
      <w:r w:rsidR="00BF69BE" w:rsidRPr="00157DEB">
        <w:rPr>
          <w:kern w:val="14"/>
          <w:lang w:val="fr-FR" w:eastAsia="ja-JP"/>
        </w:rPr>
        <w:t>.</w:t>
      </w:r>
    </w:p>
    <w:p w14:paraId="5C84E4A9" w14:textId="706FC661" w:rsidR="00F53652" w:rsidRPr="00157DEB" w:rsidRDefault="008B7ADA" w:rsidP="008B7ADA">
      <w:pPr>
        <w:pStyle w:val="Normalnumber"/>
        <w:rPr>
          <w:kern w:val="14"/>
          <w:lang w:val="fr-FR" w:eastAsia="ja-JP"/>
        </w:rPr>
      </w:pPr>
      <w:r w:rsidRPr="00157DEB">
        <w:rPr>
          <w:kern w:val="14"/>
          <w:lang w:val="fr-FR" w:eastAsia="ja-JP"/>
        </w:rPr>
        <w:t>Lors de sa cinquième session, la Plénière a approuvé le plan glissant de renforcement des capacités qui figure à l</w:t>
      </w:r>
      <w:r w:rsidR="00C73372">
        <w:rPr>
          <w:kern w:val="14"/>
          <w:lang w:val="fr-FR" w:eastAsia="ja-JP"/>
        </w:rPr>
        <w:t>’</w:t>
      </w:r>
      <w:r w:rsidRPr="00157DEB">
        <w:rPr>
          <w:kern w:val="14"/>
          <w:lang w:val="fr-FR" w:eastAsia="ja-JP"/>
        </w:rPr>
        <w:t>Annexe I de la décision</w:t>
      </w:r>
      <w:r w:rsidR="00F53652" w:rsidRPr="00157DEB">
        <w:rPr>
          <w:kern w:val="14"/>
          <w:lang w:val="fr-FR" w:eastAsia="ja-JP"/>
        </w:rPr>
        <w:t xml:space="preserve"> IPBES-5/1, </w:t>
      </w:r>
      <w:r w:rsidRPr="00157DEB">
        <w:rPr>
          <w:kern w:val="14"/>
          <w:lang w:val="fr-FR" w:eastAsia="ja-JP"/>
        </w:rPr>
        <w:t>et présente trois stratégies : amélioration de l</w:t>
      </w:r>
      <w:r w:rsidR="00C73372">
        <w:rPr>
          <w:kern w:val="14"/>
          <w:lang w:val="fr-FR" w:eastAsia="ja-JP"/>
        </w:rPr>
        <w:t>’</w:t>
      </w:r>
      <w:r w:rsidR="00E96773">
        <w:rPr>
          <w:kern w:val="14"/>
          <w:lang w:val="fr-FR" w:eastAsia="ja-JP"/>
        </w:rPr>
        <w:t>apprentissage et de la participation</w:t>
      </w:r>
      <w:r w:rsidRPr="00157DEB">
        <w:rPr>
          <w:kern w:val="14"/>
          <w:lang w:val="fr-FR" w:eastAsia="ja-JP"/>
        </w:rPr>
        <w:t>, facilitation de l</w:t>
      </w:r>
      <w:r w:rsidR="00C73372">
        <w:rPr>
          <w:kern w:val="14"/>
          <w:lang w:val="fr-FR" w:eastAsia="ja-JP"/>
        </w:rPr>
        <w:t>’</w:t>
      </w:r>
      <w:r w:rsidRPr="00157DEB">
        <w:rPr>
          <w:kern w:val="14"/>
          <w:lang w:val="fr-FR" w:eastAsia="ja-JP"/>
        </w:rPr>
        <w:t>accès aux connaissances</w:t>
      </w:r>
      <w:r w:rsidR="00E96773">
        <w:rPr>
          <w:kern w:val="14"/>
          <w:lang w:val="fr-FR" w:eastAsia="ja-JP"/>
        </w:rPr>
        <w:t xml:space="preserve"> spécialisées et à l</w:t>
      </w:r>
      <w:r w:rsidR="00C73372">
        <w:rPr>
          <w:kern w:val="14"/>
          <w:lang w:val="fr-FR" w:eastAsia="ja-JP"/>
        </w:rPr>
        <w:t>’</w:t>
      </w:r>
      <w:r w:rsidRPr="00157DEB">
        <w:rPr>
          <w:kern w:val="14"/>
          <w:lang w:val="fr-FR" w:eastAsia="ja-JP"/>
        </w:rPr>
        <w:t xml:space="preserve">information, et renforcement des capacités </w:t>
      </w:r>
      <w:r w:rsidR="00E96773">
        <w:rPr>
          <w:kern w:val="14"/>
          <w:lang w:val="fr-FR" w:eastAsia="ja-JP"/>
        </w:rPr>
        <w:t xml:space="preserve">aux niveaux </w:t>
      </w:r>
      <w:r w:rsidRPr="00157DEB">
        <w:rPr>
          <w:kern w:val="14"/>
          <w:lang w:val="fr-FR" w:eastAsia="ja-JP"/>
        </w:rPr>
        <w:t>national</w:t>
      </w:r>
      <w:r w:rsidR="00E96773">
        <w:rPr>
          <w:kern w:val="14"/>
          <w:lang w:val="fr-FR" w:eastAsia="ja-JP"/>
        </w:rPr>
        <w:t xml:space="preserve"> et régional</w:t>
      </w:r>
      <w:r w:rsidR="00F53652" w:rsidRPr="00157DEB">
        <w:rPr>
          <w:kern w:val="14"/>
          <w:lang w:val="fr-FR" w:eastAsia="ja-JP"/>
        </w:rPr>
        <w:t>.</w:t>
      </w:r>
      <w:r w:rsidR="00093108" w:rsidRPr="00157DEB">
        <w:rPr>
          <w:kern w:val="14"/>
          <w:lang w:val="fr-FR" w:eastAsia="ja-JP"/>
        </w:rPr>
        <w:t xml:space="preserve"> </w:t>
      </w:r>
    </w:p>
    <w:p w14:paraId="3AB4EE11" w14:textId="5658A0D9" w:rsidR="00093108" w:rsidRPr="00157DEB" w:rsidRDefault="008B7ADA" w:rsidP="00FB0BDB">
      <w:pPr>
        <w:pStyle w:val="Normalnumber"/>
        <w:keepNext/>
        <w:keepLines/>
        <w:rPr>
          <w:kern w:val="14"/>
          <w:lang w:val="fr-FR" w:eastAsia="ja-JP"/>
        </w:rPr>
      </w:pPr>
      <w:r w:rsidRPr="00157DEB">
        <w:rPr>
          <w:b/>
          <w:kern w:val="14"/>
          <w:lang w:val="fr-FR" w:eastAsia="ja-JP"/>
        </w:rPr>
        <w:lastRenderedPageBreak/>
        <w:t xml:space="preserve">Les activités de renforcement des capacités pourraient continuer à être menées </w:t>
      </w:r>
      <w:r w:rsidRPr="00157DEB">
        <w:rPr>
          <w:kern w:val="14"/>
          <w:lang w:val="fr-FR" w:eastAsia="ja-JP"/>
        </w:rPr>
        <w:t xml:space="preserve">dans le cadre du deuxième programme de travail, </w:t>
      </w:r>
      <w:r w:rsidRPr="00157DEB">
        <w:rPr>
          <w:b/>
          <w:kern w:val="14"/>
          <w:lang w:val="fr-FR" w:eastAsia="ja-JP"/>
        </w:rPr>
        <w:t xml:space="preserve">conformément au plan glissant approuvé par la Plénière dans sa décision </w:t>
      </w:r>
      <w:r w:rsidR="00093108" w:rsidRPr="00157DEB">
        <w:rPr>
          <w:b/>
          <w:kern w:val="14"/>
          <w:lang w:val="fr-FR" w:eastAsia="ja-JP"/>
        </w:rPr>
        <w:t xml:space="preserve">IPBES-5/1. </w:t>
      </w:r>
      <w:r w:rsidRPr="00157DEB">
        <w:rPr>
          <w:b/>
          <w:kern w:val="14"/>
          <w:lang w:val="fr-FR" w:eastAsia="ja-JP"/>
        </w:rPr>
        <w:t>Le plan pourrait être passé en revue et examiné régulièrement, comme le permet sa nature “glissante”</w:t>
      </w:r>
      <w:r w:rsidR="00093108" w:rsidRPr="00157DEB">
        <w:rPr>
          <w:kern w:val="14"/>
          <w:lang w:val="fr-FR" w:eastAsia="ja-JP"/>
        </w:rPr>
        <w:t>.</w:t>
      </w:r>
    </w:p>
    <w:p w14:paraId="47F6E569" w14:textId="6D899143" w:rsidR="00CE6210" w:rsidRPr="00157DEB" w:rsidRDefault="00F11C83" w:rsidP="003503B8">
      <w:pPr>
        <w:pStyle w:val="CH1"/>
        <w:rPr>
          <w:rFonts w:eastAsiaTheme="majorEastAsia"/>
          <w:lang w:val="fr-FR"/>
        </w:rPr>
      </w:pPr>
      <w:r w:rsidRPr="00157DEB">
        <w:rPr>
          <w:rFonts w:eastAsiaTheme="majorEastAsia"/>
          <w:lang w:val="fr-FR"/>
        </w:rPr>
        <w:tab/>
        <w:t>IV.</w:t>
      </w:r>
      <w:r w:rsidRPr="00157DEB">
        <w:rPr>
          <w:rFonts w:eastAsiaTheme="majorEastAsia"/>
          <w:lang w:val="fr-FR"/>
        </w:rPr>
        <w:tab/>
      </w:r>
      <w:r w:rsidR="00EB0E3E" w:rsidRPr="00157DEB">
        <w:rPr>
          <w:rFonts w:eastAsiaTheme="majorEastAsia"/>
          <w:lang w:val="fr-FR"/>
        </w:rPr>
        <w:t>Dispositifs institutionnels</w:t>
      </w:r>
    </w:p>
    <w:p w14:paraId="5832A579" w14:textId="6A40A403" w:rsidR="00CE6210" w:rsidRPr="00157DEB" w:rsidRDefault="00F11C83" w:rsidP="00215A93">
      <w:pPr>
        <w:pStyle w:val="CH2"/>
        <w:tabs>
          <w:tab w:val="clear" w:pos="624"/>
          <w:tab w:val="left" w:pos="4082"/>
        </w:tabs>
        <w:spacing w:before="80"/>
        <w:ind w:left="1247" w:hanging="1247"/>
        <w:rPr>
          <w:rFonts w:eastAsia="Times New Roman"/>
          <w:lang w:val="fr-FR"/>
        </w:rPr>
      </w:pPr>
      <w:bookmarkStart w:id="2" w:name="_Toc491886653"/>
      <w:bookmarkStart w:id="3" w:name="_Toc495507341"/>
      <w:r w:rsidRPr="00157DEB">
        <w:rPr>
          <w:rFonts w:eastAsia="Times New Roman"/>
          <w:lang w:val="fr-FR" w:eastAsia="en-US"/>
        </w:rPr>
        <w:tab/>
        <w:t>A.</w:t>
      </w:r>
      <w:r w:rsidRPr="00157DEB">
        <w:rPr>
          <w:rFonts w:eastAsia="Times New Roman"/>
          <w:lang w:val="fr-FR" w:eastAsia="en-US"/>
        </w:rPr>
        <w:tab/>
      </w:r>
      <w:r w:rsidR="00CE6210" w:rsidRPr="00157DEB">
        <w:rPr>
          <w:rFonts w:eastAsia="Times New Roman"/>
          <w:lang w:val="fr-FR" w:eastAsia="en-US"/>
        </w:rPr>
        <w:t xml:space="preserve">Sessions </w:t>
      </w:r>
      <w:r w:rsidR="008B7ADA" w:rsidRPr="00157DEB">
        <w:rPr>
          <w:rFonts w:eastAsia="Times New Roman"/>
          <w:lang w:val="fr-FR" w:eastAsia="en-US"/>
        </w:rPr>
        <w:t>de la Pléniè</w:t>
      </w:r>
      <w:r w:rsidR="00CE6210" w:rsidRPr="00157DEB">
        <w:rPr>
          <w:rFonts w:eastAsia="Times New Roman"/>
          <w:lang w:val="fr-FR" w:eastAsia="en-US"/>
        </w:rPr>
        <w:t>r</w:t>
      </w:r>
      <w:r w:rsidR="008B7ADA" w:rsidRPr="00157DEB">
        <w:rPr>
          <w:rFonts w:eastAsia="Times New Roman"/>
          <w:lang w:val="fr-FR" w:eastAsia="en-US"/>
        </w:rPr>
        <w:t>e</w:t>
      </w:r>
      <w:bookmarkEnd w:id="2"/>
      <w:bookmarkEnd w:id="3"/>
    </w:p>
    <w:p w14:paraId="72B2BCC2" w14:textId="3D2B67F8" w:rsidR="003F1FA7" w:rsidRPr="00157DEB" w:rsidRDefault="008B7ADA" w:rsidP="00413849">
      <w:pPr>
        <w:pStyle w:val="Normalnumber"/>
        <w:rPr>
          <w:kern w:val="14"/>
          <w:lang w:val="fr-FR" w:eastAsia="ja-JP"/>
        </w:rPr>
      </w:pPr>
      <w:r w:rsidRPr="00157DEB">
        <w:rPr>
          <w:kern w:val="14"/>
          <w:lang w:val="fr-FR" w:eastAsia="ja-JP"/>
        </w:rPr>
        <w:t>Il est prévu que la Plénière continue de se réunir à raison d</w:t>
      </w:r>
      <w:r w:rsidR="00C73372">
        <w:rPr>
          <w:kern w:val="14"/>
          <w:lang w:val="fr-FR" w:eastAsia="ja-JP"/>
        </w:rPr>
        <w:t>’</w:t>
      </w:r>
      <w:r w:rsidRPr="00157DEB">
        <w:rPr>
          <w:kern w:val="14"/>
          <w:lang w:val="fr-FR" w:eastAsia="ja-JP"/>
        </w:rPr>
        <w:t>une session par an, mais elle pourra également envisager d</w:t>
      </w:r>
      <w:r w:rsidR="00C73372">
        <w:rPr>
          <w:kern w:val="14"/>
          <w:lang w:val="fr-FR" w:eastAsia="ja-JP"/>
        </w:rPr>
        <w:t>’</w:t>
      </w:r>
      <w:r w:rsidRPr="00157DEB">
        <w:rPr>
          <w:kern w:val="14"/>
          <w:lang w:val="fr-FR" w:eastAsia="ja-JP"/>
        </w:rPr>
        <w:t>autres possibilités</w:t>
      </w:r>
      <w:r w:rsidR="00FE4575" w:rsidRPr="00157DEB">
        <w:rPr>
          <w:kern w:val="14"/>
          <w:lang w:val="fr-FR" w:eastAsia="ja-JP"/>
        </w:rPr>
        <w:t xml:space="preserve">. </w:t>
      </w:r>
    </w:p>
    <w:p w14:paraId="2D40AE68" w14:textId="15BA9ECA" w:rsidR="00F86598" w:rsidRPr="00157DEB" w:rsidRDefault="008B7ADA" w:rsidP="008B7ADA">
      <w:pPr>
        <w:pStyle w:val="Normalnumber"/>
        <w:rPr>
          <w:kern w:val="14"/>
          <w:lang w:val="fr-FR" w:eastAsia="ja-JP"/>
        </w:rPr>
      </w:pPr>
      <w:r w:rsidRPr="00157DEB">
        <w:rPr>
          <w:kern w:val="14"/>
          <w:lang w:val="fr-FR" w:eastAsia="ja-JP"/>
        </w:rPr>
        <w:t>Comme indiqué précédemment, une solution pour renforcer les interactions avec les gouvernements et les autres parties prenantes consisterait à tenir des consultations informelles, à divers moments au cours de la période couverte par le deuxième programme de travail</w:t>
      </w:r>
      <w:r w:rsidR="00AD5569" w:rsidRPr="00157DEB">
        <w:rPr>
          <w:kern w:val="14"/>
          <w:lang w:val="fr-FR" w:eastAsia="ja-JP"/>
        </w:rPr>
        <w:t>, auxquelles pourraient participer les gouvernements et d</w:t>
      </w:r>
      <w:r w:rsidR="00C73372">
        <w:rPr>
          <w:kern w:val="14"/>
          <w:lang w:val="fr-FR" w:eastAsia="ja-JP"/>
        </w:rPr>
        <w:t>’</w:t>
      </w:r>
      <w:r w:rsidR="00AD5569" w:rsidRPr="00157DEB">
        <w:rPr>
          <w:kern w:val="14"/>
          <w:lang w:val="fr-FR" w:eastAsia="ja-JP"/>
        </w:rPr>
        <w:t>autres décideurs, des praticiens et d</w:t>
      </w:r>
      <w:r w:rsidR="00C73372">
        <w:rPr>
          <w:kern w:val="14"/>
          <w:lang w:val="fr-FR" w:eastAsia="ja-JP"/>
        </w:rPr>
        <w:t>’</w:t>
      </w:r>
      <w:r w:rsidR="00AD5569" w:rsidRPr="00157DEB">
        <w:rPr>
          <w:kern w:val="14"/>
          <w:lang w:val="fr-FR" w:eastAsia="ja-JP"/>
        </w:rPr>
        <w:t>autres parties prenantes, la communauté scientifique et les organisations partenaires. Durant ces consultations, il serait possible, par exemple, d</w:t>
      </w:r>
      <w:r w:rsidR="00C73372">
        <w:rPr>
          <w:kern w:val="14"/>
          <w:lang w:val="fr-FR" w:eastAsia="ja-JP"/>
        </w:rPr>
        <w:t>’</w:t>
      </w:r>
      <w:r w:rsidR="00AD5569" w:rsidRPr="00157DEB">
        <w:rPr>
          <w:kern w:val="14"/>
          <w:lang w:val="fr-FR" w:eastAsia="ja-JP"/>
        </w:rPr>
        <w:t>encourager des échanges de vues et des discussions techniques concernant le choix des demandes qui seraient présentées à la Plénière ; d</w:t>
      </w:r>
      <w:r w:rsidR="00C73372">
        <w:rPr>
          <w:kern w:val="14"/>
          <w:lang w:val="fr-FR" w:eastAsia="ja-JP"/>
        </w:rPr>
        <w:t>’</w:t>
      </w:r>
      <w:r w:rsidR="00AD5569" w:rsidRPr="00157DEB">
        <w:rPr>
          <w:kern w:val="14"/>
          <w:lang w:val="fr-FR" w:eastAsia="ja-JP"/>
        </w:rPr>
        <w:t>élaborer de</w:t>
      </w:r>
      <w:r w:rsidR="004A174D" w:rsidRPr="00157DEB">
        <w:rPr>
          <w:kern w:val="14"/>
          <w:lang w:val="fr-FR" w:eastAsia="ja-JP"/>
        </w:rPr>
        <w:t>s</w:t>
      </w:r>
      <w:r w:rsidR="00AD5569" w:rsidRPr="00157DEB">
        <w:rPr>
          <w:kern w:val="14"/>
          <w:lang w:val="fr-FR" w:eastAsia="ja-JP"/>
        </w:rPr>
        <w:t xml:space="preserve"> </w:t>
      </w:r>
      <w:r w:rsidR="00277CE6" w:rsidRPr="00157DEB">
        <w:rPr>
          <w:kern w:val="14"/>
          <w:lang w:val="fr-FR" w:eastAsia="ja-JP"/>
        </w:rPr>
        <w:t>documents</w:t>
      </w:r>
      <w:r w:rsidRPr="00157DEB">
        <w:rPr>
          <w:kern w:val="14"/>
          <w:lang w:val="fr-FR" w:eastAsia="ja-JP"/>
        </w:rPr>
        <w:t xml:space="preserve"> de cadrage</w:t>
      </w:r>
      <w:r w:rsidR="00AD5569" w:rsidRPr="00157DEB">
        <w:rPr>
          <w:kern w:val="14"/>
          <w:lang w:val="fr-FR" w:eastAsia="ja-JP"/>
        </w:rPr>
        <w:t> ; d</w:t>
      </w:r>
      <w:r w:rsidR="00C73372">
        <w:rPr>
          <w:kern w:val="14"/>
          <w:lang w:val="fr-FR" w:eastAsia="ja-JP"/>
        </w:rPr>
        <w:t>’</w:t>
      </w:r>
      <w:r w:rsidR="00AD5569" w:rsidRPr="00157DEB">
        <w:rPr>
          <w:kern w:val="14"/>
          <w:lang w:val="fr-FR" w:eastAsia="ja-JP"/>
        </w:rPr>
        <w:t>instaurer un dialogue au sujet des projets d</w:t>
      </w:r>
      <w:r w:rsidR="00C73372">
        <w:rPr>
          <w:kern w:val="14"/>
          <w:lang w:val="fr-FR" w:eastAsia="ja-JP"/>
        </w:rPr>
        <w:t>’</w:t>
      </w:r>
      <w:r w:rsidR="00AD5569" w:rsidRPr="00157DEB">
        <w:rPr>
          <w:kern w:val="14"/>
          <w:lang w:val="fr-FR" w:eastAsia="ja-JP"/>
        </w:rPr>
        <w:t>évaluation afin de renforcer les modalités d</w:t>
      </w:r>
      <w:r w:rsidR="00C73372">
        <w:rPr>
          <w:kern w:val="14"/>
          <w:lang w:val="fr-FR" w:eastAsia="ja-JP"/>
        </w:rPr>
        <w:t>’</w:t>
      </w:r>
      <w:r w:rsidR="00AD5569" w:rsidRPr="00157DEB">
        <w:rPr>
          <w:kern w:val="14"/>
          <w:lang w:val="fr-FR" w:eastAsia="ja-JP"/>
        </w:rPr>
        <w:t>envoi de commentaires ; ou de fournir des contributions sur d</w:t>
      </w:r>
      <w:r w:rsidR="00C73372">
        <w:rPr>
          <w:kern w:val="14"/>
          <w:lang w:val="fr-FR" w:eastAsia="ja-JP"/>
        </w:rPr>
        <w:t>’</w:t>
      </w:r>
      <w:r w:rsidR="00AD5569" w:rsidRPr="00157DEB">
        <w:rPr>
          <w:kern w:val="14"/>
          <w:lang w:val="fr-FR" w:eastAsia="ja-JP"/>
        </w:rPr>
        <w:t>autres aspects du programme de travail, tel que les outils d</w:t>
      </w:r>
      <w:r w:rsidR="00C73372">
        <w:rPr>
          <w:kern w:val="14"/>
          <w:lang w:val="fr-FR" w:eastAsia="ja-JP"/>
        </w:rPr>
        <w:t>’</w:t>
      </w:r>
      <w:r w:rsidR="00AD5569" w:rsidRPr="00157DEB">
        <w:rPr>
          <w:kern w:val="14"/>
          <w:lang w:val="fr-FR" w:eastAsia="ja-JP"/>
        </w:rPr>
        <w:t>appui aux politiques utilisant une plateforme web</w:t>
      </w:r>
      <w:r w:rsidR="00AF2FC1" w:rsidRPr="00157DEB">
        <w:rPr>
          <w:kern w:val="14"/>
          <w:lang w:val="fr-FR" w:eastAsia="ja-JP"/>
        </w:rPr>
        <w:t xml:space="preserve">. </w:t>
      </w:r>
      <w:r w:rsidR="00AD5569" w:rsidRPr="00157DEB">
        <w:rPr>
          <w:b/>
          <w:kern w:val="14"/>
          <w:lang w:val="fr-FR" w:eastAsia="ja-JP"/>
        </w:rPr>
        <w:t>Les</w:t>
      </w:r>
      <w:r w:rsidR="002478FD" w:rsidRPr="00157DEB">
        <w:rPr>
          <w:b/>
          <w:kern w:val="14"/>
          <w:lang w:val="fr-FR" w:eastAsia="ja-JP"/>
        </w:rPr>
        <w:t xml:space="preserve"> consultations </w:t>
      </w:r>
      <w:r w:rsidR="00AD5569" w:rsidRPr="00157DEB">
        <w:rPr>
          <w:b/>
          <w:kern w:val="14"/>
          <w:lang w:val="fr-FR" w:eastAsia="ja-JP"/>
        </w:rPr>
        <w:t>pourraient être organisées au niveau régional, lors de réunions d</w:t>
      </w:r>
      <w:r w:rsidR="00C73372">
        <w:rPr>
          <w:b/>
          <w:kern w:val="14"/>
          <w:lang w:val="fr-FR" w:eastAsia="ja-JP"/>
        </w:rPr>
        <w:t>’</w:t>
      </w:r>
      <w:r w:rsidR="00AD5569" w:rsidRPr="00157DEB">
        <w:rPr>
          <w:b/>
          <w:kern w:val="14"/>
          <w:lang w:val="fr-FR" w:eastAsia="ja-JP"/>
        </w:rPr>
        <w:t>un jour ou de deux jours couplées avec une séance de la Plénière, ou bien si cela est envisageable, en substitution à une séance annuelle de la Plénière</w:t>
      </w:r>
      <w:r w:rsidR="002478FD" w:rsidRPr="00157DEB">
        <w:rPr>
          <w:b/>
          <w:kern w:val="14"/>
          <w:lang w:val="fr-FR" w:eastAsia="ja-JP"/>
        </w:rPr>
        <w:t>.</w:t>
      </w:r>
      <w:r w:rsidR="002478FD" w:rsidRPr="00157DEB">
        <w:rPr>
          <w:kern w:val="14"/>
          <w:lang w:val="fr-FR" w:eastAsia="ja-JP"/>
        </w:rPr>
        <w:t xml:space="preserve"> </w:t>
      </w:r>
    </w:p>
    <w:p w14:paraId="469D10E7" w14:textId="1466BCD8" w:rsidR="00CE6210" w:rsidRPr="00157DEB" w:rsidRDefault="00F11C83" w:rsidP="00215A93">
      <w:pPr>
        <w:pStyle w:val="CH2"/>
        <w:tabs>
          <w:tab w:val="clear" w:pos="624"/>
          <w:tab w:val="left" w:pos="4082"/>
        </w:tabs>
        <w:spacing w:before="80"/>
        <w:ind w:left="1247" w:hanging="1247"/>
        <w:rPr>
          <w:rFonts w:eastAsia="Times New Roman"/>
          <w:lang w:val="fr-FR"/>
        </w:rPr>
      </w:pPr>
      <w:bookmarkStart w:id="4" w:name="_Toc491886655"/>
      <w:bookmarkStart w:id="5" w:name="_Toc495507343"/>
      <w:r w:rsidRPr="00157DEB">
        <w:rPr>
          <w:rFonts w:eastAsia="Times New Roman"/>
          <w:lang w:val="fr-FR" w:eastAsia="en-US"/>
        </w:rPr>
        <w:tab/>
        <w:t>B.</w:t>
      </w:r>
      <w:r w:rsidRPr="00157DEB">
        <w:rPr>
          <w:rFonts w:eastAsia="Times New Roman"/>
          <w:lang w:val="fr-FR" w:eastAsia="en-US"/>
        </w:rPr>
        <w:tab/>
      </w:r>
      <w:r w:rsidR="00AD5569" w:rsidRPr="00157DEB">
        <w:rPr>
          <w:rFonts w:eastAsia="Times New Roman"/>
          <w:lang w:val="fr-FR" w:eastAsia="en-US"/>
        </w:rPr>
        <w:t>Groupes d</w:t>
      </w:r>
      <w:r w:rsidR="00C73372">
        <w:rPr>
          <w:rFonts w:eastAsia="Times New Roman"/>
          <w:lang w:val="fr-FR" w:eastAsia="en-US"/>
        </w:rPr>
        <w:t>’</w:t>
      </w:r>
      <w:r w:rsidR="00AD5569" w:rsidRPr="00157DEB">
        <w:rPr>
          <w:rFonts w:eastAsia="Times New Roman"/>
          <w:lang w:val="fr-FR" w:eastAsia="en-US"/>
        </w:rPr>
        <w:t>experts et équipes spéciales</w:t>
      </w:r>
      <w:bookmarkEnd w:id="4"/>
      <w:bookmarkEnd w:id="5"/>
    </w:p>
    <w:p w14:paraId="6C3F5557" w14:textId="51E3CAAF" w:rsidR="000224B4" w:rsidRPr="00157DEB" w:rsidRDefault="000224B4" w:rsidP="00413849">
      <w:pPr>
        <w:pStyle w:val="Normalnumber"/>
        <w:rPr>
          <w:kern w:val="14"/>
          <w:lang w:val="fr-FR" w:eastAsia="ja-JP"/>
        </w:rPr>
      </w:pPr>
      <w:r w:rsidRPr="00157DEB">
        <w:rPr>
          <w:kern w:val="14"/>
          <w:lang w:val="fr-FR" w:eastAsia="ja-JP"/>
        </w:rPr>
        <w:t>I</w:t>
      </w:r>
      <w:r w:rsidR="00AD5569" w:rsidRPr="00157DEB">
        <w:rPr>
          <w:kern w:val="14"/>
          <w:lang w:val="fr-FR" w:eastAsia="ja-JP"/>
        </w:rPr>
        <w:t xml:space="preserve">l est prévu que les </w:t>
      </w:r>
      <w:r w:rsidR="00AD5569" w:rsidRPr="00157DEB">
        <w:rPr>
          <w:b/>
          <w:kern w:val="14"/>
          <w:lang w:val="fr-FR" w:eastAsia="ja-JP"/>
        </w:rPr>
        <w:t>groupes d</w:t>
      </w:r>
      <w:r w:rsidR="00C73372">
        <w:rPr>
          <w:b/>
          <w:kern w:val="14"/>
          <w:lang w:val="fr-FR" w:eastAsia="ja-JP"/>
        </w:rPr>
        <w:t>’</w:t>
      </w:r>
      <w:r w:rsidR="00AD5569" w:rsidRPr="00157DEB">
        <w:rPr>
          <w:b/>
          <w:kern w:val="14"/>
          <w:lang w:val="fr-FR" w:eastAsia="ja-JP"/>
        </w:rPr>
        <w:t>experts et les équipes spéciales conti</w:t>
      </w:r>
      <w:r w:rsidR="004A174D" w:rsidRPr="00157DEB">
        <w:rPr>
          <w:b/>
          <w:kern w:val="14"/>
          <w:lang w:val="fr-FR" w:eastAsia="ja-JP"/>
        </w:rPr>
        <w:t>n</w:t>
      </w:r>
      <w:r w:rsidR="00AD5569" w:rsidRPr="00157DEB">
        <w:rPr>
          <w:b/>
          <w:kern w:val="14"/>
          <w:lang w:val="fr-FR" w:eastAsia="ja-JP"/>
        </w:rPr>
        <w:t>uent d</w:t>
      </w:r>
      <w:r w:rsidR="00C73372">
        <w:rPr>
          <w:b/>
          <w:kern w:val="14"/>
          <w:lang w:val="fr-FR" w:eastAsia="ja-JP"/>
        </w:rPr>
        <w:t>’</w:t>
      </w:r>
      <w:r w:rsidR="00AD5569" w:rsidRPr="00157DEB">
        <w:rPr>
          <w:b/>
          <w:kern w:val="14"/>
          <w:lang w:val="fr-FR" w:eastAsia="ja-JP"/>
        </w:rPr>
        <w:t>être mis en place afin, respectivement, de réaliser les évaluations et de mettre en œuvre les autres produits du deuxième programme de travail</w:t>
      </w:r>
      <w:r w:rsidRPr="00157DEB">
        <w:rPr>
          <w:kern w:val="14"/>
          <w:lang w:val="fr-FR" w:eastAsia="ja-JP"/>
        </w:rPr>
        <w:t xml:space="preserve">. </w:t>
      </w:r>
    </w:p>
    <w:p w14:paraId="24AA395E" w14:textId="269066F8" w:rsidR="00896020" w:rsidRPr="00157DEB" w:rsidRDefault="00A30718" w:rsidP="00413849">
      <w:pPr>
        <w:pStyle w:val="Normalnumber"/>
        <w:rPr>
          <w:kern w:val="14"/>
          <w:lang w:val="fr-FR" w:eastAsia="ja-JP"/>
        </w:rPr>
      </w:pPr>
      <w:r w:rsidRPr="00157DEB">
        <w:rPr>
          <w:kern w:val="14"/>
          <w:lang w:val="fr-FR" w:eastAsia="ja-JP"/>
        </w:rPr>
        <w:t>Parmi les commentaires recueillis dans le cadre de l</w:t>
      </w:r>
      <w:r w:rsidR="00C73372">
        <w:rPr>
          <w:kern w:val="14"/>
          <w:lang w:val="fr-FR" w:eastAsia="ja-JP"/>
        </w:rPr>
        <w:t>’</w:t>
      </w:r>
      <w:r w:rsidRPr="00157DEB">
        <w:rPr>
          <w:kern w:val="14"/>
          <w:lang w:val="fr-FR" w:eastAsia="ja-JP"/>
        </w:rPr>
        <w:t>examen interne, il a été observé que la composition des groupes d</w:t>
      </w:r>
      <w:r w:rsidR="00C73372">
        <w:rPr>
          <w:kern w:val="14"/>
          <w:lang w:val="fr-FR" w:eastAsia="ja-JP"/>
        </w:rPr>
        <w:t>’</w:t>
      </w:r>
      <w:r w:rsidRPr="00157DEB">
        <w:rPr>
          <w:kern w:val="14"/>
          <w:lang w:val="fr-FR" w:eastAsia="ja-JP"/>
        </w:rPr>
        <w:t>experts et des équipes spéciales pourrait être revue. Voici quelques solutions envisagées :</w:t>
      </w:r>
    </w:p>
    <w:p w14:paraId="4373D8E8" w14:textId="11B83FA0" w:rsidR="00896020" w:rsidRPr="00157DEB" w:rsidRDefault="00A30718" w:rsidP="00F11C83">
      <w:pPr>
        <w:pStyle w:val="Normalnumber"/>
        <w:numPr>
          <w:ilvl w:val="1"/>
          <w:numId w:val="4"/>
        </w:numPr>
        <w:rPr>
          <w:kern w:val="14"/>
          <w:lang w:val="fr-FR" w:eastAsia="ja-JP"/>
        </w:rPr>
      </w:pPr>
      <w:r w:rsidRPr="00157DEB">
        <w:rPr>
          <w:kern w:val="14"/>
          <w:lang w:val="fr-FR" w:eastAsia="ja-JP"/>
        </w:rPr>
        <w:t>Sélectionner des experts issus de</w:t>
      </w:r>
      <w:r w:rsidR="00CE6210" w:rsidRPr="00157DEB">
        <w:rPr>
          <w:kern w:val="14"/>
          <w:lang w:val="fr-FR" w:eastAsia="ja-JP"/>
        </w:rPr>
        <w:t xml:space="preserve"> </w:t>
      </w:r>
      <w:r w:rsidRPr="00157DEB">
        <w:rPr>
          <w:kern w:val="14"/>
          <w:lang w:val="fr-FR" w:eastAsia="ja-JP"/>
        </w:rPr>
        <w:t>groupes d</w:t>
      </w:r>
      <w:r w:rsidR="00C73372">
        <w:rPr>
          <w:kern w:val="14"/>
          <w:lang w:val="fr-FR" w:eastAsia="ja-JP"/>
        </w:rPr>
        <w:t>’</w:t>
      </w:r>
      <w:r w:rsidRPr="00157DEB">
        <w:rPr>
          <w:kern w:val="14"/>
          <w:lang w:val="fr-FR" w:eastAsia="ja-JP"/>
        </w:rPr>
        <w:t>experts menant une évaluation, afin d</w:t>
      </w:r>
      <w:r w:rsidR="00C73372">
        <w:rPr>
          <w:kern w:val="14"/>
          <w:lang w:val="fr-FR" w:eastAsia="ja-JP"/>
        </w:rPr>
        <w:t>’</w:t>
      </w:r>
      <w:r w:rsidRPr="00157DEB">
        <w:rPr>
          <w:kern w:val="14"/>
          <w:lang w:val="fr-FR" w:eastAsia="ja-JP"/>
        </w:rPr>
        <w:t>établir une parfaite correspondance entre les travaux d</w:t>
      </w:r>
      <w:r w:rsidR="00C73372">
        <w:rPr>
          <w:kern w:val="14"/>
          <w:lang w:val="fr-FR" w:eastAsia="ja-JP"/>
        </w:rPr>
        <w:t>’</w:t>
      </w:r>
      <w:r w:rsidRPr="00157DEB">
        <w:rPr>
          <w:kern w:val="14"/>
          <w:lang w:val="fr-FR" w:eastAsia="ja-JP"/>
        </w:rPr>
        <w:t>une équipe spéciale, par exemple sur les indicateurs ou les savoirs autochtones et locaux, et les besoins des évaluations ;</w:t>
      </w:r>
      <w:r w:rsidR="00CE17C8" w:rsidRPr="00157DEB">
        <w:rPr>
          <w:kern w:val="14"/>
          <w:lang w:val="fr-FR" w:eastAsia="ja-JP"/>
        </w:rPr>
        <w:t xml:space="preserve"> </w:t>
      </w:r>
    </w:p>
    <w:p w14:paraId="2420B145" w14:textId="5A0958D9" w:rsidR="00896020" w:rsidRPr="00157DEB" w:rsidRDefault="00896020" w:rsidP="00F11C83">
      <w:pPr>
        <w:pStyle w:val="Normalnumber"/>
        <w:numPr>
          <w:ilvl w:val="1"/>
          <w:numId w:val="4"/>
        </w:numPr>
        <w:rPr>
          <w:kern w:val="14"/>
          <w:lang w:val="fr-FR" w:eastAsia="ja-JP"/>
        </w:rPr>
      </w:pPr>
      <w:r w:rsidRPr="00157DEB">
        <w:rPr>
          <w:kern w:val="14"/>
          <w:lang w:val="fr-FR" w:eastAsia="ja-JP"/>
        </w:rPr>
        <w:t>E</w:t>
      </w:r>
      <w:r w:rsidR="00CE6210" w:rsidRPr="00157DEB">
        <w:rPr>
          <w:kern w:val="14"/>
          <w:lang w:val="fr-FR" w:eastAsia="ja-JP"/>
        </w:rPr>
        <w:t>ngag</w:t>
      </w:r>
      <w:r w:rsidR="00A30718" w:rsidRPr="00157DEB">
        <w:rPr>
          <w:kern w:val="14"/>
          <w:lang w:val="fr-FR" w:eastAsia="ja-JP"/>
        </w:rPr>
        <w:t>er comme personnes ressources des représentants des organisations partenaires qui contribuent aux travaux, par exemple sur la promotion d</w:t>
      </w:r>
      <w:r w:rsidR="00C73372">
        <w:rPr>
          <w:kern w:val="14"/>
          <w:lang w:val="fr-FR" w:eastAsia="ja-JP"/>
        </w:rPr>
        <w:t>’</w:t>
      </w:r>
      <w:r w:rsidR="00A30718" w:rsidRPr="00157DEB">
        <w:rPr>
          <w:kern w:val="14"/>
          <w:lang w:val="fr-FR" w:eastAsia="ja-JP"/>
        </w:rPr>
        <w:t>efforts de production de savoirs</w:t>
      </w:r>
      <w:r w:rsidR="00D157E9" w:rsidRPr="00157DEB">
        <w:rPr>
          <w:kern w:val="14"/>
          <w:lang w:val="fr-FR" w:eastAsia="ja-JP"/>
        </w:rPr>
        <w:t>.</w:t>
      </w:r>
    </w:p>
    <w:p w14:paraId="7E4D854D" w14:textId="64ADDD66" w:rsidR="008526B1" w:rsidRPr="00157DEB" w:rsidRDefault="00C64CC8" w:rsidP="00413849">
      <w:pPr>
        <w:pStyle w:val="Normalnumber"/>
        <w:rPr>
          <w:kern w:val="14"/>
          <w:lang w:val="fr-FR" w:eastAsia="ja-JP"/>
        </w:rPr>
      </w:pPr>
      <w:r w:rsidRPr="00157DEB">
        <w:rPr>
          <w:kern w:val="14"/>
          <w:lang w:val="fr-FR" w:eastAsia="ja-JP"/>
        </w:rPr>
        <w:t>Il est proposé que les consultations portant sur le deuxième programme de travail :</w:t>
      </w:r>
    </w:p>
    <w:p w14:paraId="3EC7E243" w14:textId="659180BE" w:rsidR="0002205F" w:rsidRPr="00157DEB" w:rsidRDefault="00C64CC8" w:rsidP="00F11C83">
      <w:pPr>
        <w:pStyle w:val="Normalnumber"/>
        <w:numPr>
          <w:ilvl w:val="1"/>
          <w:numId w:val="4"/>
        </w:numPr>
        <w:rPr>
          <w:kern w:val="14"/>
          <w:lang w:val="fr-FR" w:eastAsia="ja-JP"/>
        </w:rPr>
      </w:pPr>
      <w:r w:rsidRPr="00157DEB">
        <w:rPr>
          <w:kern w:val="14"/>
          <w:lang w:val="fr-FR" w:eastAsia="ja-JP"/>
        </w:rPr>
        <w:t>Prennent en compte la possibilité d</w:t>
      </w:r>
      <w:r w:rsidR="00C73372">
        <w:rPr>
          <w:kern w:val="14"/>
          <w:lang w:val="fr-FR" w:eastAsia="ja-JP"/>
        </w:rPr>
        <w:t>’</w:t>
      </w:r>
      <w:r w:rsidRPr="00157DEB">
        <w:rPr>
          <w:kern w:val="14"/>
          <w:lang w:val="fr-FR" w:eastAsia="ja-JP"/>
        </w:rPr>
        <w:t>une meilleure intégration des activités de la Plateforme entre divers thèmes et fonctions, en mettant en place moins de groupes d</w:t>
      </w:r>
      <w:r w:rsidR="00C73372">
        <w:rPr>
          <w:kern w:val="14"/>
          <w:lang w:val="fr-FR" w:eastAsia="ja-JP"/>
        </w:rPr>
        <w:t>’</w:t>
      </w:r>
      <w:r w:rsidRPr="00157DEB">
        <w:rPr>
          <w:kern w:val="14"/>
          <w:lang w:val="fr-FR" w:eastAsia="ja-JP"/>
        </w:rPr>
        <w:t>experts et d</w:t>
      </w:r>
      <w:r w:rsidR="00C73372">
        <w:rPr>
          <w:kern w:val="14"/>
          <w:lang w:val="fr-FR" w:eastAsia="ja-JP"/>
        </w:rPr>
        <w:t>’</w:t>
      </w:r>
      <w:r w:rsidRPr="00157DEB">
        <w:rPr>
          <w:kern w:val="14"/>
          <w:lang w:val="fr-FR" w:eastAsia="ja-JP"/>
        </w:rPr>
        <w:t>équipes spéciales ;</w:t>
      </w:r>
    </w:p>
    <w:p w14:paraId="1BDE62BF" w14:textId="179CD6FD" w:rsidR="00896020" w:rsidRPr="00157DEB" w:rsidRDefault="00C64CC8" w:rsidP="00C64CC8">
      <w:pPr>
        <w:pStyle w:val="Normalnumber"/>
        <w:numPr>
          <w:ilvl w:val="1"/>
          <w:numId w:val="4"/>
        </w:numPr>
        <w:rPr>
          <w:kern w:val="14"/>
          <w:lang w:val="fr-FR" w:eastAsia="ja-JP"/>
        </w:rPr>
      </w:pPr>
      <w:r w:rsidRPr="00157DEB">
        <w:rPr>
          <w:b/>
          <w:kern w:val="14"/>
          <w:lang w:val="fr-FR" w:eastAsia="ja-JP"/>
        </w:rPr>
        <w:t>Permettent de recueillir des avis pour déterminer s</w:t>
      </w:r>
      <w:r w:rsidR="00C73372">
        <w:rPr>
          <w:b/>
          <w:kern w:val="14"/>
          <w:lang w:val="fr-FR" w:eastAsia="ja-JP"/>
        </w:rPr>
        <w:t>’</w:t>
      </w:r>
      <w:r w:rsidRPr="00157DEB">
        <w:rPr>
          <w:b/>
          <w:kern w:val="14"/>
          <w:lang w:val="fr-FR" w:eastAsia="ja-JP"/>
        </w:rPr>
        <w:t xml:space="preserve">il serait nécessaire de redéfinir les priorités et le mode de fonctionnement des trois équipes spéciales </w:t>
      </w:r>
      <w:r w:rsidRPr="00157DEB">
        <w:rPr>
          <w:kern w:val="14"/>
          <w:lang w:val="fr-FR" w:eastAsia="ja-JP"/>
        </w:rPr>
        <w:t>qui ont été constituées dans le cadre du programme de travail initial (équipes spéciales sur les connaissances et les données, sur le renforcement des capacités et sur les savoirs autochtones et locaux), en prenant en compte les résultats de l</w:t>
      </w:r>
      <w:r w:rsidR="00C73372">
        <w:rPr>
          <w:kern w:val="14"/>
          <w:lang w:val="fr-FR" w:eastAsia="ja-JP"/>
        </w:rPr>
        <w:t>’</w:t>
      </w:r>
      <w:r w:rsidRPr="00157DEB">
        <w:rPr>
          <w:kern w:val="14"/>
          <w:lang w:val="fr-FR" w:eastAsia="ja-JP"/>
        </w:rPr>
        <w:t>examen interne ;</w:t>
      </w:r>
    </w:p>
    <w:p w14:paraId="5ABDDA0B" w14:textId="21726F8F" w:rsidR="008526B1" w:rsidRPr="00157DEB" w:rsidRDefault="00B847F8" w:rsidP="00F11C83">
      <w:pPr>
        <w:pStyle w:val="Normalnumber"/>
        <w:numPr>
          <w:ilvl w:val="1"/>
          <w:numId w:val="4"/>
        </w:numPr>
        <w:rPr>
          <w:kern w:val="14"/>
          <w:lang w:val="fr-FR" w:eastAsia="ja-JP"/>
        </w:rPr>
      </w:pPr>
      <w:r w:rsidRPr="00157DEB">
        <w:rPr>
          <w:b/>
          <w:kern w:val="14"/>
          <w:lang w:val="fr-FR" w:eastAsia="ja-JP"/>
        </w:rPr>
        <w:t>E</w:t>
      </w:r>
      <w:r w:rsidR="00ED3175" w:rsidRPr="00157DEB">
        <w:rPr>
          <w:b/>
          <w:kern w:val="14"/>
          <w:lang w:val="fr-FR" w:eastAsia="ja-JP"/>
        </w:rPr>
        <w:t xml:space="preserve">nvisagent la possibilité de constituer de nouvelles équipes spéciales, selon que de besoin, concernant les thèmes recensés ci-après </w:t>
      </w:r>
      <w:r w:rsidR="00ED3175" w:rsidRPr="00157DEB">
        <w:rPr>
          <w:kern w:val="14"/>
          <w:lang w:val="fr-FR" w:eastAsia="ja-JP"/>
        </w:rPr>
        <w:t>et abordés dans le cadre du programme de travail initial par les groupes d</w:t>
      </w:r>
      <w:r w:rsidR="00C73372">
        <w:rPr>
          <w:kern w:val="14"/>
          <w:lang w:val="fr-FR" w:eastAsia="ja-JP"/>
        </w:rPr>
        <w:t>’</w:t>
      </w:r>
      <w:r w:rsidR="00ED3175" w:rsidRPr="00157DEB">
        <w:rPr>
          <w:kern w:val="14"/>
          <w:lang w:val="fr-FR" w:eastAsia="ja-JP"/>
        </w:rPr>
        <w:t>experts ou en vertu du mandat d</w:t>
      </w:r>
      <w:r w:rsidR="00C73372">
        <w:rPr>
          <w:kern w:val="14"/>
          <w:lang w:val="fr-FR" w:eastAsia="ja-JP"/>
        </w:rPr>
        <w:t>’</w:t>
      </w:r>
      <w:r w:rsidR="00ED3175" w:rsidRPr="00157DEB">
        <w:rPr>
          <w:kern w:val="14"/>
          <w:lang w:val="fr-FR" w:eastAsia="ja-JP"/>
        </w:rPr>
        <w:t>une équipe spéciale :</w:t>
      </w:r>
    </w:p>
    <w:p w14:paraId="0F4B5B2A" w14:textId="7A7189EB" w:rsidR="008526B1" w:rsidRPr="00157DEB" w:rsidRDefault="00ED3175" w:rsidP="00F11C83">
      <w:pPr>
        <w:pStyle w:val="Normalnumber"/>
        <w:numPr>
          <w:ilvl w:val="2"/>
          <w:numId w:val="4"/>
        </w:numPr>
        <w:rPr>
          <w:kern w:val="14"/>
          <w:lang w:val="fr-FR" w:eastAsia="ja-JP"/>
        </w:rPr>
      </w:pPr>
      <w:r w:rsidRPr="00157DEB">
        <w:rPr>
          <w:b/>
          <w:kern w:val="14"/>
          <w:lang w:val="fr-FR" w:eastAsia="ja-JP"/>
        </w:rPr>
        <w:t>Indicateurs :</w:t>
      </w:r>
      <w:r w:rsidR="008526B1" w:rsidRPr="00157DEB">
        <w:rPr>
          <w:kern w:val="14"/>
          <w:lang w:val="fr-FR" w:eastAsia="ja-JP"/>
        </w:rPr>
        <w:t xml:space="preserve"> </w:t>
      </w:r>
      <w:r w:rsidRPr="00157DEB">
        <w:rPr>
          <w:kern w:val="14"/>
          <w:lang w:val="fr-FR" w:eastAsia="ja-JP"/>
        </w:rPr>
        <w:t>équipe spéciale distincte qui fournirait un appui ciblé aux activités sur les indicateurs dans le cadre des évaluations de la Plateforme ;</w:t>
      </w:r>
    </w:p>
    <w:p w14:paraId="74452E86" w14:textId="7C1417D1" w:rsidR="008526B1" w:rsidRPr="00157DEB" w:rsidRDefault="00ED3175" w:rsidP="00F11C83">
      <w:pPr>
        <w:pStyle w:val="Normalnumber"/>
        <w:numPr>
          <w:ilvl w:val="2"/>
          <w:numId w:val="4"/>
        </w:numPr>
        <w:rPr>
          <w:kern w:val="14"/>
          <w:lang w:val="fr-FR" w:eastAsia="ja-JP"/>
        </w:rPr>
      </w:pPr>
      <w:r w:rsidRPr="00157DEB">
        <w:rPr>
          <w:b/>
          <w:kern w:val="14"/>
          <w:lang w:val="fr-FR" w:eastAsia="ja-JP"/>
        </w:rPr>
        <w:t>Conceptualisation des valeurs multiples :</w:t>
      </w:r>
      <w:r w:rsidRPr="00157DEB">
        <w:rPr>
          <w:kern w:val="14"/>
          <w:lang w:val="fr-FR" w:eastAsia="ja-JP"/>
        </w:rPr>
        <w:t xml:space="preserve"> afin de continuer d</w:t>
      </w:r>
      <w:r w:rsidR="00C73372">
        <w:rPr>
          <w:kern w:val="14"/>
          <w:lang w:val="fr-FR" w:eastAsia="ja-JP"/>
        </w:rPr>
        <w:t>’</w:t>
      </w:r>
      <w:r w:rsidRPr="00157DEB">
        <w:rPr>
          <w:kern w:val="14"/>
          <w:lang w:val="fr-FR" w:eastAsia="ja-JP"/>
        </w:rPr>
        <w:t xml:space="preserve">appuyer </w:t>
      </w:r>
      <w:r w:rsidRPr="00157DEB">
        <w:rPr>
          <w:lang w:val="fr-FR"/>
        </w:rPr>
        <w:t>l</w:t>
      </w:r>
      <w:r w:rsidR="00C73372">
        <w:rPr>
          <w:lang w:val="fr-FR"/>
        </w:rPr>
        <w:t>’</w:t>
      </w:r>
      <w:r w:rsidRPr="00157DEB">
        <w:rPr>
          <w:lang w:val="fr-FR"/>
        </w:rPr>
        <w:t>élaboration de nouveaux concepts</w:t>
      </w:r>
      <w:r w:rsidRPr="00157DEB">
        <w:rPr>
          <w:kern w:val="14"/>
          <w:lang w:val="fr-FR" w:eastAsia="ja-JP"/>
        </w:rPr>
        <w:t xml:space="preserve"> divers associés aux multiples valeurs de la nature et de ses bienfaits dans le cadre des évaluations de la Plateforme, et d</w:t>
      </w:r>
      <w:r w:rsidR="00C73372">
        <w:rPr>
          <w:kern w:val="14"/>
          <w:lang w:val="fr-FR" w:eastAsia="ja-JP"/>
        </w:rPr>
        <w:t>’</w:t>
      </w:r>
      <w:r w:rsidRPr="00157DEB">
        <w:rPr>
          <w:kern w:val="14"/>
          <w:lang w:val="fr-FR" w:eastAsia="ja-JP"/>
        </w:rPr>
        <w:t>encourager l</w:t>
      </w:r>
      <w:r w:rsidR="00C73372">
        <w:rPr>
          <w:kern w:val="14"/>
          <w:lang w:val="fr-FR" w:eastAsia="ja-JP"/>
        </w:rPr>
        <w:t>’</w:t>
      </w:r>
      <w:r w:rsidRPr="00157DEB">
        <w:rPr>
          <w:kern w:val="14"/>
          <w:lang w:val="fr-FR" w:eastAsia="ja-JP"/>
        </w:rPr>
        <w:t xml:space="preserve">élaboration des outils et méthodes nécessaires ; </w:t>
      </w:r>
    </w:p>
    <w:p w14:paraId="02C9623F" w14:textId="3BE0A5EE" w:rsidR="008526B1" w:rsidRPr="00157DEB" w:rsidRDefault="00ED3175" w:rsidP="00F11C83">
      <w:pPr>
        <w:pStyle w:val="Normalnumber"/>
        <w:numPr>
          <w:ilvl w:val="2"/>
          <w:numId w:val="4"/>
        </w:numPr>
        <w:rPr>
          <w:kern w:val="14"/>
          <w:lang w:val="fr-FR" w:eastAsia="ja-JP"/>
        </w:rPr>
      </w:pPr>
      <w:r w:rsidRPr="00157DEB">
        <w:rPr>
          <w:b/>
          <w:kern w:val="14"/>
          <w:lang w:val="fr-FR" w:eastAsia="ja-JP"/>
        </w:rPr>
        <w:lastRenderedPageBreak/>
        <w:t>Scé</w:t>
      </w:r>
      <w:r w:rsidR="008526B1" w:rsidRPr="00157DEB">
        <w:rPr>
          <w:b/>
          <w:kern w:val="14"/>
          <w:lang w:val="fr-FR" w:eastAsia="ja-JP"/>
        </w:rPr>
        <w:t xml:space="preserve">narios </w:t>
      </w:r>
      <w:r w:rsidRPr="00157DEB">
        <w:rPr>
          <w:b/>
          <w:kern w:val="14"/>
          <w:lang w:val="fr-FR" w:eastAsia="ja-JP"/>
        </w:rPr>
        <w:t>et modèles :</w:t>
      </w:r>
      <w:r w:rsidR="008526B1" w:rsidRPr="00157DEB">
        <w:rPr>
          <w:kern w:val="14"/>
          <w:lang w:val="fr-FR" w:eastAsia="ja-JP"/>
        </w:rPr>
        <w:t xml:space="preserve"> </w:t>
      </w:r>
      <w:r w:rsidRPr="00157DEB">
        <w:rPr>
          <w:kern w:val="14"/>
          <w:lang w:val="fr-FR" w:eastAsia="ja-JP"/>
        </w:rPr>
        <w:t>afin de continuer d</w:t>
      </w:r>
      <w:r w:rsidR="00C73372">
        <w:rPr>
          <w:kern w:val="14"/>
          <w:lang w:val="fr-FR" w:eastAsia="ja-JP"/>
        </w:rPr>
        <w:t>’</w:t>
      </w:r>
      <w:r w:rsidRPr="00157DEB">
        <w:rPr>
          <w:kern w:val="14"/>
          <w:lang w:val="fr-FR" w:eastAsia="ja-JP"/>
        </w:rPr>
        <w:t>appuyer l</w:t>
      </w:r>
      <w:r w:rsidR="00C73372">
        <w:rPr>
          <w:kern w:val="14"/>
          <w:lang w:val="fr-FR" w:eastAsia="ja-JP"/>
        </w:rPr>
        <w:t>’</w:t>
      </w:r>
      <w:r w:rsidRPr="00157DEB">
        <w:rPr>
          <w:kern w:val="14"/>
          <w:lang w:val="fr-FR" w:eastAsia="ja-JP"/>
        </w:rPr>
        <w:t>intégration des scénarios et des modèles dans les évaluations de la Plateforme et d</w:t>
      </w:r>
      <w:r w:rsidR="00C73372">
        <w:rPr>
          <w:kern w:val="14"/>
          <w:lang w:val="fr-FR" w:eastAsia="ja-JP"/>
        </w:rPr>
        <w:t>’</w:t>
      </w:r>
      <w:r w:rsidRPr="00157DEB">
        <w:rPr>
          <w:kern w:val="14"/>
          <w:lang w:val="fr-FR" w:eastAsia="ja-JP"/>
        </w:rPr>
        <w:t>encourager l</w:t>
      </w:r>
      <w:r w:rsidR="00C73372">
        <w:rPr>
          <w:kern w:val="14"/>
          <w:lang w:val="fr-FR" w:eastAsia="ja-JP"/>
        </w:rPr>
        <w:t>’</w:t>
      </w:r>
      <w:r w:rsidRPr="00157DEB">
        <w:rPr>
          <w:kern w:val="14"/>
          <w:lang w:val="fr-FR" w:eastAsia="ja-JP"/>
        </w:rPr>
        <w:t>élaboration de nouveaux scénarios et modèles ;</w:t>
      </w:r>
    </w:p>
    <w:p w14:paraId="0ADDC40F" w14:textId="5AB32F5B" w:rsidR="00CE6210" w:rsidRPr="00157DEB" w:rsidRDefault="00ED3175" w:rsidP="00ED3175">
      <w:pPr>
        <w:pStyle w:val="Normalnumber"/>
        <w:numPr>
          <w:ilvl w:val="2"/>
          <w:numId w:val="4"/>
        </w:numPr>
        <w:rPr>
          <w:kern w:val="14"/>
          <w:lang w:val="fr-FR" w:eastAsia="ja-JP"/>
        </w:rPr>
      </w:pPr>
      <w:r w:rsidRPr="00157DEB">
        <w:rPr>
          <w:b/>
          <w:kern w:val="14"/>
          <w:lang w:val="fr-FR" w:eastAsia="ja-JP"/>
        </w:rPr>
        <w:t>Outils et méthodes d</w:t>
      </w:r>
      <w:r w:rsidR="00C73372">
        <w:rPr>
          <w:b/>
          <w:kern w:val="14"/>
          <w:lang w:val="fr-FR" w:eastAsia="ja-JP"/>
        </w:rPr>
        <w:t>’</w:t>
      </w:r>
      <w:r w:rsidRPr="00157DEB">
        <w:rPr>
          <w:b/>
          <w:kern w:val="14"/>
          <w:lang w:val="fr-FR" w:eastAsia="ja-JP"/>
        </w:rPr>
        <w:t>appui aux politiques :</w:t>
      </w:r>
      <w:r w:rsidR="008526B1" w:rsidRPr="00157DEB">
        <w:rPr>
          <w:kern w:val="14"/>
          <w:lang w:val="fr-FR" w:eastAsia="ja-JP"/>
        </w:rPr>
        <w:t xml:space="preserve"> </w:t>
      </w:r>
      <w:r w:rsidRPr="00157DEB">
        <w:rPr>
          <w:kern w:val="14"/>
          <w:lang w:val="fr-FR" w:eastAsia="ja-JP"/>
        </w:rPr>
        <w:t>afin de continuer d</w:t>
      </w:r>
      <w:r w:rsidR="00C73372">
        <w:rPr>
          <w:kern w:val="14"/>
          <w:lang w:val="fr-FR" w:eastAsia="ja-JP"/>
        </w:rPr>
        <w:t>’</w:t>
      </w:r>
      <w:r w:rsidRPr="00157DEB">
        <w:rPr>
          <w:kern w:val="14"/>
          <w:lang w:val="fr-FR" w:eastAsia="ja-JP"/>
        </w:rPr>
        <w:t>appuyer l</w:t>
      </w:r>
      <w:r w:rsidR="00C73372">
        <w:rPr>
          <w:kern w:val="14"/>
          <w:lang w:val="fr-FR" w:eastAsia="ja-JP"/>
        </w:rPr>
        <w:t>’</w:t>
      </w:r>
      <w:r w:rsidRPr="00157DEB">
        <w:rPr>
          <w:kern w:val="14"/>
          <w:lang w:val="fr-FR" w:eastAsia="ja-JP"/>
        </w:rPr>
        <w:t>identification et l</w:t>
      </w:r>
      <w:r w:rsidR="00C73372">
        <w:rPr>
          <w:kern w:val="14"/>
          <w:lang w:val="fr-FR" w:eastAsia="ja-JP"/>
        </w:rPr>
        <w:t>’</w:t>
      </w:r>
      <w:r w:rsidRPr="00157DEB">
        <w:rPr>
          <w:kern w:val="14"/>
          <w:lang w:val="fr-FR" w:eastAsia="ja-JP"/>
        </w:rPr>
        <w:t>évaluation des outils et des méthodes requises qui devraient figurer dans le portail web d</w:t>
      </w:r>
      <w:r w:rsidR="00C73372">
        <w:rPr>
          <w:kern w:val="14"/>
          <w:lang w:val="fr-FR" w:eastAsia="ja-JP"/>
        </w:rPr>
        <w:t>’</w:t>
      </w:r>
      <w:r w:rsidRPr="00157DEB">
        <w:rPr>
          <w:kern w:val="14"/>
          <w:lang w:val="fr-FR" w:eastAsia="ja-JP"/>
        </w:rPr>
        <w:t>appui à l</w:t>
      </w:r>
      <w:r w:rsidR="00C73372">
        <w:rPr>
          <w:kern w:val="14"/>
          <w:lang w:val="fr-FR" w:eastAsia="ja-JP"/>
        </w:rPr>
        <w:t>’</w:t>
      </w:r>
      <w:r w:rsidRPr="00157DEB">
        <w:rPr>
          <w:kern w:val="14"/>
          <w:lang w:val="fr-FR" w:eastAsia="ja-JP"/>
        </w:rPr>
        <w:t>élaboration des politiques, et d</w:t>
      </w:r>
      <w:r w:rsidR="00C73372">
        <w:rPr>
          <w:kern w:val="14"/>
          <w:lang w:val="fr-FR" w:eastAsia="ja-JP"/>
        </w:rPr>
        <w:t>’</w:t>
      </w:r>
      <w:r w:rsidRPr="00157DEB">
        <w:rPr>
          <w:kern w:val="14"/>
          <w:lang w:val="fr-FR" w:eastAsia="ja-JP"/>
        </w:rPr>
        <w:t>encourager la poursuite de leur élaboration</w:t>
      </w:r>
      <w:r w:rsidR="00251963" w:rsidRPr="00157DEB">
        <w:rPr>
          <w:kern w:val="14"/>
          <w:lang w:val="fr-FR" w:eastAsia="ja-JP"/>
        </w:rPr>
        <w:t>.</w:t>
      </w:r>
    </w:p>
    <w:p w14:paraId="278DAA8E" w14:textId="76F1D5AF" w:rsidR="00CE6210" w:rsidRPr="00157DEB" w:rsidRDefault="00F11C83" w:rsidP="00215A93">
      <w:pPr>
        <w:pStyle w:val="CH2"/>
        <w:tabs>
          <w:tab w:val="clear" w:pos="624"/>
          <w:tab w:val="left" w:pos="4082"/>
        </w:tabs>
        <w:spacing w:before="80"/>
        <w:ind w:left="1247" w:hanging="1247"/>
        <w:rPr>
          <w:rFonts w:eastAsia="Times New Roman"/>
          <w:lang w:val="fr-FR"/>
        </w:rPr>
      </w:pPr>
      <w:bookmarkStart w:id="6" w:name="_Toc493148042"/>
      <w:bookmarkStart w:id="7" w:name="_Toc491886656"/>
      <w:bookmarkStart w:id="8" w:name="_Toc495507344"/>
      <w:bookmarkEnd w:id="6"/>
      <w:r w:rsidRPr="00157DEB">
        <w:rPr>
          <w:rFonts w:eastAsia="Times New Roman"/>
          <w:lang w:val="fr-FR" w:eastAsia="en-US"/>
        </w:rPr>
        <w:tab/>
        <w:t>C.</w:t>
      </w:r>
      <w:r w:rsidRPr="00157DEB">
        <w:rPr>
          <w:rFonts w:eastAsia="Times New Roman"/>
          <w:lang w:val="fr-FR" w:eastAsia="en-US"/>
        </w:rPr>
        <w:tab/>
      </w:r>
      <w:r w:rsidR="00892B5A" w:rsidRPr="00157DEB">
        <w:rPr>
          <w:rFonts w:eastAsia="Times New Roman"/>
          <w:lang w:val="fr-FR" w:eastAsia="en-US"/>
        </w:rPr>
        <w:t>Secrétariat</w:t>
      </w:r>
      <w:r w:rsidR="00251963" w:rsidRPr="00157DEB">
        <w:rPr>
          <w:rFonts w:eastAsia="Times New Roman"/>
          <w:lang w:val="fr-FR" w:eastAsia="en-US"/>
        </w:rPr>
        <w:t>,</w:t>
      </w:r>
      <w:r w:rsidR="00CE6210" w:rsidRPr="00157DEB">
        <w:rPr>
          <w:rFonts w:eastAsia="Times New Roman"/>
          <w:lang w:val="fr-FR" w:eastAsia="en-US"/>
        </w:rPr>
        <w:t xml:space="preserve"> </w:t>
      </w:r>
      <w:r w:rsidR="00892B5A" w:rsidRPr="00157DEB">
        <w:rPr>
          <w:rFonts w:eastAsia="Times New Roman"/>
          <w:lang w:val="fr-FR" w:eastAsia="en-US"/>
        </w:rPr>
        <w:t xml:space="preserve">y compris </w:t>
      </w:r>
      <w:r w:rsidR="00892B5A" w:rsidRPr="00157DEB">
        <w:rPr>
          <w:lang w:val="fr-FR"/>
        </w:rPr>
        <w:t>groupes d</w:t>
      </w:r>
      <w:r w:rsidR="00C73372">
        <w:rPr>
          <w:lang w:val="fr-FR"/>
        </w:rPr>
        <w:t>’</w:t>
      </w:r>
      <w:r w:rsidR="00892B5A" w:rsidRPr="00157DEB">
        <w:rPr>
          <w:lang w:val="fr-FR"/>
        </w:rPr>
        <w:t xml:space="preserve">appui technique </w:t>
      </w:r>
      <w:bookmarkEnd w:id="7"/>
      <w:bookmarkEnd w:id="8"/>
    </w:p>
    <w:p w14:paraId="00D4BEB7" w14:textId="7BAA097E" w:rsidR="00CE6210" w:rsidRPr="00157DEB" w:rsidRDefault="007538E8" w:rsidP="00413849">
      <w:pPr>
        <w:pStyle w:val="Normalnumber"/>
        <w:rPr>
          <w:kern w:val="14"/>
          <w:lang w:val="fr-FR" w:eastAsia="ja-JP"/>
        </w:rPr>
      </w:pPr>
      <w:r w:rsidRPr="00157DEB">
        <w:rPr>
          <w:kern w:val="14"/>
          <w:lang w:val="fr-FR" w:eastAsia="ja-JP"/>
        </w:rPr>
        <w:t>Les résultats de l</w:t>
      </w:r>
      <w:r w:rsidR="00C73372">
        <w:rPr>
          <w:kern w:val="14"/>
          <w:lang w:val="fr-FR" w:eastAsia="ja-JP"/>
        </w:rPr>
        <w:t>’</w:t>
      </w:r>
      <w:r w:rsidRPr="00157DEB">
        <w:rPr>
          <w:kern w:val="14"/>
          <w:lang w:val="fr-FR" w:eastAsia="ja-JP"/>
        </w:rPr>
        <w:t>examen interne indiquent que la taille actuelle du secrétariat, qui bénéficie de l</w:t>
      </w:r>
      <w:r w:rsidR="00C73372">
        <w:rPr>
          <w:kern w:val="14"/>
          <w:lang w:val="fr-FR" w:eastAsia="ja-JP"/>
        </w:rPr>
        <w:t>’</w:t>
      </w:r>
      <w:r w:rsidRPr="00157DEB">
        <w:rPr>
          <w:kern w:val="14"/>
          <w:lang w:val="fr-FR" w:eastAsia="ja-JP"/>
        </w:rPr>
        <w:t>appui de fonds d</w:t>
      </w:r>
      <w:r w:rsidR="00C73372">
        <w:rPr>
          <w:kern w:val="14"/>
          <w:lang w:val="fr-FR" w:eastAsia="ja-JP"/>
        </w:rPr>
        <w:t>’</w:t>
      </w:r>
      <w:r w:rsidRPr="00157DEB">
        <w:rPr>
          <w:kern w:val="14"/>
          <w:lang w:val="fr-FR" w:eastAsia="ja-JP"/>
        </w:rPr>
        <w:t>affectation spéciale de la Plateforme, est considérée comme représentant le niveau minimum requis pour pouvoir appuyer un processus intergouvernemental tel que la Plateforme</w:t>
      </w:r>
      <w:r w:rsidR="0068315B" w:rsidRPr="00157DEB">
        <w:rPr>
          <w:kern w:val="14"/>
          <w:lang w:val="fr-FR" w:eastAsia="ja-JP"/>
        </w:rPr>
        <w:t>.</w:t>
      </w:r>
      <w:r w:rsidR="00E7565F" w:rsidRPr="00157DEB">
        <w:rPr>
          <w:kern w:val="14"/>
          <w:lang w:val="fr-FR" w:eastAsia="ja-JP"/>
        </w:rPr>
        <w:t xml:space="preserve"> </w:t>
      </w:r>
      <w:r w:rsidRPr="00157DEB">
        <w:rPr>
          <w:kern w:val="14"/>
          <w:lang w:val="fr-FR" w:eastAsia="ja-JP"/>
        </w:rPr>
        <w:t>La taille du secrétariat devrait correspondre au niveau d</w:t>
      </w:r>
      <w:r w:rsidR="00C73372">
        <w:rPr>
          <w:kern w:val="14"/>
          <w:lang w:val="fr-FR" w:eastAsia="ja-JP"/>
        </w:rPr>
        <w:t>’</w:t>
      </w:r>
      <w:r w:rsidRPr="00157DEB">
        <w:rPr>
          <w:kern w:val="14"/>
          <w:lang w:val="fr-FR" w:eastAsia="ja-JP"/>
        </w:rPr>
        <w:t>ambition du deuxième programme de travail</w:t>
      </w:r>
      <w:r w:rsidR="00E7565F" w:rsidRPr="00157DEB">
        <w:rPr>
          <w:kern w:val="14"/>
          <w:lang w:val="fr-FR" w:eastAsia="ja-JP"/>
        </w:rPr>
        <w:t>.</w:t>
      </w:r>
    </w:p>
    <w:p w14:paraId="37BFA283" w14:textId="01196099" w:rsidR="009E7E9A" w:rsidRPr="00157DEB" w:rsidRDefault="007538E8" w:rsidP="007538E8">
      <w:pPr>
        <w:pStyle w:val="Normalnumber"/>
        <w:rPr>
          <w:kern w:val="14"/>
          <w:lang w:val="fr-FR" w:eastAsia="ja-JP"/>
        </w:rPr>
      </w:pPr>
      <w:r w:rsidRPr="00157DEB">
        <w:rPr>
          <w:kern w:val="14"/>
          <w:lang w:val="fr-FR" w:eastAsia="ja-JP"/>
        </w:rPr>
        <w:t xml:space="preserve">Il est prévu que des </w:t>
      </w:r>
      <w:r w:rsidRPr="00157DEB">
        <w:rPr>
          <w:lang w:val="fr-FR"/>
        </w:rPr>
        <w:t>groupes d</w:t>
      </w:r>
      <w:r w:rsidR="00C73372">
        <w:rPr>
          <w:lang w:val="fr-FR"/>
        </w:rPr>
        <w:t>’</w:t>
      </w:r>
      <w:r w:rsidRPr="00157DEB">
        <w:rPr>
          <w:lang w:val="fr-FR"/>
        </w:rPr>
        <w:t xml:space="preserve">appui technique </w:t>
      </w:r>
      <w:r w:rsidRPr="00157DEB">
        <w:rPr>
          <w:kern w:val="14"/>
          <w:lang w:val="fr-FR" w:eastAsia="ja-JP"/>
        </w:rPr>
        <w:t>dotés d</w:t>
      </w:r>
      <w:r w:rsidR="00C73372">
        <w:rPr>
          <w:kern w:val="14"/>
          <w:lang w:val="fr-FR" w:eastAsia="ja-JP"/>
        </w:rPr>
        <w:t>’</w:t>
      </w:r>
      <w:r w:rsidRPr="00157DEB">
        <w:rPr>
          <w:kern w:val="14"/>
          <w:lang w:val="fr-FR" w:eastAsia="ja-JP"/>
        </w:rPr>
        <w:t>un mandat précis à durée déterminée s</w:t>
      </w:r>
      <w:r w:rsidR="00C73372">
        <w:rPr>
          <w:kern w:val="14"/>
          <w:lang w:val="fr-FR" w:eastAsia="ja-JP"/>
        </w:rPr>
        <w:t>’</w:t>
      </w:r>
      <w:r w:rsidRPr="00157DEB">
        <w:rPr>
          <w:kern w:val="14"/>
          <w:lang w:val="fr-FR" w:eastAsia="ja-JP"/>
        </w:rPr>
        <w:t>inscrivent en complément et f</w:t>
      </w:r>
      <w:r w:rsidR="008F2B1C" w:rsidRPr="00157DEB">
        <w:rPr>
          <w:kern w:val="14"/>
          <w:lang w:val="fr-FR" w:eastAsia="ja-JP"/>
        </w:rPr>
        <w:t>assent</w:t>
      </w:r>
      <w:r w:rsidRPr="00157DEB">
        <w:rPr>
          <w:kern w:val="14"/>
          <w:lang w:val="fr-FR" w:eastAsia="ja-JP"/>
        </w:rPr>
        <w:t xml:space="preserve"> rapport au secrétariat</w:t>
      </w:r>
      <w:r w:rsidR="00CE6210" w:rsidRPr="00157DEB">
        <w:rPr>
          <w:kern w:val="14"/>
          <w:lang w:val="fr-FR" w:eastAsia="ja-JP"/>
        </w:rPr>
        <w:t>.</w:t>
      </w:r>
    </w:p>
    <w:p w14:paraId="1448D193" w14:textId="072CBF4B" w:rsidR="008D52D8" w:rsidRPr="00157DEB" w:rsidRDefault="00F11C83" w:rsidP="00215A93">
      <w:pPr>
        <w:pStyle w:val="CH2"/>
        <w:tabs>
          <w:tab w:val="clear" w:pos="624"/>
          <w:tab w:val="left" w:pos="4082"/>
        </w:tabs>
        <w:spacing w:before="80"/>
        <w:ind w:left="1247" w:hanging="1247"/>
        <w:rPr>
          <w:rFonts w:eastAsia="Times New Roman"/>
          <w:lang w:val="fr-FR"/>
        </w:rPr>
      </w:pPr>
      <w:bookmarkStart w:id="9" w:name="_Toc493148045"/>
      <w:bookmarkStart w:id="10" w:name="_Toc491886658"/>
      <w:bookmarkStart w:id="11" w:name="_Toc495507346"/>
      <w:bookmarkEnd w:id="9"/>
      <w:r w:rsidRPr="00157DEB">
        <w:rPr>
          <w:rFonts w:eastAsia="Times New Roman"/>
          <w:lang w:val="fr-FR" w:eastAsia="en-US"/>
        </w:rPr>
        <w:tab/>
        <w:t>D.</w:t>
      </w:r>
      <w:r w:rsidRPr="00157DEB">
        <w:rPr>
          <w:rFonts w:eastAsia="Times New Roman"/>
          <w:lang w:val="fr-FR" w:eastAsia="en-US"/>
        </w:rPr>
        <w:tab/>
      </w:r>
      <w:r w:rsidR="008D52D8" w:rsidRPr="00157DEB">
        <w:rPr>
          <w:rFonts w:eastAsia="Times New Roman"/>
          <w:lang w:val="fr-FR" w:eastAsia="en-US"/>
        </w:rPr>
        <w:t xml:space="preserve">Engagement </w:t>
      </w:r>
      <w:r w:rsidR="007538E8" w:rsidRPr="00157DEB">
        <w:rPr>
          <w:rFonts w:eastAsia="Times New Roman"/>
          <w:lang w:val="fr-FR" w:eastAsia="en-US"/>
        </w:rPr>
        <w:t>avec les partenaires</w:t>
      </w:r>
    </w:p>
    <w:p w14:paraId="7D5FDF09" w14:textId="7B147E36" w:rsidR="009E7E9A" w:rsidRPr="00157DEB" w:rsidRDefault="00667E84" w:rsidP="00413849">
      <w:pPr>
        <w:pStyle w:val="Normalnumber"/>
        <w:rPr>
          <w:kern w:val="14"/>
          <w:lang w:val="fr-FR" w:eastAsia="ja-JP"/>
        </w:rPr>
      </w:pPr>
      <w:r w:rsidRPr="00157DEB">
        <w:rPr>
          <w:kern w:val="14"/>
          <w:lang w:val="fr-FR" w:eastAsia="ja-JP"/>
        </w:rPr>
        <w:t>Les observations découlant de l</w:t>
      </w:r>
      <w:r w:rsidR="00C73372">
        <w:rPr>
          <w:kern w:val="14"/>
          <w:lang w:val="fr-FR" w:eastAsia="ja-JP"/>
        </w:rPr>
        <w:t>’</w:t>
      </w:r>
      <w:r w:rsidRPr="00157DEB">
        <w:rPr>
          <w:kern w:val="14"/>
          <w:lang w:val="fr-FR" w:eastAsia="ja-JP"/>
        </w:rPr>
        <w:t>examen interne ont souligné le rôle important que jouent les organisations partenaires au niveau de la mise en œuvre réussie et efficace du programme de travail de la Plateforme</w:t>
      </w:r>
      <w:r w:rsidR="009E7E9A" w:rsidRPr="00157DEB">
        <w:rPr>
          <w:kern w:val="14"/>
          <w:lang w:val="fr-FR" w:eastAsia="ja-JP"/>
        </w:rPr>
        <w:t xml:space="preserve">. </w:t>
      </w:r>
    </w:p>
    <w:p w14:paraId="61FC471E" w14:textId="309E46B7" w:rsidR="009E7E9A" w:rsidRPr="00157DEB" w:rsidRDefault="00667E84" w:rsidP="00413849">
      <w:pPr>
        <w:pStyle w:val="Normalnumber"/>
        <w:rPr>
          <w:kern w:val="14"/>
          <w:lang w:val="fr-FR" w:eastAsia="ja-JP"/>
        </w:rPr>
      </w:pPr>
      <w:r w:rsidRPr="00157DEB">
        <w:rPr>
          <w:kern w:val="14"/>
          <w:lang w:val="fr-FR" w:eastAsia="ja-JP"/>
        </w:rPr>
        <w:t>Afin d</w:t>
      </w:r>
      <w:r w:rsidR="00C73372">
        <w:rPr>
          <w:kern w:val="14"/>
          <w:lang w:val="fr-FR" w:eastAsia="ja-JP"/>
        </w:rPr>
        <w:t>’</w:t>
      </w:r>
      <w:r w:rsidRPr="00157DEB">
        <w:rPr>
          <w:kern w:val="14"/>
          <w:lang w:val="fr-FR" w:eastAsia="ja-JP"/>
        </w:rPr>
        <w:t>organiser de manière plus efficace l</w:t>
      </w:r>
      <w:r w:rsidR="00C73372">
        <w:rPr>
          <w:kern w:val="14"/>
          <w:lang w:val="fr-FR" w:eastAsia="ja-JP"/>
        </w:rPr>
        <w:t>’</w:t>
      </w:r>
      <w:r w:rsidRPr="00157DEB">
        <w:rPr>
          <w:kern w:val="14"/>
          <w:lang w:val="fr-FR" w:eastAsia="ja-JP"/>
        </w:rPr>
        <w:t>engagement de nombreux partenaires potentiels et d</w:t>
      </w:r>
      <w:r w:rsidR="00C73372">
        <w:rPr>
          <w:kern w:val="14"/>
          <w:lang w:val="fr-FR" w:eastAsia="ja-JP"/>
        </w:rPr>
        <w:t>’</w:t>
      </w:r>
      <w:r w:rsidRPr="00157DEB">
        <w:rPr>
          <w:kern w:val="14"/>
          <w:lang w:val="fr-FR" w:eastAsia="ja-JP"/>
        </w:rPr>
        <w:t>une plus grande communauté de praticiens, et de poursuivre la mise en œuvre de la stratégie d</w:t>
      </w:r>
      <w:r w:rsidR="00C73372">
        <w:rPr>
          <w:kern w:val="14"/>
          <w:lang w:val="fr-FR" w:eastAsia="ja-JP"/>
        </w:rPr>
        <w:t>’</w:t>
      </w:r>
      <w:r w:rsidRPr="00157DEB">
        <w:rPr>
          <w:kern w:val="14"/>
          <w:lang w:val="fr-FR" w:eastAsia="ja-JP"/>
        </w:rPr>
        <w:t xml:space="preserve">association des parties prenantes, il est proposé que </w:t>
      </w:r>
      <w:r w:rsidRPr="00157DEB">
        <w:rPr>
          <w:b/>
          <w:kern w:val="14"/>
          <w:lang w:val="fr-FR" w:eastAsia="ja-JP"/>
        </w:rPr>
        <w:t>dans le cadre de son deuxième programme de travail, la Plateforme envisage d</w:t>
      </w:r>
      <w:r w:rsidR="00C73372">
        <w:rPr>
          <w:b/>
          <w:kern w:val="14"/>
          <w:lang w:val="fr-FR" w:eastAsia="ja-JP"/>
        </w:rPr>
        <w:t>’</w:t>
      </w:r>
      <w:r w:rsidRPr="00157DEB">
        <w:rPr>
          <w:b/>
          <w:kern w:val="14"/>
          <w:lang w:val="fr-FR" w:eastAsia="ja-JP"/>
        </w:rPr>
        <w:t>adopter une démarche supplémentaire qui s</w:t>
      </w:r>
      <w:r w:rsidR="00C73372">
        <w:rPr>
          <w:b/>
          <w:kern w:val="14"/>
          <w:lang w:val="fr-FR" w:eastAsia="ja-JP"/>
        </w:rPr>
        <w:t>’</w:t>
      </w:r>
      <w:r w:rsidRPr="00157DEB">
        <w:rPr>
          <w:b/>
          <w:kern w:val="14"/>
          <w:lang w:val="fr-FR" w:eastAsia="ja-JP"/>
        </w:rPr>
        <w:t>inscrirait en complément des partenariats stratégiques et lui permettrait de s</w:t>
      </w:r>
      <w:r w:rsidR="00C73372">
        <w:rPr>
          <w:b/>
          <w:kern w:val="14"/>
          <w:lang w:val="fr-FR" w:eastAsia="ja-JP"/>
        </w:rPr>
        <w:t>’</w:t>
      </w:r>
      <w:r w:rsidRPr="00157DEB">
        <w:rPr>
          <w:b/>
          <w:kern w:val="14"/>
          <w:lang w:val="fr-FR" w:eastAsia="ja-JP"/>
        </w:rPr>
        <w:t>associer à un plus grand nombre de partenaires, de manière plus informelle</w:t>
      </w:r>
      <w:r w:rsidR="009E7E9A" w:rsidRPr="00157DEB">
        <w:rPr>
          <w:kern w:val="14"/>
          <w:lang w:val="fr-FR" w:eastAsia="ja-JP"/>
        </w:rPr>
        <w:t xml:space="preserve">. </w:t>
      </w:r>
    </w:p>
    <w:p w14:paraId="489C9ED0" w14:textId="32200A53" w:rsidR="008D52D8" w:rsidRPr="00157DEB" w:rsidRDefault="00667E84" w:rsidP="00413849">
      <w:pPr>
        <w:pStyle w:val="Normalnumber"/>
        <w:rPr>
          <w:kern w:val="14"/>
          <w:lang w:val="fr-FR" w:eastAsia="ja-JP"/>
        </w:rPr>
      </w:pPr>
      <w:r w:rsidRPr="00157DEB">
        <w:rPr>
          <w:kern w:val="14"/>
          <w:lang w:val="fr-FR" w:eastAsia="ja-JP"/>
        </w:rPr>
        <w:t>Des efforts seraient déployés afin de reconnaitre et de visualiser plus justement les contributions des différents partenaires en fonction de leur niveau d</w:t>
      </w:r>
      <w:r w:rsidR="00C73372">
        <w:rPr>
          <w:kern w:val="14"/>
          <w:lang w:val="fr-FR" w:eastAsia="ja-JP"/>
        </w:rPr>
        <w:t>’</w:t>
      </w:r>
      <w:r w:rsidRPr="00157DEB">
        <w:rPr>
          <w:kern w:val="14"/>
          <w:lang w:val="fr-FR" w:eastAsia="ja-JP"/>
        </w:rPr>
        <w:t>engagement, notamment en attestant dûment de cette association sur le site web</w:t>
      </w:r>
      <w:r w:rsidR="00CD598F" w:rsidRPr="00157DEB">
        <w:rPr>
          <w:kern w:val="14"/>
          <w:lang w:val="fr-FR" w:eastAsia="ja-JP"/>
        </w:rPr>
        <w:t>.</w:t>
      </w:r>
      <w:r w:rsidR="00FA7CED" w:rsidRPr="00157DEB">
        <w:rPr>
          <w:kern w:val="14"/>
          <w:lang w:val="fr-FR" w:eastAsia="ja-JP"/>
        </w:rPr>
        <w:t xml:space="preserve"> </w:t>
      </w:r>
    </w:p>
    <w:p w14:paraId="3DE4A07D" w14:textId="20668898" w:rsidR="00AD7007" w:rsidRPr="00157DEB" w:rsidRDefault="00667E84" w:rsidP="00413849">
      <w:pPr>
        <w:pStyle w:val="Normalnumber"/>
        <w:rPr>
          <w:kern w:val="14"/>
          <w:lang w:val="fr-FR" w:eastAsia="ja-JP"/>
        </w:rPr>
      </w:pPr>
      <w:r w:rsidRPr="00157DEB">
        <w:rPr>
          <w:kern w:val="14"/>
          <w:lang w:val="fr-FR" w:eastAsia="ja-JP"/>
        </w:rPr>
        <w:t xml:space="preserve">Des efforts spécifiques devraient être consentis, notamment de la part du </w:t>
      </w:r>
      <w:r w:rsidRPr="00157DEB">
        <w:rPr>
          <w:lang w:val="fr-FR"/>
        </w:rPr>
        <w:t>Groupe d</w:t>
      </w:r>
      <w:r w:rsidR="00C73372">
        <w:rPr>
          <w:lang w:val="fr-FR"/>
        </w:rPr>
        <w:t>’</w:t>
      </w:r>
      <w:r w:rsidRPr="00157DEB">
        <w:rPr>
          <w:lang w:val="fr-FR"/>
        </w:rPr>
        <w:t>experts multidisciplinaire</w:t>
      </w:r>
      <w:r w:rsidRPr="00157DEB">
        <w:rPr>
          <w:kern w:val="14"/>
          <w:lang w:val="fr-FR" w:eastAsia="ja-JP"/>
        </w:rPr>
        <w:t>, afin de renforcer l</w:t>
      </w:r>
      <w:r w:rsidR="00C73372">
        <w:rPr>
          <w:kern w:val="14"/>
          <w:lang w:val="fr-FR" w:eastAsia="ja-JP"/>
        </w:rPr>
        <w:t>’</w:t>
      </w:r>
      <w:r w:rsidRPr="00157DEB">
        <w:rPr>
          <w:kern w:val="14"/>
          <w:lang w:val="fr-FR" w:eastAsia="ja-JP"/>
        </w:rPr>
        <w:t>engagement de la communauté scientifique dans la Plateforme, comme indiqué dans le rapport sur l</w:t>
      </w:r>
      <w:r w:rsidR="00C73372">
        <w:rPr>
          <w:kern w:val="14"/>
          <w:lang w:val="fr-FR" w:eastAsia="ja-JP"/>
        </w:rPr>
        <w:t>’</w:t>
      </w:r>
      <w:r w:rsidRPr="00157DEB">
        <w:rPr>
          <w:kern w:val="14"/>
          <w:lang w:val="fr-FR" w:eastAsia="ja-JP"/>
        </w:rPr>
        <w:t>examen interne</w:t>
      </w:r>
      <w:r w:rsidR="00CD598F" w:rsidRPr="00157DEB">
        <w:rPr>
          <w:kern w:val="14"/>
          <w:lang w:val="fr-FR" w:eastAsia="ja-JP"/>
        </w:rPr>
        <w:t xml:space="preserve"> (IPBES/6/INF/32)</w:t>
      </w:r>
      <w:r w:rsidR="00AD7007" w:rsidRPr="00157DEB">
        <w:rPr>
          <w:kern w:val="14"/>
          <w:lang w:val="fr-FR" w:eastAsia="ja-JP"/>
        </w:rPr>
        <w:t xml:space="preserve">. </w:t>
      </w:r>
    </w:p>
    <w:p w14:paraId="389A0EC1" w14:textId="64327789" w:rsidR="00CE6210" w:rsidRPr="00157DEB" w:rsidRDefault="00F11C83" w:rsidP="00215A93">
      <w:pPr>
        <w:pStyle w:val="CH2"/>
        <w:tabs>
          <w:tab w:val="clear" w:pos="624"/>
          <w:tab w:val="left" w:pos="4082"/>
        </w:tabs>
        <w:spacing w:before="80"/>
        <w:ind w:left="1247" w:hanging="1247"/>
        <w:rPr>
          <w:rFonts w:eastAsia="Times New Roman"/>
          <w:lang w:val="fr-FR"/>
        </w:rPr>
      </w:pPr>
      <w:r w:rsidRPr="00157DEB">
        <w:rPr>
          <w:rFonts w:eastAsia="Times New Roman"/>
          <w:lang w:val="fr-FR" w:eastAsia="en-US"/>
        </w:rPr>
        <w:tab/>
        <w:t>E.</w:t>
      </w:r>
      <w:r w:rsidRPr="00157DEB">
        <w:rPr>
          <w:rFonts w:eastAsia="Times New Roman"/>
          <w:lang w:val="fr-FR" w:eastAsia="en-US"/>
        </w:rPr>
        <w:tab/>
      </w:r>
      <w:r w:rsidR="00E96773">
        <w:rPr>
          <w:rFonts w:eastAsia="Times New Roman"/>
          <w:lang w:val="fr-FR" w:eastAsia="en-US"/>
        </w:rPr>
        <w:t>Communication</w:t>
      </w:r>
      <w:r w:rsidR="00CE6210" w:rsidRPr="00157DEB">
        <w:rPr>
          <w:rFonts w:eastAsia="Times New Roman"/>
          <w:lang w:val="fr-FR" w:eastAsia="en-US"/>
        </w:rPr>
        <w:t xml:space="preserve"> </w:t>
      </w:r>
      <w:r w:rsidR="00667E84" w:rsidRPr="00157DEB">
        <w:rPr>
          <w:rFonts w:eastAsia="Times New Roman"/>
          <w:lang w:val="fr-FR" w:eastAsia="en-US"/>
        </w:rPr>
        <w:t>et sensibilisation</w:t>
      </w:r>
      <w:bookmarkEnd w:id="10"/>
      <w:bookmarkEnd w:id="11"/>
    </w:p>
    <w:p w14:paraId="0934DB95" w14:textId="64954246" w:rsidR="00CE6210" w:rsidRPr="00157DEB" w:rsidRDefault="00A93021" w:rsidP="00667E84">
      <w:pPr>
        <w:pStyle w:val="Normalnumber"/>
        <w:rPr>
          <w:kern w:val="14"/>
          <w:lang w:val="fr-FR" w:eastAsia="ja-JP"/>
        </w:rPr>
      </w:pPr>
      <w:r>
        <w:rPr>
          <w:kern w:val="14"/>
          <w:lang w:val="fr-FR" w:eastAsia="ja-JP"/>
        </w:rPr>
        <w:t>En adoptant la décision </w:t>
      </w:r>
      <w:r w:rsidR="00667E84" w:rsidRPr="00157DEB">
        <w:rPr>
          <w:kern w:val="14"/>
          <w:lang w:val="fr-FR" w:eastAsia="ja-JP"/>
        </w:rPr>
        <w:t>IPBES-3/4 sur la communication, l</w:t>
      </w:r>
      <w:r w:rsidR="00C73372">
        <w:rPr>
          <w:kern w:val="14"/>
          <w:lang w:val="fr-FR" w:eastAsia="ja-JP"/>
        </w:rPr>
        <w:t>’</w:t>
      </w:r>
      <w:r w:rsidR="00667E84" w:rsidRPr="00157DEB">
        <w:rPr>
          <w:kern w:val="14"/>
          <w:lang w:val="fr-FR" w:eastAsia="ja-JP"/>
        </w:rPr>
        <w:t>association des parties prenantes et les partenariats stratégiques, la Plénière a reconnu que l</w:t>
      </w:r>
      <w:r w:rsidR="00C73372">
        <w:rPr>
          <w:kern w:val="14"/>
          <w:lang w:val="fr-FR" w:eastAsia="ja-JP"/>
        </w:rPr>
        <w:t>’</w:t>
      </w:r>
      <w:r w:rsidR="00667E84" w:rsidRPr="00157DEB">
        <w:rPr>
          <w:kern w:val="14"/>
          <w:lang w:val="fr-FR" w:eastAsia="ja-JP"/>
        </w:rPr>
        <w:t>aptitude de la Plateforme à renforcer l</w:t>
      </w:r>
      <w:r w:rsidR="00C73372">
        <w:rPr>
          <w:kern w:val="14"/>
          <w:lang w:val="fr-FR" w:eastAsia="ja-JP"/>
        </w:rPr>
        <w:t>’</w:t>
      </w:r>
      <w:r w:rsidR="00667E84" w:rsidRPr="00157DEB">
        <w:rPr>
          <w:kern w:val="14"/>
          <w:lang w:val="fr-FR" w:eastAsia="ja-JP"/>
        </w:rPr>
        <w:t>interface sciences-politique dépend dans une large mesure de ses activités de communication, ce qui présente des défis considérables compte tenu de la complexité propre à la Plateforme et des questions scientifiques et politiques qu</w:t>
      </w:r>
      <w:r w:rsidR="00C73372">
        <w:rPr>
          <w:kern w:val="14"/>
          <w:lang w:val="fr-FR" w:eastAsia="ja-JP"/>
        </w:rPr>
        <w:t>’</w:t>
      </w:r>
      <w:r w:rsidR="00667E84" w:rsidRPr="00157DEB">
        <w:rPr>
          <w:kern w:val="14"/>
          <w:lang w:val="fr-FR" w:eastAsia="ja-JP"/>
        </w:rPr>
        <w:t>elle aborde, ainsi que du besoin de créer et d</w:t>
      </w:r>
      <w:r w:rsidR="00C73372">
        <w:rPr>
          <w:kern w:val="14"/>
          <w:lang w:val="fr-FR" w:eastAsia="ja-JP"/>
        </w:rPr>
        <w:t>’</w:t>
      </w:r>
      <w:r w:rsidR="00667E84" w:rsidRPr="00157DEB">
        <w:rPr>
          <w:kern w:val="14"/>
          <w:lang w:val="fr-FR" w:eastAsia="ja-JP"/>
        </w:rPr>
        <w:t xml:space="preserve">établir un dialogue sur ces questions avec une multitude de parties prenantes à plusieurs niveaux. Ces éléments continuent de définir les défis et les opportunités </w:t>
      </w:r>
      <w:r w:rsidR="007C2048" w:rsidRPr="00157DEB">
        <w:rPr>
          <w:kern w:val="14"/>
          <w:lang w:val="fr-FR" w:eastAsia="ja-JP"/>
        </w:rPr>
        <w:t>considérables</w:t>
      </w:r>
      <w:r w:rsidR="00667E84" w:rsidRPr="00157DEB">
        <w:rPr>
          <w:kern w:val="14"/>
          <w:lang w:val="fr-FR" w:eastAsia="ja-JP"/>
        </w:rPr>
        <w:t xml:space="preserve"> de la Plateforme en matière de communication et de sensibilisation</w:t>
      </w:r>
      <w:r w:rsidR="004C790A" w:rsidRPr="00157DEB">
        <w:rPr>
          <w:kern w:val="14"/>
          <w:lang w:val="fr-FR" w:eastAsia="ja-JP"/>
        </w:rPr>
        <w:t>.</w:t>
      </w:r>
      <w:r w:rsidR="00C73F2D" w:rsidRPr="00157DEB">
        <w:rPr>
          <w:kern w:val="14"/>
          <w:lang w:val="fr-FR" w:eastAsia="ja-JP"/>
        </w:rPr>
        <w:t xml:space="preserve"> </w:t>
      </w:r>
    </w:p>
    <w:p w14:paraId="4BD891F5" w14:textId="2B89701C" w:rsidR="00CE6210" w:rsidRPr="00157DEB" w:rsidRDefault="00667E84" w:rsidP="00413849">
      <w:pPr>
        <w:pStyle w:val="Normalnumber"/>
        <w:rPr>
          <w:kern w:val="14"/>
          <w:lang w:val="fr-FR" w:eastAsia="ja-JP"/>
        </w:rPr>
      </w:pPr>
      <w:r w:rsidRPr="00157DEB">
        <w:rPr>
          <w:kern w:val="14"/>
          <w:lang w:val="fr-FR" w:eastAsia="ja-JP"/>
        </w:rPr>
        <w:t>Dans le cadre du deuxième programme de travail, les activités de communication de la Plateforme pourraient se concentrer sur les aspects suivants :</w:t>
      </w:r>
    </w:p>
    <w:p w14:paraId="2A384B66" w14:textId="588C241A" w:rsidR="00FE0754" w:rsidRPr="00157DEB" w:rsidRDefault="00667E84" w:rsidP="00F11C83">
      <w:pPr>
        <w:pStyle w:val="Normalnumber"/>
        <w:numPr>
          <w:ilvl w:val="1"/>
          <w:numId w:val="4"/>
        </w:numPr>
        <w:rPr>
          <w:kern w:val="14"/>
          <w:lang w:val="fr-FR" w:eastAsia="ja-JP"/>
        </w:rPr>
      </w:pPr>
      <w:r w:rsidRPr="00157DEB">
        <w:rPr>
          <w:kern w:val="14"/>
          <w:lang w:val="fr-FR" w:eastAsia="ja-JP"/>
        </w:rPr>
        <w:t>Présent</w:t>
      </w:r>
      <w:r w:rsidR="00E96773">
        <w:rPr>
          <w:kern w:val="14"/>
          <w:lang w:val="fr-FR" w:eastAsia="ja-JP"/>
        </w:rPr>
        <w:t>er un contenu narratif convaincant</w:t>
      </w:r>
      <w:r w:rsidRPr="00157DEB">
        <w:rPr>
          <w:kern w:val="14"/>
          <w:lang w:val="fr-FR" w:eastAsia="ja-JP"/>
        </w:rPr>
        <w:t xml:space="preserve"> à une vaste gamme de décideurs afin de promouvoir la vision selon laquelle</w:t>
      </w:r>
      <w:r w:rsidR="007C2048" w:rsidRPr="00157DEB">
        <w:rPr>
          <w:kern w:val="14"/>
          <w:lang w:val="fr-FR" w:eastAsia="ja-JP"/>
        </w:rPr>
        <w:t xml:space="preserve"> </w:t>
      </w:r>
      <w:r w:rsidRPr="00157DEB">
        <w:rPr>
          <w:kern w:val="14"/>
          <w:lang w:val="fr-FR" w:eastAsia="ja-JP"/>
        </w:rPr>
        <w:t>de meilleurs choix</w:t>
      </w:r>
      <w:r w:rsidR="007C2048" w:rsidRPr="00157DEB">
        <w:rPr>
          <w:kern w:val="14"/>
          <w:lang w:val="fr-FR" w:eastAsia="ja-JP"/>
        </w:rPr>
        <w:t xml:space="preserve"> en matière de biodiversité et de </w:t>
      </w:r>
      <w:r w:rsidR="00067A67" w:rsidRPr="00157DEB">
        <w:rPr>
          <w:lang w:val="fr-FR"/>
        </w:rPr>
        <w:t>contributions apportées par la nature aux populations</w:t>
      </w:r>
      <w:r w:rsidR="00067A67" w:rsidRPr="00157DEB">
        <w:rPr>
          <w:kern w:val="14"/>
          <w:lang w:val="fr-FR" w:eastAsia="ja-JP"/>
        </w:rPr>
        <w:t xml:space="preserve"> </w:t>
      </w:r>
      <w:r w:rsidR="007C2048" w:rsidRPr="00157DEB">
        <w:rPr>
          <w:kern w:val="14"/>
          <w:lang w:val="fr-FR" w:eastAsia="ja-JP"/>
        </w:rPr>
        <w:t>ne sont possibles que s</w:t>
      </w:r>
      <w:r w:rsidR="00C73372">
        <w:rPr>
          <w:kern w:val="14"/>
          <w:lang w:val="fr-FR" w:eastAsia="ja-JP"/>
        </w:rPr>
        <w:t>’</w:t>
      </w:r>
      <w:r w:rsidR="007C2048" w:rsidRPr="00157DEB">
        <w:rPr>
          <w:kern w:val="14"/>
          <w:lang w:val="fr-FR" w:eastAsia="ja-JP"/>
        </w:rPr>
        <w:t xml:space="preserve">ils sont appuyés par des données probantes les plus avérées </w:t>
      </w:r>
      <w:r w:rsidR="00067A67" w:rsidRPr="00157DEB">
        <w:rPr>
          <w:kern w:val="14"/>
          <w:lang w:val="fr-FR" w:eastAsia="ja-JP"/>
        </w:rPr>
        <w:t>et par les options politiques idéales, issues d</w:t>
      </w:r>
      <w:r w:rsidR="00C73372">
        <w:rPr>
          <w:kern w:val="14"/>
          <w:lang w:val="fr-FR" w:eastAsia="ja-JP"/>
        </w:rPr>
        <w:t>’</w:t>
      </w:r>
      <w:r w:rsidR="00067A67" w:rsidRPr="00157DEB">
        <w:rPr>
          <w:kern w:val="14"/>
          <w:lang w:val="fr-FR" w:eastAsia="ja-JP"/>
        </w:rPr>
        <w:t>une vaste gamme de systèmes de savoirs, qui sont fournis par la Plateforme ;</w:t>
      </w:r>
    </w:p>
    <w:p w14:paraId="4CB1492B" w14:textId="7935CC8E" w:rsidR="00FE0754" w:rsidRPr="00157DEB" w:rsidRDefault="00067A67" w:rsidP="00F11C83">
      <w:pPr>
        <w:pStyle w:val="Normalnumber"/>
        <w:numPr>
          <w:ilvl w:val="1"/>
          <w:numId w:val="4"/>
        </w:numPr>
        <w:rPr>
          <w:kern w:val="14"/>
          <w:lang w:val="fr-FR" w:eastAsia="ja-JP"/>
        </w:rPr>
      </w:pPr>
      <w:r w:rsidRPr="00157DEB">
        <w:rPr>
          <w:kern w:val="14"/>
          <w:lang w:val="fr-FR" w:eastAsia="ja-JP"/>
        </w:rPr>
        <w:t>S</w:t>
      </w:r>
      <w:r w:rsidR="00C73372">
        <w:rPr>
          <w:kern w:val="14"/>
          <w:lang w:val="fr-FR" w:eastAsia="ja-JP"/>
        </w:rPr>
        <w:t>’</w:t>
      </w:r>
      <w:r w:rsidRPr="00157DEB">
        <w:rPr>
          <w:kern w:val="14"/>
          <w:lang w:val="fr-FR" w:eastAsia="ja-JP"/>
        </w:rPr>
        <w:t>appuyer sur les efforts et y ajouter de la valeur afin de s</w:t>
      </w:r>
      <w:r w:rsidR="00C73372">
        <w:rPr>
          <w:kern w:val="14"/>
          <w:lang w:val="fr-FR" w:eastAsia="ja-JP"/>
        </w:rPr>
        <w:t>’</w:t>
      </w:r>
      <w:r w:rsidRPr="00157DEB">
        <w:rPr>
          <w:kern w:val="14"/>
          <w:lang w:val="fr-FR" w:eastAsia="ja-JP"/>
        </w:rPr>
        <w:t>assurer que la biodiversité et les</w:t>
      </w:r>
      <w:r w:rsidR="00FB0BDB">
        <w:rPr>
          <w:kern w:val="14"/>
          <w:lang w:val="fr-FR" w:eastAsia="ja-JP"/>
        </w:rPr>
        <w:t> </w:t>
      </w:r>
      <w:r w:rsidRPr="00157DEB">
        <w:rPr>
          <w:lang w:val="fr-FR"/>
        </w:rPr>
        <w:t>contributions apportées par la nature aux populations soient considérées</w:t>
      </w:r>
      <w:r w:rsidRPr="00157DEB">
        <w:rPr>
          <w:kern w:val="14"/>
          <w:lang w:val="fr-FR" w:eastAsia="ja-JP"/>
        </w:rPr>
        <w:t xml:space="preserve"> comme essentielles au bien-être de l</w:t>
      </w:r>
      <w:r w:rsidR="00C73372">
        <w:rPr>
          <w:kern w:val="14"/>
          <w:lang w:val="fr-FR" w:eastAsia="ja-JP"/>
        </w:rPr>
        <w:t>’</w:t>
      </w:r>
      <w:r w:rsidRPr="00157DEB">
        <w:rPr>
          <w:kern w:val="14"/>
          <w:lang w:val="fr-FR" w:eastAsia="ja-JP"/>
        </w:rPr>
        <w:t>humanité et au développement durable ;</w:t>
      </w:r>
    </w:p>
    <w:p w14:paraId="4850CA8A" w14:textId="082A6E24" w:rsidR="00FE0754" w:rsidRPr="00157DEB" w:rsidRDefault="00667E84" w:rsidP="00F11C83">
      <w:pPr>
        <w:pStyle w:val="Normalnumber"/>
        <w:numPr>
          <w:ilvl w:val="1"/>
          <w:numId w:val="4"/>
        </w:numPr>
        <w:rPr>
          <w:kern w:val="14"/>
          <w:lang w:val="fr-FR" w:eastAsia="ja-JP"/>
        </w:rPr>
      </w:pPr>
      <w:r w:rsidRPr="00157DEB">
        <w:rPr>
          <w:kern w:val="14"/>
          <w:lang w:val="fr-FR" w:eastAsia="ja-JP"/>
        </w:rPr>
        <w:lastRenderedPageBreak/>
        <w:t>S</w:t>
      </w:r>
      <w:r w:rsidR="00C73372">
        <w:rPr>
          <w:kern w:val="14"/>
          <w:lang w:val="fr-FR" w:eastAsia="ja-JP"/>
        </w:rPr>
        <w:t>’</w:t>
      </w:r>
      <w:r w:rsidRPr="00157DEB">
        <w:rPr>
          <w:kern w:val="14"/>
          <w:lang w:val="fr-FR" w:eastAsia="ja-JP"/>
        </w:rPr>
        <w:t>assurer que la Plateforme soit davantage considérée comme une structure collaborative crédible, correspondant au contexte, indépendante, et légitime</w:t>
      </w:r>
      <w:r w:rsidR="004A174D" w:rsidRPr="00157DEB">
        <w:rPr>
          <w:kern w:val="14"/>
          <w:lang w:val="fr-FR" w:eastAsia="ja-JP"/>
        </w:rPr>
        <w:t>, produisant</w:t>
      </w:r>
      <w:r w:rsidRPr="00157DEB">
        <w:rPr>
          <w:kern w:val="14"/>
          <w:lang w:val="fr-FR" w:eastAsia="ja-JP"/>
        </w:rPr>
        <w:t xml:space="preserve"> des connaissances adaptées aux politiques mais non prescriptives</w:t>
      </w:r>
      <w:r w:rsidR="004A174D" w:rsidRPr="00157DEB">
        <w:rPr>
          <w:kern w:val="14"/>
          <w:lang w:val="fr-FR" w:eastAsia="ja-JP"/>
        </w:rPr>
        <w:t>, dans le but</w:t>
      </w:r>
      <w:r w:rsidRPr="00157DEB">
        <w:rPr>
          <w:kern w:val="14"/>
          <w:lang w:val="fr-FR" w:eastAsia="ja-JP"/>
        </w:rPr>
        <w:t xml:space="preserve"> d</w:t>
      </w:r>
      <w:r w:rsidR="00C73372">
        <w:rPr>
          <w:kern w:val="14"/>
          <w:lang w:val="fr-FR" w:eastAsia="ja-JP"/>
        </w:rPr>
        <w:t>’</w:t>
      </w:r>
      <w:r w:rsidRPr="00157DEB">
        <w:rPr>
          <w:kern w:val="14"/>
          <w:lang w:val="fr-FR" w:eastAsia="ja-JP"/>
        </w:rPr>
        <w:t>appuyer le processus décisionnel ;</w:t>
      </w:r>
    </w:p>
    <w:p w14:paraId="5E76FAC1" w14:textId="0EA20ECE" w:rsidR="00FE0754" w:rsidRPr="00157DEB" w:rsidRDefault="00667E84" w:rsidP="00F11C83">
      <w:pPr>
        <w:pStyle w:val="Normalnumber"/>
        <w:numPr>
          <w:ilvl w:val="1"/>
          <w:numId w:val="4"/>
        </w:numPr>
        <w:rPr>
          <w:kern w:val="14"/>
          <w:lang w:val="fr-FR" w:eastAsia="ja-JP"/>
        </w:rPr>
      </w:pPr>
      <w:r w:rsidRPr="00157DEB">
        <w:rPr>
          <w:kern w:val="14"/>
          <w:lang w:val="fr-FR" w:eastAsia="ja-JP"/>
        </w:rPr>
        <w:t>Encourager une palette plus large de membres, d</w:t>
      </w:r>
      <w:r w:rsidR="00C73372">
        <w:rPr>
          <w:kern w:val="14"/>
          <w:lang w:val="fr-FR" w:eastAsia="ja-JP"/>
        </w:rPr>
        <w:t>’</w:t>
      </w:r>
      <w:r w:rsidRPr="00157DEB">
        <w:rPr>
          <w:kern w:val="14"/>
          <w:lang w:val="fr-FR" w:eastAsia="ja-JP"/>
        </w:rPr>
        <w:t>observateurs, de partenaires et de parties prenantes intéressées et jouissant d</w:t>
      </w:r>
      <w:r w:rsidR="00C73372">
        <w:rPr>
          <w:kern w:val="14"/>
          <w:lang w:val="fr-FR" w:eastAsia="ja-JP"/>
        </w:rPr>
        <w:t>’</w:t>
      </w:r>
      <w:r w:rsidRPr="00157DEB">
        <w:rPr>
          <w:kern w:val="14"/>
          <w:lang w:val="fr-FR" w:eastAsia="ja-JP"/>
        </w:rPr>
        <w:t>une plus grande représentativité, à s</w:t>
      </w:r>
      <w:r w:rsidR="00C73372">
        <w:rPr>
          <w:kern w:val="14"/>
          <w:lang w:val="fr-FR" w:eastAsia="ja-JP"/>
        </w:rPr>
        <w:t>’</w:t>
      </w:r>
      <w:r w:rsidRPr="00157DEB">
        <w:rPr>
          <w:kern w:val="14"/>
          <w:lang w:val="fr-FR" w:eastAsia="ja-JP"/>
        </w:rPr>
        <w:t>engager davantage au sein de la Plateforme afin de contribuer à ses travaux et à son impact ;</w:t>
      </w:r>
    </w:p>
    <w:p w14:paraId="157EAA2A" w14:textId="2E8690F0" w:rsidR="00FE0754" w:rsidRPr="00157DEB" w:rsidRDefault="00667E84" w:rsidP="00F11C83">
      <w:pPr>
        <w:pStyle w:val="Normalnumber"/>
        <w:numPr>
          <w:ilvl w:val="1"/>
          <w:numId w:val="4"/>
        </w:numPr>
        <w:rPr>
          <w:kern w:val="14"/>
          <w:lang w:val="fr-FR" w:eastAsia="ja-JP"/>
        </w:rPr>
      </w:pPr>
      <w:r w:rsidRPr="00157DEB">
        <w:rPr>
          <w:kern w:val="14"/>
          <w:lang w:val="fr-FR" w:eastAsia="ja-JP"/>
        </w:rPr>
        <w:t>Appuyer le fonctionnement de la Plateforme dans son ensemble, ainsi que les activités de ses divers organes et instances et leur coordination</w:t>
      </w:r>
      <w:r w:rsidR="00FE0754" w:rsidRPr="00157DEB">
        <w:rPr>
          <w:kern w:val="14"/>
          <w:lang w:val="fr-FR" w:eastAsia="ja-JP"/>
        </w:rPr>
        <w:t>.</w:t>
      </w:r>
    </w:p>
    <w:p w14:paraId="600D5F29" w14:textId="750B72B5" w:rsidR="00392EF5" w:rsidRPr="00157DEB" w:rsidRDefault="00F11C83" w:rsidP="00215A93">
      <w:pPr>
        <w:pStyle w:val="CH1"/>
        <w:rPr>
          <w:rFonts w:eastAsiaTheme="majorEastAsia"/>
          <w:lang w:val="fr-FR"/>
        </w:rPr>
      </w:pPr>
      <w:r w:rsidRPr="00157DEB">
        <w:rPr>
          <w:rFonts w:eastAsiaTheme="majorEastAsia"/>
          <w:lang w:val="fr-FR"/>
        </w:rPr>
        <w:tab/>
        <w:t>V.</w:t>
      </w:r>
      <w:r w:rsidRPr="00157DEB">
        <w:rPr>
          <w:rFonts w:eastAsiaTheme="majorEastAsia"/>
          <w:lang w:val="fr-FR"/>
        </w:rPr>
        <w:tab/>
      </w:r>
      <w:r w:rsidR="00C21E03" w:rsidRPr="00157DEB">
        <w:rPr>
          <w:rFonts w:eastAsiaTheme="majorEastAsia"/>
          <w:lang w:val="fr-FR"/>
        </w:rPr>
        <w:t xml:space="preserve">Estimations préliminaires des coûts et des besoins en ressources humaines </w:t>
      </w:r>
    </w:p>
    <w:p w14:paraId="27F94B2E" w14:textId="2390D05F" w:rsidR="00CE6210" w:rsidRPr="00157DEB" w:rsidRDefault="00F11C83" w:rsidP="00215A93">
      <w:pPr>
        <w:pStyle w:val="CH2"/>
        <w:tabs>
          <w:tab w:val="clear" w:pos="624"/>
          <w:tab w:val="left" w:pos="4082"/>
        </w:tabs>
        <w:spacing w:before="80"/>
        <w:ind w:left="1247" w:hanging="1247"/>
        <w:rPr>
          <w:rFonts w:eastAsia="Times New Roman"/>
          <w:b w:val="0"/>
          <w:lang w:val="fr-FR"/>
        </w:rPr>
      </w:pPr>
      <w:bookmarkStart w:id="12" w:name="_Toc491693303"/>
      <w:bookmarkStart w:id="13" w:name="_Toc491693304"/>
      <w:bookmarkStart w:id="14" w:name="_Toc491886661"/>
      <w:bookmarkStart w:id="15" w:name="_Toc495507348"/>
      <w:bookmarkEnd w:id="12"/>
      <w:bookmarkEnd w:id="13"/>
      <w:r w:rsidRPr="00157DEB">
        <w:rPr>
          <w:rFonts w:eastAsia="Times New Roman"/>
          <w:lang w:val="fr-FR" w:eastAsia="en-US"/>
        </w:rPr>
        <w:tab/>
        <w:t>A.</w:t>
      </w:r>
      <w:r w:rsidRPr="00157DEB">
        <w:rPr>
          <w:rFonts w:eastAsia="Times New Roman"/>
          <w:lang w:val="fr-FR" w:eastAsia="en-US"/>
        </w:rPr>
        <w:tab/>
      </w:r>
      <w:r w:rsidR="00026A91" w:rsidRPr="00157DEB">
        <w:rPr>
          <w:rFonts w:eastAsia="Times New Roman"/>
          <w:lang w:val="fr-FR" w:eastAsia="en-US"/>
        </w:rPr>
        <w:t>Type</w:t>
      </w:r>
      <w:r w:rsidR="00B0273B" w:rsidRPr="00157DEB">
        <w:rPr>
          <w:rFonts w:eastAsia="Times New Roman"/>
          <w:lang w:val="fr-FR" w:eastAsia="en-US"/>
        </w:rPr>
        <w:t>s</w:t>
      </w:r>
      <w:r w:rsidR="00026A91" w:rsidRPr="00157DEB">
        <w:rPr>
          <w:rFonts w:eastAsia="Times New Roman"/>
          <w:lang w:val="fr-FR" w:eastAsia="en-US"/>
        </w:rPr>
        <w:t xml:space="preserve"> </w:t>
      </w:r>
      <w:r w:rsidR="00C21E03" w:rsidRPr="00157DEB">
        <w:rPr>
          <w:rFonts w:eastAsia="Times New Roman"/>
          <w:lang w:val="fr-FR" w:eastAsia="en-US"/>
        </w:rPr>
        <w:t>et montants des ressources financières à mobiliser</w:t>
      </w:r>
      <w:bookmarkEnd w:id="14"/>
      <w:bookmarkEnd w:id="15"/>
    </w:p>
    <w:p w14:paraId="21C5E6B3" w14:textId="4E732867" w:rsidR="00CE6210" w:rsidRPr="00157DEB" w:rsidRDefault="00C21E03" w:rsidP="00C21E03">
      <w:pPr>
        <w:pStyle w:val="Normalnumber"/>
        <w:rPr>
          <w:kern w:val="14"/>
          <w:lang w:val="fr-FR" w:eastAsia="ja-JP"/>
        </w:rPr>
      </w:pPr>
      <w:r w:rsidRPr="00157DEB">
        <w:rPr>
          <w:kern w:val="14"/>
          <w:lang w:val="fr-FR" w:eastAsia="ja-JP"/>
        </w:rPr>
        <w:t>Il est prévu que le deuxième programme de travail continue d</w:t>
      </w:r>
      <w:r w:rsidR="00C73372">
        <w:rPr>
          <w:kern w:val="14"/>
          <w:lang w:val="fr-FR" w:eastAsia="ja-JP"/>
        </w:rPr>
        <w:t>’</w:t>
      </w:r>
      <w:r w:rsidRPr="00157DEB">
        <w:rPr>
          <w:kern w:val="14"/>
          <w:lang w:val="fr-FR" w:eastAsia="ja-JP"/>
        </w:rPr>
        <w:t>avoir recours à quatre catégories distinctes de ressources : les contributions en espèces au Fonds d</w:t>
      </w:r>
      <w:r w:rsidR="00C73372">
        <w:rPr>
          <w:kern w:val="14"/>
          <w:lang w:val="fr-FR" w:eastAsia="ja-JP"/>
        </w:rPr>
        <w:t>’</w:t>
      </w:r>
      <w:r w:rsidRPr="00157DEB">
        <w:rPr>
          <w:kern w:val="14"/>
          <w:lang w:val="fr-FR" w:eastAsia="ja-JP"/>
        </w:rPr>
        <w:t xml:space="preserve">affectation </w:t>
      </w:r>
      <w:r w:rsidR="00FB0BDB">
        <w:rPr>
          <w:kern w:val="14"/>
          <w:lang w:val="fr-FR" w:eastAsia="ja-JP"/>
        </w:rPr>
        <w:t>spéciale de la Plateforme ; les </w:t>
      </w:r>
      <w:r w:rsidRPr="00157DEB">
        <w:rPr>
          <w:kern w:val="14"/>
          <w:lang w:val="fr-FR" w:eastAsia="ja-JP"/>
        </w:rPr>
        <w:t>contributions en nature couvrant des éléments qui seraient normalement imputés au fonds d</w:t>
      </w:r>
      <w:r w:rsidR="00C73372">
        <w:rPr>
          <w:kern w:val="14"/>
          <w:lang w:val="fr-FR" w:eastAsia="ja-JP"/>
        </w:rPr>
        <w:t>’</w:t>
      </w:r>
      <w:r w:rsidRPr="00157DEB">
        <w:rPr>
          <w:kern w:val="14"/>
          <w:lang w:val="fr-FR" w:eastAsia="ja-JP"/>
        </w:rPr>
        <w:t>affectation spéciale ; les contributions d</w:t>
      </w:r>
      <w:r w:rsidR="00C73372">
        <w:rPr>
          <w:kern w:val="14"/>
          <w:lang w:val="fr-FR" w:eastAsia="ja-JP"/>
        </w:rPr>
        <w:t>’</w:t>
      </w:r>
      <w:r w:rsidRPr="00157DEB">
        <w:rPr>
          <w:kern w:val="14"/>
          <w:lang w:val="fr-FR" w:eastAsia="ja-JP"/>
        </w:rPr>
        <w:t xml:space="preserve">experts choisis qui donnent de leur temps à titre gracieux ; et </w:t>
      </w:r>
      <w:r w:rsidR="004A174D" w:rsidRPr="00157DEB">
        <w:rPr>
          <w:kern w:val="14"/>
          <w:lang w:val="fr-FR" w:eastAsia="ja-JP"/>
        </w:rPr>
        <w:t xml:space="preserve">la </w:t>
      </w:r>
      <w:r w:rsidRPr="00157DEB">
        <w:rPr>
          <w:kern w:val="14"/>
          <w:lang w:val="fr-FR" w:eastAsia="ja-JP"/>
        </w:rPr>
        <w:t>production d</w:t>
      </w:r>
      <w:r w:rsidR="00C73372">
        <w:rPr>
          <w:kern w:val="14"/>
          <w:lang w:val="fr-FR" w:eastAsia="ja-JP"/>
        </w:rPr>
        <w:t>’</w:t>
      </w:r>
      <w:r w:rsidRPr="00157DEB">
        <w:rPr>
          <w:kern w:val="14"/>
          <w:lang w:val="fr-FR" w:eastAsia="ja-JP"/>
        </w:rPr>
        <w:t>activité</w:t>
      </w:r>
      <w:r w:rsidR="00E96773">
        <w:rPr>
          <w:kern w:val="14"/>
          <w:lang w:val="fr-FR" w:eastAsia="ja-JP"/>
        </w:rPr>
        <w:t>s</w:t>
      </w:r>
      <w:r w:rsidRPr="00157DEB">
        <w:rPr>
          <w:kern w:val="14"/>
          <w:lang w:val="fr-FR" w:eastAsia="ja-JP"/>
        </w:rPr>
        <w:t xml:space="preserve"> qui contribuent à la réalisation des objectifs de la Plateforme</w:t>
      </w:r>
      <w:r w:rsidR="00CE6210" w:rsidRPr="00157DEB">
        <w:rPr>
          <w:kern w:val="14"/>
          <w:lang w:val="fr-FR" w:eastAsia="ja-JP"/>
        </w:rPr>
        <w:t xml:space="preserve">. </w:t>
      </w:r>
    </w:p>
    <w:p w14:paraId="40302357" w14:textId="3DD5BBD8" w:rsidR="00CE6210" w:rsidRPr="00157DEB" w:rsidRDefault="00C21E03" w:rsidP="00413849">
      <w:pPr>
        <w:pStyle w:val="Normalnumber"/>
        <w:rPr>
          <w:kern w:val="14"/>
          <w:lang w:val="fr-FR" w:eastAsia="ja-JP"/>
        </w:rPr>
      </w:pPr>
      <w:r w:rsidRPr="00157DEB">
        <w:rPr>
          <w:kern w:val="14"/>
          <w:lang w:val="fr-FR" w:eastAsia="ja-JP"/>
        </w:rPr>
        <w:t>Au cours de la période 2013-2017, le Fonds d</w:t>
      </w:r>
      <w:r w:rsidR="00C73372">
        <w:rPr>
          <w:kern w:val="14"/>
          <w:lang w:val="fr-FR" w:eastAsia="ja-JP"/>
        </w:rPr>
        <w:t>’</w:t>
      </w:r>
      <w:r w:rsidRPr="00157DEB">
        <w:rPr>
          <w:kern w:val="14"/>
          <w:lang w:val="fr-FR" w:eastAsia="ja-JP"/>
        </w:rPr>
        <w:t xml:space="preserve">affectation spéciale de la Plateforme a reçu en moyenne 5,7 millions </w:t>
      </w:r>
      <w:r w:rsidR="00765A87" w:rsidRPr="00157DEB">
        <w:rPr>
          <w:kern w:val="14"/>
          <w:lang w:val="fr-FR" w:eastAsia="ja-JP"/>
        </w:rPr>
        <w:t xml:space="preserve">de dollars </w:t>
      </w:r>
      <w:r w:rsidRPr="00157DEB">
        <w:rPr>
          <w:kern w:val="14"/>
          <w:lang w:val="fr-FR" w:eastAsia="ja-JP"/>
        </w:rPr>
        <w:t>par an</w:t>
      </w:r>
      <w:r w:rsidR="00765A87" w:rsidRPr="00157DEB">
        <w:rPr>
          <w:kern w:val="14"/>
          <w:lang w:val="fr-FR" w:eastAsia="ja-JP"/>
        </w:rPr>
        <w:t>,</w:t>
      </w:r>
      <w:r w:rsidRPr="00157DEB">
        <w:rPr>
          <w:kern w:val="14"/>
          <w:lang w:val="fr-FR" w:eastAsia="ja-JP"/>
        </w:rPr>
        <w:t xml:space="preserve"> grâce à</w:t>
      </w:r>
      <w:r w:rsidR="00765A87" w:rsidRPr="00157DEB">
        <w:rPr>
          <w:kern w:val="14"/>
          <w:lang w:val="fr-FR" w:eastAsia="ja-JP"/>
        </w:rPr>
        <w:t xml:space="preserve"> un seul don effectué en 2013 représentant une somme important</w:t>
      </w:r>
      <w:r w:rsidR="004A174D" w:rsidRPr="00157DEB">
        <w:rPr>
          <w:kern w:val="14"/>
          <w:lang w:val="fr-FR" w:eastAsia="ja-JP"/>
        </w:rPr>
        <w:t>e</w:t>
      </w:r>
      <w:r w:rsidR="00E52646" w:rsidRPr="00157DEB">
        <w:rPr>
          <w:kern w:val="14"/>
          <w:lang w:val="fr-FR" w:eastAsia="ja-JP"/>
        </w:rPr>
        <w:t xml:space="preserve">. </w:t>
      </w:r>
      <w:r w:rsidR="00765A87" w:rsidRPr="00157DEB">
        <w:rPr>
          <w:kern w:val="14"/>
          <w:lang w:val="fr-FR" w:eastAsia="ja-JP"/>
        </w:rPr>
        <w:t>Durant les trois dernières années, de 2015 à 2017, le fonds a reçu des dons annuels moyens de 3,6 millions de dollars</w:t>
      </w:r>
      <w:r w:rsidR="00BC11F0" w:rsidRPr="00157DEB">
        <w:rPr>
          <w:kern w:val="14"/>
          <w:lang w:val="fr-FR" w:eastAsia="ja-JP"/>
        </w:rPr>
        <w:t xml:space="preserve">. </w:t>
      </w:r>
      <w:r w:rsidR="00765A87" w:rsidRPr="00157DEB">
        <w:rPr>
          <w:kern w:val="14"/>
          <w:lang w:val="fr-FR" w:eastAsia="ja-JP"/>
        </w:rPr>
        <w:t>Même s</w:t>
      </w:r>
      <w:r w:rsidR="00C73372">
        <w:rPr>
          <w:kern w:val="14"/>
          <w:lang w:val="fr-FR" w:eastAsia="ja-JP"/>
        </w:rPr>
        <w:t>’</w:t>
      </w:r>
      <w:r w:rsidR="00765A87" w:rsidRPr="00157DEB">
        <w:rPr>
          <w:kern w:val="14"/>
          <w:lang w:val="fr-FR" w:eastAsia="ja-JP"/>
        </w:rPr>
        <w:t>il est difficile de prévoir le montant des ressources financières dont le fonds disposera durant le deuxième programme de travail,</w:t>
      </w:r>
      <w:r w:rsidR="000F6626" w:rsidRPr="00157DEB">
        <w:rPr>
          <w:kern w:val="14"/>
          <w:lang w:val="fr-FR" w:eastAsia="ja-JP"/>
        </w:rPr>
        <w:t xml:space="preserve"> </w:t>
      </w:r>
      <w:r w:rsidR="00667E84" w:rsidRPr="00157DEB">
        <w:rPr>
          <w:b/>
          <w:kern w:val="14"/>
          <w:lang w:val="fr-FR" w:eastAsia="ja-JP"/>
        </w:rPr>
        <w:t>d</w:t>
      </w:r>
      <w:r w:rsidR="00C73372">
        <w:rPr>
          <w:b/>
          <w:kern w:val="14"/>
          <w:lang w:val="fr-FR" w:eastAsia="ja-JP"/>
        </w:rPr>
        <w:t>’</w:t>
      </w:r>
      <w:r w:rsidR="00667E84" w:rsidRPr="00157DEB">
        <w:rPr>
          <w:b/>
          <w:kern w:val="14"/>
          <w:lang w:val="fr-FR" w:eastAsia="ja-JP"/>
        </w:rPr>
        <w:t>aprè</w:t>
      </w:r>
      <w:r w:rsidR="00FB0BDB">
        <w:rPr>
          <w:b/>
          <w:kern w:val="14"/>
          <w:lang w:val="fr-FR" w:eastAsia="ja-JP"/>
        </w:rPr>
        <w:t>s des estimations prudentes, la </w:t>
      </w:r>
      <w:r w:rsidR="00667E84" w:rsidRPr="00157DEB">
        <w:rPr>
          <w:b/>
          <w:kern w:val="14"/>
          <w:lang w:val="fr-FR" w:eastAsia="ja-JP"/>
        </w:rPr>
        <w:t>Plateforme pourrait bénéficier de recettes a</w:t>
      </w:r>
      <w:r w:rsidR="00E96773">
        <w:rPr>
          <w:b/>
          <w:kern w:val="14"/>
          <w:lang w:val="fr-FR" w:eastAsia="ja-JP"/>
        </w:rPr>
        <w:t>nnuelles régulières d</w:t>
      </w:r>
      <w:r w:rsidR="00C73372">
        <w:rPr>
          <w:b/>
          <w:kern w:val="14"/>
          <w:lang w:val="fr-FR" w:eastAsia="ja-JP"/>
        </w:rPr>
        <w:t>’</w:t>
      </w:r>
      <w:r w:rsidR="00E96773">
        <w:rPr>
          <w:b/>
          <w:kern w:val="14"/>
          <w:lang w:val="fr-FR" w:eastAsia="ja-JP"/>
        </w:rPr>
        <w:t>environ 5 </w:t>
      </w:r>
      <w:r w:rsidR="00667E84" w:rsidRPr="00157DEB">
        <w:rPr>
          <w:b/>
          <w:kern w:val="14"/>
          <w:lang w:val="fr-FR" w:eastAsia="ja-JP"/>
        </w:rPr>
        <w:t>millions</w:t>
      </w:r>
      <w:r w:rsidR="00E96773">
        <w:rPr>
          <w:b/>
          <w:kern w:val="14"/>
          <w:lang w:val="fr-FR" w:eastAsia="ja-JP"/>
        </w:rPr>
        <w:t xml:space="preserve"> de dollars</w:t>
      </w:r>
      <w:r w:rsidR="00FB0BDB">
        <w:rPr>
          <w:kern w:val="14"/>
          <w:lang w:val="fr-FR" w:eastAsia="ja-JP"/>
        </w:rPr>
        <w:t>, en </w:t>
      </w:r>
      <w:r w:rsidR="00667E84" w:rsidRPr="00157DEB">
        <w:rPr>
          <w:kern w:val="14"/>
          <w:lang w:val="fr-FR" w:eastAsia="ja-JP"/>
        </w:rPr>
        <w:t>prenant en compte le fait que l</w:t>
      </w:r>
      <w:r w:rsidR="00C73372">
        <w:rPr>
          <w:kern w:val="14"/>
          <w:lang w:val="fr-FR" w:eastAsia="ja-JP"/>
        </w:rPr>
        <w:t>’</w:t>
      </w:r>
      <w:r w:rsidR="00667E84" w:rsidRPr="00157DEB">
        <w:rPr>
          <w:kern w:val="14"/>
          <w:lang w:val="fr-FR" w:eastAsia="ja-JP"/>
        </w:rPr>
        <w:t>Union européenne s</w:t>
      </w:r>
      <w:r w:rsidR="00C73372">
        <w:rPr>
          <w:kern w:val="14"/>
          <w:lang w:val="fr-FR" w:eastAsia="ja-JP"/>
        </w:rPr>
        <w:t>’</w:t>
      </w:r>
      <w:r w:rsidR="00667E84" w:rsidRPr="00157DEB">
        <w:rPr>
          <w:kern w:val="14"/>
          <w:lang w:val="fr-FR" w:eastAsia="ja-JP"/>
        </w:rPr>
        <w:t xml:space="preserve">est engagée à contribuer au budget de la </w:t>
      </w:r>
      <w:r w:rsidR="00E96773">
        <w:rPr>
          <w:kern w:val="14"/>
          <w:lang w:val="fr-FR" w:eastAsia="ja-JP"/>
        </w:rPr>
        <w:t>Plateforme à concurrence de 1,5 </w:t>
      </w:r>
      <w:r w:rsidR="00667E84" w:rsidRPr="00157DEB">
        <w:rPr>
          <w:kern w:val="14"/>
          <w:lang w:val="fr-FR" w:eastAsia="ja-JP"/>
        </w:rPr>
        <w:t xml:space="preserve">million de dollars par an à compter de </w:t>
      </w:r>
      <w:r w:rsidR="00C80EB1" w:rsidRPr="00157DEB">
        <w:rPr>
          <w:kern w:val="14"/>
          <w:lang w:val="fr-FR" w:eastAsia="ja-JP"/>
        </w:rPr>
        <w:t xml:space="preserve">2018 </w:t>
      </w:r>
      <w:r w:rsidR="00BC11F0" w:rsidRPr="00157DEB">
        <w:rPr>
          <w:kern w:val="14"/>
          <w:lang w:val="fr-FR" w:eastAsia="ja-JP"/>
        </w:rPr>
        <w:t>(IPBES/6/9)</w:t>
      </w:r>
      <w:r w:rsidR="00643498" w:rsidRPr="00157DEB">
        <w:rPr>
          <w:kern w:val="14"/>
          <w:lang w:val="fr-FR" w:eastAsia="ja-JP"/>
        </w:rPr>
        <w:t>.</w:t>
      </w:r>
    </w:p>
    <w:p w14:paraId="11C890EF" w14:textId="2EA70E85" w:rsidR="00CE6210" w:rsidRPr="00157DEB" w:rsidRDefault="00765A87" w:rsidP="00413849">
      <w:pPr>
        <w:pStyle w:val="Normalnumber"/>
        <w:rPr>
          <w:kern w:val="14"/>
          <w:lang w:val="fr-FR" w:eastAsia="ja-JP"/>
        </w:rPr>
      </w:pPr>
      <w:r w:rsidRPr="00157DEB">
        <w:rPr>
          <w:kern w:val="14"/>
          <w:lang w:val="fr-FR" w:eastAsia="ja-JP"/>
        </w:rPr>
        <w:t>La Plateforme a également reçu des contributions en nature d</w:t>
      </w:r>
      <w:r w:rsidR="00C73372">
        <w:rPr>
          <w:kern w:val="14"/>
          <w:lang w:val="fr-FR" w:eastAsia="ja-JP"/>
        </w:rPr>
        <w:t>’</w:t>
      </w:r>
      <w:r w:rsidRPr="00157DEB">
        <w:rPr>
          <w:kern w:val="14"/>
          <w:lang w:val="fr-FR" w:eastAsia="ja-JP"/>
        </w:rPr>
        <w:t>un montant annuel moyen se situant entre 5 et 6 millions de dollars</w:t>
      </w:r>
      <w:r w:rsidR="00CE6210" w:rsidRPr="00157DEB">
        <w:rPr>
          <w:kern w:val="14"/>
          <w:lang w:val="fr-FR" w:eastAsia="ja-JP"/>
        </w:rPr>
        <w:t xml:space="preserve">, </w:t>
      </w:r>
      <w:r w:rsidRPr="00157DEB">
        <w:rPr>
          <w:kern w:val="14"/>
          <w:lang w:val="fr-FR" w:eastAsia="ja-JP"/>
        </w:rPr>
        <w:t xml:space="preserve">permettant de prendre en charges des dépenses qui auraient sinon dû être couvertes par le fonds, telles que la mise à disposition de </w:t>
      </w:r>
      <w:r w:rsidRPr="00157DEB">
        <w:rPr>
          <w:lang w:val="fr-FR"/>
        </w:rPr>
        <w:t>groupes d</w:t>
      </w:r>
      <w:r w:rsidR="00C73372">
        <w:rPr>
          <w:lang w:val="fr-FR"/>
        </w:rPr>
        <w:t>’</w:t>
      </w:r>
      <w:r w:rsidRPr="00157DEB">
        <w:rPr>
          <w:lang w:val="fr-FR"/>
        </w:rPr>
        <w:t>appui technique ou les services d</w:t>
      </w:r>
      <w:r w:rsidR="00C73372">
        <w:rPr>
          <w:lang w:val="fr-FR"/>
        </w:rPr>
        <w:t>’</w:t>
      </w:r>
      <w:r w:rsidRPr="00157DEB">
        <w:rPr>
          <w:lang w:val="fr-FR"/>
        </w:rPr>
        <w:t>appui lors de réunions</w:t>
      </w:r>
      <w:r w:rsidR="00CE6210" w:rsidRPr="00157DEB">
        <w:rPr>
          <w:kern w:val="14"/>
          <w:lang w:val="fr-FR" w:eastAsia="ja-JP"/>
        </w:rPr>
        <w:t xml:space="preserve">. </w:t>
      </w:r>
    </w:p>
    <w:p w14:paraId="566CC982" w14:textId="38FB1AEF" w:rsidR="00CE6210" w:rsidRPr="00157DEB" w:rsidRDefault="00EB6118" w:rsidP="00413849">
      <w:pPr>
        <w:pStyle w:val="Normalnumber"/>
        <w:rPr>
          <w:kern w:val="14"/>
          <w:lang w:val="fr-FR" w:eastAsia="ja-JP"/>
        </w:rPr>
      </w:pPr>
      <w:r w:rsidRPr="00157DEB">
        <w:rPr>
          <w:kern w:val="14"/>
          <w:lang w:val="fr-FR" w:eastAsia="ja-JP"/>
        </w:rPr>
        <w:t>Par ailleurs, la Plateforme a aussi bénéficié de contributions en nature de tous le</w:t>
      </w:r>
      <w:r w:rsidR="00E96773">
        <w:rPr>
          <w:kern w:val="14"/>
          <w:lang w:val="fr-FR" w:eastAsia="ja-JP"/>
        </w:rPr>
        <w:t>s experts qui participent à la P</w:t>
      </w:r>
      <w:r w:rsidRPr="00157DEB">
        <w:rPr>
          <w:kern w:val="14"/>
          <w:lang w:val="fr-FR" w:eastAsia="ja-JP"/>
        </w:rPr>
        <w:t>lateforme et q</w:t>
      </w:r>
      <w:r w:rsidR="00A93021">
        <w:rPr>
          <w:kern w:val="14"/>
          <w:lang w:val="fr-FR" w:eastAsia="ja-JP"/>
        </w:rPr>
        <w:t>ui proposent en moyenne 10 à 20</w:t>
      </w:r>
      <w:r w:rsidRPr="00157DEB">
        <w:rPr>
          <w:kern w:val="14"/>
          <w:lang w:val="fr-FR" w:eastAsia="ja-JP"/>
        </w:rPr>
        <w:t> % de leur temps à titre gracieux, ce qui représente une contribution en nature sup</w:t>
      </w:r>
      <w:r w:rsidR="00A93021">
        <w:rPr>
          <w:kern w:val="14"/>
          <w:lang w:val="fr-FR" w:eastAsia="ja-JP"/>
        </w:rPr>
        <w:t>plémentaire d</w:t>
      </w:r>
      <w:r w:rsidR="00C73372">
        <w:rPr>
          <w:kern w:val="14"/>
          <w:lang w:val="fr-FR" w:eastAsia="ja-JP"/>
        </w:rPr>
        <w:t>’</w:t>
      </w:r>
      <w:r w:rsidR="00A93021">
        <w:rPr>
          <w:kern w:val="14"/>
          <w:lang w:val="fr-FR" w:eastAsia="ja-JP"/>
        </w:rPr>
        <w:t>environ 4,7 à 9,4 </w:t>
      </w:r>
      <w:r w:rsidRPr="00157DEB">
        <w:rPr>
          <w:kern w:val="14"/>
          <w:lang w:val="fr-FR" w:eastAsia="ja-JP"/>
        </w:rPr>
        <w:t>millions par an</w:t>
      </w:r>
      <w:r w:rsidR="00A93021" w:rsidRPr="00157DEB">
        <w:rPr>
          <w:kern w:val="14"/>
          <w:sz w:val="18"/>
          <w:szCs w:val="18"/>
          <w:vertAlign w:val="superscript"/>
          <w:lang w:val="fr-FR" w:eastAsia="ja-JP"/>
        </w:rPr>
        <w:footnoteReference w:id="3"/>
      </w:r>
      <w:r w:rsidR="00CE6210" w:rsidRPr="00157DEB">
        <w:rPr>
          <w:kern w:val="14"/>
          <w:lang w:val="fr-FR" w:eastAsia="ja-JP"/>
        </w:rPr>
        <w:t xml:space="preserve">. </w:t>
      </w:r>
    </w:p>
    <w:p w14:paraId="267B7245" w14:textId="03E4BA3A" w:rsidR="00CE6210" w:rsidRPr="00157DEB" w:rsidRDefault="00765A87" w:rsidP="00413849">
      <w:pPr>
        <w:pStyle w:val="Normalnumber"/>
        <w:rPr>
          <w:kern w:val="14"/>
          <w:lang w:val="fr-FR" w:eastAsia="ja-JP"/>
        </w:rPr>
      </w:pPr>
      <w:r w:rsidRPr="00157DEB">
        <w:rPr>
          <w:kern w:val="14"/>
          <w:lang w:val="fr-FR" w:eastAsia="ja-JP"/>
        </w:rPr>
        <w:t>Enfin, un nombre de plus en plus important d</w:t>
      </w:r>
      <w:r w:rsidR="00C73372">
        <w:rPr>
          <w:kern w:val="14"/>
          <w:lang w:val="fr-FR" w:eastAsia="ja-JP"/>
        </w:rPr>
        <w:t>’</w:t>
      </w:r>
      <w:r w:rsidRPr="00157DEB">
        <w:rPr>
          <w:kern w:val="14"/>
          <w:lang w:val="fr-FR" w:eastAsia="ja-JP"/>
        </w:rPr>
        <w:t>activités qui contribuent à la réalisation des objectifs de la Plateforme</w:t>
      </w:r>
      <w:r w:rsidR="00667E84" w:rsidRPr="00157DEB">
        <w:rPr>
          <w:kern w:val="14"/>
          <w:lang w:val="fr-FR" w:eastAsia="ja-JP"/>
        </w:rPr>
        <w:t xml:space="preserve"> ont été lancées,</w:t>
      </w:r>
      <w:r w:rsidRPr="00157DEB">
        <w:rPr>
          <w:kern w:val="14"/>
          <w:lang w:val="fr-FR" w:eastAsia="ja-JP"/>
        </w:rPr>
        <w:t xml:space="preserve"> sans pour autant avoir été adoptées dans le budget ou figurer dans le programme de travail</w:t>
      </w:r>
      <w:r w:rsidR="00667E84" w:rsidRPr="00157DEB">
        <w:rPr>
          <w:kern w:val="14"/>
          <w:lang w:val="fr-FR" w:eastAsia="ja-JP"/>
        </w:rPr>
        <w:t>,</w:t>
      </w:r>
      <w:r w:rsidRPr="00157DEB">
        <w:rPr>
          <w:kern w:val="14"/>
          <w:lang w:val="fr-FR" w:eastAsia="ja-JP"/>
        </w:rPr>
        <w:t xml:space="preserve"> telles que des activités de renforcement des capacités </w:t>
      </w:r>
      <w:r w:rsidR="00E96773">
        <w:rPr>
          <w:kern w:val="14"/>
          <w:lang w:val="fr-FR" w:eastAsia="ja-JP"/>
        </w:rPr>
        <w:t>grâce à une contribution</w:t>
      </w:r>
      <w:r w:rsidR="00C64CC8" w:rsidRPr="00157DEB">
        <w:rPr>
          <w:kern w:val="14"/>
          <w:lang w:val="fr-FR" w:eastAsia="ja-JP"/>
        </w:rPr>
        <w:t xml:space="preserve"> financière de l</w:t>
      </w:r>
      <w:r w:rsidR="00C73372">
        <w:rPr>
          <w:kern w:val="14"/>
          <w:lang w:val="fr-FR" w:eastAsia="ja-JP"/>
        </w:rPr>
        <w:t>’</w:t>
      </w:r>
      <w:r w:rsidR="00CE6210" w:rsidRPr="00157DEB">
        <w:rPr>
          <w:kern w:val="14"/>
          <w:lang w:val="fr-FR" w:eastAsia="ja-JP"/>
        </w:rPr>
        <w:t>Internat</w:t>
      </w:r>
      <w:r w:rsidR="00882C94" w:rsidRPr="00157DEB">
        <w:rPr>
          <w:kern w:val="14"/>
          <w:lang w:val="fr-FR" w:eastAsia="ja-JP"/>
        </w:rPr>
        <w:t xml:space="preserve">ional Climate Initiative </w:t>
      </w:r>
      <w:r w:rsidR="00C64CC8" w:rsidRPr="00157DEB">
        <w:rPr>
          <w:kern w:val="14"/>
          <w:lang w:val="fr-FR" w:eastAsia="ja-JP"/>
        </w:rPr>
        <w:t>(Allemagne) de 1</w:t>
      </w:r>
      <w:r w:rsidR="00882C94" w:rsidRPr="00157DEB">
        <w:rPr>
          <w:kern w:val="14"/>
          <w:lang w:val="fr-FR" w:eastAsia="ja-JP"/>
        </w:rPr>
        <w:t>0</w:t>
      </w:r>
      <w:r w:rsidR="004A393B" w:rsidRPr="00157DEB">
        <w:rPr>
          <w:kern w:val="14"/>
          <w:lang w:val="fr-FR" w:eastAsia="ja-JP"/>
        </w:rPr>
        <w:t> million</w:t>
      </w:r>
      <w:r w:rsidR="00C64CC8" w:rsidRPr="00157DEB">
        <w:rPr>
          <w:kern w:val="14"/>
          <w:lang w:val="fr-FR" w:eastAsia="ja-JP"/>
        </w:rPr>
        <w:t xml:space="preserve">s de dollars au cours de la période </w:t>
      </w:r>
      <w:r w:rsidR="00882C94" w:rsidRPr="00157DEB">
        <w:rPr>
          <w:kern w:val="14"/>
          <w:lang w:val="fr-FR" w:eastAsia="ja-JP"/>
        </w:rPr>
        <w:t>2016</w:t>
      </w:r>
      <w:r w:rsidR="004A393B" w:rsidRPr="00157DEB">
        <w:rPr>
          <w:kern w:val="14"/>
          <w:lang w:val="fr-FR" w:eastAsia="ja-JP"/>
        </w:rPr>
        <w:t>–</w:t>
      </w:r>
      <w:r w:rsidR="00882C94" w:rsidRPr="00157DEB">
        <w:rPr>
          <w:kern w:val="14"/>
          <w:lang w:val="fr-FR" w:eastAsia="ja-JP"/>
        </w:rPr>
        <w:t>2017</w:t>
      </w:r>
      <w:r w:rsidR="00BC11F0" w:rsidRPr="00157DEB">
        <w:rPr>
          <w:kern w:val="14"/>
          <w:lang w:val="fr-FR" w:eastAsia="ja-JP"/>
        </w:rPr>
        <w:t>, o</w:t>
      </w:r>
      <w:r w:rsidR="00667E84" w:rsidRPr="00157DEB">
        <w:rPr>
          <w:kern w:val="14"/>
          <w:lang w:val="fr-FR" w:eastAsia="ja-JP"/>
        </w:rPr>
        <w:t>u un récent appel à mener des recherches sur les scénarios et les modèles pour la biodiversité et les services écosystémiques, qui a été lancé par le réseau BiodivERsA, financé par l</w:t>
      </w:r>
      <w:r w:rsidR="00C73372">
        <w:rPr>
          <w:kern w:val="14"/>
          <w:lang w:val="fr-FR" w:eastAsia="ja-JP"/>
        </w:rPr>
        <w:t>’</w:t>
      </w:r>
      <w:r w:rsidR="00667E84" w:rsidRPr="00157DEB">
        <w:rPr>
          <w:kern w:val="14"/>
          <w:lang w:val="fr-FR" w:eastAsia="ja-JP"/>
        </w:rPr>
        <w:t>Union européenne, et par le Forum Belmont, doté d</w:t>
      </w:r>
      <w:r w:rsidR="00C73372">
        <w:rPr>
          <w:kern w:val="14"/>
          <w:lang w:val="fr-FR" w:eastAsia="ja-JP"/>
        </w:rPr>
        <w:t>’</w:t>
      </w:r>
      <w:r w:rsidR="00667E84" w:rsidRPr="00157DEB">
        <w:rPr>
          <w:kern w:val="14"/>
          <w:lang w:val="fr-FR" w:eastAsia="ja-JP"/>
        </w:rPr>
        <w:t>un budget d</w:t>
      </w:r>
      <w:r w:rsidR="00C73372">
        <w:rPr>
          <w:kern w:val="14"/>
          <w:lang w:val="fr-FR" w:eastAsia="ja-JP"/>
        </w:rPr>
        <w:t>’</w:t>
      </w:r>
      <w:r w:rsidR="00667E84" w:rsidRPr="00157DEB">
        <w:rPr>
          <w:kern w:val="14"/>
          <w:lang w:val="fr-FR" w:eastAsia="ja-JP"/>
        </w:rPr>
        <w:t>environ 23,5 millions de dollars, afin de s</w:t>
      </w:r>
      <w:r w:rsidR="00C73372">
        <w:rPr>
          <w:kern w:val="14"/>
          <w:lang w:val="fr-FR" w:eastAsia="ja-JP"/>
        </w:rPr>
        <w:t>’</w:t>
      </w:r>
      <w:r w:rsidR="00667E84" w:rsidRPr="00157DEB">
        <w:rPr>
          <w:kern w:val="14"/>
          <w:lang w:val="fr-FR" w:eastAsia="ja-JP"/>
        </w:rPr>
        <w:t>intéresser aux priorités en matière de recherche qui ont été mises en lumière dans l</w:t>
      </w:r>
      <w:r w:rsidR="00C73372">
        <w:rPr>
          <w:kern w:val="14"/>
          <w:lang w:val="fr-FR" w:eastAsia="ja-JP"/>
        </w:rPr>
        <w:t>’</w:t>
      </w:r>
      <w:r w:rsidR="00667E84" w:rsidRPr="00157DEB">
        <w:rPr>
          <w:kern w:val="14"/>
          <w:lang w:val="fr-FR" w:eastAsia="ja-JP"/>
        </w:rPr>
        <w:t>évaluation de la Plateforme sur les scénarios et les modèles</w:t>
      </w:r>
      <w:r w:rsidR="00CE6210" w:rsidRPr="00157DEB">
        <w:rPr>
          <w:kern w:val="14"/>
          <w:lang w:val="fr-FR" w:eastAsia="ja-JP"/>
        </w:rPr>
        <w:t>.</w:t>
      </w:r>
    </w:p>
    <w:p w14:paraId="68DB8613" w14:textId="52D4D171" w:rsidR="00CE6210" w:rsidRPr="00157DEB" w:rsidRDefault="00F11C83" w:rsidP="00A14966">
      <w:pPr>
        <w:pStyle w:val="CH2"/>
        <w:tabs>
          <w:tab w:val="clear" w:pos="624"/>
          <w:tab w:val="left" w:pos="4082"/>
        </w:tabs>
        <w:spacing w:before="80"/>
        <w:ind w:left="1247" w:hanging="1247"/>
        <w:rPr>
          <w:lang w:val="fr-FR"/>
        </w:rPr>
      </w:pPr>
      <w:bookmarkStart w:id="16" w:name="_Toc491886662"/>
      <w:bookmarkStart w:id="17" w:name="_Toc495507349"/>
      <w:r w:rsidRPr="00157DEB">
        <w:rPr>
          <w:lang w:val="fr-FR"/>
        </w:rPr>
        <w:lastRenderedPageBreak/>
        <w:tab/>
        <w:t>B.</w:t>
      </w:r>
      <w:r w:rsidRPr="00157DEB">
        <w:rPr>
          <w:lang w:val="fr-FR"/>
        </w:rPr>
        <w:tab/>
      </w:r>
      <w:bookmarkEnd w:id="16"/>
      <w:r w:rsidR="00452A39" w:rsidRPr="00157DEB">
        <w:rPr>
          <w:lang w:val="fr-FR"/>
        </w:rPr>
        <w:t>Coût estimatif préliminaire à la charge du Fonds d</w:t>
      </w:r>
      <w:r w:rsidR="00C73372">
        <w:rPr>
          <w:lang w:val="fr-FR"/>
        </w:rPr>
        <w:t>’</w:t>
      </w:r>
      <w:r w:rsidR="00452A39" w:rsidRPr="00157DEB">
        <w:rPr>
          <w:lang w:val="fr-FR"/>
        </w:rPr>
        <w:t>affectation spéciale</w:t>
      </w:r>
      <w:r w:rsidR="00CE6210" w:rsidRPr="00157DEB">
        <w:rPr>
          <w:lang w:val="fr-FR"/>
        </w:rPr>
        <w:t xml:space="preserve"> </w:t>
      </w:r>
      <w:bookmarkEnd w:id="17"/>
    </w:p>
    <w:p w14:paraId="602AEB28" w14:textId="62CF2ACA" w:rsidR="000D5516" w:rsidRPr="00157DEB" w:rsidRDefault="009D74B7" w:rsidP="00A14966">
      <w:pPr>
        <w:pStyle w:val="Normalnumber"/>
        <w:keepNext/>
        <w:keepLines/>
        <w:rPr>
          <w:kern w:val="14"/>
          <w:lang w:val="fr-FR" w:eastAsia="ja-JP"/>
        </w:rPr>
      </w:pPr>
      <w:r w:rsidRPr="00157DEB">
        <w:rPr>
          <w:kern w:val="14"/>
          <w:lang w:val="fr-FR" w:eastAsia="ja-JP"/>
        </w:rPr>
        <w:t xml:space="preserve">La présente section contient le coût estimatif de certains des </w:t>
      </w:r>
      <w:r w:rsidR="00A475BE">
        <w:rPr>
          <w:kern w:val="14"/>
          <w:lang w:val="fr-FR" w:eastAsia="ja-JP"/>
        </w:rPr>
        <w:t>éléments essentiels du deuxième </w:t>
      </w:r>
      <w:r w:rsidRPr="00157DEB">
        <w:rPr>
          <w:kern w:val="14"/>
          <w:lang w:val="fr-FR" w:eastAsia="ja-JP"/>
        </w:rPr>
        <w:t>programme de travail</w:t>
      </w:r>
      <w:r w:rsidR="000D5516" w:rsidRPr="00157DEB">
        <w:rPr>
          <w:kern w:val="14"/>
          <w:lang w:val="fr-FR" w:eastAsia="ja-JP"/>
        </w:rPr>
        <w:t xml:space="preserve">. </w:t>
      </w:r>
    </w:p>
    <w:p w14:paraId="4EC6C53F" w14:textId="1C81AEE5" w:rsidR="00823195" w:rsidRPr="00157DEB" w:rsidRDefault="009D74B7" w:rsidP="00A14966">
      <w:pPr>
        <w:pStyle w:val="Normalnumber"/>
        <w:keepNext/>
        <w:keepLines/>
        <w:rPr>
          <w:kern w:val="14"/>
          <w:lang w:val="fr-FR" w:eastAsia="ja-JP"/>
        </w:rPr>
      </w:pPr>
      <w:r w:rsidRPr="00157DEB">
        <w:rPr>
          <w:kern w:val="14"/>
          <w:lang w:val="fr-FR" w:eastAsia="ja-JP"/>
        </w:rPr>
        <w:t>Les dépenses annuelles des organes de la Plateforme et du secrétariat s</w:t>
      </w:r>
      <w:r w:rsidR="00C73372">
        <w:rPr>
          <w:kern w:val="14"/>
          <w:lang w:val="fr-FR" w:eastAsia="ja-JP"/>
        </w:rPr>
        <w:t>’</w:t>
      </w:r>
      <w:r w:rsidRPr="00157DEB">
        <w:rPr>
          <w:kern w:val="14"/>
          <w:lang w:val="fr-FR" w:eastAsia="ja-JP"/>
        </w:rPr>
        <w:t xml:space="preserve">élèveraient respectivement à 1,77 million </w:t>
      </w:r>
      <w:r w:rsidR="00A93021">
        <w:rPr>
          <w:kern w:val="14"/>
          <w:lang w:val="fr-FR" w:eastAsia="ja-JP"/>
        </w:rPr>
        <w:t>de dollars et 2,2 </w:t>
      </w:r>
      <w:r w:rsidRPr="00157DEB">
        <w:rPr>
          <w:kern w:val="14"/>
          <w:lang w:val="fr-FR" w:eastAsia="ja-JP"/>
        </w:rPr>
        <w:t>millions de dollars, comme indiqué plus en détail ci-après, sur la base de dépenses similaires encourues dans le cadre du programme de travail initial</w:t>
      </w:r>
      <w:r w:rsidR="00F57AE0" w:rsidRPr="00157DEB">
        <w:rPr>
          <w:kern w:val="14"/>
          <w:lang w:val="fr-FR" w:eastAsia="ja-JP"/>
        </w:rPr>
        <w:t xml:space="preserve">. </w:t>
      </w:r>
      <w:r w:rsidRPr="00157DEB">
        <w:rPr>
          <w:kern w:val="14"/>
          <w:lang w:val="fr-FR" w:eastAsia="ja-JP"/>
        </w:rPr>
        <w:t>Cela représente un total cumulé annuel de 3,97 millions de dollars, soit un montant pr</w:t>
      </w:r>
      <w:r w:rsidR="00A93021">
        <w:rPr>
          <w:kern w:val="14"/>
          <w:lang w:val="fr-FR" w:eastAsia="ja-JP"/>
        </w:rPr>
        <w:t>oche des 4,3 </w:t>
      </w:r>
      <w:r w:rsidRPr="00157DEB">
        <w:rPr>
          <w:kern w:val="14"/>
          <w:lang w:val="fr-FR" w:eastAsia="ja-JP"/>
        </w:rPr>
        <w:t>millions de dollars, si l</w:t>
      </w:r>
      <w:r w:rsidR="00C73372">
        <w:rPr>
          <w:kern w:val="14"/>
          <w:lang w:val="fr-FR" w:eastAsia="ja-JP"/>
        </w:rPr>
        <w:t>’</w:t>
      </w:r>
      <w:r w:rsidRPr="00157DEB">
        <w:rPr>
          <w:kern w:val="14"/>
          <w:lang w:val="fr-FR" w:eastAsia="ja-JP"/>
        </w:rPr>
        <w:t>on inclut les 8 % de dépenses d</w:t>
      </w:r>
      <w:r w:rsidR="00C73372">
        <w:rPr>
          <w:kern w:val="14"/>
          <w:lang w:val="fr-FR" w:eastAsia="ja-JP"/>
        </w:rPr>
        <w:t>’</w:t>
      </w:r>
      <w:r w:rsidRPr="00157DEB">
        <w:rPr>
          <w:kern w:val="14"/>
          <w:lang w:val="fr-FR" w:eastAsia="ja-JP"/>
        </w:rPr>
        <w:t>appui au programme</w:t>
      </w:r>
      <w:r w:rsidR="00823195" w:rsidRPr="00157DEB">
        <w:rPr>
          <w:kern w:val="14"/>
          <w:lang w:val="fr-FR" w:eastAsia="ja-JP"/>
        </w:rPr>
        <w:t>.</w:t>
      </w:r>
      <w:r w:rsidR="00F57AE0" w:rsidRPr="00157DEB">
        <w:rPr>
          <w:kern w:val="14"/>
          <w:lang w:val="fr-FR" w:eastAsia="ja-JP"/>
        </w:rPr>
        <w:t xml:space="preserve"> </w:t>
      </w:r>
      <w:r w:rsidR="00E96773">
        <w:rPr>
          <w:b/>
          <w:kern w:val="14"/>
          <w:lang w:val="fr-FR" w:eastAsia="ja-JP"/>
        </w:rPr>
        <w:t>Des recettes annuelles de 5 </w:t>
      </w:r>
      <w:r w:rsidRPr="00157DEB">
        <w:rPr>
          <w:b/>
          <w:kern w:val="14"/>
          <w:lang w:val="fr-FR" w:eastAsia="ja-JP"/>
        </w:rPr>
        <w:t>millions de dollars ne laisseraient par conséquent qu</w:t>
      </w:r>
      <w:r w:rsidR="00C73372">
        <w:rPr>
          <w:b/>
          <w:kern w:val="14"/>
          <w:lang w:val="fr-FR" w:eastAsia="ja-JP"/>
        </w:rPr>
        <w:t>’</w:t>
      </w:r>
      <w:r w:rsidRPr="00157DEB">
        <w:rPr>
          <w:b/>
          <w:kern w:val="14"/>
          <w:lang w:val="fr-FR" w:eastAsia="ja-JP"/>
        </w:rPr>
        <w:t>une enveloppe de 0,7 million de dollars pour le programme de travail, ce qui est manifestement insuffisant</w:t>
      </w:r>
      <w:r w:rsidR="00F239C7" w:rsidRPr="00157DEB">
        <w:rPr>
          <w:kern w:val="14"/>
          <w:lang w:val="fr-FR" w:eastAsia="ja-JP"/>
        </w:rPr>
        <w:t>.</w:t>
      </w:r>
      <w:r w:rsidR="008309D4" w:rsidRPr="00157DEB">
        <w:rPr>
          <w:kern w:val="14"/>
          <w:lang w:val="fr-FR" w:eastAsia="ja-JP"/>
        </w:rPr>
        <w:t xml:space="preserve"> </w:t>
      </w:r>
      <w:r w:rsidRPr="00157DEB">
        <w:rPr>
          <w:kern w:val="14"/>
          <w:lang w:val="fr-FR" w:eastAsia="ja-JP"/>
        </w:rPr>
        <w:t>Ainsi, les dépenses annuelles des organes de la Plateforme et du secrétariat seraient réparties comme suit :</w:t>
      </w:r>
    </w:p>
    <w:p w14:paraId="66F77F42" w14:textId="2B00F102" w:rsidR="00823195" w:rsidRPr="00157DEB" w:rsidRDefault="00122090" w:rsidP="00F11C83">
      <w:pPr>
        <w:pStyle w:val="Normalnumber"/>
        <w:numPr>
          <w:ilvl w:val="1"/>
          <w:numId w:val="4"/>
        </w:numPr>
        <w:rPr>
          <w:kern w:val="14"/>
          <w:lang w:val="fr-FR" w:eastAsia="ja-JP"/>
        </w:rPr>
      </w:pPr>
      <w:r w:rsidRPr="00157DEB">
        <w:rPr>
          <w:kern w:val="14"/>
          <w:lang w:val="fr-FR" w:eastAsia="ja-JP"/>
        </w:rPr>
        <w:t>Réunions des organes de la Plateforme :</w:t>
      </w:r>
    </w:p>
    <w:p w14:paraId="3FD9F3E3" w14:textId="5B9991D0" w:rsidR="00823195" w:rsidRPr="00157DEB" w:rsidRDefault="00823195" w:rsidP="00F11C83">
      <w:pPr>
        <w:pStyle w:val="Normalnumber"/>
        <w:numPr>
          <w:ilvl w:val="2"/>
          <w:numId w:val="4"/>
        </w:numPr>
        <w:rPr>
          <w:kern w:val="14"/>
          <w:lang w:val="fr-FR" w:eastAsia="ja-JP"/>
        </w:rPr>
      </w:pPr>
      <w:r w:rsidRPr="00157DEB">
        <w:rPr>
          <w:kern w:val="14"/>
          <w:lang w:val="fr-FR" w:eastAsia="ja-JP"/>
        </w:rPr>
        <w:t>Pl</w:t>
      </w:r>
      <w:r w:rsidR="00A93021">
        <w:rPr>
          <w:kern w:val="14"/>
          <w:lang w:val="fr-FR" w:eastAsia="ja-JP"/>
        </w:rPr>
        <w:t>énière : 1,5 </w:t>
      </w:r>
      <w:r w:rsidR="00122090" w:rsidRPr="00157DEB">
        <w:rPr>
          <w:kern w:val="14"/>
          <w:lang w:val="fr-FR" w:eastAsia="ja-JP"/>
        </w:rPr>
        <w:t>million de dollars par session ;</w:t>
      </w:r>
      <w:r w:rsidRPr="00157DEB">
        <w:rPr>
          <w:kern w:val="14"/>
          <w:lang w:val="fr-FR" w:eastAsia="ja-JP"/>
        </w:rPr>
        <w:t xml:space="preserve"> </w:t>
      </w:r>
    </w:p>
    <w:p w14:paraId="276E12A6" w14:textId="3DCED967" w:rsidR="00823195" w:rsidRPr="00157DEB" w:rsidRDefault="00122090" w:rsidP="00F11C83">
      <w:pPr>
        <w:pStyle w:val="Normalnumber"/>
        <w:numPr>
          <w:ilvl w:val="2"/>
          <w:numId w:val="4"/>
        </w:numPr>
        <w:rPr>
          <w:kern w:val="14"/>
          <w:lang w:val="fr-FR" w:eastAsia="ja-JP"/>
        </w:rPr>
      </w:pPr>
      <w:r w:rsidRPr="00157DEB">
        <w:rPr>
          <w:lang w:val="fr-FR"/>
        </w:rPr>
        <w:t>Groupe d</w:t>
      </w:r>
      <w:r w:rsidR="00C73372">
        <w:rPr>
          <w:lang w:val="fr-FR"/>
        </w:rPr>
        <w:t>’</w:t>
      </w:r>
      <w:r w:rsidRPr="00157DEB">
        <w:rPr>
          <w:lang w:val="fr-FR"/>
        </w:rPr>
        <w:t>experts multidisciplinaire et Bureau :</w:t>
      </w:r>
      <w:r w:rsidRPr="00157DEB">
        <w:rPr>
          <w:kern w:val="14"/>
          <w:lang w:val="fr-FR" w:eastAsia="ja-JP"/>
        </w:rPr>
        <w:t xml:space="preserve"> </w:t>
      </w:r>
      <w:r w:rsidR="00823195" w:rsidRPr="00157DEB">
        <w:rPr>
          <w:kern w:val="14"/>
          <w:lang w:val="fr-FR" w:eastAsia="ja-JP"/>
        </w:rPr>
        <w:t>250</w:t>
      </w:r>
      <w:r w:rsidRPr="00157DEB">
        <w:rPr>
          <w:kern w:val="14"/>
          <w:lang w:val="fr-FR" w:eastAsia="ja-JP"/>
        </w:rPr>
        <w:t> </w:t>
      </w:r>
      <w:r w:rsidR="00E96773">
        <w:rPr>
          <w:kern w:val="14"/>
          <w:lang w:val="fr-FR" w:eastAsia="ja-JP"/>
        </w:rPr>
        <w:t>000 </w:t>
      </w:r>
      <w:r w:rsidRPr="00157DEB">
        <w:rPr>
          <w:kern w:val="14"/>
          <w:lang w:val="fr-FR" w:eastAsia="ja-JP"/>
        </w:rPr>
        <w:t xml:space="preserve">dollars par an, ce qui représente deux réunions annuelles du </w:t>
      </w:r>
      <w:r w:rsidRPr="00157DEB">
        <w:rPr>
          <w:lang w:val="fr-FR"/>
        </w:rPr>
        <w:t>Groupe d</w:t>
      </w:r>
      <w:r w:rsidR="00C73372">
        <w:rPr>
          <w:lang w:val="fr-FR"/>
        </w:rPr>
        <w:t>’</w:t>
      </w:r>
      <w:r w:rsidRPr="00157DEB">
        <w:rPr>
          <w:lang w:val="fr-FR"/>
        </w:rPr>
        <w:t>experts et du Bureau ;</w:t>
      </w:r>
      <w:r w:rsidR="00823195" w:rsidRPr="00157DEB">
        <w:rPr>
          <w:kern w:val="14"/>
          <w:lang w:val="fr-FR" w:eastAsia="ja-JP"/>
        </w:rPr>
        <w:t xml:space="preserve">  </w:t>
      </w:r>
    </w:p>
    <w:p w14:paraId="44CE3336" w14:textId="44222676" w:rsidR="00823195" w:rsidRPr="00157DEB" w:rsidRDefault="00122090" w:rsidP="00122090">
      <w:pPr>
        <w:pStyle w:val="Normalnumber"/>
        <w:numPr>
          <w:ilvl w:val="2"/>
          <w:numId w:val="4"/>
        </w:numPr>
        <w:rPr>
          <w:kern w:val="14"/>
          <w:lang w:val="fr-FR" w:eastAsia="ja-JP"/>
        </w:rPr>
      </w:pPr>
      <w:r w:rsidRPr="00157DEB">
        <w:rPr>
          <w:kern w:val="14"/>
          <w:lang w:val="fr-FR" w:eastAsia="ja-JP"/>
        </w:rPr>
        <w:t xml:space="preserve">Frais de voyage du Président : </w:t>
      </w:r>
      <w:r w:rsidR="00823195" w:rsidRPr="00157DEB">
        <w:rPr>
          <w:kern w:val="14"/>
          <w:lang w:val="fr-FR" w:eastAsia="ja-JP"/>
        </w:rPr>
        <w:t>20</w:t>
      </w:r>
      <w:r w:rsidRPr="00157DEB">
        <w:rPr>
          <w:kern w:val="14"/>
          <w:lang w:val="fr-FR" w:eastAsia="ja-JP"/>
        </w:rPr>
        <w:t> </w:t>
      </w:r>
      <w:r w:rsidR="00E96773">
        <w:rPr>
          <w:kern w:val="14"/>
          <w:lang w:val="fr-FR" w:eastAsia="ja-JP"/>
        </w:rPr>
        <w:t>000 </w:t>
      </w:r>
      <w:r w:rsidRPr="00157DEB">
        <w:rPr>
          <w:kern w:val="14"/>
          <w:lang w:val="fr-FR" w:eastAsia="ja-JP"/>
        </w:rPr>
        <w:t>dollars par an ;</w:t>
      </w:r>
    </w:p>
    <w:p w14:paraId="358F6E58" w14:textId="4A102FD3" w:rsidR="00823195" w:rsidRPr="00157DEB" w:rsidRDefault="00122090" w:rsidP="00F11C83">
      <w:pPr>
        <w:pStyle w:val="Normalnumber"/>
        <w:numPr>
          <w:ilvl w:val="1"/>
          <w:numId w:val="4"/>
        </w:numPr>
        <w:rPr>
          <w:kern w:val="14"/>
          <w:lang w:val="fr-FR" w:eastAsia="ja-JP"/>
        </w:rPr>
      </w:pPr>
      <w:r w:rsidRPr="00157DEB">
        <w:rPr>
          <w:kern w:val="14"/>
          <w:lang w:val="fr-FR" w:eastAsia="ja-JP"/>
        </w:rPr>
        <w:t xml:space="preserve">Secrétariat : </w:t>
      </w:r>
      <w:r w:rsidR="00823195" w:rsidRPr="00157DEB">
        <w:rPr>
          <w:kern w:val="14"/>
          <w:lang w:val="fr-FR" w:eastAsia="ja-JP"/>
        </w:rPr>
        <w:t>2</w:t>
      </w:r>
      <w:r w:rsidRPr="00157DEB">
        <w:rPr>
          <w:kern w:val="14"/>
          <w:lang w:val="fr-FR" w:eastAsia="ja-JP"/>
        </w:rPr>
        <w:t>,</w:t>
      </w:r>
      <w:r w:rsidR="00823195" w:rsidRPr="00157DEB">
        <w:rPr>
          <w:kern w:val="14"/>
          <w:lang w:val="fr-FR" w:eastAsia="ja-JP"/>
        </w:rPr>
        <w:t>2</w:t>
      </w:r>
      <w:r w:rsidR="00F57AE0" w:rsidRPr="00157DEB">
        <w:rPr>
          <w:kern w:val="14"/>
          <w:lang w:val="fr-FR" w:eastAsia="ja-JP"/>
        </w:rPr>
        <w:t> million</w:t>
      </w:r>
      <w:r w:rsidRPr="00157DEB">
        <w:rPr>
          <w:kern w:val="14"/>
          <w:lang w:val="fr-FR" w:eastAsia="ja-JP"/>
        </w:rPr>
        <w:t>s par an</w:t>
      </w:r>
      <w:r w:rsidR="00823195" w:rsidRPr="00157DEB">
        <w:rPr>
          <w:kern w:val="14"/>
          <w:lang w:val="fr-FR" w:eastAsia="ja-JP"/>
        </w:rPr>
        <w:t xml:space="preserve">, </w:t>
      </w:r>
      <w:r w:rsidR="00C80414" w:rsidRPr="00157DEB">
        <w:rPr>
          <w:kern w:val="14"/>
          <w:lang w:val="fr-FR" w:eastAsia="ja-JP"/>
        </w:rPr>
        <w:t>sur la base du budget approuvé pour l</w:t>
      </w:r>
      <w:r w:rsidR="00C73372">
        <w:rPr>
          <w:kern w:val="14"/>
          <w:lang w:val="fr-FR" w:eastAsia="ja-JP"/>
        </w:rPr>
        <w:t>’</w:t>
      </w:r>
      <w:r w:rsidR="00C80414" w:rsidRPr="00157DEB">
        <w:rPr>
          <w:kern w:val="14"/>
          <w:lang w:val="fr-FR" w:eastAsia="ja-JP"/>
        </w:rPr>
        <w:t>année 2017 ainsi que des dépenses de fonctionnement et de la composition actuelle du secrétariat</w:t>
      </w:r>
      <w:r w:rsidR="003C2C0F" w:rsidRPr="00157DEB">
        <w:rPr>
          <w:kern w:val="14"/>
          <w:lang w:val="fr-FR" w:eastAsia="ja-JP"/>
        </w:rPr>
        <w:t xml:space="preserve"> (document IPBES/6/9)</w:t>
      </w:r>
      <w:r w:rsidR="00F57AE0" w:rsidRPr="00157DEB">
        <w:rPr>
          <w:kern w:val="14"/>
          <w:lang w:val="fr-FR" w:eastAsia="ja-JP"/>
        </w:rPr>
        <w:t>.</w:t>
      </w:r>
    </w:p>
    <w:p w14:paraId="64B53A87" w14:textId="3D098342" w:rsidR="00533897" w:rsidRPr="00157DEB" w:rsidRDefault="00452A39" w:rsidP="00413849">
      <w:pPr>
        <w:pStyle w:val="Normalnumber"/>
        <w:rPr>
          <w:kern w:val="14"/>
          <w:lang w:val="fr-FR" w:eastAsia="ja-JP"/>
        </w:rPr>
      </w:pPr>
      <w:r w:rsidRPr="00157DEB">
        <w:rPr>
          <w:kern w:val="14"/>
          <w:lang w:val="fr-FR" w:eastAsia="ja-JP"/>
        </w:rPr>
        <w:t>Les coûts estimatifs de certains des éléments du programme de travail</w:t>
      </w:r>
      <w:r w:rsidR="00FE127A">
        <w:rPr>
          <w:kern w:val="14"/>
          <w:lang w:val="fr-FR" w:eastAsia="ja-JP"/>
        </w:rPr>
        <w:t>, y compris l</w:t>
      </w:r>
      <w:r w:rsidR="00C73372">
        <w:rPr>
          <w:kern w:val="14"/>
          <w:lang w:val="fr-FR" w:eastAsia="ja-JP"/>
        </w:rPr>
        <w:t>’</w:t>
      </w:r>
      <w:r w:rsidR="00FE127A">
        <w:rPr>
          <w:kern w:val="14"/>
          <w:lang w:val="fr-FR" w:eastAsia="ja-JP"/>
        </w:rPr>
        <w:t xml:space="preserve">appui technique, </w:t>
      </w:r>
      <w:r w:rsidRPr="00157DEB">
        <w:rPr>
          <w:kern w:val="14"/>
          <w:lang w:val="fr-FR" w:eastAsia="ja-JP"/>
        </w:rPr>
        <w:t>seraient les suivants :</w:t>
      </w:r>
    </w:p>
    <w:p w14:paraId="7073150F" w14:textId="0FCC4BDF" w:rsidR="006A0EE2" w:rsidRPr="00157DEB" w:rsidRDefault="009D74B7" w:rsidP="00F11C83">
      <w:pPr>
        <w:pStyle w:val="Normalnumber"/>
        <w:numPr>
          <w:ilvl w:val="1"/>
          <w:numId w:val="4"/>
        </w:numPr>
        <w:rPr>
          <w:kern w:val="14"/>
          <w:lang w:val="fr-FR" w:eastAsia="ja-JP"/>
        </w:rPr>
      </w:pPr>
      <w:r w:rsidRPr="00157DEB">
        <w:rPr>
          <w:kern w:val="14"/>
          <w:lang w:val="fr-FR" w:eastAsia="ja-JP"/>
        </w:rPr>
        <w:t>Une évaluation mondiale/régionale intégrée, telle que</w:t>
      </w:r>
      <w:r w:rsidR="00E96773">
        <w:rPr>
          <w:kern w:val="14"/>
          <w:lang w:val="fr-FR" w:eastAsia="ja-JP"/>
        </w:rPr>
        <w:t xml:space="preserve"> décrite au paragraphe </w:t>
      </w:r>
      <w:r w:rsidRPr="00157DEB">
        <w:rPr>
          <w:kern w:val="14"/>
          <w:lang w:val="fr-FR" w:eastAsia="ja-JP"/>
        </w:rPr>
        <w:t xml:space="preserve">21 de la présente note : </w:t>
      </w:r>
      <w:r w:rsidR="00CE6210" w:rsidRPr="00157DEB">
        <w:rPr>
          <w:kern w:val="14"/>
          <w:lang w:val="fr-FR" w:eastAsia="ja-JP"/>
        </w:rPr>
        <w:t>4</w:t>
      </w:r>
      <w:r w:rsidRPr="00157DEB">
        <w:rPr>
          <w:kern w:val="14"/>
          <w:lang w:val="fr-FR" w:eastAsia="ja-JP"/>
        </w:rPr>
        <w:t xml:space="preserve"> à 5</w:t>
      </w:r>
      <w:r w:rsidR="00E96773">
        <w:rPr>
          <w:kern w:val="14"/>
          <w:lang w:val="fr-FR" w:eastAsia="ja-JP"/>
        </w:rPr>
        <w:t> </w:t>
      </w:r>
      <w:r w:rsidR="00A33D47" w:rsidRPr="00157DEB">
        <w:rPr>
          <w:kern w:val="14"/>
          <w:lang w:val="fr-FR" w:eastAsia="ja-JP"/>
        </w:rPr>
        <w:t>million</w:t>
      </w:r>
      <w:r w:rsidRPr="00157DEB">
        <w:rPr>
          <w:kern w:val="14"/>
          <w:lang w:val="fr-FR" w:eastAsia="ja-JP"/>
        </w:rPr>
        <w:t>s de dollars sur une période de trois à quatre ans ;</w:t>
      </w:r>
    </w:p>
    <w:p w14:paraId="5199E47A" w14:textId="6C8B77CD" w:rsidR="006A0EE2" w:rsidRPr="00157DEB" w:rsidRDefault="009D74B7" w:rsidP="00F11C83">
      <w:pPr>
        <w:pStyle w:val="Normalnumber"/>
        <w:numPr>
          <w:ilvl w:val="1"/>
          <w:numId w:val="4"/>
        </w:numPr>
        <w:rPr>
          <w:kern w:val="14"/>
          <w:lang w:val="fr-FR" w:eastAsia="ja-JP"/>
        </w:rPr>
      </w:pPr>
      <w:r w:rsidRPr="00157DEB">
        <w:rPr>
          <w:kern w:val="14"/>
          <w:lang w:val="fr-FR" w:eastAsia="ja-JP"/>
        </w:rPr>
        <w:t xml:space="preserve">Une évaluation des questions interdépendantes, </w:t>
      </w:r>
      <w:r w:rsidR="00E96773">
        <w:rPr>
          <w:kern w:val="14"/>
          <w:lang w:val="fr-FR" w:eastAsia="ja-JP"/>
        </w:rPr>
        <w:t>telle que décrite au paragraphe </w:t>
      </w:r>
      <w:r w:rsidR="003C2C0F" w:rsidRPr="00157DEB">
        <w:rPr>
          <w:kern w:val="14"/>
          <w:lang w:val="fr-FR" w:eastAsia="ja-JP"/>
        </w:rPr>
        <w:t>19</w:t>
      </w:r>
      <w:r w:rsidR="000C15B4">
        <w:rPr>
          <w:kern w:val="14"/>
          <w:lang w:val="fr-FR" w:eastAsia="ja-JP"/>
        </w:rPr>
        <w:t> : 1,5 à 2,5 </w:t>
      </w:r>
      <w:r w:rsidRPr="00157DEB">
        <w:rPr>
          <w:kern w:val="14"/>
          <w:lang w:val="fr-FR" w:eastAsia="ja-JP"/>
        </w:rPr>
        <w:t>millions de dollars sur une période de trois à quatre ans, en fonction de la complexité de l</w:t>
      </w:r>
      <w:r w:rsidR="00C73372">
        <w:rPr>
          <w:kern w:val="14"/>
          <w:lang w:val="fr-FR" w:eastAsia="ja-JP"/>
        </w:rPr>
        <w:t>’</w:t>
      </w:r>
      <w:r w:rsidRPr="00157DEB">
        <w:rPr>
          <w:kern w:val="14"/>
          <w:lang w:val="fr-FR" w:eastAsia="ja-JP"/>
        </w:rPr>
        <w:t>évaluation et du domaine couvert par celle-ci ;</w:t>
      </w:r>
      <w:r w:rsidR="00CE6210" w:rsidRPr="00157DEB">
        <w:rPr>
          <w:kern w:val="14"/>
          <w:lang w:val="fr-FR" w:eastAsia="ja-JP"/>
        </w:rPr>
        <w:t xml:space="preserve"> </w:t>
      </w:r>
    </w:p>
    <w:p w14:paraId="31603067" w14:textId="6F81A604" w:rsidR="006A0EE2" w:rsidRPr="00157DEB" w:rsidRDefault="003C49D5" w:rsidP="00F11C83">
      <w:pPr>
        <w:pStyle w:val="Normalnumber"/>
        <w:numPr>
          <w:ilvl w:val="1"/>
          <w:numId w:val="4"/>
        </w:numPr>
        <w:rPr>
          <w:kern w:val="14"/>
          <w:lang w:val="fr-FR" w:eastAsia="ja-JP"/>
        </w:rPr>
      </w:pPr>
      <w:r w:rsidRPr="00157DEB">
        <w:rPr>
          <w:kern w:val="14"/>
          <w:lang w:val="fr-FR" w:eastAsia="ja-JP"/>
        </w:rPr>
        <w:t>Une évaluation thématique ou</w:t>
      </w:r>
      <w:r w:rsidR="007F2C2A">
        <w:rPr>
          <w:kern w:val="14"/>
          <w:lang w:val="fr-FR" w:eastAsia="ja-JP"/>
        </w:rPr>
        <w:t xml:space="preserve"> méthodologique ordinaire : 1,5 </w:t>
      </w:r>
      <w:r w:rsidRPr="00157DEB">
        <w:rPr>
          <w:kern w:val="14"/>
          <w:lang w:val="fr-FR" w:eastAsia="ja-JP"/>
        </w:rPr>
        <w:t>million de dollars sur trois ans ;</w:t>
      </w:r>
      <w:r w:rsidR="00CE6210" w:rsidRPr="00157DEB">
        <w:rPr>
          <w:kern w:val="14"/>
          <w:lang w:val="fr-FR" w:eastAsia="ja-JP"/>
        </w:rPr>
        <w:t xml:space="preserve"> </w:t>
      </w:r>
    </w:p>
    <w:p w14:paraId="771908DD" w14:textId="4181E633" w:rsidR="006A0EE2" w:rsidRPr="00157DEB" w:rsidRDefault="003C49D5" w:rsidP="00F11C83">
      <w:pPr>
        <w:pStyle w:val="Normalnumber"/>
        <w:numPr>
          <w:ilvl w:val="1"/>
          <w:numId w:val="4"/>
        </w:numPr>
        <w:rPr>
          <w:kern w:val="14"/>
          <w:lang w:val="fr-FR" w:eastAsia="ja-JP"/>
        </w:rPr>
      </w:pPr>
      <w:r w:rsidRPr="00157DEB">
        <w:rPr>
          <w:kern w:val="14"/>
          <w:lang w:val="fr-FR" w:eastAsia="ja-JP"/>
        </w:rPr>
        <w:t>Une évaluation thématique ou méthodologique rapide :</w:t>
      </w:r>
      <w:r w:rsidR="00CE6210" w:rsidRPr="00157DEB">
        <w:rPr>
          <w:kern w:val="14"/>
          <w:lang w:val="fr-FR" w:eastAsia="ja-JP"/>
        </w:rPr>
        <w:t xml:space="preserve"> </w:t>
      </w:r>
      <w:r w:rsidRPr="00157DEB">
        <w:rPr>
          <w:kern w:val="14"/>
          <w:lang w:val="fr-FR" w:eastAsia="ja-JP"/>
        </w:rPr>
        <w:t xml:space="preserve">entre </w:t>
      </w:r>
      <w:r w:rsidR="00CE6210" w:rsidRPr="00157DEB">
        <w:rPr>
          <w:kern w:val="14"/>
          <w:lang w:val="fr-FR" w:eastAsia="ja-JP"/>
        </w:rPr>
        <w:t>700</w:t>
      </w:r>
      <w:r w:rsidRPr="00157DEB">
        <w:rPr>
          <w:kern w:val="14"/>
          <w:lang w:val="fr-FR" w:eastAsia="ja-JP"/>
        </w:rPr>
        <w:t> </w:t>
      </w:r>
      <w:r w:rsidR="00CE6210" w:rsidRPr="00157DEB">
        <w:rPr>
          <w:kern w:val="14"/>
          <w:lang w:val="fr-FR" w:eastAsia="ja-JP"/>
        </w:rPr>
        <w:t>000</w:t>
      </w:r>
      <w:r w:rsidR="00D41948" w:rsidRPr="00157DEB">
        <w:rPr>
          <w:kern w:val="14"/>
          <w:lang w:val="fr-FR" w:eastAsia="ja-JP"/>
        </w:rPr>
        <w:t xml:space="preserve"> </w:t>
      </w:r>
      <w:r w:rsidRPr="00157DEB">
        <w:rPr>
          <w:kern w:val="14"/>
          <w:lang w:val="fr-FR" w:eastAsia="ja-JP"/>
        </w:rPr>
        <w:t xml:space="preserve">dollars et </w:t>
      </w:r>
      <w:r w:rsidR="00D41948" w:rsidRPr="00157DEB">
        <w:rPr>
          <w:kern w:val="14"/>
          <w:lang w:val="fr-FR" w:eastAsia="ja-JP"/>
        </w:rPr>
        <w:t>1</w:t>
      </w:r>
      <w:r w:rsidR="00A33D47" w:rsidRPr="00157DEB">
        <w:rPr>
          <w:kern w:val="14"/>
          <w:lang w:val="fr-FR" w:eastAsia="ja-JP"/>
        </w:rPr>
        <w:t> million</w:t>
      </w:r>
      <w:r w:rsidRPr="00157DEB">
        <w:rPr>
          <w:kern w:val="14"/>
          <w:lang w:val="fr-FR" w:eastAsia="ja-JP"/>
        </w:rPr>
        <w:t xml:space="preserve"> de dollars sur deux ans ;</w:t>
      </w:r>
    </w:p>
    <w:p w14:paraId="719A81E2" w14:textId="6D4FD8B7" w:rsidR="006A0EE2" w:rsidRPr="00157DEB" w:rsidRDefault="009D74B7" w:rsidP="00F11C83">
      <w:pPr>
        <w:pStyle w:val="Normalnumber"/>
        <w:numPr>
          <w:ilvl w:val="1"/>
          <w:numId w:val="4"/>
        </w:numPr>
        <w:rPr>
          <w:kern w:val="14"/>
          <w:lang w:val="fr-FR" w:eastAsia="ja-JP"/>
        </w:rPr>
      </w:pPr>
      <w:r w:rsidRPr="00157DEB">
        <w:rPr>
          <w:kern w:val="14"/>
          <w:lang w:val="fr-FR" w:eastAsia="ja-JP"/>
        </w:rPr>
        <w:t>Une réunion d</w:t>
      </w:r>
      <w:r w:rsidR="00C73372">
        <w:rPr>
          <w:kern w:val="14"/>
          <w:lang w:val="fr-FR" w:eastAsia="ja-JP"/>
        </w:rPr>
        <w:t>’</w:t>
      </w:r>
      <w:r w:rsidRPr="00157DEB">
        <w:rPr>
          <w:kern w:val="14"/>
          <w:lang w:val="fr-FR" w:eastAsia="ja-JP"/>
        </w:rPr>
        <w:t>une équipe spéciale</w:t>
      </w:r>
      <w:r w:rsidR="006A0EE2" w:rsidRPr="00157DEB">
        <w:rPr>
          <w:kern w:val="14"/>
          <w:lang w:val="fr-FR" w:eastAsia="ja-JP"/>
        </w:rPr>
        <w:t xml:space="preserve">, </w:t>
      </w:r>
      <w:r w:rsidRPr="00157DEB">
        <w:rPr>
          <w:kern w:val="14"/>
          <w:lang w:val="fr-FR" w:eastAsia="ja-JP"/>
        </w:rPr>
        <w:t>d</w:t>
      </w:r>
      <w:r w:rsidR="00C73372">
        <w:rPr>
          <w:kern w:val="14"/>
          <w:lang w:val="fr-FR" w:eastAsia="ja-JP"/>
        </w:rPr>
        <w:t>’</w:t>
      </w:r>
      <w:r w:rsidRPr="00157DEB">
        <w:rPr>
          <w:kern w:val="14"/>
          <w:lang w:val="fr-FR" w:eastAsia="ja-JP"/>
        </w:rPr>
        <w:t>une durée moyenne de trois jours et composée de 20</w:t>
      </w:r>
      <w:r w:rsidR="000C15B4">
        <w:rPr>
          <w:kern w:val="14"/>
          <w:lang w:val="fr-FR" w:eastAsia="ja-JP"/>
        </w:rPr>
        <w:t> </w:t>
      </w:r>
      <w:r w:rsidR="006A0EE2" w:rsidRPr="00157DEB">
        <w:rPr>
          <w:kern w:val="14"/>
          <w:lang w:val="fr-FR" w:eastAsia="ja-JP"/>
        </w:rPr>
        <w:t>participants</w:t>
      </w:r>
      <w:r w:rsidRPr="00157DEB">
        <w:rPr>
          <w:kern w:val="14"/>
          <w:lang w:val="fr-FR" w:eastAsia="ja-JP"/>
        </w:rPr>
        <w:t> :</w:t>
      </w:r>
      <w:r w:rsidR="006A0EE2" w:rsidRPr="00157DEB">
        <w:rPr>
          <w:kern w:val="14"/>
          <w:lang w:val="fr-FR" w:eastAsia="ja-JP"/>
        </w:rPr>
        <w:t xml:space="preserve"> 40</w:t>
      </w:r>
      <w:r w:rsidRPr="00157DEB">
        <w:rPr>
          <w:kern w:val="14"/>
          <w:lang w:val="fr-FR" w:eastAsia="ja-JP"/>
        </w:rPr>
        <w:t> </w:t>
      </w:r>
      <w:r w:rsidR="006A0EE2" w:rsidRPr="00157DEB">
        <w:rPr>
          <w:kern w:val="14"/>
          <w:lang w:val="fr-FR" w:eastAsia="ja-JP"/>
        </w:rPr>
        <w:t>000</w:t>
      </w:r>
      <w:r w:rsidR="007F2C2A">
        <w:rPr>
          <w:kern w:val="14"/>
          <w:lang w:val="fr-FR" w:eastAsia="ja-JP"/>
        </w:rPr>
        <w:t> </w:t>
      </w:r>
      <w:r w:rsidRPr="00157DEB">
        <w:rPr>
          <w:kern w:val="14"/>
          <w:lang w:val="fr-FR" w:eastAsia="ja-JP"/>
        </w:rPr>
        <w:t>dollars ;</w:t>
      </w:r>
      <w:r w:rsidR="006A0EE2" w:rsidRPr="00157DEB">
        <w:rPr>
          <w:kern w:val="14"/>
          <w:lang w:val="fr-FR" w:eastAsia="ja-JP"/>
        </w:rPr>
        <w:t xml:space="preserve"> </w:t>
      </w:r>
    </w:p>
    <w:p w14:paraId="24974648" w14:textId="3BDE3AA6" w:rsidR="006A0EE2" w:rsidRPr="00157DEB" w:rsidRDefault="003C49D5" w:rsidP="00F11C83">
      <w:pPr>
        <w:pStyle w:val="Normalnumber"/>
        <w:numPr>
          <w:ilvl w:val="1"/>
          <w:numId w:val="4"/>
        </w:numPr>
        <w:rPr>
          <w:kern w:val="14"/>
          <w:lang w:val="fr-FR" w:eastAsia="ja-JP"/>
        </w:rPr>
      </w:pPr>
      <w:r w:rsidRPr="00157DEB">
        <w:rPr>
          <w:kern w:val="14"/>
          <w:lang w:val="fr-FR" w:eastAsia="ja-JP"/>
        </w:rPr>
        <w:t>Activités de renforcement des capacités :</w:t>
      </w:r>
      <w:r w:rsidR="00453979" w:rsidRPr="00157DEB">
        <w:rPr>
          <w:kern w:val="14"/>
          <w:lang w:val="fr-FR" w:eastAsia="ja-JP"/>
        </w:rPr>
        <w:t xml:space="preserve"> </w:t>
      </w:r>
      <w:r w:rsidR="00CE6210" w:rsidRPr="00157DEB">
        <w:rPr>
          <w:kern w:val="14"/>
          <w:lang w:val="fr-FR" w:eastAsia="ja-JP"/>
        </w:rPr>
        <w:t>350</w:t>
      </w:r>
      <w:r w:rsidR="004A174D" w:rsidRPr="00157DEB">
        <w:rPr>
          <w:kern w:val="14"/>
          <w:lang w:val="fr-FR" w:eastAsia="ja-JP"/>
        </w:rPr>
        <w:t> </w:t>
      </w:r>
      <w:r w:rsidR="00FE127A">
        <w:rPr>
          <w:kern w:val="14"/>
          <w:lang w:val="fr-FR" w:eastAsia="ja-JP"/>
        </w:rPr>
        <w:t>000 </w:t>
      </w:r>
      <w:r w:rsidR="00461E1A" w:rsidRPr="00157DEB">
        <w:rPr>
          <w:kern w:val="14"/>
          <w:lang w:val="fr-FR" w:eastAsia="ja-JP"/>
        </w:rPr>
        <w:t>dollars par an ;</w:t>
      </w:r>
    </w:p>
    <w:p w14:paraId="4883DEC5" w14:textId="638AFB5E" w:rsidR="006A0EE2" w:rsidRPr="00157DEB" w:rsidRDefault="00461E1A" w:rsidP="00F11C83">
      <w:pPr>
        <w:pStyle w:val="Normalnumber"/>
        <w:numPr>
          <w:ilvl w:val="1"/>
          <w:numId w:val="4"/>
        </w:numPr>
        <w:rPr>
          <w:kern w:val="14"/>
          <w:lang w:val="fr-FR" w:eastAsia="ja-JP"/>
        </w:rPr>
      </w:pPr>
      <w:r w:rsidRPr="00157DEB">
        <w:rPr>
          <w:kern w:val="14"/>
          <w:lang w:val="fr-FR" w:eastAsia="ja-JP"/>
        </w:rPr>
        <w:t>Sensibilisation et c</w:t>
      </w:r>
      <w:r w:rsidR="00FE127A">
        <w:rPr>
          <w:kern w:val="14"/>
          <w:lang w:val="fr-FR" w:eastAsia="ja-JP"/>
        </w:rPr>
        <w:t>ommunication</w:t>
      </w:r>
      <w:r w:rsidRPr="00157DEB">
        <w:rPr>
          <w:kern w:val="14"/>
          <w:lang w:val="fr-FR" w:eastAsia="ja-JP"/>
        </w:rPr>
        <w:t xml:space="preserve"> générales :</w:t>
      </w:r>
      <w:r w:rsidR="00CE6210" w:rsidRPr="00157DEB">
        <w:rPr>
          <w:kern w:val="14"/>
          <w:lang w:val="fr-FR" w:eastAsia="ja-JP"/>
        </w:rPr>
        <w:t xml:space="preserve"> 250</w:t>
      </w:r>
      <w:r w:rsidRPr="00157DEB">
        <w:rPr>
          <w:kern w:val="14"/>
          <w:lang w:val="fr-FR" w:eastAsia="ja-JP"/>
        </w:rPr>
        <w:t> </w:t>
      </w:r>
      <w:r w:rsidR="00CE6210" w:rsidRPr="00157DEB">
        <w:rPr>
          <w:kern w:val="14"/>
          <w:lang w:val="fr-FR" w:eastAsia="ja-JP"/>
        </w:rPr>
        <w:t>000</w:t>
      </w:r>
      <w:r w:rsidR="00FE127A">
        <w:rPr>
          <w:kern w:val="14"/>
          <w:lang w:val="fr-FR" w:eastAsia="ja-JP"/>
        </w:rPr>
        <w:t> </w:t>
      </w:r>
      <w:r w:rsidRPr="00157DEB">
        <w:rPr>
          <w:kern w:val="14"/>
          <w:lang w:val="fr-FR" w:eastAsia="ja-JP"/>
        </w:rPr>
        <w:t>dollars par an ;</w:t>
      </w:r>
    </w:p>
    <w:p w14:paraId="1B6DDEA2" w14:textId="376AA801" w:rsidR="00CE6210" w:rsidRPr="00157DEB" w:rsidRDefault="003C49D5" w:rsidP="00F11C83">
      <w:pPr>
        <w:pStyle w:val="Normalnumber"/>
        <w:numPr>
          <w:ilvl w:val="1"/>
          <w:numId w:val="4"/>
        </w:numPr>
        <w:rPr>
          <w:kern w:val="14"/>
          <w:lang w:val="fr-FR" w:eastAsia="ja-JP"/>
        </w:rPr>
      </w:pPr>
      <w:r w:rsidRPr="00157DEB">
        <w:rPr>
          <w:kern w:val="14"/>
          <w:lang w:val="fr-FR" w:eastAsia="ja-JP"/>
        </w:rPr>
        <w:t>Des dép</w:t>
      </w:r>
      <w:r w:rsidR="00FE127A">
        <w:rPr>
          <w:kern w:val="14"/>
          <w:lang w:val="fr-FR" w:eastAsia="ja-JP"/>
        </w:rPr>
        <w:t>enses d</w:t>
      </w:r>
      <w:r w:rsidR="00C73372">
        <w:rPr>
          <w:kern w:val="14"/>
          <w:lang w:val="fr-FR" w:eastAsia="ja-JP"/>
        </w:rPr>
        <w:t>’</w:t>
      </w:r>
      <w:r w:rsidR="00FE127A">
        <w:rPr>
          <w:kern w:val="14"/>
          <w:lang w:val="fr-FR" w:eastAsia="ja-JP"/>
        </w:rPr>
        <w:t>appui au programme de 8</w:t>
      </w:r>
      <w:r w:rsidRPr="00157DEB">
        <w:rPr>
          <w:kern w:val="14"/>
          <w:lang w:val="fr-FR" w:eastAsia="ja-JP"/>
        </w:rPr>
        <w:t> % continueraient de s</w:t>
      </w:r>
      <w:r w:rsidR="00C73372">
        <w:rPr>
          <w:kern w:val="14"/>
          <w:lang w:val="fr-FR" w:eastAsia="ja-JP"/>
        </w:rPr>
        <w:t>’</w:t>
      </w:r>
      <w:r w:rsidRPr="00157DEB">
        <w:rPr>
          <w:kern w:val="14"/>
          <w:lang w:val="fr-FR" w:eastAsia="ja-JP"/>
        </w:rPr>
        <w:t>appliquer à toutes les dépenses engagées</w:t>
      </w:r>
      <w:r w:rsidR="00CE6210" w:rsidRPr="00157DEB">
        <w:rPr>
          <w:kern w:val="14"/>
          <w:lang w:val="fr-FR" w:eastAsia="ja-JP"/>
        </w:rPr>
        <w:t>.</w:t>
      </w:r>
    </w:p>
    <w:p w14:paraId="6102C018" w14:textId="58269675" w:rsidR="00CE6210" w:rsidRPr="00157DEB" w:rsidRDefault="005F7536" w:rsidP="005F7536">
      <w:pPr>
        <w:pStyle w:val="Normalnumber"/>
        <w:rPr>
          <w:kern w:val="14"/>
          <w:lang w:val="fr-FR" w:eastAsia="ja-JP"/>
        </w:rPr>
      </w:pPr>
      <w:r w:rsidRPr="00157DEB">
        <w:rPr>
          <w:kern w:val="14"/>
          <w:lang w:val="fr-FR" w:eastAsia="ja-JP"/>
        </w:rPr>
        <w:t>On part de l</w:t>
      </w:r>
      <w:r w:rsidR="00C73372">
        <w:rPr>
          <w:kern w:val="14"/>
          <w:lang w:val="fr-FR" w:eastAsia="ja-JP"/>
        </w:rPr>
        <w:t>’</w:t>
      </w:r>
      <w:r w:rsidRPr="00157DEB">
        <w:rPr>
          <w:kern w:val="14"/>
          <w:lang w:val="fr-FR" w:eastAsia="ja-JP"/>
        </w:rPr>
        <w:t>hypothèse que les contributions en nature continueraient d</w:t>
      </w:r>
      <w:r w:rsidR="00C73372">
        <w:rPr>
          <w:kern w:val="14"/>
          <w:lang w:val="fr-FR" w:eastAsia="ja-JP"/>
        </w:rPr>
        <w:t>’</w:t>
      </w:r>
      <w:r w:rsidRPr="00157DEB">
        <w:rPr>
          <w:kern w:val="14"/>
          <w:lang w:val="fr-FR" w:eastAsia="ja-JP"/>
        </w:rPr>
        <w:t>être reçues pour :</w:t>
      </w:r>
    </w:p>
    <w:p w14:paraId="4190515B" w14:textId="6953142F" w:rsidR="00CE6210" w:rsidRPr="00157DEB" w:rsidRDefault="005F7536" w:rsidP="00F11C83">
      <w:pPr>
        <w:pStyle w:val="Normalnumber"/>
        <w:numPr>
          <w:ilvl w:val="1"/>
          <w:numId w:val="4"/>
        </w:numPr>
        <w:rPr>
          <w:kern w:val="14"/>
          <w:lang w:val="fr-FR" w:eastAsia="ja-JP"/>
        </w:rPr>
      </w:pPr>
      <w:r w:rsidRPr="00157DEB">
        <w:rPr>
          <w:kern w:val="14"/>
          <w:lang w:val="fr-FR" w:eastAsia="ja-JP"/>
        </w:rPr>
        <w:t>Le temps que les experts consacrent à la Plateforme à titre gracieux ;</w:t>
      </w:r>
    </w:p>
    <w:p w14:paraId="588DD478" w14:textId="19009BD6" w:rsidR="00CE6210" w:rsidRPr="00157DEB" w:rsidRDefault="005F7536" w:rsidP="00F11C83">
      <w:pPr>
        <w:pStyle w:val="Normalnumber"/>
        <w:numPr>
          <w:ilvl w:val="1"/>
          <w:numId w:val="4"/>
        </w:numPr>
        <w:rPr>
          <w:kern w:val="14"/>
          <w:lang w:val="fr-FR" w:eastAsia="ja-JP"/>
        </w:rPr>
      </w:pPr>
      <w:r w:rsidRPr="00157DEB">
        <w:rPr>
          <w:kern w:val="14"/>
          <w:lang w:val="fr-FR" w:eastAsia="ja-JP"/>
        </w:rPr>
        <w:t>L</w:t>
      </w:r>
      <w:r w:rsidR="00C73372">
        <w:rPr>
          <w:kern w:val="14"/>
          <w:lang w:val="fr-FR" w:eastAsia="ja-JP"/>
        </w:rPr>
        <w:t>’</w:t>
      </w:r>
      <w:r w:rsidRPr="00157DEB">
        <w:rPr>
          <w:kern w:val="14"/>
          <w:lang w:val="fr-FR" w:eastAsia="ja-JP"/>
        </w:rPr>
        <w:t>a</w:t>
      </w:r>
      <w:r w:rsidR="003C49D5" w:rsidRPr="00157DEB">
        <w:rPr>
          <w:kern w:val="14"/>
          <w:lang w:val="fr-FR" w:eastAsia="ja-JP"/>
        </w:rPr>
        <w:t xml:space="preserve">ppui technique </w:t>
      </w:r>
      <w:r w:rsidRPr="00157DEB">
        <w:rPr>
          <w:kern w:val="14"/>
          <w:lang w:val="fr-FR" w:eastAsia="ja-JP"/>
        </w:rPr>
        <w:t>total ou partiel</w:t>
      </w:r>
      <w:r w:rsidR="00CE6210" w:rsidRPr="00157DEB">
        <w:rPr>
          <w:kern w:val="14"/>
          <w:lang w:val="fr-FR" w:eastAsia="ja-JP"/>
        </w:rPr>
        <w:t xml:space="preserve"> </w:t>
      </w:r>
      <w:r w:rsidR="003C49D5" w:rsidRPr="00157DEB">
        <w:rPr>
          <w:kern w:val="14"/>
          <w:lang w:val="fr-FR" w:eastAsia="ja-JP"/>
        </w:rPr>
        <w:t>pour des produits spécifiques ;</w:t>
      </w:r>
    </w:p>
    <w:p w14:paraId="541CD336" w14:textId="79F4034A" w:rsidR="00CE6210" w:rsidRPr="00157DEB" w:rsidRDefault="005F7536" w:rsidP="005F7536">
      <w:pPr>
        <w:pStyle w:val="Normalnumber"/>
        <w:numPr>
          <w:ilvl w:val="1"/>
          <w:numId w:val="4"/>
        </w:numPr>
        <w:rPr>
          <w:kern w:val="14"/>
          <w:lang w:val="fr-FR" w:eastAsia="ja-JP"/>
        </w:rPr>
      </w:pPr>
      <w:r w:rsidRPr="00157DEB">
        <w:rPr>
          <w:kern w:val="14"/>
          <w:lang w:val="fr-FR" w:eastAsia="ja-JP"/>
        </w:rPr>
        <w:t xml:space="preserve">Certaines réunions, afin de couvrir les dépenses afférentes aux lieux de tenue des réunions et/ou les frais de voyage des </w:t>
      </w:r>
      <w:r w:rsidR="00CE6210" w:rsidRPr="00157DEB">
        <w:rPr>
          <w:kern w:val="14"/>
          <w:lang w:val="fr-FR" w:eastAsia="ja-JP"/>
        </w:rPr>
        <w:t>participants.</w:t>
      </w:r>
    </w:p>
    <w:p w14:paraId="70DFB3BA" w14:textId="57A503D8" w:rsidR="00CE6210" w:rsidRPr="00157DEB" w:rsidRDefault="00F75A52" w:rsidP="00413849">
      <w:pPr>
        <w:pStyle w:val="Normalnumber"/>
        <w:rPr>
          <w:kern w:val="14"/>
          <w:lang w:val="fr-FR" w:eastAsia="ja-JP"/>
        </w:rPr>
      </w:pPr>
      <w:r w:rsidRPr="00157DEB">
        <w:rPr>
          <w:kern w:val="14"/>
          <w:lang w:val="fr-FR" w:eastAsia="ja-JP"/>
        </w:rPr>
        <w:t>On suppose que les éléments suivants du programme de travail continueront d</w:t>
      </w:r>
      <w:r w:rsidR="00C73372">
        <w:rPr>
          <w:kern w:val="14"/>
          <w:lang w:val="fr-FR" w:eastAsia="ja-JP"/>
        </w:rPr>
        <w:t>’</w:t>
      </w:r>
      <w:r w:rsidRPr="00157DEB">
        <w:rPr>
          <w:kern w:val="14"/>
          <w:lang w:val="fr-FR" w:eastAsia="ja-JP"/>
        </w:rPr>
        <w:t xml:space="preserve">être pris en charge par des activités qui permettent de lever des fonds et sont </w:t>
      </w:r>
      <w:r w:rsidRPr="00157DEB">
        <w:rPr>
          <w:lang w:val="fr-FR"/>
        </w:rPr>
        <w:t>encouragées ou facilitées par la Plateforme :</w:t>
      </w:r>
    </w:p>
    <w:p w14:paraId="50FEE31A" w14:textId="3E218FAA" w:rsidR="00CE6210" w:rsidRPr="00157DEB" w:rsidRDefault="00F75A52" w:rsidP="00F11C83">
      <w:pPr>
        <w:pStyle w:val="Normalnumber"/>
        <w:numPr>
          <w:ilvl w:val="1"/>
          <w:numId w:val="4"/>
        </w:numPr>
        <w:rPr>
          <w:kern w:val="14"/>
          <w:lang w:val="fr-FR" w:eastAsia="ja-JP"/>
        </w:rPr>
      </w:pPr>
      <w:r w:rsidRPr="00157DEB">
        <w:rPr>
          <w:kern w:val="14"/>
          <w:lang w:val="fr-FR" w:eastAsia="ja-JP"/>
        </w:rPr>
        <w:t>Activités de renforcement des capacités pour appuyer la mise en œuvre de la Plateforme ;</w:t>
      </w:r>
      <w:r w:rsidR="00CE6210" w:rsidRPr="00157DEB">
        <w:rPr>
          <w:kern w:val="14"/>
          <w:lang w:val="fr-FR" w:eastAsia="ja-JP"/>
        </w:rPr>
        <w:t xml:space="preserve"> </w:t>
      </w:r>
    </w:p>
    <w:p w14:paraId="5D5B3216" w14:textId="6AC5396C" w:rsidR="00CE6210" w:rsidRPr="00157DEB" w:rsidRDefault="00461E1A" w:rsidP="00F75A52">
      <w:pPr>
        <w:pStyle w:val="Normalnumber"/>
        <w:numPr>
          <w:ilvl w:val="1"/>
          <w:numId w:val="4"/>
        </w:numPr>
        <w:rPr>
          <w:kern w:val="14"/>
          <w:lang w:val="fr-FR" w:eastAsia="ja-JP"/>
        </w:rPr>
      </w:pPr>
      <w:r w:rsidRPr="00157DEB">
        <w:rPr>
          <w:kern w:val="14"/>
          <w:lang w:val="fr-FR" w:eastAsia="ja-JP"/>
        </w:rPr>
        <w:t xml:space="preserve">Activités de production de connaissances </w:t>
      </w:r>
      <w:r w:rsidR="00F75A52" w:rsidRPr="00157DEB">
        <w:rPr>
          <w:kern w:val="14"/>
          <w:lang w:val="fr-FR" w:eastAsia="ja-JP"/>
        </w:rPr>
        <w:t>afin de combler les lacunes recensées par la Plateforme ;</w:t>
      </w:r>
    </w:p>
    <w:p w14:paraId="0E9D6770" w14:textId="0A1FA3A2" w:rsidR="00CE6210" w:rsidRPr="00157DEB" w:rsidRDefault="00F75A52" w:rsidP="00F11C83">
      <w:pPr>
        <w:pStyle w:val="Normalnumber"/>
        <w:numPr>
          <w:ilvl w:val="1"/>
          <w:numId w:val="4"/>
        </w:numPr>
        <w:rPr>
          <w:kern w:val="14"/>
          <w:lang w:val="fr-FR" w:eastAsia="ja-JP"/>
        </w:rPr>
      </w:pPr>
      <w:r w:rsidRPr="00157DEB">
        <w:rPr>
          <w:kern w:val="14"/>
          <w:lang w:val="fr-FR" w:eastAsia="ja-JP"/>
        </w:rPr>
        <w:lastRenderedPageBreak/>
        <w:t>Autres activités menées par des organisations partenaires, telles que des activités d</w:t>
      </w:r>
      <w:r w:rsidR="00C73372">
        <w:rPr>
          <w:kern w:val="14"/>
          <w:lang w:val="fr-FR" w:eastAsia="ja-JP"/>
        </w:rPr>
        <w:t>’</w:t>
      </w:r>
      <w:r w:rsidRPr="00157DEB">
        <w:rPr>
          <w:kern w:val="14"/>
          <w:lang w:val="fr-FR" w:eastAsia="ja-JP"/>
        </w:rPr>
        <w:t>appui aux efforts de la Pl</w:t>
      </w:r>
      <w:r w:rsidR="00FE127A">
        <w:rPr>
          <w:kern w:val="14"/>
          <w:lang w:val="fr-FR" w:eastAsia="ja-JP"/>
        </w:rPr>
        <w:t>ateforme dans le domaine de la communicatio</w:t>
      </w:r>
      <w:r w:rsidR="00A475BE">
        <w:rPr>
          <w:kern w:val="14"/>
          <w:lang w:val="fr-FR" w:eastAsia="ja-JP"/>
        </w:rPr>
        <w:t>n</w:t>
      </w:r>
      <w:r w:rsidRPr="00157DEB">
        <w:rPr>
          <w:kern w:val="14"/>
          <w:lang w:val="fr-FR" w:eastAsia="ja-JP"/>
        </w:rPr>
        <w:t xml:space="preserve"> et de la sensibilisation</w:t>
      </w:r>
      <w:r w:rsidR="00CE6210" w:rsidRPr="00157DEB">
        <w:rPr>
          <w:kern w:val="14"/>
          <w:lang w:val="fr-FR" w:eastAsia="ja-JP"/>
        </w:rPr>
        <w:t>.</w:t>
      </w:r>
    </w:p>
    <w:tbl>
      <w:tblPr>
        <w:tblW w:w="0" w:type="auto"/>
        <w:tblLook w:val="01E0" w:firstRow="1" w:lastRow="1" w:firstColumn="1" w:lastColumn="1" w:noHBand="0" w:noVBand="0"/>
      </w:tblPr>
      <w:tblGrid>
        <w:gridCol w:w="3237"/>
        <w:gridCol w:w="3237"/>
        <w:gridCol w:w="3238"/>
      </w:tblGrid>
      <w:tr w:rsidR="005269C4" w:rsidRPr="00F75E86" w14:paraId="123E54B4" w14:textId="77777777">
        <w:tc>
          <w:tcPr>
            <w:tcW w:w="3237" w:type="dxa"/>
          </w:tcPr>
          <w:p w14:paraId="5D13E2A1" w14:textId="77777777" w:rsidR="005269C4" w:rsidRPr="00157DEB" w:rsidRDefault="005269C4" w:rsidP="003503B8">
            <w:pPr>
              <w:pStyle w:val="Normal-pool"/>
              <w:spacing w:before="520"/>
              <w:rPr>
                <w:lang w:val="fr-FR"/>
              </w:rPr>
            </w:pPr>
          </w:p>
        </w:tc>
        <w:tc>
          <w:tcPr>
            <w:tcW w:w="3237" w:type="dxa"/>
            <w:tcBorders>
              <w:bottom w:val="single" w:sz="4" w:space="0" w:color="auto"/>
            </w:tcBorders>
          </w:tcPr>
          <w:p w14:paraId="5EEA2FD3" w14:textId="77777777" w:rsidR="005269C4" w:rsidRPr="00157DEB" w:rsidRDefault="005269C4" w:rsidP="003503B8">
            <w:pPr>
              <w:pStyle w:val="Normal-pool"/>
              <w:spacing w:before="520"/>
              <w:rPr>
                <w:lang w:val="fr-FR"/>
              </w:rPr>
            </w:pPr>
          </w:p>
        </w:tc>
        <w:tc>
          <w:tcPr>
            <w:tcW w:w="3238" w:type="dxa"/>
          </w:tcPr>
          <w:p w14:paraId="59399CB9" w14:textId="77777777" w:rsidR="005269C4" w:rsidRPr="00157DEB" w:rsidRDefault="005269C4" w:rsidP="003503B8">
            <w:pPr>
              <w:pStyle w:val="Normal-pool"/>
              <w:spacing w:before="520"/>
              <w:rPr>
                <w:lang w:val="fr-FR"/>
              </w:rPr>
            </w:pPr>
          </w:p>
        </w:tc>
      </w:tr>
    </w:tbl>
    <w:p w14:paraId="7C443BA7" w14:textId="77777777" w:rsidR="00B85A41" w:rsidRPr="00157DEB" w:rsidRDefault="00B85A41" w:rsidP="00F9078B">
      <w:pPr>
        <w:rPr>
          <w:lang w:val="fr-FR"/>
        </w:rPr>
      </w:pPr>
    </w:p>
    <w:sectPr w:rsidR="00B85A41" w:rsidRPr="00157DEB" w:rsidSect="00727860">
      <w:headerReference w:type="even" r:id="rId19"/>
      <w:headerReference w:type="default" r:id="rId20"/>
      <w:footerReference w:type="even" r:id="rId21"/>
      <w:footerReference w:type="default" r:id="rId22"/>
      <w:headerReference w:type="first" r:id="rId23"/>
      <w:footerReference w:type="first" r:id="rId24"/>
      <w:pgSz w:w="12240" w:h="15840" w:code="1"/>
      <w:pgMar w:top="907" w:right="992" w:bottom="1418" w:left="1418" w:header="539" w:footer="975"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F8CA3" w14:textId="77777777" w:rsidR="008616DA" w:rsidRDefault="008616DA">
      <w:r>
        <w:separator/>
      </w:r>
    </w:p>
    <w:p w14:paraId="39B30D2D" w14:textId="77777777" w:rsidR="008616DA" w:rsidRDefault="008616DA"/>
  </w:endnote>
  <w:endnote w:type="continuationSeparator" w:id="0">
    <w:p w14:paraId="097DA0CC" w14:textId="77777777" w:rsidR="008616DA" w:rsidRDefault="008616DA">
      <w:r>
        <w:continuationSeparator/>
      </w:r>
    </w:p>
    <w:p w14:paraId="338E5FAB" w14:textId="77777777" w:rsidR="008616DA" w:rsidRDefault="00861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Univers">
    <w:altName w:val="Univers"/>
    <w:charset w:val="00"/>
    <w:family w:val="swiss"/>
    <w:pitch w:val="variable"/>
    <w:sig w:usb0="80000287" w:usb1="00000000" w:usb2="00000000" w:usb3="00000000" w:csb0="0000000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15FC9" w14:textId="68AC4A82" w:rsidR="00574C43" w:rsidRDefault="00574C43" w:rsidP="003503B8">
    <w:pPr>
      <w:pStyle w:val="Footer"/>
    </w:pPr>
    <w:r>
      <w:rPr>
        <w:rStyle w:val="PageNumber"/>
      </w:rPr>
      <w:fldChar w:fldCharType="begin"/>
    </w:r>
    <w:r>
      <w:rPr>
        <w:rStyle w:val="PageNumber"/>
      </w:rPr>
      <w:instrText xml:space="preserve"> PAGE </w:instrText>
    </w:r>
    <w:r>
      <w:rPr>
        <w:rStyle w:val="PageNumber"/>
      </w:rPr>
      <w:fldChar w:fldCharType="separate"/>
    </w:r>
    <w:r w:rsidR="00DC72C0">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F4221" w14:textId="7F68555C" w:rsidR="00574C43" w:rsidRDefault="00574C43" w:rsidP="003503B8">
    <w:pPr>
      <w:pStyle w:val="Footer"/>
      <w:jc w:val="right"/>
    </w:pPr>
    <w:r>
      <w:rPr>
        <w:rStyle w:val="PageNumber"/>
      </w:rPr>
      <w:fldChar w:fldCharType="begin"/>
    </w:r>
    <w:r>
      <w:rPr>
        <w:rStyle w:val="PageNumber"/>
      </w:rPr>
      <w:instrText xml:space="preserve"> PAGE </w:instrText>
    </w:r>
    <w:r>
      <w:rPr>
        <w:rStyle w:val="PageNumber"/>
      </w:rPr>
      <w:fldChar w:fldCharType="separate"/>
    </w:r>
    <w:r w:rsidR="00DC72C0">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4FC2E" w14:textId="448FEB11" w:rsidR="00574C43" w:rsidRPr="00225E39" w:rsidRDefault="00574C43" w:rsidP="00225E39">
    <w:pPr>
      <w:pStyle w:val="Footer"/>
      <w:tabs>
        <w:tab w:val="clear" w:pos="1247"/>
        <w:tab w:val="clear" w:pos="1814"/>
        <w:tab w:val="clear" w:pos="2381"/>
        <w:tab w:val="clear" w:pos="2948"/>
        <w:tab w:val="clear" w:pos="3515"/>
        <w:tab w:val="clear" w:pos="4320"/>
        <w:tab w:val="clear" w:pos="8640"/>
        <w:tab w:val="left" w:pos="624"/>
      </w:tabs>
      <w:rPr>
        <w:sz w:val="20"/>
      </w:rPr>
    </w:pPr>
    <w:r w:rsidRPr="00225E39">
      <w:rPr>
        <w:sz w:val="20"/>
      </w:rPr>
      <w:t>K170930</w:t>
    </w:r>
    <w:r w:rsidR="00FC6D51">
      <w:rPr>
        <w:sz w:val="20"/>
      </w:rPr>
      <w:t>5</w:t>
    </w:r>
    <w:r w:rsidRPr="00225E39">
      <w:rPr>
        <w:sz w:val="20"/>
      </w:rPr>
      <w:tab/>
    </w:r>
    <w:r w:rsidR="00F75E86">
      <w:rPr>
        <w:sz w:val="20"/>
      </w:rPr>
      <w:t>0202</w:t>
    </w:r>
    <w:r w:rsidR="00FC6D51">
      <w:rPr>
        <w:sz w:val="20"/>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C8E3D" w14:textId="77777777" w:rsidR="008616DA" w:rsidRDefault="008616DA" w:rsidP="00B2239E">
      <w:pPr>
        <w:spacing w:before="60"/>
        <w:ind w:left="624"/>
      </w:pPr>
      <w:r>
        <w:separator/>
      </w:r>
    </w:p>
  </w:footnote>
  <w:footnote w:type="continuationSeparator" w:id="0">
    <w:p w14:paraId="46F16C3B" w14:textId="77777777" w:rsidR="008616DA" w:rsidRDefault="008616DA">
      <w:r>
        <w:continuationSeparator/>
      </w:r>
    </w:p>
    <w:p w14:paraId="36D1F2E5" w14:textId="77777777" w:rsidR="008616DA" w:rsidRDefault="008616DA"/>
  </w:footnote>
  <w:footnote w:id="1">
    <w:p w14:paraId="14A2A73D" w14:textId="77777777" w:rsidR="00574C43" w:rsidRPr="00FC6D51" w:rsidRDefault="00574C43" w:rsidP="00E255F9">
      <w:pPr>
        <w:pStyle w:val="FootnoteText"/>
        <w:tabs>
          <w:tab w:val="clear" w:pos="1247"/>
          <w:tab w:val="clear" w:pos="1814"/>
          <w:tab w:val="clear" w:pos="2381"/>
          <w:tab w:val="clear" w:pos="2948"/>
          <w:tab w:val="clear" w:pos="3515"/>
          <w:tab w:val="left" w:pos="624"/>
        </w:tabs>
        <w:rPr>
          <w:lang w:val="fr-FR"/>
        </w:rPr>
      </w:pPr>
      <w:r w:rsidRPr="00FC6D51">
        <w:rPr>
          <w:rStyle w:val="FootnoteReference"/>
          <w:vertAlign w:val="baseline"/>
          <w:lang w:val="fr-FR"/>
        </w:rPr>
        <w:t>*</w:t>
      </w:r>
      <w:r w:rsidRPr="00FC6D51">
        <w:rPr>
          <w:lang w:val="fr-FR"/>
        </w:rPr>
        <w:t xml:space="preserve"> </w:t>
      </w:r>
      <w:r w:rsidRPr="00FC6D51">
        <w:rPr>
          <w:szCs w:val="18"/>
          <w:lang w:val="fr-FR"/>
        </w:rPr>
        <w:t>IPBES/6/1.</w:t>
      </w:r>
    </w:p>
  </w:footnote>
  <w:footnote w:id="2">
    <w:p w14:paraId="31402F30" w14:textId="77777777" w:rsidR="00C73372" w:rsidRPr="00FC6D51" w:rsidRDefault="00C73372" w:rsidP="00C73372">
      <w:pPr>
        <w:pStyle w:val="FootnoteText"/>
        <w:rPr>
          <w:lang w:val="fr-FR"/>
        </w:rPr>
      </w:pPr>
      <w:r>
        <w:rPr>
          <w:rStyle w:val="FootnoteReference"/>
        </w:rPr>
        <w:footnoteRef/>
      </w:r>
      <w:r w:rsidRPr="00FC6D51">
        <w:rPr>
          <w:lang w:val="fr-FR"/>
        </w:rPr>
        <w:t xml:space="preserve"> IPBES/6/11.</w:t>
      </w:r>
    </w:p>
  </w:footnote>
  <w:footnote w:id="3">
    <w:p w14:paraId="692D9BB8" w14:textId="17203BD5" w:rsidR="00A93021" w:rsidRPr="00FC6D51" w:rsidRDefault="00A93021" w:rsidP="00A93021">
      <w:pPr>
        <w:pStyle w:val="FootnoteText"/>
        <w:tabs>
          <w:tab w:val="clear" w:pos="1247"/>
          <w:tab w:val="clear" w:pos="1814"/>
          <w:tab w:val="clear" w:pos="2381"/>
          <w:tab w:val="clear" w:pos="2948"/>
          <w:tab w:val="clear" w:pos="3515"/>
          <w:tab w:val="left" w:pos="624"/>
        </w:tabs>
        <w:rPr>
          <w:szCs w:val="18"/>
        </w:rPr>
      </w:pPr>
      <w:r w:rsidRPr="00B2239E">
        <w:rPr>
          <w:rStyle w:val="FootnoteReference"/>
          <w:sz w:val="18"/>
        </w:rPr>
        <w:footnoteRef/>
      </w:r>
      <w:r w:rsidRPr="00FC6D51">
        <w:rPr>
          <w:szCs w:val="18"/>
          <w:lang w:val="fr-FR"/>
        </w:rPr>
        <w:t xml:space="preserve"> </w:t>
      </w:r>
      <w:r w:rsidRPr="0085712E">
        <w:rPr>
          <w:szCs w:val="18"/>
          <w:lang w:val="fr-FR"/>
        </w:rPr>
        <w:t>Ces estim</w:t>
      </w:r>
      <w:r>
        <w:rPr>
          <w:szCs w:val="18"/>
          <w:lang w:val="fr-FR"/>
        </w:rPr>
        <w:t>ations prennent en compte 1 172 </w:t>
      </w:r>
      <w:r w:rsidRPr="0085712E">
        <w:rPr>
          <w:szCs w:val="18"/>
          <w:lang w:val="fr-FR"/>
        </w:rPr>
        <w:t>experts pour 2016, 984 pour 2015 et 559 pour 2014</w:t>
      </w:r>
      <w:r>
        <w:rPr>
          <w:szCs w:val="18"/>
          <w:lang w:val="fr-FR"/>
        </w:rPr>
        <w:t xml:space="preserve">. Elles </w:t>
      </w:r>
      <w:r w:rsidRPr="0085712E">
        <w:rPr>
          <w:szCs w:val="18"/>
          <w:lang w:val="fr-FR"/>
        </w:rPr>
        <w:t>ont été calculées en utilisant un sala</w:t>
      </w:r>
      <w:r>
        <w:rPr>
          <w:szCs w:val="18"/>
          <w:lang w:val="fr-FR"/>
        </w:rPr>
        <w:t>ire académique annuel de 52 000 </w:t>
      </w:r>
      <w:r w:rsidRPr="0085712E">
        <w:rPr>
          <w:szCs w:val="18"/>
          <w:lang w:val="fr-FR"/>
        </w:rPr>
        <w:t>dollars correspondant à la moyenne des salaires à parité de pouvoir d’achat dans 28</w:t>
      </w:r>
      <w:r>
        <w:rPr>
          <w:szCs w:val="18"/>
          <w:lang w:val="fr-FR"/>
        </w:rPr>
        <w:t> </w:t>
      </w:r>
      <w:r w:rsidRPr="0085712E">
        <w:rPr>
          <w:szCs w:val="18"/>
          <w:lang w:val="fr-FR"/>
        </w:rPr>
        <w:t>pays représentatifs de la diversité géographique des pays membres de</w:t>
      </w:r>
      <w:r w:rsidR="002B475A">
        <w:rPr>
          <w:szCs w:val="18"/>
          <w:lang w:val="fr-FR"/>
        </w:rPr>
        <w:t xml:space="preserve"> la Plateforme. La </w:t>
      </w:r>
      <w:r w:rsidRPr="0085712E">
        <w:rPr>
          <w:szCs w:val="18"/>
          <w:lang w:val="fr-FR"/>
        </w:rPr>
        <w:t>moyenne des salaires à parité de pouvoir d’achat pour les 28 pays est détaillée dans l’étude ci-après</w:t>
      </w:r>
      <w:r>
        <w:rPr>
          <w:szCs w:val="18"/>
          <w:lang w:val="fr-FR"/>
        </w:rPr>
        <w:t> :</w:t>
      </w:r>
      <w:r w:rsidRPr="0085712E">
        <w:rPr>
          <w:szCs w:val="18"/>
          <w:lang w:val="fr-FR"/>
        </w:rPr>
        <w:t xml:space="preserve"> </w:t>
      </w:r>
      <w:r w:rsidRPr="001441CD">
        <w:rPr>
          <w:szCs w:val="18"/>
          <w:lang w:val="fr-FR"/>
        </w:rPr>
        <w:t xml:space="preserve">Philip G. Altbach et al. </w:t>
      </w:r>
      <w:r w:rsidRPr="00FC6D51">
        <w:rPr>
          <w:szCs w:val="18"/>
        </w:rPr>
        <w:t xml:space="preserve">(dir.). </w:t>
      </w:r>
      <w:r w:rsidRPr="00FC6D51">
        <w:rPr>
          <w:i/>
          <w:szCs w:val="18"/>
        </w:rPr>
        <w:t>Paying the Professoriate: A global comparison of compensation and contract</w:t>
      </w:r>
      <w:r w:rsidRPr="00FC6D51">
        <w:rPr>
          <w:szCs w:val="18"/>
        </w:rPr>
        <w:t xml:space="preserve"> (Londres et New York, Routledge,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FAA48" w14:textId="54D42758" w:rsidR="00574C43" w:rsidRPr="00986F26" w:rsidRDefault="00574C43">
    <w:pPr>
      <w:pStyle w:val="Header"/>
      <w:rPr>
        <w:szCs w:val="18"/>
      </w:rPr>
    </w:pPr>
    <w:r w:rsidRPr="00F47CD5">
      <w:rPr>
        <w:szCs w:val="18"/>
      </w:rPr>
      <w:t>IPBES/</w:t>
    </w:r>
    <w:r w:rsidRPr="00CE6210">
      <w:rPr>
        <w:szCs w:val="18"/>
        <w:lang w:eastAsia="ja-JP"/>
      </w:rPr>
      <w:t>6/11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26D43" w14:textId="731A5FCA" w:rsidR="00574C43" w:rsidRPr="00494455" w:rsidRDefault="00574C43" w:rsidP="00C0058D">
    <w:pPr>
      <w:pStyle w:val="Header"/>
      <w:jc w:val="right"/>
      <w:rPr>
        <w:szCs w:val="18"/>
      </w:rPr>
    </w:pPr>
    <w:r w:rsidRPr="00C0058D">
      <w:rPr>
        <w:szCs w:val="18"/>
      </w:rPr>
      <w:t>IPBES/</w:t>
    </w:r>
    <w:r>
      <w:rPr>
        <w:szCs w:val="18"/>
        <w:lang w:eastAsia="ja-JP"/>
      </w:rPr>
      <w:t>6/11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C977B" w14:textId="2BFA4908" w:rsidR="00574C43" w:rsidRDefault="00574C43" w:rsidP="0049445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59688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43AF8"/>
    <w:multiLevelType w:val="hybridMultilevel"/>
    <w:tmpl w:val="B062301A"/>
    <w:lvl w:ilvl="0" w:tplc="E62849D4">
      <w:start w:val="1"/>
      <w:numFmt w:val="upperRoman"/>
      <w:lvlText w:val="%1."/>
      <w:lvlJc w:val="left"/>
      <w:pPr>
        <w:ind w:left="1875" w:hanging="1245"/>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9EC5B4B"/>
    <w:multiLevelType w:val="hybridMultilevel"/>
    <w:tmpl w:val="A90CA5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776D2"/>
    <w:multiLevelType w:val="hybridMultilevel"/>
    <w:tmpl w:val="89668272"/>
    <w:lvl w:ilvl="0" w:tplc="6F30F82E">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D216D5A"/>
    <w:multiLevelType w:val="multilevel"/>
    <w:tmpl w:val="F7B8E27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0D885A6C"/>
    <w:multiLevelType w:val="hybridMultilevel"/>
    <w:tmpl w:val="250EE074"/>
    <w:lvl w:ilvl="0" w:tplc="0409000F">
      <w:start w:val="1"/>
      <w:numFmt w:val="decimal"/>
      <w:lvlText w:val="%1."/>
      <w:lvlJc w:val="left"/>
      <w:pPr>
        <w:ind w:left="720" w:hanging="720"/>
      </w:pPr>
      <w:rPr>
        <w:rFonts w:hint="default"/>
      </w:rPr>
    </w:lvl>
    <w:lvl w:ilvl="1" w:tplc="7F2663E0">
      <w:start w:val="1"/>
      <w:numFmt w:val="lowerLetter"/>
      <w:lvlText w:val="(%2)"/>
      <w:lvlJc w:val="left"/>
      <w:pPr>
        <w:ind w:left="2345"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8A06E1"/>
    <w:multiLevelType w:val="hybridMultilevel"/>
    <w:tmpl w:val="4E02F434"/>
    <w:lvl w:ilvl="0" w:tplc="04090015">
      <w:start w:val="1"/>
      <w:numFmt w:val="upperLetter"/>
      <w:lvlText w:val="%1."/>
      <w:lvlJc w:val="left"/>
      <w:pPr>
        <w:ind w:left="1976" w:hanging="360"/>
      </w:pPr>
    </w:lvl>
    <w:lvl w:ilvl="1" w:tplc="04090019">
      <w:start w:val="1"/>
      <w:numFmt w:val="lowerLetter"/>
      <w:lvlText w:val="%2."/>
      <w:lvlJc w:val="left"/>
      <w:pPr>
        <w:ind w:left="2696" w:hanging="360"/>
      </w:pPr>
    </w:lvl>
    <w:lvl w:ilvl="2" w:tplc="0409001B" w:tentative="1">
      <w:start w:val="1"/>
      <w:numFmt w:val="lowerRoman"/>
      <w:lvlText w:val="%3."/>
      <w:lvlJc w:val="right"/>
      <w:pPr>
        <w:ind w:left="3416" w:hanging="180"/>
      </w:pPr>
    </w:lvl>
    <w:lvl w:ilvl="3" w:tplc="0409000F" w:tentative="1">
      <w:start w:val="1"/>
      <w:numFmt w:val="decimal"/>
      <w:lvlText w:val="%4."/>
      <w:lvlJc w:val="left"/>
      <w:pPr>
        <w:ind w:left="4136" w:hanging="360"/>
      </w:pPr>
    </w:lvl>
    <w:lvl w:ilvl="4" w:tplc="04090019" w:tentative="1">
      <w:start w:val="1"/>
      <w:numFmt w:val="lowerLetter"/>
      <w:lvlText w:val="%5."/>
      <w:lvlJc w:val="left"/>
      <w:pPr>
        <w:ind w:left="4856" w:hanging="360"/>
      </w:pPr>
    </w:lvl>
    <w:lvl w:ilvl="5" w:tplc="0409001B" w:tentative="1">
      <w:start w:val="1"/>
      <w:numFmt w:val="lowerRoman"/>
      <w:lvlText w:val="%6."/>
      <w:lvlJc w:val="right"/>
      <w:pPr>
        <w:ind w:left="5576" w:hanging="180"/>
      </w:pPr>
    </w:lvl>
    <w:lvl w:ilvl="6" w:tplc="0409000F" w:tentative="1">
      <w:start w:val="1"/>
      <w:numFmt w:val="decimal"/>
      <w:lvlText w:val="%7."/>
      <w:lvlJc w:val="left"/>
      <w:pPr>
        <w:ind w:left="6296" w:hanging="360"/>
      </w:pPr>
    </w:lvl>
    <w:lvl w:ilvl="7" w:tplc="04090019" w:tentative="1">
      <w:start w:val="1"/>
      <w:numFmt w:val="lowerLetter"/>
      <w:lvlText w:val="%8."/>
      <w:lvlJc w:val="left"/>
      <w:pPr>
        <w:ind w:left="7016" w:hanging="360"/>
      </w:pPr>
    </w:lvl>
    <w:lvl w:ilvl="8" w:tplc="0409001B" w:tentative="1">
      <w:start w:val="1"/>
      <w:numFmt w:val="lowerRoman"/>
      <w:lvlText w:val="%9."/>
      <w:lvlJc w:val="right"/>
      <w:pPr>
        <w:ind w:left="7736" w:hanging="180"/>
      </w:pPr>
    </w:lvl>
  </w:abstractNum>
  <w:abstractNum w:abstractNumId="7" w15:restartNumberingAfterBreak="0">
    <w:nsid w:val="171113A7"/>
    <w:multiLevelType w:val="multilevel"/>
    <w:tmpl w:val="48241D10"/>
    <w:numStyleLink w:val="Normallist"/>
  </w:abstractNum>
  <w:abstractNum w:abstractNumId="8" w15:restartNumberingAfterBreak="0">
    <w:nsid w:val="19EE7D69"/>
    <w:multiLevelType w:val="hybridMultilevel"/>
    <w:tmpl w:val="2D1C148E"/>
    <w:lvl w:ilvl="0" w:tplc="F2BEFD40">
      <w:start w:val="1"/>
      <w:numFmt w:val="upp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9" w15:restartNumberingAfterBreak="0">
    <w:nsid w:val="1B571867"/>
    <w:multiLevelType w:val="singleLevel"/>
    <w:tmpl w:val="A2E252AA"/>
    <w:lvl w:ilvl="0">
      <w:start w:val="1"/>
      <w:numFmt w:val="upperRoman"/>
      <w:pStyle w:val="Heading8"/>
      <w:lvlText w:val="%1."/>
      <w:lvlJc w:val="left"/>
      <w:pPr>
        <w:tabs>
          <w:tab w:val="num" w:pos="720"/>
        </w:tabs>
        <w:ind w:left="720" w:hanging="720"/>
      </w:pPr>
      <w:rPr>
        <w:rFonts w:hint="default"/>
      </w:rPr>
    </w:lvl>
  </w:abstractNum>
  <w:abstractNum w:abstractNumId="10" w15:restartNumberingAfterBreak="0">
    <w:nsid w:val="1DA57AB1"/>
    <w:multiLevelType w:val="multilevel"/>
    <w:tmpl w:val="ACEC74EE"/>
    <w:lvl w:ilvl="0">
      <w:start w:val="1"/>
      <w:numFmt w:val="decimal"/>
      <w:lvlText w:val="%1."/>
      <w:lvlJc w:val="left"/>
      <w:pPr>
        <w:tabs>
          <w:tab w:val="num" w:pos="567"/>
        </w:tabs>
        <w:ind w:left="1247" w:firstLine="0"/>
      </w:pPr>
      <w:rPr>
        <w:rFonts w:hint="default"/>
        <w:i w:val="0"/>
        <w:sz w:val="20"/>
        <w:szCs w:val="20"/>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11" w15:restartNumberingAfterBreak="0">
    <w:nsid w:val="1F246FB6"/>
    <w:multiLevelType w:val="multilevel"/>
    <w:tmpl w:val="ACEC74EE"/>
    <w:lvl w:ilvl="0">
      <w:start w:val="1"/>
      <w:numFmt w:val="decimal"/>
      <w:lvlText w:val="%1."/>
      <w:lvlJc w:val="left"/>
      <w:pPr>
        <w:tabs>
          <w:tab w:val="num" w:pos="567"/>
        </w:tabs>
        <w:ind w:left="1247" w:firstLine="0"/>
      </w:pPr>
      <w:rPr>
        <w:rFonts w:hint="default"/>
        <w:i w:val="0"/>
        <w:sz w:val="20"/>
        <w:szCs w:val="20"/>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12" w15:restartNumberingAfterBreak="0">
    <w:nsid w:val="227226F1"/>
    <w:multiLevelType w:val="multilevel"/>
    <w:tmpl w:val="ACEC74EE"/>
    <w:lvl w:ilvl="0">
      <w:start w:val="1"/>
      <w:numFmt w:val="decimal"/>
      <w:lvlText w:val="%1."/>
      <w:lvlJc w:val="left"/>
      <w:pPr>
        <w:tabs>
          <w:tab w:val="num" w:pos="567"/>
        </w:tabs>
        <w:ind w:left="1247" w:firstLine="0"/>
      </w:pPr>
      <w:rPr>
        <w:rFonts w:hint="default"/>
        <w:i w:val="0"/>
        <w:sz w:val="20"/>
        <w:szCs w:val="20"/>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13" w15:restartNumberingAfterBreak="0">
    <w:nsid w:val="2817409E"/>
    <w:multiLevelType w:val="multilevel"/>
    <w:tmpl w:val="ACEC74EE"/>
    <w:lvl w:ilvl="0">
      <w:start w:val="1"/>
      <w:numFmt w:val="decimal"/>
      <w:lvlText w:val="%1."/>
      <w:lvlJc w:val="left"/>
      <w:pPr>
        <w:tabs>
          <w:tab w:val="num" w:pos="567"/>
        </w:tabs>
        <w:ind w:left="1247" w:firstLine="0"/>
      </w:pPr>
      <w:rPr>
        <w:rFonts w:hint="default"/>
        <w:i w:val="0"/>
        <w:sz w:val="20"/>
        <w:szCs w:val="20"/>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14" w15:restartNumberingAfterBreak="0">
    <w:nsid w:val="346A0162"/>
    <w:multiLevelType w:val="hybridMultilevel"/>
    <w:tmpl w:val="1DD02688"/>
    <w:lvl w:ilvl="0" w:tplc="A998D5AE">
      <w:start w:val="1"/>
      <w:numFmt w:val="upperRoman"/>
      <w:lvlText w:val="%1."/>
      <w:lvlJc w:val="left"/>
      <w:pPr>
        <w:ind w:left="1344" w:hanging="72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5" w15:restartNumberingAfterBreak="0">
    <w:nsid w:val="35571603"/>
    <w:multiLevelType w:val="singleLevel"/>
    <w:tmpl w:val="2868AC2A"/>
    <w:lvl w:ilvl="0">
      <w:start w:val="6"/>
      <w:numFmt w:val="upperLetter"/>
      <w:pStyle w:val="Heading9"/>
      <w:lvlText w:val="%1."/>
      <w:lvlJc w:val="left"/>
      <w:pPr>
        <w:tabs>
          <w:tab w:val="num" w:pos="360"/>
        </w:tabs>
        <w:ind w:left="360" w:hanging="360"/>
      </w:pPr>
      <w:rPr>
        <w:rFonts w:hint="default"/>
      </w:rPr>
    </w:lvl>
  </w:abstractNum>
  <w:abstractNum w:abstractNumId="16" w15:restartNumberingAfterBreak="0">
    <w:nsid w:val="36E47EE8"/>
    <w:multiLevelType w:val="hybridMultilevel"/>
    <w:tmpl w:val="16729768"/>
    <w:lvl w:ilvl="0" w:tplc="04090015">
      <w:start w:val="1"/>
      <w:numFmt w:val="upperLetter"/>
      <w:lvlText w:val="%1."/>
      <w:lvlJc w:val="left"/>
      <w:pPr>
        <w:ind w:left="1976" w:hanging="360"/>
      </w:pPr>
    </w:lvl>
    <w:lvl w:ilvl="1" w:tplc="1206E210">
      <w:start w:val="1"/>
      <w:numFmt w:val="upperLetter"/>
      <w:pStyle w:val="Heading2"/>
      <w:lvlText w:val="%2."/>
      <w:lvlJc w:val="left"/>
      <w:pPr>
        <w:ind w:left="2696" w:hanging="360"/>
      </w:pPr>
    </w:lvl>
    <w:lvl w:ilvl="2" w:tplc="0409001B" w:tentative="1">
      <w:start w:val="1"/>
      <w:numFmt w:val="lowerRoman"/>
      <w:lvlText w:val="%3."/>
      <w:lvlJc w:val="right"/>
      <w:pPr>
        <w:ind w:left="3416" w:hanging="180"/>
      </w:pPr>
    </w:lvl>
    <w:lvl w:ilvl="3" w:tplc="0409000F" w:tentative="1">
      <w:start w:val="1"/>
      <w:numFmt w:val="decimal"/>
      <w:lvlText w:val="%4."/>
      <w:lvlJc w:val="left"/>
      <w:pPr>
        <w:ind w:left="4136" w:hanging="360"/>
      </w:pPr>
    </w:lvl>
    <w:lvl w:ilvl="4" w:tplc="04090019" w:tentative="1">
      <w:start w:val="1"/>
      <w:numFmt w:val="lowerLetter"/>
      <w:lvlText w:val="%5."/>
      <w:lvlJc w:val="left"/>
      <w:pPr>
        <w:ind w:left="4856" w:hanging="360"/>
      </w:pPr>
    </w:lvl>
    <w:lvl w:ilvl="5" w:tplc="0409001B" w:tentative="1">
      <w:start w:val="1"/>
      <w:numFmt w:val="lowerRoman"/>
      <w:lvlText w:val="%6."/>
      <w:lvlJc w:val="right"/>
      <w:pPr>
        <w:ind w:left="5576" w:hanging="180"/>
      </w:pPr>
    </w:lvl>
    <w:lvl w:ilvl="6" w:tplc="0409000F" w:tentative="1">
      <w:start w:val="1"/>
      <w:numFmt w:val="decimal"/>
      <w:lvlText w:val="%7."/>
      <w:lvlJc w:val="left"/>
      <w:pPr>
        <w:ind w:left="6296" w:hanging="360"/>
      </w:pPr>
    </w:lvl>
    <w:lvl w:ilvl="7" w:tplc="04090019" w:tentative="1">
      <w:start w:val="1"/>
      <w:numFmt w:val="lowerLetter"/>
      <w:lvlText w:val="%8."/>
      <w:lvlJc w:val="left"/>
      <w:pPr>
        <w:ind w:left="7016" w:hanging="360"/>
      </w:pPr>
    </w:lvl>
    <w:lvl w:ilvl="8" w:tplc="0409001B" w:tentative="1">
      <w:start w:val="1"/>
      <w:numFmt w:val="lowerRoman"/>
      <w:lvlText w:val="%9."/>
      <w:lvlJc w:val="right"/>
      <w:pPr>
        <w:ind w:left="7736" w:hanging="180"/>
      </w:pPr>
    </w:lvl>
  </w:abstractNum>
  <w:abstractNum w:abstractNumId="17" w15:restartNumberingAfterBreak="0">
    <w:nsid w:val="37C77EF8"/>
    <w:multiLevelType w:val="hybridMultilevel"/>
    <w:tmpl w:val="DD268F90"/>
    <w:lvl w:ilvl="0" w:tplc="BD54D034">
      <w:start w:val="3"/>
      <w:numFmt w:val="upperRoman"/>
      <w:lvlText w:val="%1."/>
      <w:lvlJc w:val="left"/>
      <w:pPr>
        <w:ind w:left="1980" w:hanging="720"/>
      </w:pPr>
      <w:rPr>
        <w:rFonts w:eastAsia="MS Mincho"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92B6524"/>
    <w:multiLevelType w:val="multilevel"/>
    <w:tmpl w:val="ACEC74EE"/>
    <w:lvl w:ilvl="0">
      <w:start w:val="1"/>
      <w:numFmt w:val="decimal"/>
      <w:lvlText w:val="%1."/>
      <w:lvlJc w:val="left"/>
      <w:pPr>
        <w:tabs>
          <w:tab w:val="num" w:pos="567"/>
        </w:tabs>
        <w:ind w:left="1247" w:firstLine="0"/>
      </w:pPr>
      <w:rPr>
        <w:rFonts w:hint="default"/>
        <w:i w:val="0"/>
        <w:sz w:val="20"/>
        <w:szCs w:val="20"/>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19" w15:restartNumberingAfterBreak="0">
    <w:nsid w:val="3A660D47"/>
    <w:multiLevelType w:val="hybridMultilevel"/>
    <w:tmpl w:val="14F8E12C"/>
    <w:lvl w:ilvl="0" w:tplc="08090005">
      <w:start w:val="1"/>
      <w:numFmt w:val="bullet"/>
      <w:lvlText w:val=""/>
      <w:lvlJc w:val="left"/>
      <w:pPr>
        <w:ind w:left="1807" w:hanging="360"/>
      </w:pPr>
      <w:rPr>
        <w:rFonts w:ascii="Wingdings" w:hAnsi="Wingdings" w:hint="default"/>
      </w:rPr>
    </w:lvl>
    <w:lvl w:ilvl="1" w:tplc="04090003" w:tentative="1">
      <w:start w:val="1"/>
      <w:numFmt w:val="bullet"/>
      <w:lvlText w:val="o"/>
      <w:lvlJc w:val="left"/>
      <w:pPr>
        <w:ind w:left="2527" w:hanging="360"/>
      </w:pPr>
      <w:rPr>
        <w:rFonts w:ascii="Courier New" w:hAnsi="Courier New" w:cs="Courier New" w:hint="default"/>
      </w:rPr>
    </w:lvl>
    <w:lvl w:ilvl="2" w:tplc="04090005" w:tentative="1">
      <w:start w:val="1"/>
      <w:numFmt w:val="bullet"/>
      <w:lvlText w:val=""/>
      <w:lvlJc w:val="left"/>
      <w:pPr>
        <w:ind w:left="3247" w:hanging="360"/>
      </w:pPr>
      <w:rPr>
        <w:rFonts w:ascii="Wingdings" w:hAnsi="Wingdings" w:hint="default"/>
      </w:rPr>
    </w:lvl>
    <w:lvl w:ilvl="3" w:tplc="04090001" w:tentative="1">
      <w:start w:val="1"/>
      <w:numFmt w:val="bullet"/>
      <w:lvlText w:val=""/>
      <w:lvlJc w:val="left"/>
      <w:pPr>
        <w:ind w:left="3967" w:hanging="360"/>
      </w:pPr>
      <w:rPr>
        <w:rFonts w:ascii="Symbol" w:hAnsi="Symbol" w:hint="default"/>
      </w:rPr>
    </w:lvl>
    <w:lvl w:ilvl="4" w:tplc="04090003" w:tentative="1">
      <w:start w:val="1"/>
      <w:numFmt w:val="bullet"/>
      <w:lvlText w:val="o"/>
      <w:lvlJc w:val="left"/>
      <w:pPr>
        <w:ind w:left="4687" w:hanging="360"/>
      </w:pPr>
      <w:rPr>
        <w:rFonts w:ascii="Courier New" w:hAnsi="Courier New" w:cs="Courier New" w:hint="default"/>
      </w:rPr>
    </w:lvl>
    <w:lvl w:ilvl="5" w:tplc="04090005" w:tentative="1">
      <w:start w:val="1"/>
      <w:numFmt w:val="bullet"/>
      <w:lvlText w:val=""/>
      <w:lvlJc w:val="left"/>
      <w:pPr>
        <w:ind w:left="5407" w:hanging="360"/>
      </w:pPr>
      <w:rPr>
        <w:rFonts w:ascii="Wingdings" w:hAnsi="Wingdings" w:hint="default"/>
      </w:rPr>
    </w:lvl>
    <w:lvl w:ilvl="6" w:tplc="04090001" w:tentative="1">
      <w:start w:val="1"/>
      <w:numFmt w:val="bullet"/>
      <w:lvlText w:val=""/>
      <w:lvlJc w:val="left"/>
      <w:pPr>
        <w:ind w:left="6127" w:hanging="360"/>
      </w:pPr>
      <w:rPr>
        <w:rFonts w:ascii="Symbol" w:hAnsi="Symbol" w:hint="default"/>
      </w:rPr>
    </w:lvl>
    <w:lvl w:ilvl="7" w:tplc="04090003" w:tentative="1">
      <w:start w:val="1"/>
      <w:numFmt w:val="bullet"/>
      <w:lvlText w:val="o"/>
      <w:lvlJc w:val="left"/>
      <w:pPr>
        <w:ind w:left="6847" w:hanging="360"/>
      </w:pPr>
      <w:rPr>
        <w:rFonts w:ascii="Courier New" w:hAnsi="Courier New" w:cs="Courier New" w:hint="default"/>
      </w:rPr>
    </w:lvl>
    <w:lvl w:ilvl="8" w:tplc="04090005" w:tentative="1">
      <w:start w:val="1"/>
      <w:numFmt w:val="bullet"/>
      <w:lvlText w:val=""/>
      <w:lvlJc w:val="left"/>
      <w:pPr>
        <w:ind w:left="7567" w:hanging="360"/>
      </w:pPr>
      <w:rPr>
        <w:rFonts w:ascii="Wingdings" w:hAnsi="Wingdings" w:hint="default"/>
      </w:rPr>
    </w:lvl>
  </w:abstractNum>
  <w:abstractNum w:abstractNumId="20" w15:restartNumberingAfterBreak="0">
    <w:nsid w:val="42044C37"/>
    <w:multiLevelType w:val="hybridMultilevel"/>
    <w:tmpl w:val="D2F6C1FE"/>
    <w:lvl w:ilvl="0" w:tplc="2D00AFC4">
      <w:start w:val="5"/>
      <w:numFmt w:val="upperRoman"/>
      <w:lvlText w:val="%1."/>
      <w:lvlJc w:val="left"/>
      <w:pPr>
        <w:ind w:left="1980" w:hanging="72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46EF7A42"/>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22" w15:restartNumberingAfterBreak="0">
    <w:nsid w:val="489F3D4F"/>
    <w:multiLevelType w:val="hybridMultilevel"/>
    <w:tmpl w:val="BA283E92"/>
    <w:lvl w:ilvl="0" w:tplc="CB006854">
      <w:start w:val="1"/>
      <w:numFmt w:val="upperLetter"/>
      <w:lvlText w:val="%1."/>
      <w:lvlJc w:val="left"/>
      <w:pPr>
        <w:ind w:left="855" w:hanging="465"/>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3" w15:restartNumberingAfterBreak="0">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24" w15:restartNumberingAfterBreak="0">
    <w:nsid w:val="53C912B1"/>
    <w:multiLevelType w:val="multilevel"/>
    <w:tmpl w:val="ACEC74EE"/>
    <w:lvl w:ilvl="0">
      <w:start w:val="1"/>
      <w:numFmt w:val="decimal"/>
      <w:lvlText w:val="%1."/>
      <w:lvlJc w:val="left"/>
      <w:pPr>
        <w:tabs>
          <w:tab w:val="num" w:pos="567"/>
        </w:tabs>
        <w:ind w:left="1247" w:firstLine="0"/>
      </w:pPr>
      <w:rPr>
        <w:rFonts w:hint="default"/>
        <w:i w:val="0"/>
        <w:sz w:val="20"/>
        <w:szCs w:val="20"/>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25" w15:restartNumberingAfterBreak="0">
    <w:nsid w:val="558B7316"/>
    <w:multiLevelType w:val="hybridMultilevel"/>
    <w:tmpl w:val="0B646E8C"/>
    <w:lvl w:ilvl="0" w:tplc="29482764">
      <w:start w:val="1"/>
      <w:numFmt w:val="upperRoman"/>
      <w:pStyle w:val="Heading1"/>
      <w:lvlText w:val="%1."/>
      <w:lvlJc w:val="right"/>
      <w:pPr>
        <w:ind w:left="1344" w:hanging="360"/>
      </w:pPr>
    </w:lvl>
    <w:lvl w:ilvl="1" w:tplc="7CB24C92">
      <w:start w:val="1"/>
      <w:numFmt w:val="upperLetter"/>
      <w:lvlText w:val="%2."/>
      <w:lvlJc w:val="left"/>
      <w:pPr>
        <w:ind w:left="2334" w:hanging="630"/>
      </w:pPr>
      <w:rPr>
        <w:rFonts w:hint="default"/>
      </w:r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26" w15:restartNumberingAfterBreak="0">
    <w:nsid w:val="5C810B48"/>
    <w:multiLevelType w:val="multilevel"/>
    <w:tmpl w:val="ACEC74EE"/>
    <w:lvl w:ilvl="0">
      <w:start w:val="1"/>
      <w:numFmt w:val="decimal"/>
      <w:lvlText w:val="%1."/>
      <w:lvlJc w:val="left"/>
      <w:pPr>
        <w:tabs>
          <w:tab w:val="num" w:pos="567"/>
        </w:tabs>
        <w:ind w:left="1247" w:firstLine="0"/>
      </w:pPr>
      <w:rPr>
        <w:rFonts w:hint="default"/>
        <w:i w:val="0"/>
        <w:sz w:val="20"/>
        <w:szCs w:val="20"/>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27" w15:restartNumberingAfterBreak="0">
    <w:nsid w:val="62B4599F"/>
    <w:multiLevelType w:val="multilevel"/>
    <w:tmpl w:val="ACEC74EE"/>
    <w:lvl w:ilvl="0">
      <w:start w:val="1"/>
      <w:numFmt w:val="decimal"/>
      <w:lvlText w:val="%1."/>
      <w:lvlJc w:val="left"/>
      <w:pPr>
        <w:tabs>
          <w:tab w:val="num" w:pos="567"/>
        </w:tabs>
        <w:ind w:left="1247" w:firstLine="0"/>
      </w:pPr>
      <w:rPr>
        <w:rFonts w:hint="default"/>
        <w:i w:val="0"/>
        <w:sz w:val="20"/>
        <w:szCs w:val="20"/>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28" w15:restartNumberingAfterBreak="0">
    <w:nsid w:val="63A204DB"/>
    <w:multiLevelType w:val="multilevel"/>
    <w:tmpl w:val="ACEC74EE"/>
    <w:lvl w:ilvl="0">
      <w:start w:val="1"/>
      <w:numFmt w:val="decimal"/>
      <w:lvlText w:val="%1."/>
      <w:lvlJc w:val="left"/>
      <w:pPr>
        <w:tabs>
          <w:tab w:val="num" w:pos="567"/>
        </w:tabs>
        <w:ind w:left="1247" w:firstLine="0"/>
      </w:pPr>
      <w:rPr>
        <w:rFonts w:hint="default"/>
        <w:i w:val="0"/>
        <w:sz w:val="20"/>
        <w:szCs w:val="20"/>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29" w15:restartNumberingAfterBreak="0">
    <w:nsid w:val="652C063F"/>
    <w:multiLevelType w:val="multilevel"/>
    <w:tmpl w:val="ACEC74EE"/>
    <w:lvl w:ilvl="0">
      <w:start w:val="1"/>
      <w:numFmt w:val="decimal"/>
      <w:lvlText w:val="%1."/>
      <w:lvlJc w:val="left"/>
      <w:pPr>
        <w:tabs>
          <w:tab w:val="num" w:pos="567"/>
        </w:tabs>
        <w:ind w:left="1247" w:firstLine="0"/>
      </w:pPr>
      <w:rPr>
        <w:rFonts w:hint="default"/>
        <w:i w:val="0"/>
        <w:sz w:val="20"/>
        <w:szCs w:val="20"/>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30" w15:restartNumberingAfterBreak="0">
    <w:nsid w:val="657332A6"/>
    <w:multiLevelType w:val="multilevel"/>
    <w:tmpl w:val="ACEC74EE"/>
    <w:lvl w:ilvl="0">
      <w:start w:val="1"/>
      <w:numFmt w:val="decimal"/>
      <w:lvlText w:val="%1."/>
      <w:lvlJc w:val="left"/>
      <w:pPr>
        <w:tabs>
          <w:tab w:val="num" w:pos="567"/>
        </w:tabs>
        <w:ind w:left="1247" w:firstLine="0"/>
      </w:pPr>
      <w:rPr>
        <w:rFonts w:hint="default"/>
        <w:i w:val="0"/>
        <w:sz w:val="20"/>
        <w:szCs w:val="20"/>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31" w15:restartNumberingAfterBreak="0">
    <w:nsid w:val="6A9F1D93"/>
    <w:multiLevelType w:val="multilevel"/>
    <w:tmpl w:val="ACEC74EE"/>
    <w:lvl w:ilvl="0">
      <w:start w:val="1"/>
      <w:numFmt w:val="decimal"/>
      <w:lvlText w:val="%1."/>
      <w:lvlJc w:val="left"/>
      <w:pPr>
        <w:tabs>
          <w:tab w:val="num" w:pos="567"/>
        </w:tabs>
        <w:ind w:left="1247" w:firstLine="0"/>
      </w:pPr>
      <w:rPr>
        <w:rFonts w:hint="default"/>
        <w:i w:val="0"/>
        <w:sz w:val="20"/>
        <w:szCs w:val="20"/>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32" w15:restartNumberingAfterBreak="0">
    <w:nsid w:val="6C5543D8"/>
    <w:multiLevelType w:val="multilevel"/>
    <w:tmpl w:val="ACEC74EE"/>
    <w:lvl w:ilvl="0">
      <w:start w:val="1"/>
      <w:numFmt w:val="decimal"/>
      <w:lvlText w:val="%1."/>
      <w:lvlJc w:val="left"/>
      <w:pPr>
        <w:tabs>
          <w:tab w:val="num" w:pos="567"/>
        </w:tabs>
        <w:ind w:left="1247" w:firstLine="0"/>
      </w:pPr>
      <w:rPr>
        <w:rFonts w:hint="default"/>
        <w:i w:val="0"/>
        <w:sz w:val="20"/>
        <w:szCs w:val="20"/>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33" w15:restartNumberingAfterBreak="0">
    <w:nsid w:val="73B00142"/>
    <w:multiLevelType w:val="hybridMultilevel"/>
    <w:tmpl w:val="B4D6E8A4"/>
    <w:lvl w:ilvl="0" w:tplc="742AE4C8">
      <w:start w:val="1"/>
      <w:numFmt w:val="upperRoman"/>
      <w:pStyle w:val="AnnexNumbered"/>
      <w:lvlText w:val="Annex %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5C7637"/>
    <w:multiLevelType w:val="hybridMultilevel"/>
    <w:tmpl w:val="9522A1F6"/>
    <w:lvl w:ilvl="0" w:tplc="8FE6CD0C">
      <w:start w:val="1"/>
      <w:numFmt w:val="none"/>
      <w:lvlText w:val="(a)"/>
      <w:lvlJc w:val="left"/>
      <w:pPr>
        <w:ind w:left="2741" w:hanging="360"/>
      </w:pPr>
      <w:rPr>
        <w:rFonts w:hint="default"/>
      </w:rPr>
    </w:lvl>
    <w:lvl w:ilvl="1" w:tplc="E2BA9F1C">
      <w:start w:val="1"/>
      <w:numFmt w:val="lowerLetter"/>
      <w:lvlText w:val="(%2)"/>
      <w:lvlJc w:val="left"/>
      <w:pPr>
        <w:ind w:left="1440" w:hanging="360"/>
      </w:pPr>
      <w:rPr>
        <w:rFonts w:ascii="Times New Roman" w:eastAsia="Times New Roman" w:hAnsi="Times New Roman" w:cs="Times New Roman"/>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E874E77"/>
    <w:multiLevelType w:val="multilevel"/>
    <w:tmpl w:val="ACEC74EE"/>
    <w:lvl w:ilvl="0">
      <w:start w:val="1"/>
      <w:numFmt w:val="decimal"/>
      <w:lvlText w:val="%1."/>
      <w:lvlJc w:val="left"/>
      <w:pPr>
        <w:tabs>
          <w:tab w:val="num" w:pos="567"/>
        </w:tabs>
        <w:ind w:left="1247" w:firstLine="0"/>
      </w:pPr>
      <w:rPr>
        <w:rFonts w:hint="default"/>
        <w:i w:val="0"/>
        <w:sz w:val="20"/>
        <w:szCs w:val="20"/>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36" w15:restartNumberingAfterBreak="0">
    <w:nsid w:val="7F872700"/>
    <w:multiLevelType w:val="hybridMultilevel"/>
    <w:tmpl w:val="1B7A6B36"/>
    <w:lvl w:ilvl="0" w:tplc="8ED638CA">
      <w:start w:val="1"/>
      <w:numFmt w:val="decimal"/>
      <w:lvlText w:val="%1."/>
      <w:lvlJc w:val="left"/>
      <w:pPr>
        <w:ind w:left="720" w:hanging="360"/>
      </w:pPr>
      <w:rPr>
        <w:rFonts w:asciiTheme="minorHAnsi" w:hAnsiTheme="minorHAnsi" w:hint="default"/>
        <w:b w:val="0"/>
        <w:sz w:val="22"/>
        <w:szCs w:val="22"/>
      </w:rPr>
    </w:lvl>
    <w:lvl w:ilvl="1" w:tplc="DFAAF84A">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23"/>
  </w:num>
  <w:num w:numId="4">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ascii="Times New Roman" w:eastAsia="MS Mincho" w:hAnsi="Times New Roman" w:cs="Times New Roman"/>
        </w:rPr>
      </w:lvl>
    </w:lvlOverride>
    <w:lvlOverride w:ilvl="2">
      <w:lvl w:ilvl="2">
        <w:start w:val="1"/>
        <w:numFmt w:val="lowerRoman"/>
        <w:lvlText w:val="%3)"/>
        <w:lvlJc w:val="left"/>
        <w:pPr>
          <w:tabs>
            <w:tab w:val="num" w:pos="567"/>
          </w:tabs>
          <w:ind w:left="2948" w:hanging="567"/>
        </w:pPr>
        <w:rPr>
          <w:rFonts w:ascii="Times New Roman" w:eastAsia="MS Mincho" w:hAnsi="Times New Roman" w:cs="Times New Roman"/>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5">
    <w:abstractNumId w:val="7"/>
    <w:lvlOverride w:ilvl="0">
      <w:lvl w:ilvl="0">
        <w:start w:val="1"/>
        <w:numFmt w:val="decimal"/>
        <w:pStyle w:val="Normalnumber"/>
        <w:lvlText w:val="%1."/>
        <w:lvlJc w:val="left"/>
        <w:pPr>
          <w:tabs>
            <w:tab w:val="num" w:pos="567"/>
          </w:tabs>
          <w:ind w:left="1247" w:firstLine="0"/>
        </w:pPr>
        <w:rPr>
          <w:rFonts w:hint="default"/>
          <w:b w:val="0"/>
        </w:rPr>
      </w:lvl>
    </w:lvlOverride>
  </w:num>
  <w:num w:numId="6">
    <w:abstractNumId w:val="7"/>
    <w:lvlOverride w:ilvl="0">
      <w:lvl w:ilvl="0">
        <w:start w:val="1"/>
        <w:numFmt w:val="decimal"/>
        <w:pStyle w:val="Normalnumber"/>
        <w:lvlText w:val="%1."/>
        <w:lvlJc w:val="left"/>
        <w:pPr>
          <w:tabs>
            <w:tab w:val="num" w:pos="567"/>
          </w:tabs>
          <w:ind w:left="1247" w:firstLine="0"/>
        </w:pPr>
        <w:rPr>
          <w:rFonts w:hint="default"/>
          <w:b w:val="0"/>
        </w:rPr>
      </w:lvl>
    </w:lvlOverride>
  </w:num>
  <w:num w:numId="7">
    <w:abstractNumId w:val="7"/>
    <w:lvlOverride w:ilvl="0">
      <w:lvl w:ilvl="0">
        <w:start w:val="1"/>
        <w:numFmt w:val="decimal"/>
        <w:pStyle w:val="Normalnumber"/>
        <w:lvlText w:val="%1."/>
        <w:lvlJc w:val="left"/>
        <w:pPr>
          <w:tabs>
            <w:tab w:val="num" w:pos="567"/>
          </w:tabs>
          <w:ind w:left="1247" w:firstLine="0"/>
        </w:pPr>
        <w:rPr>
          <w:rFonts w:hint="default"/>
          <w:b w:val="0"/>
        </w:rPr>
      </w:lvl>
    </w:lvlOverride>
  </w:num>
  <w:num w:numId="8">
    <w:abstractNumId w:val="7"/>
    <w:lvlOverride w:ilvl="0">
      <w:lvl w:ilvl="0">
        <w:start w:val="1"/>
        <w:numFmt w:val="decimal"/>
        <w:pStyle w:val="Normalnumber"/>
        <w:lvlText w:val="%1."/>
        <w:lvlJc w:val="left"/>
        <w:pPr>
          <w:tabs>
            <w:tab w:val="num" w:pos="567"/>
          </w:tabs>
          <w:ind w:left="1247" w:firstLine="0"/>
        </w:pPr>
        <w:rPr>
          <w:rFonts w:hint="default"/>
          <w:b w:val="0"/>
        </w:rPr>
      </w:lvl>
    </w:lvlOverride>
  </w:num>
  <w:num w:numId="9">
    <w:abstractNumId w:val="7"/>
    <w:lvlOverride w:ilvl="0">
      <w:lvl w:ilvl="0">
        <w:start w:val="1"/>
        <w:numFmt w:val="decimal"/>
        <w:pStyle w:val="Normalnumber"/>
        <w:lvlText w:val="%1."/>
        <w:lvlJc w:val="left"/>
        <w:pPr>
          <w:tabs>
            <w:tab w:val="num" w:pos="567"/>
          </w:tabs>
          <w:ind w:left="1247" w:firstLine="0"/>
        </w:pPr>
        <w:rPr>
          <w:rFonts w:hint="default"/>
          <w:b w:val="0"/>
        </w:rPr>
      </w:lvl>
    </w:lvlOverride>
  </w:num>
  <w:num w:numId="10">
    <w:abstractNumId w:val="0"/>
  </w:num>
  <w:num w:numId="11">
    <w:abstractNumId w:val="7"/>
    <w:lvlOverride w:ilvl="0">
      <w:lvl w:ilvl="0">
        <w:start w:val="1"/>
        <w:numFmt w:val="decimal"/>
        <w:pStyle w:val="Normalnumber"/>
        <w:lvlText w:val="%1."/>
        <w:lvlJc w:val="left"/>
        <w:pPr>
          <w:tabs>
            <w:tab w:val="num" w:pos="567"/>
          </w:tabs>
          <w:ind w:left="1247" w:firstLine="0"/>
        </w:pPr>
        <w:rPr>
          <w:rFonts w:hint="default"/>
          <w:b w:val="0"/>
        </w:rPr>
      </w:lvl>
    </w:lvlOverride>
  </w:num>
  <w:num w:numId="12">
    <w:abstractNumId w:val="7"/>
    <w:lvlOverride w:ilvl="0">
      <w:lvl w:ilvl="0">
        <w:start w:val="1"/>
        <w:numFmt w:val="decimal"/>
        <w:pStyle w:val="Normalnumber"/>
        <w:lvlText w:val="%1."/>
        <w:lvlJc w:val="left"/>
        <w:pPr>
          <w:tabs>
            <w:tab w:val="num" w:pos="567"/>
          </w:tabs>
          <w:ind w:left="1247" w:firstLine="0"/>
        </w:pPr>
        <w:rPr>
          <w:rFonts w:hint="default"/>
          <w:b w:val="0"/>
        </w:rPr>
      </w:lvl>
    </w:lvlOverride>
  </w:num>
  <w:num w:numId="13">
    <w:abstractNumId w:val="1"/>
  </w:num>
  <w:num w:numId="14">
    <w:abstractNumId w:val="7"/>
    <w:lvlOverride w:ilvl="0">
      <w:lvl w:ilvl="0">
        <w:start w:val="1"/>
        <w:numFmt w:val="decimal"/>
        <w:pStyle w:val="Normalnumber"/>
        <w:lvlText w:val="%1."/>
        <w:lvlJc w:val="left"/>
        <w:pPr>
          <w:tabs>
            <w:tab w:val="num" w:pos="567"/>
          </w:tabs>
          <w:ind w:left="1247" w:firstLine="0"/>
        </w:pPr>
        <w:rPr>
          <w:rFonts w:hint="default"/>
          <w:b w:val="0"/>
        </w:rPr>
      </w:lvl>
    </w:lvlOverride>
  </w:num>
  <w:num w:numId="15">
    <w:abstractNumId w:val="7"/>
    <w:lvlOverride w:ilvl="0">
      <w:lvl w:ilvl="0">
        <w:start w:val="1"/>
        <w:numFmt w:val="decimal"/>
        <w:pStyle w:val="Normalnumber"/>
        <w:lvlText w:val="%1."/>
        <w:lvlJc w:val="left"/>
        <w:pPr>
          <w:tabs>
            <w:tab w:val="num" w:pos="567"/>
          </w:tabs>
          <w:ind w:left="1247" w:firstLine="0"/>
        </w:pPr>
        <w:rPr>
          <w:rFonts w:hint="default"/>
          <w:b w:val="0"/>
        </w:rPr>
      </w:lvl>
    </w:lvlOverride>
  </w:num>
  <w:num w:numId="16">
    <w:abstractNumId w:val="7"/>
    <w:lvlOverride w:ilvl="0">
      <w:lvl w:ilvl="0">
        <w:start w:val="1"/>
        <w:numFmt w:val="decimal"/>
        <w:pStyle w:val="Normalnumber"/>
        <w:lvlText w:val="%1."/>
        <w:lvlJc w:val="left"/>
        <w:pPr>
          <w:tabs>
            <w:tab w:val="num" w:pos="567"/>
          </w:tabs>
          <w:ind w:left="1247" w:firstLine="0"/>
        </w:pPr>
        <w:rPr>
          <w:rFonts w:hint="default"/>
          <w:b w:val="0"/>
        </w:rPr>
      </w:lvl>
    </w:lvlOverride>
  </w:num>
  <w:num w:numId="17">
    <w:abstractNumId w:val="7"/>
    <w:lvlOverride w:ilvl="0">
      <w:lvl w:ilvl="0">
        <w:start w:val="1"/>
        <w:numFmt w:val="decimal"/>
        <w:pStyle w:val="Normalnumber"/>
        <w:lvlText w:val="%1."/>
        <w:lvlJc w:val="left"/>
        <w:pPr>
          <w:tabs>
            <w:tab w:val="num" w:pos="567"/>
          </w:tabs>
          <w:ind w:left="1247" w:firstLine="0"/>
        </w:pPr>
        <w:rPr>
          <w:rFonts w:hint="default"/>
          <w:b w:val="0"/>
        </w:rPr>
      </w:lvl>
    </w:lvlOverride>
  </w:num>
  <w:num w:numId="18">
    <w:abstractNumId w:val="7"/>
    <w:lvlOverride w:ilvl="0">
      <w:lvl w:ilvl="0">
        <w:start w:val="1"/>
        <w:numFmt w:val="decimal"/>
        <w:pStyle w:val="Normalnumber"/>
        <w:lvlText w:val="%1."/>
        <w:lvlJc w:val="left"/>
        <w:pPr>
          <w:tabs>
            <w:tab w:val="num" w:pos="567"/>
          </w:tabs>
          <w:ind w:left="1247" w:firstLine="0"/>
        </w:pPr>
        <w:rPr>
          <w:rFonts w:hint="default"/>
          <w:b w:val="0"/>
        </w:rPr>
      </w:lvl>
    </w:lvlOverride>
  </w:num>
  <w:num w:numId="19">
    <w:abstractNumId w:val="7"/>
    <w:lvlOverride w:ilvl="0">
      <w:lvl w:ilvl="0">
        <w:start w:val="1"/>
        <w:numFmt w:val="decimal"/>
        <w:pStyle w:val="Normalnumber"/>
        <w:lvlText w:val="%1."/>
        <w:lvlJc w:val="left"/>
        <w:pPr>
          <w:tabs>
            <w:tab w:val="num" w:pos="567"/>
          </w:tabs>
          <w:ind w:left="1247" w:firstLine="0"/>
        </w:pPr>
        <w:rPr>
          <w:rFonts w:hint="default"/>
          <w:b w:val="0"/>
        </w:rPr>
      </w:lvl>
    </w:lvlOverride>
  </w:num>
  <w:num w:numId="20">
    <w:abstractNumId w:val="7"/>
    <w:lvlOverride w:ilvl="0">
      <w:lvl w:ilvl="0">
        <w:start w:val="1"/>
        <w:numFmt w:val="decimal"/>
        <w:pStyle w:val="Normalnumber"/>
        <w:lvlText w:val="%1."/>
        <w:lvlJc w:val="left"/>
        <w:pPr>
          <w:tabs>
            <w:tab w:val="num" w:pos="567"/>
          </w:tabs>
          <w:ind w:left="1247" w:firstLine="0"/>
        </w:pPr>
        <w:rPr>
          <w:rFonts w:hint="default"/>
          <w:b w:val="0"/>
        </w:rPr>
      </w:lvl>
    </w:lvlOverride>
  </w:num>
  <w:num w:numId="21">
    <w:abstractNumId w:val="25"/>
  </w:num>
  <w:num w:numId="22">
    <w:abstractNumId w:val="14"/>
  </w:num>
  <w:num w:numId="23">
    <w:abstractNumId w:val="6"/>
  </w:num>
  <w:num w:numId="24">
    <w:abstractNumId w:val="16"/>
  </w:num>
  <w:num w:numId="25">
    <w:abstractNumId w:val="33"/>
  </w:num>
  <w:num w:numId="26">
    <w:abstractNumId w:val="21"/>
  </w:num>
  <w:num w:numId="27">
    <w:abstractNumId w:val="5"/>
  </w:num>
  <w:num w:numId="28">
    <w:abstractNumId w:val="7"/>
    <w:lvlOverride w:ilvl="0">
      <w:startOverride w:val="1"/>
      <w:lvl w:ilvl="0">
        <w:start w:val="1"/>
        <w:numFmt w:val="decimal"/>
        <w:pStyle w:val="Normalnumber"/>
        <w:lvlText w:val="%1."/>
        <w:lvlJc w:val="left"/>
        <w:pPr>
          <w:tabs>
            <w:tab w:val="num" w:pos="567"/>
          </w:tabs>
          <w:ind w:left="1247" w:firstLine="0"/>
        </w:pPr>
        <w:rPr>
          <w:rFonts w:hint="default"/>
        </w:rPr>
      </w:lvl>
    </w:lvlOverride>
    <w:lvlOverride w:ilvl="1">
      <w:startOverride w:val="1"/>
      <w:lvl w:ilvl="1">
        <w:start w:val="1"/>
        <w:numFmt w:val="lowerLetter"/>
        <w:lvlText w:val="(%2)"/>
        <w:lvlJc w:val="left"/>
        <w:pPr>
          <w:tabs>
            <w:tab w:val="num" w:pos="567"/>
          </w:tabs>
          <w:ind w:left="1247" w:firstLine="567"/>
        </w:pPr>
        <w:rPr>
          <w:rFonts w:hint="default"/>
        </w:rPr>
      </w:lvl>
    </w:lvlOverride>
    <w:lvlOverride w:ilvl="2">
      <w:startOverride w:val="1"/>
      <w:lvl w:ilvl="2">
        <w:start w:val="1"/>
        <w:numFmt w:val="lowerRoman"/>
        <w:lvlText w:val="(%3)"/>
        <w:lvlJc w:val="left"/>
        <w:pPr>
          <w:tabs>
            <w:tab w:val="num" w:pos="567"/>
          </w:tabs>
          <w:ind w:left="2948" w:hanging="567"/>
        </w:pPr>
        <w:rPr>
          <w:rFonts w:hint="default"/>
        </w:rPr>
      </w:lvl>
    </w:lvlOverride>
    <w:lvlOverride w:ilvl="3">
      <w:startOverride w:val="1"/>
      <w:lvl w:ilvl="3">
        <w:start w:val="1"/>
        <w:numFmt w:val="lowerLetter"/>
        <w:lvlText w:val="%4."/>
        <w:lvlJc w:val="left"/>
        <w:pPr>
          <w:tabs>
            <w:tab w:val="num" w:pos="567"/>
          </w:tabs>
          <w:ind w:left="3515" w:hanging="567"/>
        </w:pPr>
        <w:rPr>
          <w:rFonts w:hint="default"/>
        </w:rPr>
      </w:lvl>
    </w:lvlOverride>
    <w:lvlOverride w:ilvl="4">
      <w:startOverride w:val="1"/>
      <w:lvl w:ilvl="4">
        <w:start w:val="1"/>
        <w:numFmt w:val="lowerLetter"/>
        <w:lvlText w:val="%5."/>
        <w:lvlJc w:val="left"/>
        <w:pPr>
          <w:tabs>
            <w:tab w:val="num" w:pos="6548"/>
          </w:tabs>
          <w:ind w:left="6548" w:hanging="360"/>
        </w:pPr>
        <w:rPr>
          <w:rFonts w:hint="default"/>
        </w:rPr>
      </w:lvl>
    </w:lvlOverride>
    <w:lvlOverride w:ilvl="5">
      <w:startOverride w:val="1"/>
      <w:lvl w:ilvl="5">
        <w:start w:val="1"/>
        <w:numFmt w:val="lowerRoman"/>
        <w:lvlText w:val="%6."/>
        <w:lvlJc w:val="right"/>
        <w:pPr>
          <w:tabs>
            <w:tab w:val="num" w:pos="7268"/>
          </w:tabs>
          <w:ind w:left="7268" w:hanging="180"/>
        </w:pPr>
        <w:rPr>
          <w:rFonts w:hint="default"/>
        </w:rPr>
      </w:lvl>
    </w:lvlOverride>
    <w:lvlOverride w:ilvl="6">
      <w:startOverride w:val="1"/>
      <w:lvl w:ilvl="6">
        <w:start w:val="1"/>
        <w:numFmt w:val="decimal"/>
        <w:lvlText w:val="%7."/>
        <w:lvlJc w:val="left"/>
        <w:pPr>
          <w:tabs>
            <w:tab w:val="num" w:pos="7988"/>
          </w:tabs>
          <w:ind w:left="7988" w:hanging="360"/>
        </w:pPr>
        <w:rPr>
          <w:rFonts w:hint="default"/>
        </w:rPr>
      </w:lvl>
    </w:lvlOverride>
    <w:lvlOverride w:ilvl="7">
      <w:startOverride w:val="1"/>
      <w:lvl w:ilvl="7">
        <w:start w:val="1"/>
        <w:numFmt w:val="lowerLetter"/>
        <w:lvlText w:val="%8."/>
        <w:lvlJc w:val="left"/>
        <w:pPr>
          <w:tabs>
            <w:tab w:val="num" w:pos="8708"/>
          </w:tabs>
          <w:ind w:left="8708" w:hanging="360"/>
        </w:pPr>
        <w:rPr>
          <w:rFonts w:hint="default"/>
        </w:rPr>
      </w:lvl>
    </w:lvlOverride>
    <w:lvlOverride w:ilvl="8">
      <w:startOverride w:val="1"/>
      <w:lvl w:ilvl="8">
        <w:start w:val="1"/>
        <w:numFmt w:val="lowerRoman"/>
        <w:lvlText w:val="%9."/>
        <w:lvlJc w:val="right"/>
        <w:pPr>
          <w:tabs>
            <w:tab w:val="num" w:pos="9428"/>
          </w:tabs>
          <w:ind w:left="9428" w:hanging="180"/>
        </w:pPr>
        <w:rPr>
          <w:rFonts w:hint="default"/>
        </w:rPr>
      </w:lvl>
    </w:lvlOverride>
  </w:num>
  <w:num w:numId="29">
    <w:abstractNumId w:val="29"/>
  </w:num>
  <w:num w:numId="30">
    <w:abstractNumId w:val="4"/>
  </w:num>
  <w:num w:numId="31">
    <w:abstractNumId w:val="35"/>
  </w:num>
  <w:num w:numId="32">
    <w:abstractNumId w:val="31"/>
  </w:num>
  <w:num w:numId="33">
    <w:abstractNumId w:val="11"/>
  </w:num>
  <w:num w:numId="34">
    <w:abstractNumId w:val="27"/>
  </w:num>
  <w:num w:numId="35">
    <w:abstractNumId w:val="13"/>
  </w:num>
  <w:num w:numId="36">
    <w:abstractNumId w:val="4"/>
    <w:lvlOverride w:ilvl="0">
      <w:startOverride w:val="1"/>
    </w:lvlOverride>
  </w:num>
  <w:num w:numId="37">
    <w:abstractNumId w:val="19"/>
  </w:num>
  <w:num w:numId="38">
    <w:abstractNumId w:val="36"/>
  </w:num>
  <w:num w:numId="39">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40">
    <w:abstractNumId w:val="4"/>
    <w:lvlOverride w:ilvl="0">
      <w:startOverride w:val="2"/>
    </w:lvlOverride>
  </w:num>
  <w:num w:numId="41">
    <w:abstractNumId w:val="28"/>
  </w:num>
  <w:num w:numId="42">
    <w:abstractNumId w:val="10"/>
  </w:num>
  <w:num w:numId="43">
    <w:abstractNumId w:val="30"/>
  </w:num>
  <w:num w:numId="44">
    <w:abstractNumId w:val="26"/>
  </w:num>
  <w:num w:numId="45">
    <w:abstractNumId w:val="24"/>
  </w:num>
  <w:num w:numId="46">
    <w:abstractNumId w:val="18"/>
  </w:num>
  <w:num w:numId="47">
    <w:abstractNumId w:val="7"/>
    <w:lvlOverride w:ilvl="0">
      <w:startOverride w:val="2"/>
      <w:lvl w:ilvl="0">
        <w:start w:val="2"/>
        <w:numFmt w:val="decimal"/>
        <w:pStyle w:val="Normalnumber"/>
        <w:lvlText w:val="%1."/>
        <w:lvlJc w:val="left"/>
        <w:pPr>
          <w:tabs>
            <w:tab w:val="num" w:pos="567"/>
          </w:tabs>
          <w:ind w:left="1247" w:firstLine="0"/>
        </w:pPr>
        <w:rPr>
          <w:rFonts w:hint="default"/>
        </w:rPr>
      </w:lvl>
    </w:lvlOverride>
  </w:num>
  <w:num w:numId="48">
    <w:abstractNumId w:val="17"/>
  </w:num>
  <w:num w:numId="49">
    <w:abstractNumId w:val="20"/>
  </w:num>
  <w:num w:numId="50">
    <w:abstractNumId w:val="2"/>
  </w:num>
  <w:num w:numId="51">
    <w:abstractNumId w:val="12"/>
  </w:num>
  <w:num w:numId="52">
    <w:abstractNumId w:val="32"/>
  </w:num>
  <w:num w:numId="53">
    <w:abstractNumId w:val="3"/>
  </w:num>
  <w:num w:numId="54">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55">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56">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57">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58">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59">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60">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61">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62">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63">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64">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65">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66">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67">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68">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69">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70">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71">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72">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73">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74">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75">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76">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77">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78">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79">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80">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81">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82">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83">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84">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85">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86">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87">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88">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89">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90">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91">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92">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93">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94">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95">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96">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97">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98">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99">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00">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01">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02">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03">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04">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05">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06">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07">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08">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09">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10">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11">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12">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13">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14">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15">
    <w:abstractNumId w:val="34"/>
  </w:num>
  <w:num w:numId="116">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17">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18">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19">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20">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21">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22">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23">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24">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25">
    <w:abstractNumId w:val="7"/>
    <w:lvlOverride w:ilvl="0">
      <w:startOverride w:val="1"/>
      <w:lvl w:ilvl="0">
        <w:start w:val="1"/>
        <w:numFmt w:val="decimal"/>
        <w:pStyle w:val="Normalnumber"/>
        <w:lvlText w:val="%1."/>
        <w:lvlJc w:val="left"/>
        <w:pPr>
          <w:tabs>
            <w:tab w:val="num" w:pos="567"/>
          </w:tabs>
          <w:ind w:left="1247" w:firstLine="0"/>
        </w:pPr>
        <w:rPr>
          <w:rFonts w:hint="default"/>
        </w:rPr>
      </w:lvl>
    </w:lvlOverride>
    <w:lvlOverride w:ilvl="1">
      <w:startOverride w:val="1"/>
      <w:lvl w:ilvl="1">
        <w:start w:val="1"/>
        <w:numFmt w:val="lowerLetter"/>
        <w:lvlText w:val="%2)"/>
        <w:lvlJc w:val="left"/>
        <w:pPr>
          <w:tabs>
            <w:tab w:val="num" w:pos="567"/>
          </w:tabs>
          <w:ind w:left="1247" w:firstLine="567"/>
        </w:pPr>
        <w:rPr>
          <w:rFonts w:ascii="Times New Roman" w:eastAsia="MS Mincho" w:hAnsi="Times New Roman" w:cs="Times New Roman"/>
        </w:rPr>
      </w:lvl>
    </w:lvlOverride>
    <w:lvlOverride w:ilvl="2">
      <w:startOverride w:val="1"/>
      <w:lvl w:ilvl="2">
        <w:start w:val="1"/>
        <w:numFmt w:val="lowerRoman"/>
        <w:lvlText w:val="(%3)"/>
        <w:lvlJc w:val="left"/>
        <w:pPr>
          <w:tabs>
            <w:tab w:val="num" w:pos="567"/>
          </w:tabs>
          <w:ind w:left="2948" w:hanging="567"/>
        </w:pPr>
        <w:rPr>
          <w:rFonts w:hint="default"/>
        </w:rPr>
      </w:lvl>
    </w:lvlOverride>
    <w:lvlOverride w:ilvl="3">
      <w:startOverride w:val="1"/>
      <w:lvl w:ilvl="3">
        <w:start w:val="1"/>
        <w:numFmt w:val="lowerLetter"/>
        <w:lvlText w:val="%4."/>
        <w:lvlJc w:val="left"/>
        <w:pPr>
          <w:tabs>
            <w:tab w:val="num" w:pos="567"/>
          </w:tabs>
          <w:ind w:left="3515" w:hanging="567"/>
        </w:pPr>
        <w:rPr>
          <w:rFonts w:hint="default"/>
        </w:rPr>
      </w:lvl>
    </w:lvlOverride>
    <w:lvlOverride w:ilvl="4">
      <w:startOverride w:val="1"/>
      <w:lvl w:ilvl="4">
        <w:start w:val="1"/>
        <w:numFmt w:val="lowerLetter"/>
        <w:lvlText w:val="%5."/>
        <w:lvlJc w:val="left"/>
        <w:pPr>
          <w:tabs>
            <w:tab w:val="num" w:pos="6548"/>
          </w:tabs>
          <w:ind w:left="6548" w:hanging="360"/>
        </w:pPr>
        <w:rPr>
          <w:rFonts w:hint="default"/>
        </w:rPr>
      </w:lvl>
    </w:lvlOverride>
    <w:lvlOverride w:ilvl="5">
      <w:startOverride w:val="1"/>
      <w:lvl w:ilvl="5">
        <w:start w:val="1"/>
        <w:numFmt w:val="lowerRoman"/>
        <w:lvlText w:val="%6."/>
        <w:lvlJc w:val="right"/>
        <w:pPr>
          <w:tabs>
            <w:tab w:val="num" w:pos="7268"/>
          </w:tabs>
          <w:ind w:left="7268" w:hanging="180"/>
        </w:pPr>
        <w:rPr>
          <w:rFonts w:hint="default"/>
        </w:rPr>
      </w:lvl>
    </w:lvlOverride>
    <w:lvlOverride w:ilvl="6">
      <w:startOverride w:val="1"/>
      <w:lvl w:ilvl="6">
        <w:start w:val="1"/>
        <w:numFmt w:val="decimal"/>
        <w:lvlText w:val="%7."/>
        <w:lvlJc w:val="left"/>
        <w:pPr>
          <w:tabs>
            <w:tab w:val="num" w:pos="7988"/>
          </w:tabs>
          <w:ind w:left="7988" w:hanging="360"/>
        </w:pPr>
        <w:rPr>
          <w:rFonts w:hint="default"/>
        </w:rPr>
      </w:lvl>
    </w:lvlOverride>
    <w:lvlOverride w:ilvl="7">
      <w:startOverride w:val="1"/>
      <w:lvl w:ilvl="7">
        <w:start w:val="1"/>
        <w:numFmt w:val="lowerLetter"/>
        <w:lvlText w:val="%8."/>
        <w:lvlJc w:val="left"/>
        <w:pPr>
          <w:tabs>
            <w:tab w:val="num" w:pos="8708"/>
          </w:tabs>
          <w:ind w:left="8708" w:hanging="360"/>
        </w:pPr>
        <w:rPr>
          <w:rFonts w:hint="default"/>
        </w:rPr>
      </w:lvl>
    </w:lvlOverride>
    <w:lvlOverride w:ilvl="8">
      <w:startOverride w:val="1"/>
      <w:lvl w:ilvl="8">
        <w:start w:val="1"/>
        <w:numFmt w:val="lowerRoman"/>
        <w:lvlText w:val="%9."/>
        <w:lvlJc w:val="right"/>
        <w:pPr>
          <w:tabs>
            <w:tab w:val="num" w:pos="9428"/>
          </w:tabs>
          <w:ind w:left="9428" w:hanging="180"/>
        </w:pPr>
        <w:rPr>
          <w:rFonts w:hint="default"/>
        </w:rPr>
      </w:lvl>
    </w:lvlOverride>
  </w:num>
  <w:num w:numId="126">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27">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28">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29">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30">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31">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32">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33">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34">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35">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36">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37">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38">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39">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40">
    <w:abstractNumId w:val="22"/>
  </w:num>
  <w:num w:numId="141">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42">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43">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44">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45">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46">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47">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48">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49">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50">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51">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52">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53">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54">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55">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56">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57">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58">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59">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60">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61">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62">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63">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64">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65">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66">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ascii="Times New Roman" w:eastAsia="MS Mincho" w:hAnsi="Times New Roman" w:cs="Times New Roman"/>
        </w:rPr>
      </w:lvl>
    </w:lvlOverride>
    <w:lvlOverride w:ilvl="2">
      <w:lvl w:ilvl="2">
        <w:start w:val="1"/>
        <w:numFmt w:val="lowerRoman"/>
        <w:lvlText w:val="%3)"/>
        <w:lvlJc w:val="left"/>
        <w:pPr>
          <w:tabs>
            <w:tab w:val="num" w:pos="567"/>
          </w:tabs>
          <w:ind w:left="2948" w:hanging="567"/>
        </w:pPr>
        <w:rPr>
          <w:rFonts w:ascii="Times New Roman" w:eastAsia="MS Mincho" w:hAnsi="Times New Roman" w:cs="Times New Roman"/>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67">
    <w:abstractNumId w:val="8"/>
  </w:num>
  <w:num w:numId="168">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ascii="Times New Roman" w:eastAsia="MS Mincho" w:hAnsi="Times New Roman" w:cs="Times New Roman"/>
        </w:rPr>
      </w:lvl>
    </w:lvlOverride>
    <w:lvlOverride w:ilvl="2">
      <w:lvl w:ilvl="2">
        <w:start w:val="1"/>
        <w:numFmt w:val="lowerRoman"/>
        <w:lvlText w:val="%3)"/>
        <w:lvlJc w:val="left"/>
        <w:pPr>
          <w:tabs>
            <w:tab w:val="num" w:pos="567"/>
          </w:tabs>
          <w:ind w:left="2948" w:hanging="567"/>
        </w:pPr>
        <w:rPr>
          <w:rFonts w:ascii="Times New Roman" w:eastAsia="MS Mincho" w:hAnsi="Times New Roman" w:cs="Times New Roman"/>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69">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ascii="Times New Roman" w:eastAsia="MS Mincho" w:hAnsi="Times New Roman" w:cs="Times New Roman"/>
        </w:rPr>
      </w:lvl>
    </w:lvlOverride>
    <w:lvlOverride w:ilvl="2">
      <w:lvl w:ilvl="2">
        <w:start w:val="1"/>
        <w:numFmt w:val="lowerRoman"/>
        <w:lvlText w:val="%3)"/>
        <w:lvlJc w:val="left"/>
        <w:pPr>
          <w:tabs>
            <w:tab w:val="num" w:pos="567"/>
          </w:tabs>
          <w:ind w:left="2948" w:hanging="567"/>
        </w:pPr>
        <w:rPr>
          <w:rFonts w:ascii="Times New Roman" w:eastAsia="MS Mincho" w:hAnsi="Times New Roman" w:cs="Times New Roman"/>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70">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ascii="Times New Roman" w:eastAsia="MS Mincho" w:hAnsi="Times New Roman" w:cs="Times New Roman"/>
        </w:rPr>
      </w:lvl>
    </w:lvlOverride>
    <w:lvlOverride w:ilvl="2">
      <w:lvl w:ilvl="2">
        <w:start w:val="1"/>
        <w:numFmt w:val="lowerRoman"/>
        <w:lvlText w:val="%3)"/>
        <w:lvlJc w:val="left"/>
        <w:pPr>
          <w:tabs>
            <w:tab w:val="num" w:pos="567"/>
          </w:tabs>
          <w:ind w:left="2948" w:hanging="567"/>
        </w:pPr>
        <w:rPr>
          <w:rFonts w:ascii="Times New Roman" w:eastAsia="MS Mincho" w:hAnsi="Times New Roman" w:cs="Times New Roman"/>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71">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ascii="Times New Roman" w:eastAsia="MS Mincho" w:hAnsi="Times New Roman" w:cs="Times New Roman"/>
        </w:rPr>
      </w:lvl>
    </w:lvlOverride>
    <w:lvlOverride w:ilvl="2">
      <w:lvl w:ilvl="2">
        <w:start w:val="1"/>
        <w:numFmt w:val="lowerRoman"/>
        <w:lvlText w:val="%3)"/>
        <w:lvlJc w:val="left"/>
        <w:pPr>
          <w:tabs>
            <w:tab w:val="num" w:pos="567"/>
          </w:tabs>
          <w:ind w:left="2948" w:hanging="567"/>
        </w:pPr>
        <w:rPr>
          <w:rFonts w:ascii="Times New Roman" w:eastAsia="MS Mincho" w:hAnsi="Times New Roman" w:cs="Times New Roman"/>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72">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ascii="Times New Roman" w:eastAsia="MS Mincho" w:hAnsi="Times New Roman" w:cs="Times New Roman"/>
        </w:rPr>
      </w:lvl>
    </w:lvlOverride>
    <w:lvlOverride w:ilvl="2">
      <w:lvl w:ilvl="2">
        <w:start w:val="1"/>
        <w:numFmt w:val="lowerRoman"/>
        <w:lvlText w:val="%3)"/>
        <w:lvlJc w:val="left"/>
        <w:pPr>
          <w:tabs>
            <w:tab w:val="num" w:pos="567"/>
          </w:tabs>
          <w:ind w:left="2948" w:hanging="567"/>
        </w:pPr>
        <w:rPr>
          <w:rFonts w:ascii="Times New Roman" w:eastAsia="MS Mincho" w:hAnsi="Times New Roman" w:cs="Times New Roman"/>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0" w:nlCheck="1" w:checkStyle="0"/>
  <w:activeWritingStyle w:appName="MSWord" w:lang="en-US" w:vendorID="64" w:dllVersion="0" w:nlCheck="1" w:checkStyle="0"/>
  <w:activeWritingStyle w:appName="MSWord" w:lang="en-GB" w:vendorID="64" w:dllVersion="0" w:nlCheck="1" w:checkStyle="1"/>
  <w:activeWritingStyle w:appName="MSWord" w:lang="es-ES" w:vendorID="64" w:dllVersion="0" w:nlCheck="1" w:checkStyle="1"/>
  <w:activeWritingStyle w:appName="MSWord" w:lang="fr-CA"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624"/>
  <w:hyphenationZone w:val="425"/>
  <w:evenAndOddHeaders/>
  <w:noPunctuationKerning/>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B"/>
    <w:rsid w:val="000022EE"/>
    <w:rsid w:val="00003059"/>
    <w:rsid w:val="00004D6B"/>
    <w:rsid w:val="000068F8"/>
    <w:rsid w:val="00011052"/>
    <w:rsid w:val="00012BCF"/>
    <w:rsid w:val="00012E83"/>
    <w:rsid w:val="000149E6"/>
    <w:rsid w:val="0002205F"/>
    <w:rsid w:val="000224B4"/>
    <w:rsid w:val="00022C22"/>
    <w:rsid w:val="00023E32"/>
    <w:rsid w:val="000247B0"/>
    <w:rsid w:val="0002516E"/>
    <w:rsid w:val="00026997"/>
    <w:rsid w:val="00026A91"/>
    <w:rsid w:val="00030628"/>
    <w:rsid w:val="00031F59"/>
    <w:rsid w:val="00032DB5"/>
    <w:rsid w:val="00033E0B"/>
    <w:rsid w:val="00035EDE"/>
    <w:rsid w:val="00037A4C"/>
    <w:rsid w:val="000440BA"/>
    <w:rsid w:val="00045080"/>
    <w:rsid w:val="000458EE"/>
    <w:rsid w:val="0004779A"/>
    <w:rsid w:val="00050114"/>
    <w:rsid w:val="000509B4"/>
    <w:rsid w:val="00050DC0"/>
    <w:rsid w:val="00055375"/>
    <w:rsid w:val="00055BA7"/>
    <w:rsid w:val="00055DEF"/>
    <w:rsid w:val="000574EF"/>
    <w:rsid w:val="00061E26"/>
    <w:rsid w:val="00062885"/>
    <w:rsid w:val="000635F5"/>
    <w:rsid w:val="00064C34"/>
    <w:rsid w:val="00065792"/>
    <w:rsid w:val="000666D3"/>
    <w:rsid w:val="00067662"/>
    <w:rsid w:val="00067A67"/>
    <w:rsid w:val="00071886"/>
    <w:rsid w:val="00072509"/>
    <w:rsid w:val="000742BC"/>
    <w:rsid w:val="00081E43"/>
    <w:rsid w:val="00082A0C"/>
    <w:rsid w:val="00084D4F"/>
    <w:rsid w:val="000917E8"/>
    <w:rsid w:val="00093108"/>
    <w:rsid w:val="00094221"/>
    <w:rsid w:val="000955CC"/>
    <w:rsid w:val="0009640C"/>
    <w:rsid w:val="000A399C"/>
    <w:rsid w:val="000A5555"/>
    <w:rsid w:val="000A5A0B"/>
    <w:rsid w:val="000B1C30"/>
    <w:rsid w:val="000B4485"/>
    <w:rsid w:val="000B59B2"/>
    <w:rsid w:val="000C15B4"/>
    <w:rsid w:val="000C28E5"/>
    <w:rsid w:val="000C2EF7"/>
    <w:rsid w:val="000C665C"/>
    <w:rsid w:val="000D33C0"/>
    <w:rsid w:val="000D523B"/>
    <w:rsid w:val="000D5516"/>
    <w:rsid w:val="000D7396"/>
    <w:rsid w:val="000E067F"/>
    <w:rsid w:val="000E13EF"/>
    <w:rsid w:val="000E2B0F"/>
    <w:rsid w:val="000E406E"/>
    <w:rsid w:val="000E53DF"/>
    <w:rsid w:val="000E6508"/>
    <w:rsid w:val="000F1F67"/>
    <w:rsid w:val="000F3B6C"/>
    <w:rsid w:val="000F4914"/>
    <w:rsid w:val="000F6626"/>
    <w:rsid w:val="00100061"/>
    <w:rsid w:val="00100602"/>
    <w:rsid w:val="00102111"/>
    <w:rsid w:val="001125EE"/>
    <w:rsid w:val="0011391B"/>
    <w:rsid w:val="001159BB"/>
    <w:rsid w:val="00117198"/>
    <w:rsid w:val="001202E3"/>
    <w:rsid w:val="00121708"/>
    <w:rsid w:val="00122090"/>
    <w:rsid w:val="0012562E"/>
    <w:rsid w:val="00127758"/>
    <w:rsid w:val="0013059D"/>
    <w:rsid w:val="0013398F"/>
    <w:rsid w:val="001353F5"/>
    <w:rsid w:val="00135CDA"/>
    <w:rsid w:val="0013648B"/>
    <w:rsid w:val="00137580"/>
    <w:rsid w:val="0014078B"/>
    <w:rsid w:val="00141A55"/>
    <w:rsid w:val="001438BF"/>
    <w:rsid w:val="001441CD"/>
    <w:rsid w:val="00146FEE"/>
    <w:rsid w:val="00151424"/>
    <w:rsid w:val="001554A3"/>
    <w:rsid w:val="00156281"/>
    <w:rsid w:val="00157DEB"/>
    <w:rsid w:val="001600F9"/>
    <w:rsid w:val="00160A54"/>
    <w:rsid w:val="001620DA"/>
    <w:rsid w:val="0016362C"/>
    <w:rsid w:val="00164389"/>
    <w:rsid w:val="001646DA"/>
    <w:rsid w:val="00166FFD"/>
    <w:rsid w:val="001673CF"/>
    <w:rsid w:val="00170D4D"/>
    <w:rsid w:val="001740E1"/>
    <w:rsid w:val="00176828"/>
    <w:rsid w:val="00176EFA"/>
    <w:rsid w:val="001811FA"/>
    <w:rsid w:val="00181BC9"/>
    <w:rsid w:val="00181EC8"/>
    <w:rsid w:val="00182AEE"/>
    <w:rsid w:val="00184349"/>
    <w:rsid w:val="001844C0"/>
    <w:rsid w:val="00184A6E"/>
    <w:rsid w:val="001863AD"/>
    <w:rsid w:val="00186FAD"/>
    <w:rsid w:val="00187A5D"/>
    <w:rsid w:val="0019268D"/>
    <w:rsid w:val="00194014"/>
    <w:rsid w:val="00197D84"/>
    <w:rsid w:val="001A2391"/>
    <w:rsid w:val="001A33EE"/>
    <w:rsid w:val="001A40D9"/>
    <w:rsid w:val="001A4274"/>
    <w:rsid w:val="001A543B"/>
    <w:rsid w:val="001A64B7"/>
    <w:rsid w:val="001A68BF"/>
    <w:rsid w:val="001B08F0"/>
    <w:rsid w:val="001B1617"/>
    <w:rsid w:val="001B3588"/>
    <w:rsid w:val="001B793E"/>
    <w:rsid w:val="001C16F8"/>
    <w:rsid w:val="001C74C3"/>
    <w:rsid w:val="001D063C"/>
    <w:rsid w:val="001D0D52"/>
    <w:rsid w:val="001D3874"/>
    <w:rsid w:val="001D440D"/>
    <w:rsid w:val="001D442A"/>
    <w:rsid w:val="001D4810"/>
    <w:rsid w:val="001D6FD3"/>
    <w:rsid w:val="001D7E75"/>
    <w:rsid w:val="001E23AD"/>
    <w:rsid w:val="001E4B99"/>
    <w:rsid w:val="001E4C3B"/>
    <w:rsid w:val="001E56D2"/>
    <w:rsid w:val="001E7D56"/>
    <w:rsid w:val="001F034F"/>
    <w:rsid w:val="001F1977"/>
    <w:rsid w:val="001F2AE4"/>
    <w:rsid w:val="001F2FC7"/>
    <w:rsid w:val="001F6D28"/>
    <w:rsid w:val="001F75DE"/>
    <w:rsid w:val="001F765B"/>
    <w:rsid w:val="00200D58"/>
    <w:rsid w:val="002013BE"/>
    <w:rsid w:val="002049F7"/>
    <w:rsid w:val="00205F31"/>
    <w:rsid w:val="002063A4"/>
    <w:rsid w:val="0021073A"/>
    <w:rsid w:val="0021145B"/>
    <w:rsid w:val="00213F4F"/>
    <w:rsid w:val="00215A93"/>
    <w:rsid w:val="00221AE7"/>
    <w:rsid w:val="00223EDB"/>
    <w:rsid w:val="00225E39"/>
    <w:rsid w:val="00226FE0"/>
    <w:rsid w:val="0023003F"/>
    <w:rsid w:val="00234783"/>
    <w:rsid w:val="00234B58"/>
    <w:rsid w:val="00241123"/>
    <w:rsid w:val="00242942"/>
    <w:rsid w:val="00243515"/>
    <w:rsid w:val="002463AF"/>
    <w:rsid w:val="002464B8"/>
    <w:rsid w:val="002467F7"/>
    <w:rsid w:val="00247707"/>
    <w:rsid w:val="002478FD"/>
    <w:rsid w:val="00250609"/>
    <w:rsid w:val="00250F52"/>
    <w:rsid w:val="00251963"/>
    <w:rsid w:val="00252C1B"/>
    <w:rsid w:val="00253901"/>
    <w:rsid w:val="002545F6"/>
    <w:rsid w:val="00256876"/>
    <w:rsid w:val="002620CD"/>
    <w:rsid w:val="002654AB"/>
    <w:rsid w:val="002726CF"/>
    <w:rsid w:val="002772CF"/>
    <w:rsid w:val="002773E9"/>
    <w:rsid w:val="00277CE6"/>
    <w:rsid w:val="002829C2"/>
    <w:rsid w:val="00285615"/>
    <w:rsid w:val="00286340"/>
    <w:rsid w:val="00286740"/>
    <w:rsid w:val="00287E60"/>
    <w:rsid w:val="0029265C"/>
    <w:rsid w:val="002929D8"/>
    <w:rsid w:val="002A0458"/>
    <w:rsid w:val="002A237D"/>
    <w:rsid w:val="002A4C53"/>
    <w:rsid w:val="002A5065"/>
    <w:rsid w:val="002A564F"/>
    <w:rsid w:val="002A636C"/>
    <w:rsid w:val="002A6A11"/>
    <w:rsid w:val="002B035E"/>
    <w:rsid w:val="002B0737"/>
    <w:rsid w:val="002B475A"/>
    <w:rsid w:val="002B56EA"/>
    <w:rsid w:val="002C0190"/>
    <w:rsid w:val="002C0F57"/>
    <w:rsid w:val="002C145D"/>
    <w:rsid w:val="002C2C3E"/>
    <w:rsid w:val="002C3453"/>
    <w:rsid w:val="002C35A7"/>
    <w:rsid w:val="002C533E"/>
    <w:rsid w:val="002C655A"/>
    <w:rsid w:val="002C7132"/>
    <w:rsid w:val="002C7A60"/>
    <w:rsid w:val="002D027F"/>
    <w:rsid w:val="002D12F1"/>
    <w:rsid w:val="002D146C"/>
    <w:rsid w:val="002D3D4C"/>
    <w:rsid w:val="002D3D62"/>
    <w:rsid w:val="002D6C07"/>
    <w:rsid w:val="002D7B60"/>
    <w:rsid w:val="002E09CE"/>
    <w:rsid w:val="002E0D90"/>
    <w:rsid w:val="002E3EA7"/>
    <w:rsid w:val="002E7E51"/>
    <w:rsid w:val="002F1F0E"/>
    <w:rsid w:val="002F4761"/>
    <w:rsid w:val="002F5B0F"/>
    <w:rsid w:val="002F62C6"/>
    <w:rsid w:val="00301EBE"/>
    <w:rsid w:val="00303271"/>
    <w:rsid w:val="003056C1"/>
    <w:rsid w:val="00306B12"/>
    <w:rsid w:val="003074BA"/>
    <w:rsid w:val="00311892"/>
    <w:rsid w:val="003124FF"/>
    <w:rsid w:val="00313ECF"/>
    <w:rsid w:val="0031413F"/>
    <w:rsid w:val="003146E0"/>
    <w:rsid w:val="0031485E"/>
    <w:rsid w:val="0031576A"/>
    <w:rsid w:val="00320BDB"/>
    <w:rsid w:val="003272F9"/>
    <w:rsid w:val="003302BD"/>
    <w:rsid w:val="00332CAD"/>
    <w:rsid w:val="003364FF"/>
    <w:rsid w:val="00336901"/>
    <w:rsid w:val="00337F63"/>
    <w:rsid w:val="00340A8A"/>
    <w:rsid w:val="00341D85"/>
    <w:rsid w:val="00341E5D"/>
    <w:rsid w:val="00341F94"/>
    <w:rsid w:val="003446B5"/>
    <w:rsid w:val="0034548C"/>
    <w:rsid w:val="003454AA"/>
    <w:rsid w:val="003503B6"/>
    <w:rsid w:val="003503B8"/>
    <w:rsid w:val="00351BC3"/>
    <w:rsid w:val="00352F00"/>
    <w:rsid w:val="00353786"/>
    <w:rsid w:val="00354DC9"/>
    <w:rsid w:val="00355EA9"/>
    <w:rsid w:val="00357880"/>
    <w:rsid w:val="003610F6"/>
    <w:rsid w:val="00361EDC"/>
    <w:rsid w:val="00363299"/>
    <w:rsid w:val="003660C4"/>
    <w:rsid w:val="003663DD"/>
    <w:rsid w:val="00366DA7"/>
    <w:rsid w:val="00370762"/>
    <w:rsid w:val="00377EB9"/>
    <w:rsid w:val="00381372"/>
    <w:rsid w:val="00385963"/>
    <w:rsid w:val="00392EF5"/>
    <w:rsid w:val="00394E92"/>
    <w:rsid w:val="00396257"/>
    <w:rsid w:val="00397909"/>
    <w:rsid w:val="00397EB8"/>
    <w:rsid w:val="003A10C5"/>
    <w:rsid w:val="003A4FD0"/>
    <w:rsid w:val="003A69D1"/>
    <w:rsid w:val="003A6EF9"/>
    <w:rsid w:val="003B0C0D"/>
    <w:rsid w:val="003B1545"/>
    <w:rsid w:val="003B32FC"/>
    <w:rsid w:val="003B41D2"/>
    <w:rsid w:val="003B48C8"/>
    <w:rsid w:val="003B4D5C"/>
    <w:rsid w:val="003B61A8"/>
    <w:rsid w:val="003B7A70"/>
    <w:rsid w:val="003C0D13"/>
    <w:rsid w:val="003C2767"/>
    <w:rsid w:val="003C2C0F"/>
    <w:rsid w:val="003C409D"/>
    <w:rsid w:val="003C49D5"/>
    <w:rsid w:val="003C4EFB"/>
    <w:rsid w:val="003C670D"/>
    <w:rsid w:val="003C6DED"/>
    <w:rsid w:val="003D040B"/>
    <w:rsid w:val="003D2B36"/>
    <w:rsid w:val="003D3F6C"/>
    <w:rsid w:val="003D4C49"/>
    <w:rsid w:val="003E05E6"/>
    <w:rsid w:val="003E09A0"/>
    <w:rsid w:val="003E318B"/>
    <w:rsid w:val="003E395B"/>
    <w:rsid w:val="003E4971"/>
    <w:rsid w:val="003E6C81"/>
    <w:rsid w:val="003E7728"/>
    <w:rsid w:val="003F0E85"/>
    <w:rsid w:val="003F1FA7"/>
    <w:rsid w:val="003F26F9"/>
    <w:rsid w:val="00400EFD"/>
    <w:rsid w:val="00402174"/>
    <w:rsid w:val="00403262"/>
    <w:rsid w:val="00404648"/>
    <w:rsid w:val="00404965"/>
    <w:rsid w:val="00410C55"/>
    <w:rsid w:val="00413849"/>
    <w:rsid w:val="00416FB7"/>
    <w:rsid w:val="00417725"/>
    <w:rsid w:val="00420A80"/>
    <w:rsid w:val="00425C06"/>
    <w:rsid w:val="00430A4B"/>
    <w:rsid w:val="00432689"/>
    <w:rsid w:val="004348A0"/>
    <w:rsid w:val="00434ACE"/>
    <w:rsid w:val="0043690E"/>
    <w:rsid w:val="00437F26"/>
    <w:rsid w:val="004425C6"/>
    <w:rsid w:val="00442CA5"/>
    <w:rsid w:val="00445BE9"/>
    <w:rsid w:val="00446EF6"/>
    <w:rsid w:val="00447EF3"/>
    <w:rsid w:val="00450542"/>
    <w:rsid w:val="004510AC"/>
    <w:rsid w:val="00451BC4"/>
    <w:rsid w:val="004528ED"/>
    <w:rsid w:val="00452A39"/>
    <w:rsid w:val="00453979"/>
    <w:rsid w:val="0045418B"/>
    <w:rsid w:val="00454769"/>
    <w:rsid w:val="00456B79"/>
    <w:rsid w:val="004609B1"/>
    <w:rsid w:val="00461E1A"/>
    <w:rsid w:val="0046429E"/>
    <w:rsid w:val="0046469E"/>
    <w:rsid w:val="00464C79"/>
    <w:rsid w:val="00465F94"/>
    <w:rsid w:val="00466991"/>
    <w:rsid w:val="0047064C"/>
    <w:rsid w:val="00471DFA"/>
    <w:rsid w:val="0048210B"/>
    <w:rsid w:val="004827F3"/>
    <w:rsid w:val="00483B0B"/>
    <w:rsid w:val="004857D1"/>
    <w:rsid w:val="00493B85"/>
    <w:rsid w:val="00493E19"/>
    <w:rsid w:val="00494455"/>
    <w:rsid w:val="0049512C"/>
    <w:rsid w:val="00495289"/>
    <w:rsid w:val="00495FFB"/>
    <w:rsid w:val="00496EFB"/>
    <w:rsid w:val="004A1438"/>
    <w:rsid w:val="004A174D"/>
    <w:rsid w:val="004A27C7"/>
    <w:rsid w:val="004A36DE"/>
    <w:rsid w:val="004A393B"/>
    <w:rsid w:val="004A3C53"/>
    <w:rsid w:val="004A4744"/>
    <w:rsid w:val="004B3780"/>
    <w:rsid w:val="004B4DF7"/>
    <w:rsid w:val="004B5666"/>
    <w:rsid w:val="004B73DB"/>
    <w:rsid w:val="004C230A"/>
    <w:rsid w:val="004C4E88"/>
    <w:rsid w:val="004C5C96"/>
    <w:rsid w:val="004C790A"/>
    <w:rsid w:val="004D06A4"/>
    <w:rsid w:val="004D2FA0"/>
    <w:rsid w:val="004D4047"/>
    <w:rsid w:val="004D545A"/>
    <w:rsid w:val="004D6638"/>
    <w:rsid w:val="004D6DC5"/>
    <w:rsid w:val="004D76EB"/>
    <w:rsid w:val="004E0E16"/>
    <w:rsid w:val="004E17EF"/>
    <w:rsid w:val="004E35C5"/>
    <w:rsid w:val="004E58C2"/>
    <w:rsid w:val="004E6336"/>
    <w:rsid w:val="004F1A81"/>
    <w:rsid w:val="004F2D0E"/>
    <w:rsid w:val="004F6B4E"/>
    <w:rsid w:val="005051EB"/>
    <w:rsid w:val="0050619E"/>
    <w:rsid w:val="00507F32"/>
    <w:rsid w:val="00510E1A"/>
    <w:rsid w:val="0051335F"/>
    <w:rsid w:val="00514227"/>
    <w:rsid w:val="005160EC"/>
    <w:rsid w:val="005200D8"/>
    <w:rsid w:val="005218D9"/>
    <w:rsid w:val="00523C3E"/>
    <w:rsid w:val="005269C4"/>
    <w:rsid w:val="005308D5"/>
    <w:rsid w:val="00533897"/>
    <w:rsid w:val="005341C5"/>
    <w:rsid w:val="00535BDA"/>
    <w:rsid w:val="00536186"/>
    <w:rsid w:val="0053683F"/>
    <w:rsid w:val="00537EC1"/>
    <w:rsid w:val="0054044F"/>
    <w:rsid w:val="00543454"/>
    <w:rsid w:val="00543C5E"/>
    <w:rsid w:val="005453ED"/>
    <w:rsid w:val="00546A63"/>
    <w:rsid w:val="0055008F"/>
    <w:rsid w:val="00550273"/>
    <w:rsid w:val="00550DF7"/>
    <w:rsid w:val="00552750"/>
    <w:rsid w:val="00552DA7"/>
    <w:rsid w:val="005603D0"/>
    <w:rsid w:val="005624FB"/>
    <w:rsid w:val="005628E3"/>
    <w:rsid w:val="00565DCE"/>
    <w:rsid w:val="0057037E"/>
    <w:rsid w:val="00571232"/>
    <w:rsid w:val="005712C5"/>
    <w:rsid w:val="00571ED8"/>
    <w:rsid w:val="0057315F"/>
    <w:rsid w:val="00573200"/>
    <w:rsid w:val="00574792"/>
    <w:rsid w:val="00574C43"/>
    <w:rsid w:val="00574E93"/>
    <w:rsid w:val="005750B4"/>
    <w:rsid w:val="00577E21"/>
    <w:rsid w:val="00584B14"/>
    <w:rsid w:val="00585F7A"/>
    <w:rsid w:val="0058611F"/>
    <w:rsid w:val="0058768E"/>
    <w:rsid w:val="00590DE4"/>
    <w:rsid w:val="00591B8C"/>
    <w:rsid w:val="005A1B2D"/>
    <w:rsid w:val="005A273C"/>
    <w:rsid w:val="005A2C4B"/>
    <w:rsid w:val="005A59FE"/>
    <w:rsid w:val="005B0DDF"/>
    <w:rsid w:val="005B3034"/>
    <w:rsid w:val="005B584B"/>
    <w:rsid w:val="005C00D1"/>
    <w:rsid w:val="005C15AF"/>
    <w:rsid w:val="005C329C"/>
    <w:rsid w:val="005C67C8"/>
    <w:rsid w:val="005D0249"/>
    <w:rsid w:val="005D0541"/>
    <w:rsid w:val="005D1CD3"/>
    <w:rsid w:val="005D48EC"/>
    <w:rsid w:val="005D4E57"/>
    <w:rsid w:val="005D6AF0"/>
    <w:rsid w:val="005E2D99"/>
    <w:rsid w:val="005E6BD4"/>
    <w:rsid w:val="005F05FD"/>
    <w:rsid w:val="005F100C"/>
    <w:rsid w:val="005F1648"/>
    <w:rsid w:val="005F5510"/>
    <w:rsid w:val="005F7536"/>
    <w:rsid w:val="005F7986"/>
    <w:rsid w:val="005F7B75"/>
    <w:rsid w:val="00603314"/>
    <w:rsid w:val="00604B21"/>
    <w:rsid w:val="00607ABA"/>
    <w:rsid w:val="0061054B"/>
    <w:rsid w:val="00610E31"/>
    <w:rsid w:val="006119BC"/>
    <w:rsid w:val="0061280E"/>
    <w:rsid w:val="006135FB"/>
    <w:rsid w:val="00614659"/>
    <w:rsid w:val="00614AE2"/>
    <w:rsid w:val="0061660A"/>
    <w:rsid w:val="00620F1E"/>
    <w:rsid w:val="00621F9B"/>
    <w:rsid w:val="006225E9"/>
    <w:rsid w:val="006231AF"/>
    <w:rsid w:val="00623998"/>
    <w:rsid w:val="006252F5"/>
    <w:rsid w:val="006303B4"/>
    <w:rsid w:val="00631DE8"/>
    <w:rsid w:val="00633313"/>
    <w:rsid w:val="006370DB"/>
    <w:rsid w:val="006375AC"/>
    <w:rsid w:val="00637AE0"/>
    <w:rsid w:val="00637CE4"/>
    <w:rsid w:val="00640E71"/>
    <w:rsid w:val="00641396"/>
    <w:rsid w:val="00641703"/>
    <w:rsid w:val="006421CF"/>
    <w:rsid w:val="006431A6"/>
    <w:rsid w:val="00643498"/>
    <w:rsid w:val="006455B5"/>
    <w:rsid w:val="006459F6"/>
    <w:rsid w:val="006474E9"/>
    <w:rsid w:val="006501AD"/>
    <w:rsid w:val="0065086E"/>
    <w:rsid w:val="00650B6E"/>
    <w:rsid w:val="00651BFA"/>
    <w:rsid w:val="00656090"/>
    <w:rsid w:val="00667141"/>
    <w:rsid w:val="00667E84"/>
    <w:rsid w:val="00672A6A"/>
    <w:rsid w:val="00673606"/>
    <w:rsid w:val="00673B87"/>
    <w:rsid w:val="00675FEA"/>
    <w:rsid w:val="0068315B"/>
    <w:rsid w:val="006848C8"/>
    <w:rsid w:val="00686FD9"/>
    <w:rsid w:val="00687D4B"/>
    <w:rsid w:val="0069094B"/>
    <w:rsid w:val="00690C2E"/>
    <w:rsid w:val="00692723"/>
    <w:rsid w:val="00692E2A"/>
    <w:rsid w:val="0069369F"/>
    <w:rsid w:val="0069568D"/>
    <w:rsid w:val="00696829"/>
    <w:rsid w:val="006A0EE2"/>
    <w:rsid w:val="006A4A89"/>
    <w:rsid w:val="006A6838"/>
    <w:rsid w:val="006A76F2"/>
    <w:rsid w:val="006B1750"/>
    <w:rsid w:val="006B47CF"/>
    <w:rsid w:val="006B5820"/>
    <w:rsid w:val="006B5ED9"/>
    <w:rsid w:val="006C1161"/>
    <w:rsid w:val="006C3441"/>
    <w:rsid w:val="006C35BD"/>
    <w:rsid w:val="006C3AD0"/>
    <w:rsid w:val="006C3C12"/>
    <w:rsid w:val="006C57AE"/>
    <w:rsid w:val="006C740F"/>
    <w:rsid w:val="006D2E23"/>
    <w:rsid w:val="006D34C9"/>
    <w:rsid w:val="006D3683"/>
    <w:rsid w:val="006D5EDA"/>
    <w:rsid w:val="006D7EFB"/>
    <w:rsid w:val="006E2D3B"/>
    <w:rsid w:val="006E3441"/>
    <w:rsid w:val="006E6722"/>
    <w:rsid w:val="006F3759"/>
    <w:rsid w:val="006F38C1"/>
    <w:rsid w:val="006F3A13"/>
    <w:rsid w:val="006F5B20"/>
    <w:rsid w:val="006F6CC5"/>
    <w:rsid w:val="006F7C94"/>
    <w:rsid w:val="00700A0F"/>
    <w:rsid w:val="007027B9"/>
    <w:rsid w:val="00705F05"/>
    <w:rsid w:val="0070601C"/>
    <w:rsid w:val="007112FF"/>
    <w:rsid w:val="007149CF"/>
    <w:rsid w:val="00714C5E"/>
    <w:rsid w:val="00715A7A"/>
    <w:rsid w:val="00715E88"/>
    <w:rsid w:val="007179BF"/>
    <w:rsid w:val="00722341"/>
    <w:rsid w:val="0072504C"/>
    <w:rsid w:val="00727860"/>
    <w:rsid w:val="00727912"/>
    <w:rsid w:val="00732154"/>
    <w:rsid w:val="00734CAA"/>
    <w:rsid w:val="00737CFC"/>
    <w:rsid w:val="00742516"/>
    <w:rsid w:val="0074394E"/>
    <w:rsid w:val="00745F24"/>
    <w:rsid w:val="00752465"/>
    <w:rsid w:val="00752EDC"/>
    <w:rsid w:val="007532F9"/>
    <w:rsid w:val="007538E8"/>
    <w:rsid w:val="00754B14"/>
    <w:rsid w:val="00757581"/>
    <w:rsid w:val="00757CA2"/>
    <w:rsid w:val="00760141"/>
    <w:rsid w:val="0076107C"/>
    <w:rsid w:val="00764517"/>
    <w:rsid w:val="00765A87"/>
    <w:rsid w:val="00767B0B"/>
    <w:rsid w:val="0077008E"/>
    <w:rsid w:val="007737A8"/>
    <w:rsid w:val="007807B0"/>
    <w:rsid w:val="00782B6C"/>
    <w:rsid w:val="007851A1"/>
    <w:rsid w:val="00791DC5"/>
    <w:rsid w:val="00794506"/>
    <w:rsid w:val="007964D9"/>
    <w:rsid w:val="00796D23"/>
    <w:rsid w:val="00797999"/>
    <w:rsid w:val="007A228D"/>
    <w:rsid w:val="007A5733"/>
    <w:rsid w:val="007A5746"/>
    <w:rsid w:val="007A5C12"/>
    <w:rsid w:val="007A73EF"/>
    <w:rsid w:val="007B02B8"/>
    <w:rsid w:val="007B3217"/>
    <w:rsid w:val="007B7288"/>
    <w:rsid w:val="007C2048"/>
    <w:rsid w:val="007C2541"/>
    <w:rsid w:val="007C30B4"/>
    <w:rsid w:val="007C4DEF"/>
    <w:rsid w:val="007D035C"/>
    <w:rsid w:val="007D45D5"/>
    <w:rsid w:val="007D5D6C"/>
    <w:rsid w:val="007D625A"/>
    <w:rsid w:val="007D7245"/>
    <w:rsid w:val="007D76F9"/>
    <w:rsid w:val="007E003F"/>
    <w:rsid w:val="007E46E0"/>
    <w:rsid w:val="007E520A"/>
    <w:rsid w:val="007F154E"/>
    <w:rsid w:val="007F215A"/>
    <w:rsid w:val="007F2C2A"/>
    <w:rsid w:val="007F2CC1"/>
    <w:rsid w:val="007F445A"/>
    <w:rsid w:val="007F72D1"/>
    <w:rsid w:val="00800CB8"/>
    <w:rsid w:val="008019EB"/>
    <w:rsid w:val="00802FEB"/>
    <w:rsid w:val="00804B9B"/>
    <w:rsid w:val="00805E39"/>
    <w:rsid w:val="00807256"/>
    <w:rsid w:val="00812B70"/>
    <w:rsid w:val="008141B7"/>
    <w:rsid w:val="008156FD"/>
    <w:rsid w:val="00815D26"/>
    <w:rsid w:val="00820075"/>
    <w:rsid w:val="00823195"/>
    <w:rsid w:val="008309D4"/>
    <w:rsid w:val="00830E26"/>
    <w:rsid w:val="00832745"/>
    <w:rsid w:val="0083580A"/>
    <w:rsid w:val="00837AD3"/>
    <w:rsid w:val="008400EB"/>
    <w:rsid w:val="008418B5"/>
    <w:rsid w:val="008429B3"/>
    <w:rsid w:val="00843576"/>
    <w:rsid w:val="00843B64"/>
    <w:rsid w:val="008441D0"/>
    <w:rsid w:val="00845FC3"/>
    <w:rsid w:val="008471E6"/>
    <w:rsid w:val="00850F57"/>
    <w:rsid w:val="008526B1"/>
    <w:rsid w:val="00854452"/>
    <w:rsid w:val="00854E51"/>
    <w:rsid w:val="00854EB8"/>
    <w:rsid w:val="008556AE"/>
    <w:rsid w:val="0085712E"/>
    <w:rsid w:val="00857506"/>
    <w:rsid w:val="00857FB4"/>
    <w:rsid w:val="00860077"/>
    <w:rsid w:val="00860363"/>
    <w:rsid w:val="00860934"/>
    <w:rsid w:val="008616DA"/>
    <w:rsid w:val="00862B50"/>
    <w:rsid w:val="00864618"/>
    <w:rsid w:val="00864B51"/>
    <w:rsid w:val="00867175"/>
    <w:rsid w:val="00867BFF"/>
    <w:rsid w:val="00870960"/>
    <w:rsid w:val="00871CB6"/>
    <w:rsid w:val="008739BA"/>
    <w:rsid w:val="00875D9B"/>
    <w:rsid w:val="00880504"/>
    <w:rsid w:val="00882C94"/>
    <w:rsid w:val="00883450"/>
    <w:rsid w:val="00883559"/>
    <w:rsid w:val="00883A34"/>
    <w:rsid w:val="0088480A"/>
    <w:rsid w:val="00887CBF"/>
    <w:rsid w:val="00891B46"/>
    <w:rsid w:val="008926EC"/>
    <w:rsid w:val="00892B5A"/>
    <w:rsid w:val="00892F5B"/>
    <w:rsid w:val="008947F5"/>
    <w:rsid w:val="008957DD"/>
    <w:rsid w:val="00896020"/>
    <w:rsid w:val="00897D98"/>
    <w:rsid w:val="008A1781"/>
    <w:rsid w:val="008A2426"/>
    <w:rsid w:val="008A2487"/>
    <w:rsid w:val="008A3DE0"/>
    <w:rsid w:val="008A6066"/>
    <w:rsid w:val="008A6562"/>
    <w:rsid w:val="008A6DF2"/>
    <w:rsid w:val="008B016B"/>
    <w:rsid w:val="008B39D9"/>
    <w:rsid w:val="008B5E1B"/>
    <w:rsid w:val="008B6614"/>
    <w:rsid w:val="008B79B4"/>
    <w:rsid w:val="008B7ADA"/>
    <w:rsid w:val="008C005A"/>
    <w:rsid w:val="008C072C"/>
    <w:rsid w:val="008C19F9"/>
    <w:rsid w:val="008C4548"/>
    <w:rsid w:val="008C56E6"/>
    <w:rsid w:val="008C6727"/>
    <w:rsid w:val="008D0A53"/>
    <w:rsid w:val="008D0E23"/>
    <w:rsid w:val="008D1218"/>
    <w:rsid w:val="008D1CD2"/>
    <w:rsid w:val="008D37C3"/>
    <w:rsid w:val="008D3E90"/>
    <w:rsid w:val="008D44C8"/>
    <w:rsid w:val="008D52D8"/>
    <w:rsid w:val="008D6BA0"/>
    <w:rsid w:val="008D7C99"/>
    <w:rsid w:val="008E0233"/>
    <w:rsid w:val="008E0AD6"/>
    <w:rsid w:val="008E0FCB"/>
    <w:rsid w:val="008E4ECD"/>
    <w:rsid w:val="008E65E9"/>
    <w:rsid w:val="008F01F7"/>
    <w:rsid w:val="008F1DD4"/>
    <w:rsid w:val="008F1ECC"/>
    <w:rsid w:val="008F2B1C"/>
    <w:rsid w:val="008F5894"/>
    <w:rsid w:val="00900476"/>
    <w:rsid w:val="00900B61"/>
    <w:rsid w:val="00901521"/>
    <w:rsid w:val="0090539D"/>
    <w:rsid w:val="00907582"/>
    <w:rsid w:val="00911AB0"/>
    <w:rsid w:val="00914084"/>
    <w:rsid w:val="009159DA"/>
    <w:rsid w:val="009212A7"/>
    <w:rsid w:val="0092178C"/>
    <w:rsid w:val="009270AE"/>
    <w:rsid w:val="0093014C"/>
    <w:rsid w:val="00931483"/>
    <w:rsid w:val="00933F1E"/>
    <w:rsid w:val="0093464B"/>
    <w:rsid w:val="00935233"/>
    <w:rsid w:val="00940DCC"/>
    <w:rsid w:val="0094121F"/>
    <w:rsid w:val="00941317"/>
    <w:rsid w:val="0094179A"/>
    <w:rsid w:val="00943BDB"/>
    <w:rsid w:val="0094459E"/>
    <w:rsid w:val="00944DBC"/>
    <w:rsid w:val="00945DFA"/>
    <w:rsid w:val="00950977"/>
    <w:rsid w:val="00951A7B"/>
    <w:rsid w:val="00952E29"/>
    <w:rsid w:val="0095574F"/>
    <w:rsid w:val="009564A6"/>
    <w:rsid w:val="0096249B"/>
    <w:rsid w:val="00962B5E"/>
    <w:rsid w:val="00963208"/>
    <w:rsid w:val="009749A3"/>
    <w:rsid w:val="00976021"/>
    <w:rsid w:val="0098071E"/>
    <w:rsid w:val="00983EE2"/>
    <w:rsid w:val="0098413D"/>
    <w:rsid w:val="00986F26"/>
    <w:rsid w:val="0098795B"/>
    <w:rsid w:val="00987CDE"/>
    <w:rsid w:val="00994B07"/>
    <w:rsid w:val="00996251"/>
    <w:rsid w:val="009A162C"/>
    <w:rsid w:val="009A2923"/>
    <w:rsid w:val="009A4ACC"/>
    <w:rsid w:val="009A6528"/>
    <w:rsid w:val="009B0098"/>
    <w:rsid w:val="009B097C"/>
    <w:rsid w:val="009B24F8"/>
    <w:rsid w:val="009B4A0F"/>
    <w:rsid w:val="009C1324"/>
    <w:rsid w:val="009C2890"/>
    <w:rsid w:val="009C3F89"/>
    <w:rsid w:val="009C5CD4"/>
    <w:rsid w:val="009C6D94"/>
    <w:rsid w:val="009C701A"/>
    <w:rsid w:val="009D0B63"/>
    <w:rsid w:val="009D3F3B"/>
    <w:rsid w:val="009D59AB"/>
    <w:rsid w:val="009D74B7"/>
    <w:rsid w:val="009E2FBC"/>
    <w:rsid w:val="009E3172"/>
    <w:rsid w:val="009E3A77"/>
    <w:rsid w:val="009E473C"/>
    <w:rsid w:val="009E4FB4"/>
    <w:rsid w:val="009E57C9"/>
    <w:rsid w:val="009E6B26"/>
    <w:rsid w:val="009E6DF7"/>
    <w:rsid w:val="009E7E9A"/>
    <w:rsid w:val="009F46BB"/>
    <w:rsid w:val="009F6CB8"/>
    <w:rsid w:val="00A006F3"/>
    <w:rsid w:val="00A02630"/>
    <w:rsid w:val="00A029CA"/>
    <w:rsid w:val="00A05B72"/>
    <w:rsid w:val="00A062F8"/>
    <w:rsid w:val="00A06F48"/>
    <w:rsid w:val="00A1348D"/>
    <w:rsid w:val="00A14966"/>
    <w:rsid w:val="00A14A1D"/>
    <w:rsid w:val="00A17BA5"/>
    <w:rsid w:val="00A2074D"/>
    <w:rsid w:val="00A20A48"/>
    <w:rsid w:val="00A232EE"/>
    <w:rsid w:val="00A23627"/>
    <w:rsid w:val="00A25358"/>
    <w:rsid w:val="00A30718"/>
    <w:rsid w:val="00A310BB"/>
    <w:rsid w:val="00A33D47"/>
    <w:rsid w:val="00A355AB"/>
    <w:rsid w:val="00A41B84"/>
    <w:rsid w:val="00A42891"/>
    <w:rsid w:val="00A44411"/>
    <w:rsid w:val="00A469FA"/>
    <w:rsid w:val="00A475BE"/>
    <w:rsid w:val="00A478FC"/>
    <w:rsid w:val="00A53C2E"/>
    <w:rsid w:val="00A54574"/>
    <w:rsid w:val="00A55740"/>
    <w:rsid w:val="00A55B01"/>
    <w:rsid w:val="00A56B5B"/>
    <w:rsid w:val="00A62F28"/>
    <w:rsid w:val="00A64EE6"/>
    <w:rsid w:val="00A657DD"/>
    <w:rsid w:val="00A659F9"/>
    <w:rsid w:val="00A666A6"/>
    <w:rsid w:val="00A6689A"/>
    <w:rsid w:val="00A676CB"/>
    <w:rsid w:val="00A7486A"/>
    <w:rsid w:val="00A80611"/>
    <w:rsid w:val="00A81A09"/>
    <w:rsid w:val="00A81CD8"/>
    <w:rsid w:val="00A8415C"/>
    <w:rsid w:val="00A849E4"/>
    <w:rsid w:val="00A861C0"/>
    <w:rsid w:val="00A9192F"/>
    <w:rsid w:val="00A91A56"/>
    <w:rsid w:val="00A92AB4"/>
    <w:rsid w:val="00A93021"/>
    <w:rsid w:val="00A93A1D"/>
    <w:rsid w:val="00A94535"/>
    <w:rsid w:val="00A9783E"/>
    <w:rsid w:val="00AA31A3"/>
    <w:rsid w:val="00AA3A0E"/>
    <w:rsid w:val="00AA3EE4"/>
    <w:rsid w:val="00AA4E66"/>
    <w:rsid w:val="00AB1922"/>
    <w:rsid w:val="00AB1ECE"/>
    <w:rsid w:val="00AB2918"/>
    <w:rsid w:val="00AB5340"/>
    <w:rsid w:val="00AC09D0"/>
    <w:rsid w:val="00AC0B8B"/>
    <w:rsid w:val="00AC20BB"/>
    <w:rsid w:val="00AC2573"/>
    <w:rsid w:val="00AC3838"/>
    <w:rsid w:val="00AC7790"/>
    <w:rsid w:val="00AC7C96"/>
    <w:rsid w:val="00AD07F8"/>
    <w:rsid w:val="00AD31E2"/>
    <w:rsid w:val="00AD5569"/>
    <w:rsid w:val="00AD62EA"/>
    <w:rsid w:val="00AD7007"/>
    <w:rsid w:val="00AD7C9B"/>
    <w:rsid w:val="00AE0140"/>
    <w:rsid w:val="00AE1C30"/>
    <w:rsid w:val="00AE1F7E"/>
    <w:rsid w:val="00AE237D"/>
    <w:rsid w:val="00AE5B98"/>
    <w:rsid w:val="00AE78E0"/>
    <w:rsid w:val="00AE7DFE"/>
    <w:rsid w:val="00AE7F6A"/>
    <w:rsid w:val="00AF008F"/>
    <w:rsid w:val="00AF2FC1"/>
    <w:rsid w:val="00AF34B1"/>
    <w:rsid w:val="00AF5491"/>
    <w:rsid w:val="00AF7249"/>
    <w:rsid w:val="00AF7375"/>
    <w:rsid w:val="00AF7C07"/>
    <w:rsid w:val="00B01876"/>
    <w:rsid w:val="00B0273B"/>
    <w:rsid w:val="00B02DB7"/>
    <w:rsid w:val="00B04D46"/>
    <w:rsid w:val="00B06334"/>
    <w:rsid w:val="00B11536"/>
    <w:rsid w:val="00B13586"/>
    <w:rsid w:val="00B14769"/>
    <w:rsid w:val="00B17933"/>
    <w:rsid w:val="00B2239E"/>
    <w:rsid w:val="00B22A15"/>
    <w:rsid w:val="00B23A71"/>
    <w:rsid w:val="00B25B1B"/>
    <w:rsid w:val="00B261FC"/>
    <w:rsid w:val="00B275BB"/>
    <w:rsid w:val="00B27F4F"/>
    <w:rsid w:val="00B337C0"/>
    <w:rsid w:val="00B34BBF"/>
    <w:rsid w:val="00B3684F"/>
    <w:rsid w:val="00B405B7"/>
    <w:rsid w:val="00B4262C"/>
    <w:rsid w:val="00B45105"/>
    <w:rsid w:val="00B46490"/>
    <w:rsid w:val="00B56181"/>
    <w:rsid w:val="00B566CA"/>
    <w:rsid w:val="00B66901"/>
    <w:rsid w:val="00B67760"/>
    <w:rsid w:val="00B71E6D"/>
    <w:rsid w:val="00B72070"/>
    <w:rsid w:val="00B72506"/>
    <w:rsid w:val="00B77149"/>
    <w:rsid w:val="00B771A3"/>
    <w:rsid w:val="00B779E1"/>
    <w:rsid w:val="00B8097E"/>
    <w:rsid w:val="00B82774"/>
    <w:rsid w:val="00B84371"/>
    <w:rsid w:val="00B84486"/>
    <w:rsid w:val="00B847F8"/>
    <w:rsid w:val="00B85A41"/>
    <w:rsid w:val="00B87967"/>
    <w:rsid w:val="00B910FA"/>
    <w:rsid w:val="00B9226F"/>
    <w:rsid w:val="00B92BB7"/>
    <w:rsid w:val="00B96BF7"/>
    <w:rsid w:val="00BA1A67"/>
    <w:rsid w:val="00BA2D85"/>
    <w:rsid w:val="00BA6981"/>
    <w:rsid w:val="00BA79AC"/>
    <w:rsid w:val="00BB042F"/>
    <w:rsid w:val="00BB15DE"/>
    <w:rsid w:val="00BB28A6"/>
    <w:rsid w:val="00BB44A6"/>
    <w:rsid w:val="00BB5833"/>
    <w:rsid w:val="00BB73E7"/>
    <w:rsid w:val="00BB7851"/>
    <w:rsid w:val="00BC093D"/>
    <w:rsid w:val="00BC11F0"/>
    <w:rsid w:val="00BC1CA2"/>
    <w:rsid w:val="00BC32AD"/>
    <w:rsid w:val="00BC5FE2"/>
    <w:rsid w:val="00BC628D"/>
    <w:rsid w:val="00BD1287"/>
    <w:rsid w:val="00BD3735"/>
    <w:rsid w:val="00BD6BC2"/>
    <w:rsid w:val="00BD7BB1"/>
    <w:rsid w:val="00BE2356"/>
    <w:rsid w:val="00BE307A"/>
    <w:rsid w:val="00BE5A5E"/>
    <w:rsid w:val="00BF1300"/>
    <w:rsid w:val="00BF3211"/>
    <w:rsid w:val="00BF3DE7"/>
    <w:rsid w:val="00BF41EA"/>
    <w:rsid w:val="00BF47FF"/>
    <w:rsid w:val="00BF5752"/>
    <w:rsid w:val="00BF6209"/>
    <w:rsid w:val="00BF69BE"/>
    <w:rsid w:val="00BF7A7C"/>
    <w:rsid w:val="00BF7E4E"/>
    <w:rsid w:val="00C0058D"/>
    <w:rsid w:val="00C01630"/>
    <w:rsid w:val="00C016C1"/>
    <w:rsid w:val="00C02585"/>
    <w:rsid w:val="00C053E5"/>
    <w:rsid w:val="00C06816"/>
    <w:rsid w:val="00C10E2E"/>
    <w:rsid w:val="00C1242B"/>
    <w:rsid w:val="00C1356F"/>
    <w:rsid w:val="00C139D3"/>
    <w:rsid w:val="00C17BF1"/>
    <w:rsid w:val="00C20072"/>
    <w:rsid w:val="00C21E03"/>
    <w:rsid w:val="00C22DA3"/>
    <w:rsid w:val="00C2316D"/>
    <w:rsid w:val="00C239E2"/>
    <w:rsid w:val="00C25D7F"/>
    <w:rsid w:val="00C25E34"/>
    <w:rsid w:val="00C2777E"/>
    <w:rsid w:val="00C30C63"/>
    <w:rsid w:val="00C31492"/>
    <w:rsid w:val="00C3419C"/>
    <w:rsid w:val="00C41236"/>
    <w:rsid w:val="00C420DE"/>
    <w:rsid w:val="00C47B77"/>
    <w:rsid w:val="00C51F45"/>
    <w:rsid w:val="00C521A7"/>
    <w:rsid w:val="00C549DA"/>
    <w:rsid w:val="00C558DA"/>
    <w:rsid w:val="00C55F82"/>
    <w:rsid w:val="00C57664"/>
    <w:rsid w:val="00C60FEA"/>
    <w:rsid w:val="00C644FB"/>
    <w:rsid w:val="00C6465C"/>
    <w:rsid w:val="00C64CC8"/>
    <w:rsid w:val="00C67678"/>
    <w:rsid w:val="00C67FC5"/>
    <w:rsid w:val="00C725DC"/>
    <w:rsid w:val="00C73372"/>
    <w:rsid w:val="00C73C48"/>
    <w:rsid w:val="00C73F2D"/>
    <w:rsid w:val="00C80414"/>
    <w:rsid w:val="00C80EB1"/>
    <w:rsid w:val="00C83EA6"/>
    <w:rsid w:val="00C84759"/>
    <w:rsid w:val="00C85BC0"/>
    <w:rsid w:val="00C86031"/>
    <w:rsid w:val="00C90FDD"/>
    <w:rsid w:val="00C914EA"/>
    <w:rsid w:val="00C92160"/>
    <w:rsid w:val="00C93203"/>
    <w:rsid w:val="00C9395F"/>
    <w:rsid w:val="00C93A3A"/>
    <w:rsid w:val="00C956B3"/>
    <w:rsid w:val="00C95831"/>
    <w:rsid w:val="00C961BB"/>
    <w:rsid w:val="00C97B24"/>
    <w:rsid w:val="00CA2C2B"/>
    <w:rsid w:val="00CA2CB5"/>
    <w:rsid w:val="00CA3FEB"/>
    <w:rsid w:val="00CA5494"/>
    <w:rsid w:val="00CA6C7F"/>
    <w:rsid w:val="00CA7C2B"/>
    <w:rsid w:val="00CB1404"/>
    <w:rsid w:val="00CB2057"/>
    <w:rsid w:val="00CB3031"/>
    <w:rsid w:val="00CB3547"/>
    <w:rsid w:val="00CB4973"/>
    <w:rsid w:val="00CB5521"/>
    <w:rsid w:val="00CC10A6"/>
    <w:rsid w:val="00CC1381"/>
    <w:rsid w:val="00CC2354"/>
    <w:rsid w:val="00CD2A97"/>
    <w:rsid w:val="00CD3133"/>
    <w:rsid w:val="00CD3D68"/>
    <w:rsid w:val="00CD598F"/>
    <w:rsid w:val="00CD6AB6"/>
    <w:rsid w:val="00CD7044"/>
    <w:rsid w:val="00CE17C8"/>
    <w:rsid w:val="00CE2264"/>
    <w:rsid w:val="00CE229D"/>
    <w:rsid w:val="00CE24BF"/>
    <w:rsid w:val="00CE2A2D"/>
    <w:rsid w:val="00CE524C"/>
    <w:rsid w:val="00CE5FCF"/>
    <w:rsid w:val="00CE6210"/>
    <w:rsid w:val="00CE65F9"/>
    <w:rsid w:val="00CE7A5F"/>
    <w:rsid w:val="00CF141F"/>
    <w:rsid w:val="00CF1A24"/>
    <w:rsid w:val="00CF3691"/>
    <w:rsid w:val="00CF41C0"/>
    <w:rsid w:val="00CF4777"/>
    <w:rsid w:val="00CF57CF"/>
    <w:rsid w:val="00CF6AE6"/>
    <w:rsid w:val="00CF7C54"/>
    <w:rsid w:val="00D00BDF"/>
    <w:rsid w:val="00D02075"/>
    <w:rsid w:val="00D023AA"/>
    <w:rsid w:val="00D1252B"/>
    <w:rsid w:val="00D12B2C"/>
    <w:rsid w:val="00D12F65"/>
    <w:rsid w:val="00D15118"/>
    <w:rsid w:val="00D157E9"/>
    <w:rsid w:val="00D1640E"/>
    <w:rsid w:val="00D169AF"/>
    <w:rsid w:val="00D172D2"/>
    <w:rsid w:val="00D22513"/>
    <w:rsid w:val="00D25249"/>
    <w:rsid w:val="00D25F71"/>
    <w:rsid w:val="00D34195"/>
    <w:rsid w:val="00D34988"/>
    <w:rsid w:val="00D34FD6"/>
    <w:rsid w:val="00D35AA5"/>
    <w:rsid w:val="00D41948"/>
    <w:rsid w:val="00D42398"/>
    <w:rsid w:val="00D43042"/>
    <w:rsid w:val="00D44172"/>
    <w:rsid w:val="00D45C35"/>
    <w:rsid w:val="00D46C05"/>
    <w:rsid w:val="00D47FA5"/>
    <w:rsid w:val="00D50E8C"/>
    <w:rsid w:val="00D530EB"/>
    <w:rsid w:val="00D539B7"/>
    <w:rsid w:val="00D53ED1"/>
    <w:rsid w:val="00D5710E"/>
    <w:rsid w:val="00D574B7"/>
    <w:rsid w:val="00D63B8C"/>
    <w:rsid w:val="00D666BD"/>
    <w:rsid w:val="00D677FC"/>
    <w:rsid w:val="00D704A9"/>
    <w:rsid w:val="00D71D25"/>
    <w:rsid w:val="00D72AE3"/>
    <w:rsid w:val="00D739CC"/>
    <w:rsid w:val="00D7506D"/>
    <w:rsid w:val="00D75C0B"/>
    <w:rsid w:val="00D774E7"/>
    <w:rsid w:val="00D77A10"/>
    <w:rsid w:val="00D8093D"/>
    <w:rsid w:val="00D80A9A"/>
    <w:rsid w:val="00D80C23"/>
    <w:rsid w:val="00D8108C"/>
    <w:rsid w:val="00D82A0E"/>
    <w:rsid w:val="00D82D20"/>
    <w:rsid w:val="00D83171"/>
    <w:rsid w:val="00D842AE"/>
    <w:rsid w:val="00D90367"/>
    <w:rsid w:val="00D90F04"/>
    <w:rsid w:val="00D9211C"/>
    <w:rsid w:val="00D9221B"/>
    <w:rsid w:val="00D92BBB"/>
    <w:rsid w:val="00D92DE0"/>
    <w:rsid w:val="00D9336C"/>
    <w:rsid w:val="00D93A0F"/>
    <w:rsid w:val="00D956AE"/>
    <w:rsid w:val="00D96369"/>
    <w:rsid w:val="00D963AD"/>
    <w:rsid w:val="00D96F36"/>
    <w:rsid w:val="00D97F1C"/>
    <w:rsid w:val="00DA14DA"/>
    <w:rsid w:val="00DA1BCA"/>
    <w:rsid w:val="00DA1F5A"/>
    <w:rsid w:val="00DA400B"/>
    <w:rsid w:val="00DA527D"/>
    <w:rsid w:val="00DB1194"/>
    <w:rsid w:val="00DB2ACA"/>
    <w:rsid w:val="00DB378F"/>
    <w:rsid w:val="00DC1277"/>
    <w:rsid w:val="00DC1EE2"/>
    <w:rsid w:val="00DC21D3"/>
    <w:rsid w:val="00DC357C"/>
    <w:rsid w:val="00DC46FF"/>
    <w:rsid w:val="00DC53CD"/>
    <w:rsid w:val="00DC5F5F"/>
    <w:rsid w:val="00DC72C0"/>
    <w:rsid w:val="00DD1207"/>
    <w:rsid w:val="00DD1A4F"/>
    <w:rsid w:val="00DD226E"/>
    <w:rsid w:val="00DD7C2C"/>
    <w:rsid w:val="00DE17BA"/>
    <w:rsid w:val="00DE3808"/>
    <w:rsid w:val="00DE7067"/>
    <w:rsid w:val="00DE7A06"/>
    <w:rsid w:val="00DF22C0"/>
    <w:rsid w:val="00DF33F6"/>
    <w:rsid w:val="00DF473D"/>
    <w:rsid w:val="00DF57E6"/>
    <w:rsid w:val="00DF59F6"/>
    <w:rsid w:val="00DF7D32"/>
    <w:rsid w:val="00E000C0"/>
    <w:rsid w:val="00E01369"/>
    <w:rsid w:val="00E01CC6"/>
    <w:rsid w:val="00E02899"/>
    <w:rsid w:val="00E03F3B"/>
    <w:rsid w:val="00E041D0"/>
    <w:rsid w:val="00E04301"/>
    <w:rsid w:val="00E059EE"/>
    <w:rsid w:val="00E06389"/>
    <w:rsid w:val="00E06797"/>
    <w:rsid w:val="00E07216"/>
    <w:rsid w:val="00E10ECE"/>
    <w:rsid w:val="00E10F18"/>
    <w:rsid w:val="00E10FA9"/>
    <w:rsid w:val="00E10FB7"/>
    <w:rsid w:val="00E110C8"/>
    <w:rsid w:val="00E120E1"/>
    <w:rsid w:val="00E1511C"/>
    <w:rsid w:val="00E15866"/>
    <w:rsid w:val="00E165F0"/>
    <w:rsid w:val="00E17BD4"/>
    <w:rsid w:val="00E215B0"/>
    <w:rsid w:val="00E21C83"/>
    <w:rsid w:val="00E255F9"/>
    <w:rsid w:val="00E2657C"/>
    <w:rsid w:val="00E302D9"/>
    <w:rsid w:val="00E31D37"/>
    <w:rsid w:val="00E37411"/>
    <w:rsid w:val="00E40EEA"/>
    <w:rsid w:val="00E41FB3"/>
    <w:rsid w:val="00E43A3B"/>
    <w:rsid w:val="00E4438D"/>
    <w:rsid w:val="00E45435"/>
    <w:rsid w:val="00E45A48"/>
    <w:rsid w:val="00E4612E"/>
    <w:rsid w:val="00E46273"/>
    <w:rsid w:val="00E46D9A"/>
    <w:rsid w:val="00E472D8"/>
    <w:rsid w:val="00E47CC4"/>
    <w:rsid w:val="00E50BE4"/>
    <w:rsid w:val="00E52646"/>
    <w:rsid w:val="00E529FB"/>
    <w:rsid w:val="00E52D2B"/>
    <w:rsid w:val="00E53EF0"/>
    <w:rsid w:val="00E565FF"/>
    <w:rsid w:val="00E56947"/>
    <w:rsid w:val="00E579BD"/>
    <w:rsid w:val="00E61362"/>
    <w:rsid w:val="00E62F84"/>
    <w:rsid w:val="00E64D29"/>
    <w:rsid w:val="00E65388"/>
    <w:rsid w:val="00E65A1E"/>
    <w:rsid w:val="00E67B17"/>
    <w:rsid w:val="00E7057B"/>
    <w:rsid w:val="00E730F5"/>
    <w:rsid w:val="00E7565F"/>
    <w:rsid w:val="00E76253"/>
    <w:rsid w:val="00E76A02"/>
    <w:rsid w:val="00E80DBA"/>
    <w:rsid w:val="00E81947"/>
    <w:rsid w:val="00E85802"/>
    <w:rsid w:val="00E85B7D"/>
    <w:rsid w:val="00E9121B"/>
    <w:rsid w:val="00E92167"/>
    <w:rsid w:val="00E929FB"/>
    <w:rsid w:val="00E92B5F"/>
    <w:rsid w:val="00E96773"/>
    <w:rsid w:val="00E97A23"/>
    <w:rsid w:val="00E97F5D"/>
    <w:rsid w:val="00EA0B53"/>
    <w:rsid w:val="00EA0F3E"/>
    <w:rsid w:val="00EA15FA"/>
    <w:rsid w:val="00EA163A"/>
    <w:rsid w:val="00EA1C2C"/>
    <w:rsid w:val="00EA2981"/>
    <w:rsid w:val="00EA39E5"/>
    <w:rsid w:val="00EA5E5C"/>
    <w:rsid w:val="00EA7D0A"/>
    <w:rsid w:val="00EB0E3E"/>
    <w:rsid w:val="00EB15AC"/>
    <w:rsid w:val="00EB1B8B"/>
    <w:rsid w:val="00EB3654"/>
    <w:rsid w:val="00EB3DB5"/>
    <w:rsid w:val="00EB4DD6"/>
    <w:rsid w:val="00EB6118"/>
    <w:rsid w:val="00EB74C8"/>
    <w:rsid w:val="00EC1BEE"/>
    <w:rsid w:val="00EC3219"/>
    <w:rsid w:val="00EC388E"/>
    <w:rsid w:val="00EC5A46"/>
    <w:rsid w:val="00EC5CBD"/>
    <w:rsid w:val="00EC605B"/>
    <w:rsid w:val="00EC63E2"/>
    <w:rsid w:val="00EC6548"/>
    <w:rsid w:val="00EC66D4"/>
    <w:rsid w:val="00ED0903"/>
    <w:rsid w:val="00ED24E5"/>
    <w:rsid w:val="00ED3175"/>
    <w:rsid w:val="00ED4A19"/>
    <w:rsid w:val="00ED58DE"/>
    <w:rsid w:val="00EE06BA"/>
    <w:rsid w:val="00EE1C8C"/>
    <w:rsid w:val="00EE559C"/>
    <w:rsid w:val="00EF185E"/>
    <w:rsid w:val="00EF22B3"/>
    <w:rsid w:val="00EF2844"/>
    <w:rsid w:val="00EF457E"/>
    <w:rsid w:val="00EF5902"/>
    <w:rsid w:val="00F00A25"/>
    <w:rsid w:val="00F044F7"/>
    <w:rsid w:val="00F064C1"/>
    <w:rsid w:val="00F1038E"/>
    <w:rsid w:val="00F113DA"/>
    <w:rsid w:val="00F11C83"/>
    <w:rsid w:val="00F12540"/>
    <w:rsid w:val="00F13A71"/>
    <w:rsid w:val="00F1720A"/>
    <w:rsid w:val="00F17586"/>
    <w:rsid w:val="00F17F99"/>
    <w:rsid w:val="00F20F3D"/>
    <w:rsid w:val="00F21623"/>
    <w:rsid w:val="00F219A4"/>
    <w:rsid w:val="00F22D44"/>
    <w:rsid w:val="00F239C7"/>
    <w:rsid w:val="00F32F67"/>
    <w:rsid w:val="00F34057"/>
    <w:rsid w:val="00F360DC"/>
    <w:rsid w:val="00F366DE"/>
    <w:rsid w:val="00F371C6"/>
    <w:rsid w:val="00F37DC8"/>
    <w:rsid w:val="00F37DFB"/>
    <w:rsid w:val="00F41127"/>
    <w:rsid w:val="00F41B7C"/>
    <w:rsid w:val="00F41C36"/>
    <w:rsid w:val="00F42017"/>
    <w:rsid w:val="00F45689"/>
    <w:rsid w:val="00F47CD5"/>
    <w:rsid w:val="00F523A5"/>
    <w:rsid w:val="00F5341A"/>
    <w:rsid w:val="00F53652"/>
    <w:rsid w:val="00F57AE0"/>
    <w:rsid w:val="00F610D3"/>
    <w:rsid w:val="00F631A6"/>
    <w:rsid w:val="00F63AC1"/>
    <w:rsid w:val="00F650C3"/>
    <w:rsid w:val="00F66460"/>
    <w:rsid w:val="00F701AE"/>
    <w:rsid w:val="00F71407"/>
    <w:rsid w:val="00F716AD"/>
    <w:rsid w:val="00F717B1"/>
    <w:rsid w:val="00F75A52"/>
    <w:rsid w:val="00F75E86"/>
    <w:rsid w:val="00F80650"/>
    <w:rsid w:val="00F8091E"/>
    <w:rsid w:val="00F80D0A"/>
    <w:rsid w:val="00F83F10"/>
    <w:rsid w:val="00F8577F"/>
    <w:rsid w:val="00F8615C"/>
    <w:rsid w:val="00F86598"/>
    <w:rsid w:val="00F86FDB"/>
    <w:rsid w:val="00F8723E"/>
    <w:rsid w:val="00F87B44"/>
    <w:rsid w:val="00F9078B"/>
    <w:rsid w:val="00F9516F"/>
    <w:rsid w:val="00F9521B"/>
    <w:rsid w:val="00FA13F7"/>
    <w:rsid w:val="00FA184F"/>
    <w:rsid w:val="00FA380A"/>
    <w:rsid w:val="00FA6E02"/>
    <w:rsid w:val="00FA6F2B"/>
    <w:rsid w:val="00FA7174"/>
    <w:rsid w:val="00FA7CED"/>
    <w:rsid w:val="00FB0BDB"/>
    <w:rsid w:val="00FB254A"/>
    <w:rsid w:val="00FB638B"/>
    <w:rsid w:val="00FB67C6"/>
    <w:rsid w:val="00FB6A5B"/>
    <w:rsid w:val="00FB6C90"/>
    <w:rsid w:val="00FC0265"/>
    <w:rsid w:val="00FC47C2"/>
    <w:rsid w:val="00FC6D51"/>
    <w:rsid w:val="00FD1AFF"/>
    <w:rsid w:val="00FD3EE8"/>
    <w:rsid w:val="00FD3F51"/>
    <w:rsid w:val="00FD4DE8"/>
    <w:rsid w:val="00FD534F"/>
    <w:rsid w:val="00FD5860"/>
    <w:rsid w:val="00FD6A16"/>
    <w:rsid w:val="00FE0132"/>
    <w:rsid w:val="00FE0636"/>
    <w:rsid w:val="00FE0754"/>
    <w:rsid w:val="00FE127A"/>
    <w:rsid w:val="00FE237B"/>
    <w:rsid w:val="00FE352D"/>
    <w:rsid w:val="00FE35B8"/>
    <w:rsid w:val="00FE4575"/>
    <w:rsid w:val="00FE62BC"/>
    <w:rsid w:val="00FE7D62"/>
    <w:rsid w:val="00FF11E9"/>
    <w:rsid w:val="00FF2010"/>
    <w:rsid w:val="00FF2F85"/>
    <w:rsid w:val="00FF3199"/>
    <w:rsid w:val="00FF38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BC6D69"/>
  <w15:chartTrackingRefBased/>
  <w15:docId w15:val="{3412AFAC-3E2C-4EE0-8497-C3CB370F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Hyperlink" w:uiPriority="99"/>
    <w:lsdException w:name="HTML Sample" w:semiHidden="1" w:unhideWhenUsed="1"/>
    <w:lsdException w:name="HTML Vari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4455"/>
  </w:style>
  <w:style w:type="paragraph" w:styleId="Heading1">
    <w:name w:val="heading 1"/>
    <w:basedOn w:val="Normal"/>
    <w:next w:val="Normalnumber"/>
    <w:qFormat/>
    <w:rsid w:val="00062885"/>
    <w:pPr>
      <w:keepNext/>
      <w:numPr>
        <w:numId w:val="21"/>
      </w:numPr>
      <w:tabs>
        <w:tab w:val="left" w:pos="1247"/>
        <w:tab w:val="left" w:pos="1814"/>
      </w:tabs>
      <w:spacing w:before="240" w:after="120"/>
      <w:ind w:hanging="534"/>
      <w:outlineLvl w:val="0"/>
    </w:pPr>
    <w:rPr>
      <w:b/>
      <w:sz w:val="28"/>
    </w:rPr>
  </w:style>
  <w:style w:type="paragraph" w:styleId="Heading2">
    <w:name w:val="heading 2"/>
    <w:basedOn w:val="Normal"/>
    <w:next w:val="Normalnumber"/>
    <w:link w:val="Heading2Char"/>
    <w:qFormat/>
    <w:rsid w:val="003124FF"/>
    <w:pPr>
      <w:keepNext/>
      <w:numPr>
        <w:ilvl w:val="1"/>
        <w:numId w:val="24"/>
      </w:numPr>
      <w:spacing w:before="240" w:after="120"/>
      <w:ind w:left="1276" w:hanging="556"/>
      <w:outlineLvl w:val="1"/>
    </w:pPr>
    <w:rPr>
      <w:b/>
      <w:sz w:val="24"/>
      <w:szCs w:val="24"/>
    </w:rPr>
  </w:style>
  <w:style w:type="paragraph" w:styleId="Heading3">
    <w:name w:val="heading 3"/>
    <w:basedOn w:val="Normal"/>
    <w:next w:val="Normalnumber"/>
    <w:link w:val="Heading3Char"/>
    <w:autoRedefine/>
    <w:qFormat/>
    <w:rsid w:val="00EA0B53"/>
    <w:pPr>
      <w:spacing w:after="120"/>
      <w:ind w:left="1304" w:hanging="680"/>
      <w:outlineLvl w:val="2"/>
    </w:pPr>
    <w:rPr>
      <w:b/>
    </w:rPr>
  </w:style>
  <w:style w:type="paragraph" w:styleId="Heading4">
    <w:name w:val="heading 4"/>
    <w:basedOn w:val="Heading3"/>
    <w:next w:val="Normalnumber"/>
    <w:rsid w:val="00AA4E66"/>
    <w:pPr>
      <w:keepNext/>
      <w:outlineLvl w:val="3"/>
    </w:pPr>
  </w:style>
  <w:style w:type="paragraph" w:styleId="Heading5">
    <w:name w:val="heading 5"/>
    <w:basedOn w:val="Normal"/>
    <w:next w:val="Normal"/>
    <w:rsid w:val="00AA4E66"/>
    <w:pPr>
      <w:keepNext/>
      <w:outlineLvl w:val="4"/>
    </w:pPr>
    <w:rPr>
      <w:rFonts w:ascii="Univers" w:hAnsi="Univers"/>
      <w:b/>
      <w:sz w:val="24"/>
    </w:rPr>
  </w:style>
  <w:style w:type="paragraph" w:styleId="Heading6">
    <w:name w:val="heading 6"/>
    <w:basedOn w:val="Normal"/>
    <w:next w:val="Normal"/>
    <w:rsid w:val="00AA4E66"/>
    <w:pPr>
      <w:keepNext/>
      <w:ind w:left="578"/>
      <w:outlineLvl w:val="5"/>
    </w:pPr>
    <w:rPr>
      <w:b/>
      <w:bCs/>
      <w:sz w:val="24"/>
    </w:rPr>
  </w:style>
  <w:style w:type="paragraph" w:styleId="Heading7">
    <w:name w:val="heading 7"/>
    <w:basedOn w:val="Normal"/>
    <w:next w:val="Normal"/>
    <w:rsid w:val="00AA4E66"/>
    <w:pPr>
      <w:keepNext/>
      <w:widowControl w:val="0"/>
      <w:jc w:val="center"/>
      <w:outlineLvl w:val="6"/>
    </w:pPr>
    <w:rPr>
      <w:snapToGrid w:val="0"/>
      <w:u w:val="single"/>
    </w:rPr>
  </w:style>
  <w:style w:type="paragraph" w:styleId="Heading8">
    <w:name w:val="heading 8"/>
    <w:basedOn w:val="Normal"/>
    <w:next w:val="Normal"/>
    <w:rsid w:val="00AA4E66"/>
    <w:pPr>
      <w:keepNext/>
      <w:widowControl w:val="0"/>
      <w:numPr>
        <w:numId w:val="1"/>
      </w:numPr>
      <w:tabs>
        <w:tab w:val="left" w:pos="-1440"/>
        <w:tab w:val="left" w:pos="-720"/>
      </w:tabs>
      <w:suppressAutoHyphens/>
      <w:jc w:val="center"/>
      <w:outlineLvl w:val="7"/>
    </w:pPr>
    <w:rPr>
      <w:snapToGrid w:val="0"/>
      <w:u w:val="single"/>
    </w:rPr>
  </w:style>
  <w:style w:type="paragraph" w:styleId="Heading9">
    <w:name w:val="heading 9"/>
    <w:basedOn w:val="Normal"/>
    <w:next w:val="Normal"/>
    <w:rsid w:val="00AA4E66"/>
    <w:pPr>
      <w:keepNext/>
      <w:widowControl w:val="0"/>
      <w:numPr>
        <w:numId w:val="2"/>
      </w:numPr>
      <w:suppressAutoHyphens/>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AA4E66"/>
    <w:rPr>
      <w:rFonts w:ascii="Times New Roman" w:hAnsi="Times New Roman"/>
      <w:b/>
      <w:sz w:val="18"/>
    </w:rPr>
  </w:style>
  <w:style w:type="table" w:customStyle="1" w:styleId="Tabledocright">
    <w:name w:val="Table_doc_right"/>
    <w:basedOn w:val="TableNormal"/>
    <w:rsid w:val="00AA4E66"/>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AA4E66"/>
    <w:pPr>
      <w:ind w:left="1000"/>
    </w:pPr>
    <w:rPr>
      <w:sz w:val="18"/>
      <w:szCs w:val="18"/>
    </w:rPr>
  </w:style>
  <w:style w:type="paragraph" w:styleId="TOC7">
    <w:name w:val="toc 7"/>
    <w:basedOn w:val="Normal"/>
    <w:next w:val="Normal"/>
    <w:autoRedefine/>
    <w:semiHidden/>
    <w:rsid w:val="00AA4E66"/>
    <w:pPr>
      <w:ind w:left="1200"/>
    </w:pPr>
    <w:rPr>
      <w:sz w:val="18"/>
      <w:szCs w:val="18"/>
    </w:rPr>
  </w:style>
  <w:style w:type="paragraph" w:styleId="TOC8">
    <w:name w:val="toc 8"/>
    <w:basedOn w:val="Normal"/>
    <w:next w:val="Normal"/>
    <w:autoRedefine/>
    <w:semiHidden/>
    <w:rsid w:val="00AA4E66"/>
    <w:pPr>
      <w:ind w:left="1400"/>
    </w:pPr>
    <w:rPr>
      <w:sz w:val="18"/>
      <w:szCs w:val="18"/>
    </w:rPr>
  </w:style>
  <w:style w:type="paragraph" w:styleId="TOC9">
    <w:name w:val="toc 9"/>
    <w:basedOn w:val="Normal"/>
    <w:next w:val="Normal"/>
    <w:autoRedefine/>
    <w:semiHidden/>
    <w:rsid w:val="00AA4E66"/>
    <w:pPr>
      <w:ind w:left="1600"/>
    </w:pPr>
    <w:rPr>
      <w:sz w:val="18"/>
      <w:szCs w:val="18"/>
    </w:rPr>
  </w:style>
  <w:style w:type="paragraph" w:customStyle="1" w:styleId="Titlefigure">
    <w:name w:val="Title_figure"/>
    <w:basedOn w:val="Titletable"/>
    <w:next w:val="NormalNonumber"/>
    <w:rsid w:val="00AA4E66"/>
    <w:rPr>
      <w:bCs w:val="0"/>
    </w:rPr>
  </w:style>
  <w:style w:type="paragraph" w:styleId="TableofFigures">
    <w:name w:val="table of figures"/>
    <w:basedOn w:val="Normal"/>
    <w:next w:val="Normal"/>
    <w:autoRedefine/>
    <w:semiHidden/>
    <w:rsid w:val="00AA4E66"/>
    <w:pPr>
      <w:ind w:left="1814" w:hanging="567"/>
    </w:pPr>
  </w:style>
  <w:style w:type="paragraph" w:customStyle="1" w:styleId="CH1">
    <w:name w:val="CH1"/>
    <w:basedOn w:val="Normal-pool"/>
    <w:next w:val="CH2"/>
    <w:qFormat/>
    <w:rsid w:val="00AA4E66"/>
    <w:pPr>
      <w:keepNext/>
      <w:keepLines/>
      <w:tabs>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rsid w:val="004A36DE"/>
    <w:pPr>
      <w:keepNext/>
      <w:keepLines/>
      <w:tabs>
        <w:tab w:val="right" w:pos="624"/>
        <w:tab w:val="right" w:pos="851"/>
      </w:tabs>
      <w:suppressAutoHyphens/>
      <w:spacing w:before="120" w:after="120"/>
      <w:ind w:left="1871" w:right="284" w:hanging="611"/>
    </w:pPr>
    <w:rPr>
      <w:rFonts w:eastAsia="Gulim"/>
      <w:b/>
      <w:sz w:val="24"/>
      <w:szCs w:val="24"/>
      <w:lang w:eastAsia="ko-KR"/>
    </w:rPr>
  </w:style>
  <w:style w:type="paragraph" w:customStyle="1" w:styleId="CH3">
    <w:name w:val="CH3"/>
    <w:basedOn w:val="Normal-pool"/>
    <w:next w:val="Normalnumber"/>
    <w:rsid w:val="00AA4E66"/>
    <w:pPr>
      <w:keepNext/>
      <w:keepLines/>
      <w:tabs>
        <w:tab w:val="right" w:pos="851"/>
      </w:tabs>
      <w:suppressAutoHyphens/>
      <w:spacing w:after="120"/>
      <w:ind w:left="1247" w:right="284" w:hanging="1247"/>
    </w:pPr>
    <w:rPr>
      <w:b/>
    </w:rPr>
  </w:style>
  <w:style w:type="paragraph" w:customStyle="1" w:styleId="CH4">
    <w:name w:val="CH4"/>
    <w:basedOn w:val="Normal-pool"/>
    <w:next w:val="Normalnumber"/>
    <w:rsid w:val="00AA4E66"/>
    <w:pPr>
      <w:keepNext/>
      <w:keepLines/>
      <w:tabs>
        <w:tab w:val="right" w:pos="851"/>
      </w:tabs>
      <w:suppressAutoHyphens/>
      <w:spacing w:after="120"/>
      <w:ind w:left="1247" w:right="284" w:hanging="1247"/>
    </w:pPr>
    <w:rPr>
      <w:b/>
    </w:rPr>
  </w:style>
  <w:style w:type="table" w:customStyle="1" w:styleId="Footertable">
    <w:name w:val="Footer_table"/>
    <w:basedOn w:val="TableNormal"/>
    <w:semiHidden/>
    <w:rsid w:val="00AA4E66"/>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
    <w:next w:val="Normalnumber"/>
    <w:semiHidden/>
    <w:rsid w:val="00AA4E66"/>
    <w:pPr>
      <w:keepNext/>
      <w:keepLines/>
      <w:tabs>
        <w:tab w:val="right" w:pos="851"/>
      </w:tabs>
      <w:suppressAutoHyphens/>
      <w:spacing w:after="120"/>
      <w:ind w:left="1247" w:right="284" w:hanging="1247"/>
    </w:pPr>
    <w:rPr>
      <w:b/>
    </w:rPr>
  </w:style>
  <w:style w:type="paragraph" w:styleId="NormalIndent">
    <w:name w:val="Normal Indent"/>
    <w:basedOn w:val="Normal"/>
    <w:semiHidden/>
    <w:rsid w:val="00AA4E66"/>
    <w:pPr>
      <w:ind w:left="1247"/>
    </w:pPr>
  </w:style>
  <w:style w:type="paragraph" w:customStyle="1" w:styleId="Normal-pool">
    <w:name w:val="Normal-pool"/>
    <w:link w:val="Normal-poolChar"/>
    <w:qFormat/>
    <w:rsid w:val="001D4810"/>
    <w:pPr>
      <w:tabs>
        <w:tab w:val="left" w:pos="1247"/>
        <w:tab w:val="left" w:pos="1814"/>
        <w:tab w:val="left" w:pos="2381"/>
        <w:tab w:val="left" w:pos="2948"/>
        <w:tab w:val="left" w:pos="3515"/>
      </w:tabs>
    </w:pPr>
    <w:rPr>
      <w:lang w:val="en-GB"/>
    </w:rPr>
  </w:style>
  <w:style w:type="character" w:customStyle="1" w:styleId="NormalnumberChar">
    <w:name w:val="Normal_number Char"/>
    <w:link w:val="Normalnumber"/>
    <w:uiPriority w:val="99"/>
    <w:rsid w:val="00494455"/>
    <w:rPr>
      <w:lang w:val="en-GB"/>
    </w:rPr>
  </w:style>
  <w:style w:type="paragraph" w:customStyle="1" w:styleId="a">
    <w:name w:val="바탕글"/>
    <w:basedOn w:val="Normal"/>
    <w:rsid w:val="00494455"/>
    <w:pPr>
      <w:snapToGrid w:val="0"/>
      <w:spacing w:line="384" w:lineRule="auto"/>
      <w:jc w:val="both"/>
    </w:pPr>
    <w:rPr>
      <w:rFonts w:ascii="Batang" w:eastAsia="Batang" w:hAnsi="Batang" w:cs="Gulim"/>
      <w:color w:val="000000"/>
      <w:lang w:eastAsia="ko-KR"/>
    </w:rPr>
  </w:style>
  <w:style w:type="table" w:styleId="TableGrid">
    <w:name w:val="Table Grid"/>
    <w:basedOn w:val="TableNormal"/>
    <w:uiPriority w:val="59"/>
    <w:rsid w:val="00B85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locked/>
    <w:rsid w:val="003124FF"/>
    <w:rPr>
      <w:rFonts w:eastAsia="MS Mincho"/>
      <w:b/>
      <w:sz w:val="24"/>
      <w:szCs w:val="24"/>
      <w:lang w:val="en-GB"/>
    </w:rPr>
  </w:style>
  <w:style w:type="character" w:styleId="FootnoteReference">
    <w:name w:val="footnote reference"/>
    <w:aliases w:val="16 Point,Superscript 6 Point,number,SUPERS,Footnote Reference Superscript"/>
    <w:rsid w:val="00AA4E66"/>
    <w:rPr>
      <w:rFonts w:ascii="Times New Roman" w:hAnsi="Times New Roman"/>
      <w:color w:val="auto"/>
      <w:sz w:val="20"/>
      <w:szCs w:val="18"/>
      <w:vertAlign w:val="superscript"/>
    </w:rPr>
  </w:style>
  <w:style w:type="paragraph" w:styleId="FootnoteText">
    <w:name w:val="footnote text"/>
    <w:aliases w:val="Geneva 9,Font: Geneva 9,Boston 10,f,DNV-FT,Fußnotentextf,Footnote Text Char Char,Footnote Text Char Char Char Char,Footnote Text1,Footnote Text Char Char Char"/>
    <w:basedOn w:val="Normal-pool"/>
    <w:link w:val="FootnoteTextChar"/>
    <w:rsid w:val="00AA4E66"/>
    <w:pPr>
      <w:spacing w:before="20" w:after="40"/>
      <w:ind w:left="1247"/>
    </w:pPr>
    <w:rPr>
      <w:sz w:val="18"/>
    </w:rPr>
  </w:style>
  <w:style w:type="paragraph" w:customStyle="1" w:styleId="ColorfulList-Accent11">
    <w:name w:val="Colorful List - Accent 11"/>
    <w:basedOn w:val="Normal"/>
    <w:uiPriority w:val="34"/>
    <w:rsid w:val="00BC093D"/>
    <w:pPr>
      <w:tabs>
        <w:tab w:val="left" w:pos="1247"/>
        <w:tab w:val="left" w:pos="1814"/>
        <w:tab w:val="left" w:pos="2381"/>
        <w:tab w:val="left" w:pos="2948"/>
        <w:tab w:val="left" w:pos="3515"/>
      </w:tabs>
      <w:ind w:left="720"/>
    </w:pPr>
    <w:rPr>
      <w:rFonts w:eastAsia="Times New Roman"/>
    </w:rPr>
  </w:style>
  <w:style w:type="paragraph" w:styleId="EndnoteText">
    <w:name w:val="endnote text"/>
    <w:basedOn w:val="Normal"/>
    <w:link w:val="EndnoteTextChar"/>
    <w:semiHidden/>
    <w:rsid w:val="00BC093D"/>
    <w:pPr>
      <w:tabs>
        <w:tab w:val="left" w:pos="1247"/>
        <w:tab w:val="left" w:pos="1814"/>
        <w:tab w:val="left" w:pos="2381"/>
        <w:tab w:val="left" w:pos="2948"/>
        <w:tab w:val="left" w:pos="3515"/>
      </w:tabs>
    </w:pPr>
    <w:rPr>
      <w:rFonts w:eastAsia="Times New Roman"/>
    </w:rPr>
  </w:style>
  <w:style w:type="character" w:customStyle="1" w:styleId="EndnoteTextChar">
    <w:name w:val="Endnote Text Char"/>
    <w:link w:val="EndnoteText"/>
    <w:locked/>
    <w:rsid w:val="00BC093D"/>
    <w:rPr>
      <w:lang w:val="en-GB" w:eastAsia="en-US" w:bidi="ar-SA"/>
    </w:rPr>
  </w:style>
  <w:style w:type="character" w:customStyle="1" w:styleId="docs-bold">
    <w:name w:val="docs-bold"/>
    <w:rsid w:val="00BC093D"/>
    <w:rPr>
      <w:rFonts w:cs="Times New Roman"/>
    </w:rPr>
  </w:style>
  <w:style w:type="character" w:customStyle="1" w:styleId="Normal-poolChar">
    <w:name w:val="Normal-pool Char"/>
    <w:link w:val="Normal-pool"/>
    <w:rsid w:val="00D71D25"/>
    <w:rPr>
      <w:lang w:val="en-GB" w:eastAsia="en-US" w:bidi="ar-SA"/>
    </w:rPr>
  </w:style>
  <w:style w:type="character" w:customStyle="1" w:styleId="CH2Char">
    <w:name w:val="CH2 Char"/>
    <w:link w:val="CH2"/>
    <w:rsid w:val="004A36DE"/>
    <w:rPr>
      <w:rFonts w:eastAsia="Gulim"/>
      <w:b/>
      <w:sz w:val="24"/>
      <w:szCs w:val="24"/>
      <w:lang w:val="en-GB" w:eastAsia="ko-KR"/>
    </w:rPr>
  </w:style>
  <w:style w:type="character" w:styleId="FollowedHyperlink">
    <w:name w:val="FollowedHyperlink"/>
    <w:rsid w:val="003503B6"/>
    <w:rPr>
      <w:color w:val="800080"/>
      <w:u w:val="single"/>
    </w:rPr>
  </w:style>
  <w:style w:type="paragraph" w:styleId="BalloonText">
    <w:name w:val="Balloon Text"/>
    <w:basedOn w:val="Normal"/>
    <w:link w:val="BalloonTextChar"/>
    <w:rsid w:val="001673CF"/>
    <w:rPr>
      <w:rFonts w:ascii="Tahoma" w:hAnsi="Tahoma" w:cs="Tahoma"/>
      <w:sz w:val="16"/>
      <w:szCs w:val="16"/>
    </w:rPr>
  </w:style>
  <w:style w:type="character" w:customStyle="1" w:styleId="BalloonTextChar">
    <w:name w:val="Balloon Text Char"/>
    <w:link w:val="BalloonText"/>
    <w:rsid w:val="001673CF"/>
    <w:rPr>
      <w:rFonts w:ascii="Tahoma" w:eastAsia="MS Mincho" w:hAnsi="Tahoma" w:cs="Tahoma"/>
      <w:sz w:val="16"/>
      <w:szCs w:val="16"/>
      <w:lang w:val="en-GB"/>
    </w:rPr>
  </w:style>
  <w:style w:type="character" w:styleId="CommentReference">
    <w:name w:val="annotation reference"/>
    <w:uiPriority w:val="99"/>
    <w:rsid w:val="001673CF"/>
    <w:rPr>
      <w:sz w:val="16"/>
      <w:szCs w:val="16"/>
    </w:rPr>
  </w:style>
  <w:style w:type="paragraph" w:styleId="CommentText">
    <w:name w:val="annotation text"/>
    <w:basedOn w:val="Normal"/>
    <w:link w:val="CommentTextChar"/>
    <w:uiPriority w:val="99"/>
    <w:rsid w:val="001673CF"/>
  </w:style>
  <w:style w:type="character" w:customStyle="1" w:styleId="CommentTextChar">
    <w:name w:val="Comment Text Char"/>
    <w:link w:val="CommentText"/>
    <w:uiPriority w:val="99"/>
    <w:rsid w:val="001673CF"/>
    <w:rPr>
      <w:rFonts w:eastAsia="MS Mincho"/>
      <w:lang w:val="en-GB"/>
    </w:rPr>
  </w:style>
  <w:style w:type="paragraph" w:styleId="CommentSubject">
    <w:name w:val="annotation subject"/>
    <w:basedOn w:val="CommentText"/>
    <w:next w:val="CommentText"/>
    <w:link w:val="CommentSubjectChar"/>
    <w:rsid w:val="001673CF"/>
    <w:rPr>
      <w:b/>
      <w:bCs/>
    </w:rPr>
  </w:style>
  <w:style w:type="character" w:customStyle="1" w:styleId="CommentSubjectChar">
    <w:name w:val="Comment Subject Char"/>
    <w:link w:val="CommentSubject"/>
    <w:rsid w:val="001673CF"/>
    <w:rPr>
      <w:rFonts w:eastAsia="MS Mincho"/>
      <w:b/>
      <w:bCs/>
      <w:lang w:val="en-GB"/>
    </w:rPr>
  </w:style>
  <w:style w:type="paragraph" w:customStyle="1" w:styleId="SingleTxt">
    <w:name w:val="__Single Txt"/>
    <w:basedOn w:val="Normal"/>
    <w:rsid w:val="00F4112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eastAsia="Times New Roman"/>
      <w:spacing w:val="4"/>
      <w:w w:val="103"/>
      <w:kern w:val="14"/>
    </w:rPr>
  </w:style>
  <w:style w:type="paragraph" w:customStyle="1" w:styleId="H1">
    <w:name w:val="_ H_1"/>
    <w:basedOn w:val="Normal"/>
    <w:next w:val="SingleTxt"/>
    <w:rsid w:val="00F4112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rFonts w:eastAsia="Times New Roman"/>
      <w:b/>
      <w:spacing w:val="4"/>
      <w:w w:val="103"/>
      <w:kern w:val="14"/>
      <w:sz w:val="24"/>
    </w:rPr>
  </w:style>
  <w:style w:type="paragraph" w:customStyle="1" w:styleId="HCh">
    <w:name w:val="_ H _Ch"/>
    <w:basedOn w:val="H1"/>
    <w:next w:val="SingleTxt"/>
    <w:rsid w:val="0004779A"/>
    <w:pPr>
      <w:spacing w:line="300" w:lineRule="exact"/>
      <w:ind w:left="0" w:right="0" w:firstLine="0"/>
    </w:pPr>
    <w:rPr>
      <w:spacing w:val="-2"/>
      <w:sz w:val="28"/>
    </w:rPr>
  </w:style>
  <w:style w:type="paragraph" w:customStyle="1" w:styleId="HM">
    <w:name w:val="_ H __M"/>
    <w:basedOn w:val="HCh"/>
    <w:next w:val="Normal"/>
    <w:rsid w:val="0004779A"/>
    <w:pPr>
      <w:spacing w:line="360" w:lineRule="exact"/>
    </w:pPr>
    <w:rPr>
      <w:spacing w:val="-3"/>
      <w:w w:val="99"/>
      <w:sz w:val="34"/>
    </w:rPr>
  </w:style>
  <w:style w:type="paragraph" w:customStyle="1" w:styleId="H23">
    <w:name w:val="_ H_2/3"/>
    <w:basedOn w:val="H1"/>
    <w:next w:val="Normal"/>
    <w:rsid w:val="0004779A"/>
    <w:pPr>
      <w:spacing w:line="240" w:lineRule="exact"/>
      <w:outlineLvl w:val="1"/>
    </w:pPr>
    <w:rPr>
      <w:spacing w:val="2"/>
      <w:sz w:val="20"/>
    </w:rPr>
  </w:style>
  <w:style w:type="paragraph" w:customStyle="1" w:styleId="H4">
    <w:name w:val="_ H_4"/>
    <w:basedOn w:val="Normal"/>
    <w:next w:val="Normal"/>
    <w:rsid w:val="0004779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3"/>
    </w:pPr>
    <w:rPr>
      <w:rFonts w:eastAsia="Times New Roman"/>
      <w:i/>
      <w:spacing w:val="3"/>
      <w:w w:val="103"/>
      <w:kern w:val="14"/>
    </w:rPr>
  </w:style>
  <w:style w:type="paragraph" w:customStyle="1" w:styleId="H56">
    <w:name w:val="_ H_5/6"/>
    <w:basedOn w:val="Normal"/>
    <w:next w:val="Normal"/>
    <w:rsid w:val="0004779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4"/>
    </w:pPr>
    <w:rPr>
      <w:rFonts w:eastAsia="Times New Roman"/>
      <w:spacing w:val="4"/>
      <w:w w:val="103"/>
      <w:kern w:val="14"/>
    </w:rPr>
  </w:style>
  <w:style w:type="paragraph" w:customStyle="1" w:styleId="DualTxt">
    <w:name w:val="__Dual Txt"/>
    <w:basedOn w:val="Normal"/>
    <w:rsid w:val="0004779A"/>
    <w:pPr>
      <w:tabs>
        <w:tab w:val="left" w:pos="480"/>
        <w:tab w:val="left" w:pos="960"/>
        <w:tab w:val="left" w:pos="1440"/>
        <w:tab w:val="left" w:pos="1915"/>
        <w:tab w:val="left" w:pos="2405"/>
        <w:tab w:val="left" w:pos="2880"/>
        <w:tab w:val="left" w:pos="3355"/>
      </w:tabs>
      <w:suppressAutoHyphens/>
      <w:spacing w:after="120" w:line="240" w:lineRule="exact"/>
      <w:jc w:val="both"/>
    </w:pPr>
    <w:rPr>
      <w:rFonts w:eastAsia="Times New Roman"/>
      <w:spacing w:val="4"/>
      <w:w w:val="103"/>
      <w:kern w:val="14"/>
    </w:rPr>
  </w:style>
  <w:style w:type="paragraph" w:customStyle="1" w:styleId="SM">
    <w:name w:val="__S_M"/>
    <w:basedOn w:val="Normal"/>
    <w:next w:val="Normal"/>
    <w:rsid w:val="0004779A"/>
    <w:pPr>
      <w:keepNext/>
      <w:keepLines/>
      <w:tabs>
        <w:tab w:val="right" w:leader="dot" w:pos="360"/>
      </w:tabs>
      <w:suppressAutoHyphens/>
      <w:spacing w:line="390" w:lineRule="exact"/>
      <w:ind w:left="1267" w:right="1267"/>
      <w:outlineLvl w:val="0"/>
    </w:pPr>
    <w:rPr>
      <w:rFonts w:eastAsia="Times New Roman"/>
      <w:b/>
      <w:spacing w:val="-4"/>
      <w:w w:val="98"/>
      <w:kern w:val="14"/>
      <w:sz w:val="40"/>
    </w:rPr>
  </w:style>
  <w:style w:type="paragraph" w:customStyle="1" w:styleId="SL">
    <w:name w:val="__S_L"/>
    <w:basedOn w:val="SM"/>
    <w:next w:val="Normal"/>
    <w:rsid w:val="0004779A"/>
    <w:pPr>
      <w:spacing w:line="540" w:lineRule="exact"/>
    </w:pPr>
    <w:rPr>
      <w:spacing w:val="-8"/>
      <w:w w:val="96"/>
      <w:sz w:val="57"/>
    </w:rPr>
  </w:style>
  <w:style w:type="paragraph" w:customStyle="1" w:styleId="SS">
    <w:name w:val="__S_S"/>
    <w:basedOn w:val="HCh"/>
    <w:next w:val="Normal"/>
    <w:rsid w:val="0004779A"/>
    <w:pPr>
      <w:ind w:left="1267" w:right="1267"/>
    </w:pPr>
  </w:style>
  <w:style w:type="character" w:styleId="EndnoteReference">
    <w:name w:val="endnote reference"/>
    <w:rsid w:val="0004779A"/>
    <w:rPr>
      <w:spacing w:val="-5"/>
      <w:w w:val="130"/>
      <w:position w:val="-4"/>
      <w:vertAlign w:val="superscript"/>
    </w:rPr>
  </w:style>
  <w:style w:type="character" w:styleId="LineNumber">
    <w:name w:val="line number"/>
    <w:rsid w:val="0004779A"/>
    <w:rPr>
      <w:sz w:val="14"/>
    </w:rPr>
  </w:style>
  <w:style w:type="paragraph" w:customStyle="1" w:styleId="Small">
    <w:name w:val="Small"/>
    <w:basedOn w:val="Normal"/>
    <w:next w:val="Normal"/>
    <w:rsid w:val="0004779A"/>
    <w:pPr>
      <w:tabs>
        <w:tab w:val="right" w:pos="9965"/>
      </w:tabs>
      <w:suppressAutoHyphens/>
      <w:spacing w:line="210" w:lineRule="exact"/>
    </w:pPr>
    <w:rPr>
      <w:rFonts w:eastAsia="Times New Roman"/>
      <w:spacing w:val="5"/>
      <w:w w:val="104"/>
      <w:kern w:val="14"/>
      <w:sz w:val="17"/>
    </w:rPr>
  </w:style>
  <w:style w:type="paragraph" w:customStyle="1" w:styleId="SmallX">
    <w:name w:val="SmallX"/>
    <w:basedOn w:val="Small"/>
    <w:next w:val="Normal"/>
    <w:rsid w:val="0004779A"/>
    <w:pPr>
      <w:spacing w:line="180" w:lineRule="exact"/>
      <w:jc w:val="right"/>
    </w:pPr>
    <w:rPr>
      <w:spacing w:val="6"/>
      <w:w w:val="106"/>
      <w:sz w:val="14"/>
    </w:rPr>
  </w:style>
  <w:style w:type="paragraph" w:customStyle="1" w:styleId="XLarge">
    <w:name w:val="XLarge"/>
    <w:basedOn w:val="HM"/>
    <w:rsid w:val="0004779A"/>
    <w:pPr>
      <w:spacing w:line="390" w:lineRule="exact"/>
    </w:pPr>
    <w:rPr>
      <w:spacing w:val="-4"/>
      <w:w w:val="98"/>
      <w:sz w:val="40"/>
    </w:rPr>
  </w:style>
  <w:style w:type="character" w:customStyle="1" w:styleId="HeaderChar">
    <w:name w:val="Header Char"/>
    <w:link w:val="Header"/>
    <w:uiPriority w:val="99"/>
    <w:rsid w:val="0004779A"/>
    <w:rPr>
      <w:b/>
      <w:sz w:val="18"/>
      <w:lang w:eastAsia="en-US"/>
    </w:rPr>
  </w:style>
  <w:style w:type="paragraph" w:customStyle="1" w:styleId="ColorfulShading-Accent11">
    <w:name w:val="Colorful Shading - Accent 11"/>
    <w:hidden/>
    <w:rsid w:val="0004779A"/>
    <w:rPr>
      <w:sz w:val="24"/>
      <w:szCs w:val="24"/>
    </w:rPr>
  </w:style>
  <w:style w:type="paragraph" w:customStyle="1" w:styleId="Default">
    <w:name w:val="Default"/>
    <w:rsid w:val="0004779A"/>
    <w:pPr>
      <w:autoSpaceDE w:val="0"/>
      <w:autoSpaceDN w:val="0"/>
      <w:adjustRightInd w:val="0"/>
    </w:pPr>
    <w:rPr>
      <w:rFonts w:ascii="Calibri" w:hAnsi="Calibri" w:cs="Calibri"/>
      <w:color w:val="000000"/>
      <w:sz w:val="24"/>
      <w:szCs w:val="24"/>
    </w:rPr>
  </w:style>
  <w:style w:type="paragraph" w:customStyle="1" w:styleId="ColorfulShading-Accent31">
    <w:name w:val="Colorful Shading - Accent 31"/>
    <w:basedOn w:val="Normal"/>
    <w:uiPriority w:val="34"/>
    <w:rsid w:val="0004779A"/>
    <w:pPr>
      <w:suppressAutoHyphens/>
      <w:spacing w:line="240" w:lineRule="exact"/>
      <w:ind w:left="720"/>
      <w:contextualSpacing/>
    </w:pPr>
    <w:rPr>
      <w:rFonts w:eastAsia="Times New Roman"/>
      <w:spacing w:val="4"/>
      <w:w w:val="103"/>
      <w:kern w:val="14"/>
    </w:rPr>
  </w:style>
  <w:style w:type="paragraph" w:customStyle="1" w:styleId="DarkList-Accent31">
    <w:name w:val="Dark List - Accent 31"/>
    <w:hidden/>
    <w:uiPriority w:val="99"/>
    <w:semiHidden/>
    <w:rsid w:val="0004779A"/>
    <w:rPr>
      <w:spacing w:val="4"/>
      <w:w w:val="103"/>
      <w:kern w:val="14"/>
      <w:lang w:val="en-GB"/>
    </w:rPr>
  </w:style>
  <w:style w:type="character" w:customStyle="1" w:styleId="Heading3Char">
    <w:name w:val="Heading 3 Char"/>
    <w:link w:val="Heading3"/>
    <w:rsid w:val="0004779A"/>
    <w:rPr>
      <w:rFonts w:eastAsia="MS Mincho"/>
      <w:b/>
      <w:lang w:eastAsia="en-US"/>
    </w:rPr>
  </w:style>
  <w:style w:type="character" w:customStyle="1" w:styleId="FooterChar">
    <w:name w:val="Footer Char"/>
    <w:link w:val="Footer"/>
    <w:uiPriority w:val="99"/>
    <w:rsid w:val="00943BDB"/>
    <w:rPr>
      <w:sz w:val="18"/>
      <w:lang w:eastAsia="en-US"/>
    </w:rPr>
  </w:style>
  <w:style w:type="paragraph" w:customStyle="1" w:styleId="Level1">
    <w:name w:val="Level1"/>
    <w:basedOn w:val="Normal"/>
    <w:rsid w:val="000E53DF"/>
    <w:pPr>
      <w:tabs>
        <w:tab w:val="left" w:pos="578"/>
        <w:tab w:val="left" w:pos="1157"/>
      </w:tabs>
      <w:suppressAutoHyphens/>
      <w:spacing w:after="240"/>
    </w:pPr>
  </w:style>
  <w:style w:type="paragraph" w:styleId="Title">
    <w:name w:val="Title"/>
    <w:basedOn w:val="BBTitle"/>
    <w:next w:val="Normal"/>
    <w:link w:val="TitleChar"/>
    <w:qFormat/>
    <w:rsid w:val="00062885"/>
    <w:rPr>
      <w:lang w:val="en-US"/>
    </w:rPr>
  </w:style>
  <w:style w:type="character" w:customStyle="1" w:styleId="TitleChar">
    <w:name w:val="Title Char"/>
    <w:link w:val="Title"/>
    <w:rsid w:val="00062885"/>
    <w:rPr>
      <w:b/>
      <w:sz w:val="28"/>
      <w:szCs w:val="28"/>
    </w:rPr>
  </w:style>
  <w:style w:type="table" w:customStyle="1" w:styleId="AATable">
    <w:name w:val="AA_Table"/>
    <w:basedOn w:val="TableNormal"/>
    <w:rsid w:val="00AA4E66"/>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beforeLines="0" w:before="120" w:beforeAutospacing="0" w:afterLines="0" w:after="0" w:afterAutospacing="0"/>
        <w:ind w:rightChars="0" w:right="567"/>
        <w:contextualSpacing w:val="0"/>
      </w:pPr>
      <w:rPr>
        <w:rFonts w:ascii="Arial" w:hAnsi="Arial"/>
        <w:b/>
        <w:sz w:val="28"/>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240" w:afterAutospacing="0"/>
        <w:ind w:rightChars="0" w:right="0"/>
      </w:pPr>
      <w:rPr>
        <w:rFonts w:ascii="Times New Roman" w:hAnsi="Times New Roman"/>
      </w:rPr>
    </w:tblStylePr>
  </w:style>
  <w:style w:type="paragraph" w:customStyle="1" w:styleId="AgendaItemTitle">
    <w:name w:val="AgendaItem_Title"/>
    <w:basedOn w:val="Normal-pool"/>
    <w:qFormat/>
    <w:rsid w:val="00AA4E66"/>
    <w:pPr>
      <w:keepNext/>
      <w:keepLines/>
      <w:suppressAutoHyphens/>
      <w:ind w:right="3402"/>
    </w:pPr>
    <w:rPr>
      <w:b/>
    </w:rPr>
  </w:style>
  <w:style w:type="paragraph" w:customStyle="1" w:styleId="AATitle2">
    <w:name w:val="AA_Title2"/>
    <w:basedOn w:val="AgendaItemTitle"/>
    <w:rsid w:val="00AA4E66"/>
    <w:pPr>
      <w:spacing w:before="120" w:after="120"/>
      <w:ind w:right="1701"/>
    </w:pPr>
  </w:style>
  <w:style w:type="paragraph" w:customStyle="1" w:styleId="BBTitle">
    <w:name w:val="BB_Title"/>
    <w:basedOn w:val="Normal-pool"/>
    <w:rsid w:val="00AA4E66"/>
    <w:pPr>
      <w:keepNext/>
      <w:keepLines/>
      <w:suppressAutoHyphens/>
      <w:spacing w:before="320" w:after="240"/>
      <w:ind w:left="1247" w:right="567"/>
    </w:pPr>
    <w:rPr>
      <w:b/>
      <w:sz w:val="28"/>
      <w:szCs w:val="28"/>
    </w:rPr>
  </w:style>
  <w:style w:type="paragraph" w:styleId="Footer">
    <w:name w:val="footer"/>
    <w:basedOn w:val="Normal-pool"/>
    <w:link w:val="FooterChar"/>
    <w:uiPriority w:val="99"/>
    <w:rsid w:val="00AA4E66"/>
    <w:pPr>
      <w:tabs>
        <w:tab w:val="center" w:pos="4320"/>
        <w:tab w:val="right" w:pos="8640"/>
      </w:tabs>
      <w:spacing w:before="60" w:after="120"/>
    </w:pPr>
    <w:rPr>
      <w:sz w:val="18"/>
    </w:rPr>
  </w:style>
  <w:style w:type="paragraph" w:styleId="Header">
    <w:name w:val="header"/>
    <w:basedOn w:val="Normal-pool"/>
    <w:link w:val="HeaderChar"/>
    <w:uiPriority w:val="99"/>
    <w:rsid w:val="00AA4E66"/>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character" w:styleId="Hyperlink">
    <w:name w:val="Hyperlink"/>
    <w:uiPriority w:val="99"/>
    <w:rsid w:val="00AA4E66"/>
    <w:rPr>
      <w:rFonts w:ascii="Times New Roman" w:hAnsi="Times New Roman"/>
      <w:color w:val="auto"/>
      <w:sz w:val="20"/>
      <w:szCs w:val="20"/>
      <w:u w:val="none"/>
      <w:lang w:val="fr-FR"/>
    </w:rPr>
  </w:style>
  <w:style w:type="numbering" w:customStyle="1" w:styleId="Normallist">
    <w:name w:val="Normal_list"/>
    <w:basedOn w:val="NoList"/>
    <w:rsid w:val="00AA4E66"/>
    <w:pPr>
      <w:numPr>
        <w:numId w:val="3"/>
      </w:numPr>
    </w:pPr>
  </w:style>
  <w:style w:type="paragraph" w:customStyle="1" w:styleId="NormalNonumber">
    <w:name w:val="Normal_No_number"/>
    <w:basedOn w:val="Normal-pool"/>
    <w:rsid w:val="00AA4E66"/>
    <w:pPr>
      <w:spacing w:after="120"/>
      <w:ind w:left="1247"/>
    </w:pPr>
  </w:style>
  <w:style w:type="paragraph" w:customStyle="1" w:styleId="Normalnumber">
    <w:name w:val="Normal_number"/>
    <w:basedOn w:val="Normal-pool"/>
    <w:link w:val="NormalnumberChar"/>
    <w:uiPriority w:val="99"/>
    <w:qFormat/>
    <w:rsid w:val="00AA4E66"/>
    <w:pPr>
      <w:numPr>
        <w:numId w:val="4"/>
      </w:numPr>
      <w:spacing w:after="120"/>
    </w:pPr>
  </w:style>
  <w:style w:type="paragraph" w:customStyle="1" w:styleId="Titletable">
    <w:name w:val="Title_table"/>
    <w:basedOn w:val="Normal-pool"/>
    <w:next w:val="NormalNonumber"/>
    <w:rsid w:val="00AA4E66"/>
    <w:pPr>
      <w:keepNext/>
      <w:keepLines/>
      <w:suppressAutoHyphens/>
      <w:spacing w:after="60"/>
      <w:ind w:left="1247"/>
    </w:pPr>
    <w:rPr>
      <w:b/>
      <w:bCs/>
    </w:rPr>
  </w:style>
  <w:style w:type="paragraph" w:styleId="TOC1">
    <w:name w:val="toc 1"/>
    <w:basedOn w:val="Normal-pool"/>
    <w:next w:val="Normal-pool"/>
    <w:uiPriority w:val="39"/>
    <w:rsid w:val="00AA4E66"/>
    <w:pPr>
      <w:tabs>
        <w:tab w:val="clear" w:pos="2381"/>
        <w:tab w:val="clear" w:pos="2948"/>
        <w:tab w:val="clear" w:pos="3515"/>
        <w:tab w:val="right" w:leader="dot" w:pos="9486"/>
      </w:tabs>
      <w:spacing w:before="240"/>
      <w:ind w:left="1814" w:hanging="567"/>
    </w:pPr>
    <w:rPr>
      <w:bCs/>
    </w:rPr>
  </w:style>
  <w:style w:type="paragraph" w:styleId="TOC2">
    <w:name w:val="toc 2"/>
    <w:basedOn w:val="Normal-pool"/>
    <w:next w:val="Normal-pool"/>
    <w:uiPriority w:val="39"/>
    <w:rsid w:val="00AA4E66"/>
    <w:pPr>
      <w:tabs>
        <w:tab w:val="clear" w:pos="1814"/>
        <w:tab w:val="clear" w:pos="2948"/>
        <w:tab w:val="clear" w:pos="3515"/>
        <w:tab w:val="right" w:leader="dot" w:pos="9486"/>
      </w:tabs>
      <w:ind w:left="2381" w:hanging="567"/>
    </w:pPr>
  </w:style>
  <w:style w:type="paragraph" w:styleId="TOC3">
    <w:name w:val="toc 3"/>
    <w:basedOn w:val="Normal-pool"/>
    <w:next w:val="Normal-pool"/>
    <w:uiPriority w:val="39"/>
    <w:rsid w:val="00AA4E66"/>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rsid w:val="00AA4E66"/>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AA4E66"/>
    <w:pPr>
      <w:ind w:left="800"/>
    </w:pPr>
    <w:rPr>
      <w:sz w:val="18"/>
      <w:szCs w:val="18"/>
    </w:rPr>
  </w:style>
  <w:style w:type="paragraph" w:customStyle="1" w:styleId="AnnexTitle">
    <w:name w:val="Annex Title"/>
    <w:basedOn w:val="Normal-pool"/>
    <w:qFormat/>
    <w:rsid w:val="0058611F"/>
    <w:pPr>
      <w:pageBreakBefore/>
    </w:pPr>
    <w:rPr>
      <w:b/>
      <w:bCs/>
      <w:sz w:val="28"/>
      <w:szCs w:val="22"/>
    </w:rPr>
  </w:style>
  <w:style w:type="paragraph" w:customStyle="1" w:styleId="ZZAnxtitle">
    <w:name w:val="ZZ_Anx_title"/>
    <w:basedOn w:val="Normal-pool"/>
    <w:rsid w:val="00AA4E66"/>
    <w:pPr>
      <w:spacing w:before="360" w:after="120"/>
      <w:ind w:left="1247"/>
    </w:pPr>
    <w:rPr>
      <w:b/>
      <w:bCs/>
      <w:sz w:val="28"/>
      <w:szCs w:val="26"/>
    </w:rPr>
  </w:style>
  <w:style w:type="paragraph" w:customStyle="1" w:styleId="AnnexNumbered">
    <w:name w:val="Annex Numbered"/>
    <w:basedOn w:val="AnnexTitle"/>
    <w:qFormat/>
    <w:rsid w:val="004A36DE"/>
    <w:pPr>
      <w:numPr>
        <w:numId w:val="25"/>
      </w:numPr>
    </w:pPr>
    <w:rPr>
      <w:rFonts w:eastAsia="Calibri"/>
      <w:w w:val="103"/>
    </w:rPr>
  </w:style>
  <w:style w:type="paragraph" w:customStyle="1" w:styleId="NormalPlain">
    <w:name w:val="Normal_Plain"/>
    <w:basedOn w:val="Normal"/>
    <w:qFormat/>
    <w:rsid w:val="004A36DE"/>
    <w:pPr>
      <w:ind w:left="1260"/>
    </w:pPr>
    <w:rPr>
      <w:lang w:eastAsia="ko-KR"/>
    </w:rPr>
  </w:style>
  <w:style w:type="paragraph" w:customStyle="1" w:styleId="AATitle">
    <w:name w:val="AA_Title"/>
    <w:basedOn w:val="Normal"/>
    <w:rsid w:val="00EC6548"/>
    <w:pPr>
      <w:keepNext/>
      <w:keepLines/>
      <w:tabs>
        <w:tab w:val="left" w:pos="1247"/>
        <w:tab w:val="left" w:pos="1814"/>
        <w:tab w:val="left" w:pos="2381"/>
        <w:tab w:val="left" w:pos="2948"/>
        <w:tab w:val="left" w:pos="3515"/>
        <w:tab w:val="left" w:pos="4082"/>
      </w:tabs>
      <w:suppressAutoHyphens/>
      <w:ind w:right="5103"/>
    </w:pPr>
    <w:rPr>
      <w:rFonts w:eastAsia="Times New Roman"/>
      <w:b/>
    </w:rPr>
  </w:style>
  <w:style w:type="paragraph" w:styleId="ListParagraph">
    <w:name w:val="List Paragraph"/>
    <w:basedOn w:val="Normal"/>
    <w:uiPriority w:val="34"/>
    <w:qFormat/>
    <w:rsid w:val="00CE6210"/>
    <w:pPr>
      <w:spacing w:after="200" w:line="276" w:lineRule="auto"/>
      <w:ind w:left="720"/>
      <w:contextualSpacing/>
    </w:pPr>
    <w:rPr>
      <w:rFonts w:asciiTheme="minorHAnsi" w:eastAsiaTheme="minorEastAsia" w:hAnsiTheme="minorHAnsi" w:cstheme="minorBidi"/>
      <w:sz w:val="22"/>
      <w:szCs w:val="22"/>
    </w:rPr>
  </w:style>
  <w:style w:type="character" w:customStyle="1" w:styleId="FootnoteTextChar">
    <w:name w:val="Footnote Text Char"/>
    <w:aliases w:val="Geneva 9 Char,Font: Geneva 9 Char,Boston 10 Char,f Char,DNV-FT Char,Fußnotentextf Char,Footnote Text Char Char Char1,Footnote Text Char Char Char Char Char,Footnote Text1 Char,Footnote Text Char Char Char Char1"/>
    <w:basedOn w:val="DefaultParagraphFont"/>
    <w:link w:val="FootnoteText"/>
    <w:rsid w:val="00CE6210"/>
    <w:rPr>
      <w:sz w:val="18"/>
      <w:lang w:val="en-GB"/>
    </w:rPr>
  </w:style>
  <w:style w:type="table" w:customStyle="1" w:styleId="TableGrid1">
    <w:name w:val="Table Grid1"/>
    <w:basedOn w:val="TableNormal"/>
    <w:next w:val="TableGrid"/>
    <w:uiPriority w:val="39"/>
    <w:rsid w:val="00CE62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Anxheader">
    <w:name w:val="ZZ_Anx_header"/>
    <w:basedOn w:val="Normal"/>
    <w:rsid w:val="004D76EB"/>
    <w:pPr>
      <w:tabs>
        <w:tab w:val="left" w:pos="1247"/>
        <w:tab w:val="left" w:pos="1814"/>
        <w:tab w:val="left" w:pos="2381"/>
        <w:tab w:val="left" w:pos="2948"/>
        <w:tab w:val="left" w:pos="3515"/>
        <w:tab w:val="left" w:pos="4082"/>
      </w:tabs>
    </w:pPr>
    <w:rPr>
      <w:rFonts w:eastAsia="SimSun"/>
      <w:b/>
      <w:bCs/>
      <w:sz w:val="28"/>
      <w:szCs w:val="22"/>
      <w:lang w:val="fr-CA"/>
    </w:rPr>
  </w:style>
  <w:style w:type="paragraph" w:styleId="Revision">
    <w:name w:val="Revision"/>
    <w:hidden/>
    <w:uiPriority w:val="99"/>
    <w:semiHidden/>
    <w:rsid w:val="00D530E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223717988">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 w:id="157450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unterm.un.org/DGAACS/unterm.nsf/WebView/89752D0EE42F5EDF852575EC006B64B1?OpenDocum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omare\Downloads\Template_Working_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17B97D03965E4AAF48B8518C3B9D8C" ma:contentTypeVersion="52" ma:contentTypeDescription="Create a new document." ma:contentTypeScope="" ma:versionID="380abe7deed374b9ee5f9ae76b9369fa">
  <xsd:schema xmlns:xsd="http://www.w3.org/2001/XMLSchema" xmlns:xs="http://www.w3.org/2001/XMLSchema" xmlns:p="http://schemas.microsoft.com/office/2006/metadata/properties" xmlns:ns2="9a8f22b8-05ea-4936-a963-5334b0fbdd5f" xmlns:ns3="d4f199e1-8ff6-4421-800c-b60412eeab13" xmlns:ns4="699a0643-be3a-4930-aa07-4f5905529aa4" targetNamespace="http://schemas.microsoft.com/office/2006/metadata/properties" ma:root="true" ma:fieldsID="9280ef94f79a0566b74145095909fcab" ns2:_="" ns3:_="" ns4:_="">
    <xsd:import namespace="9a8f22b8-05ea-4936-a963-5334b0fbdd5f"/>
    <xsd:import namespace="d4f199e1-8ff6-4421-800c-b60412eeab13"/>
    <xsd:import namespace="699a0643-be3a-4930-aa07-4f5905529aa4"/>
    <xsd:element name="properties">
      <xsd:complexType>
        <xsd:sequence>
          <xsd:element name="documentManagement">
            <xsd:complexType>
              <xsd:all>
                <xsd:element ref="ns2:Document_x0020_Name_" minOccurs="0"/>
                <xsd:element ref="ns3:Document_x0020_Status" minOccurs="0"/>
                <xsd:element ref="ns3:Document_x0020_Language_x0028_s_x0029_" minOccurs="0"/>
                <xsd:element ref="ns3:Job_x0020_Number" minOccurs="0"/>
                <xsd:element ref="ns4:SharedWithUsers" minOccurs="0"/>
                <xsd:element ref="ns4:SharedWithDetails" minOccurs="0"/>
                <xsd:element ref="ns2:Document_x0020_Name_x003a_Document_x0020_Type" minOccurs="0"/>
                <xsd:element ref="ns2:Document_x0020_Name_x003a_Document_x0020_Edit_x0020_Type" minOccurs="0"/>
                <xsd:element ref="ns2:Document_x0020_Name_x003a_Distribution" minOccurs="0"/>
                <xsd:element ref="ns2:Document_x0020_Name_x003a_Docu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f22b8-05ea-4936-a963-5334b0fbdd5f" elementFormDefault="qualified">
    <xsd:import namespace="http://schemas.microsoft.com/office/2006/documentManagement/types"/>
    <xsd:import namespace="http://schemas.microsoft.com/office/infopath/2007/PartnerControls"/>
    <xsd:element name="Document_x0020_Name_" ma:index="1" nillable="true" ma:displayName="Document Name" ma:indexed="true" ma:list="{4ec6360f-f2a9-4a0b-b5e8-01156924b145}" ma:internalName="Document_x0020_Name_" ma:readOnly="false" ma:showField="Title">
      <xsd:simpleType>
        <xsd:restriction base="dms:Lookup"/>
      </xsd:simpleType>
    </xsd:element>
    <xsd:element name="Document_x0020_Name_x003a_Document_x0020_Type" ma:index="10" nillable="true" ma:displayName="Document Name:Document Type" ma:list="{4ec6360f-f2a9-4a0b-b5e8-01156924b145}" ma:internalName="Document_x0020_Name_x003a_Document_x0020_Type" ma:readOnly="true" ma:showField="Document_x0020_Type_" ma:web="cdcbdaca-403c-4042-b44a-1c4b9866e4b7">
      <xsd:simpleType>
        <xsd:restriction base="dms:Lookup"/>
      </xsd:simpleType>
    </xsd:element>
    <xsd:element name="Document_x0020_Name_x003a_Document_x0020_Edit_x0020_Type" ma:index="11" nillable="true" ma:displayName="Document Name:Document Edit Type" ma:list="{4ec6360f-f2a9-4a0b-b5e8-01156924b145}" ma:internalName="Document_x0020_Name_x003a_Document_x0020_Edit_x0020_Type" ma:readOnly="true" ma:showField="m20d" ma:web="cdcbdaca-403c-4042-b44a-1c4b9866e4b7">
      <xsd:simpleType>
        <xsd:restriction base="dms:Lookup"/>
      </xsd:simpleType>
    </xsd:element>
    <xsd:element name="Document_x0020_Name_x003a_Distribution" ma:index="12" nillable="true" ma:displayName="Document Name:Distribution" ma:list="{4ec6360f-f2a9-4a0b-b5e8-01156924b145}" ma:internalName="Document_x0020_Name_x003a_Distribution" ma:readOnly="true" ma:showField="Distribution_" ma:web="cdcbdaca-403c-4042-b44a-1c4b9866e4b7">
      <xsd:simpleType>
        <xsd:restriction base="dms:Lookup"/>
      </xsd:simpleType>
    </xsd:element>
    <xsd:element name="Document_x0020_Name_x003a_DocumentID" ma:index="13" nillable="true" ma:displayName="Document Name:DocumentID" ma:list="{4ec6360f-f2a9-4a0b-b5e8-01156924b145}" ma:internalName="Document_x0020_Name_x003a_DocumentID" ma:readOnly="true" ma:showField="DocumentID" ma:web="cdcbdaca-403c-4042-b44a-1c4b9866e4b7">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4f199e1-8ff6-4421-800c-b60412eeab13" elementFormDefault="qualified">
    <xsd:import namespace="http://schemas.microsoft.com/office/2006/documentManagement/types"/>
    <xsd:import namespace="http://schemas.microsoft.com/office/infopath/2007/PartnerControls"/>
    <xsd:element name="Document_x0020_Status" ma:index="3" nillable="true" ma:displayName="Document Status" ma:description="Status of the document(Draft or Final)" ma:format="RadioButtons" ma:internalName="Document_x0020_Status">
      <xsd:simpleType>
        <xsd:restriction base="dms:Choice">
          <xsd:enumeration value="Template"/>
          <xsd:enumeration value="Draft"/>
          <xsd:enumeration value="Advance"/>
          <xsd:enumeration value="Final"/>
        </xsd:restriction>
      </xsd:simpleType>
    </xsd:element>
    <xsd:element name="Document_x0020_Language_x0028_s_x0029_" ma:index="4" nillable="true" ma:displayName="Document Language(s)" ma:description="Six official UN languages (Arabic, Chinese, English, French, Russian, Spanish)" ma:format="Dropdown" ma:indexed="true" ma:internalName="Document_x0020_Language_x0028_s_x0029_">
      <xsd:simpleType>
        <xsd:restriction base="dms:Choice">
          <xsd:enumeration value="Arabic"/>
          <xsd:enumeration value="Chinese"/>
          <xsd:enumeration value="English"/>
          <xsd:enumeration value="French"/>
          <xsd:enumeration value="Russian"/>
          <xsd:enumeration value="Spanish"/>
        </xsd:restriction>
      </xsd:simpleType>
    </xsd:element>
    <xsd:element name="Job_x0020_Number" ma:index="5" nillable="true" ma:displayName="Job Number" ma:description="The job number is assigned by  Documents Control and it includes the year, month and serial number." ma:internalName="Job_x0020_Number">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699a0643-be3a-4930-aa07-4f5905529a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d4f199e1-8ff6-4421-800c-b60412eeab13">Template</Document_x0020_Status>
    <Job_x0020_Number xmlns="d4f199e1-8ff6-4421-800c-b60412eeab13">tbd</Job_x0020_Number>
    <Document_x0020_Language_x0028_s_x0029_ xmlns="d4f199e1-8ff6-4421-800c-b60412eeab13">English</Document_x0020_Language_x0028_s_x0029_>
    <Document_x0020_Name_ xmlns="9a8f22b8-05ea-4936-a963-5334b0fbdd5f">46</Document_x0020_Name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06B7D-BDA7-4D2A-9400-98F38FBC5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f22b8-05ea-4936-a963-5334b0fbdd5f"/>
    <ds:schemaRef ds:uri="d4f199e1-8ff6-4421-800c-b60412eeab13"/>
    <ds:schemaRef ds:uri="699a0643-be3a-4930-aa07-4f5905529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524155-8A34-439C-AEA2-F3593154AC87}">
  <ds:schemaRefs>
    <ds:schemaRef ds:uri="http://schemas.microsoft.com/sharepoint/v3/contenttype/forms"/>
  </ds:schemaRefs>
</ds:datastoreItem>
</file>

<file path=customXml/itemProps3.xml><?xml version="1.0" encoding="utf-8"?>
<ds:datastoreItem xmlns:ds="http://schemas.openxmlformats.org/officeDocument/2006/customXml" ds:itemID="{89D485A7-04E5-4A45-B2D4-6199A8D3862F}">
  <ds:schemaRefs>
    <ds:schemaRef ds:uri="9a8f22b8-05ea-4936-a963-5334b0fbdd5f"/>
    <ds:schemaRef ds:uri="d4f199e1-8ff6-4421-800c-b60412eeab13"/>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699a0643-be3a-4930-aa07-4f5905529aa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FEA0259-9357-4FB9-AD64-A296B9F23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Template_Working_Documents</Template>
  <TotalTime>0</TotalTime>
  <Pages>13</Pages>
  <Words>6495</Words>
  <Characters>37025</Characters>
  <Application>Microsoft Office Word</Application>
  <DocSecurity>0</DocSecurity>
  <Lines>308</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NATIONS UNIES</vt:lpstr>
      <vt:lpstr>NATIONS UNIES</vt:lpstr>
    </vt:vector>
  </TitlesOfParts>
  <Company>unon</Company>
  <LinksUpToDate>false</LinksUpToDate>
  <CharactersWithSpaces>43434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subject/>
  <dc:creator>Benedict Aboki Omare</dc:creator>
  <cp:keywords/>
  <cp:lastModifiedBy>Sarah Banda-Genchev ( IPBES Secretariat )</cp:lastModifiedBy>
  <cp:revision>2</cp:revision>
  <cp:lastPrinted>2018-02-02T06:57:00Z</cp:lastPrinted>
  <dcterms:created xsi:type="dcterms:W3CDTF">2018-02-05T14:52:00Z</dcterms:created>
  <dcterms:modified xsi:type="dcterms:W3CDTF">2018-02-05T14:52:00Z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0x010100BA17B97D03965E4AAF48B8518C3B9D8C</vt:lpwstr>
  </property>
  <property fmtid="{D5CDD505-2E9C-101B-9397-08002B2CF9AE}" pid="3" name="Document distribution">
    <vt:lpwstr>General</vt:lpwstr>
  </property>
  <property fmtid="{D5CDD505-2E9C-101B-9397-08002B2CF9AE}" pid="4" name="wk4t">
    <vt:lpwstr>IPBES/4/14 - Nomination and selection process and proposals received for members of the Bureau</vt:lpwstr>
  </property>
  <property fmtid="{D5CDD505-2E9C-101B-9397-08002B2CF9AE}" pid="5" name="Document ID">
    <vt:lpwstr>IPBES/4/x</vt:lpwstr>
  </property>
  <property fmtid="{D5CDD505-2E9C-101B-9397-08002B2CF9AE}" pid="6" name="Document Symbol">
    <vt:lpwstr>Working (/.x)</vt:lpwstr>
  </property>
</Properties>
</file>