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2"/>
        <w:gridCol w:w="492"/>
        <w:gridCol w:w="514"/>
        <w:gridCol w:w="864"/>
        <w:gridCol w:w="1006"/>
        <w:gridCol w:w="2625"/>
        <w:gridCol w:w="294"/>
        <w:gridCol w:w="2493"/>
      </w:tblGrid>
      <w:tr w:rsidR="00326D7C" w:rsidRPr="006E4E6C" w14:paraId="31F8E061" w14:textId="77777777" w:rsidTr="004B4652">
        <w:trPr>
          <w:cantSplit/>
          <w:trHeight w:val="1079"/>
          <w:jc w:val="right"/>
        </w:trPr>
        <w:tc>
          <w:tcPr>
            <w:tcW w:w="1489" w:type="dxa"/>
          </w:tcPr>
          <w:p w14:paraId="7E9FCD54" w14:textId="77777777" w:rsidR="00326D7C" w:rsidRPr="006E4E6C" w:rsidRDefault="00326D7C" w:rsidP="004B4652">
            <w:pPr>
              <w:pStyle w:val="Normal-pool"/>
              <w:rPr>
                <w:sz w:val="27"/>
                <w:szCs w:val="27"/>
                <w:lang w:val="fr-FR"/>
              </w:rPr>
            </w:pPr>
            <w:bookmarkStart w:id="0" w:name="bookmark_22"/>
            <w:bookmarkStart w:id="1" w:name="_GoBack"/>
            <w:bookmarkEnd w:id="1"/>
            <w:r w:rsidRPr="006E4E6C">
              <w:rPr>
                <w:rFonts w:ascii="Arial" w:hAnsi="Arial" w:cs="Arial"/>
                <w:b/>
                <w:sz w:val="27"/>
                <w:szCs w:val="27"/>
                <w:lang w:val="fr-FR"/>
              </w:rPr>
              <w:t>NATIONS UNIES</w:t>
            </w:r>
          </w:p>
        </w:tc>
        <w:tc>
          <w:tcPr>
            <w:tcW w:w="972" w:type="dxa"/>
            <w:gridSpan w:val="2"/>
            <w:tcBorders>
              <w:left w:val="nil"/>
            </w:tcBorders>
            <w:vAlign w:val="center"/>
          </w:tcPr>
          <w:p w14:paraId="5394FAAA" w14:textId="77777777" w:rsidR="00326D7C" w:rsidRPr="006E4E6C" w:rsidRDefault="00326D7C" w:rsidP="004B4652">
            <w:pPr>
              <w:pStyle w:val="Normal-pool"/>
              <w:rPr>
                <w:lang w:val="fr-FR"/>
              </w:rPr>
            </w:pPr>
            <w:r w:rsidRPr="006E4E6C">
              <w:rPr>
                <w:noProof/>
                <w:lang w:val="en-US"/>
              </w:rPr>
              <w:drawing>
                <wp:inline distT="0" distB="0" distL="0" distR="0" wp14:anchorId="42E5F327" wp14:editId="0AAE03BA">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15611C02" w14:textId="77777777" w:rsidR="00326D7C" w:rsidRPr="006E4E6C" w:rsidRDefault="00326D7C" w:rsidP="004B4652">
            <w:pPr>
              <w:pStyle w:val="Normal-pool"/>
              <w:spacing w:before="160"/>
              <w:rPr>
                <w:lang w:val="fr-FR"/>
              </w:rPr>
            </w:pPr>
            <w:r w:rsidRPr="006E4E6C">
              <w:rPr>
                <w:noProof/>
                <w:lang w:val="en-US"/>
              </w:rPr>
              <w:drawing>
                <wp:inline distT="0" distB="0" distL="0" distR="0" wp14:anchorId="50D1A0E7" wp14:editId="1516AFD0">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497C40CF" w14:textId="77777777" w:rsidR="00326D7C" w:rsidRPr="006E4E6C" w:rsidRDefault="00326D7C" w:rsidP="004B4652">
            <w:pPr>
              <w:pStyle w:val="Normal-pool"/>
              <w:rPr>
                <w:lang w:val="fr-FR"/>
              </w:rPr>
            </w:pPr>
            <w:r w:rsidRPr="006E4E6C">
              <w:rPr>
                <w:noProof/>
                <w:lang w:val="en-US"/>
              </w:rPr>
              <w:drawing>
                <wp:inline distT="0" distB="0" distL="0" distR="0" wp14:anchorId="226375A3" wp14:editId="5CA4B518">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3ECF1500" w14:textId="77777777" w:rsidR="00326D7C" w:rsidRPr="006E4E6C" w:rsidRDefault="00326D7C" w:rsidP="004B4652">
            <w:pPr>
              <w:pStyle w:val="Normal-pool"/>
              <w:rPr>
                <w:lang w:val="fr-FR"/>
              </w:rPr>
            </w:pPr>
            <w:r>
              <w:rPr>
                <w:noProof/>
                <w:lang w:val="en-US"/>
              </w:rPr>
              <w:drawing>
                <wp:inline distT="0" distB="0" distL="0" distR="0" wp14:anchorId="35C4537A" wp14:editId="47C34F87">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296565A3" w14:textId="77777777" w:rsidR="00326D7C" w:rsidRPr="006E4E6C" w:rsidRDefault="00326D7C" w:rsidP="004B4652">
            <w:pPr>
              <w:pStyle w:val="Normal-pool"/>
              <w:tabs>
                <w:tab w:val="clear" w:pos="2381"/>
              </w:tabs>
              <w:ind w:right="-108"/>
              <w:jc w:val="right"/>
              <w:rPr>
                <w:rFonts w:ascii="Arial" w:hAnsi="Arial" w:cs="Arial"/>
                <w:b/>
                <w:sz w:val="64"/>
                <w:szCs w:val="64"/>
                <w:lang w:val="fr-FR"/>
              </w:rPr>
            </w:pPr>
            <w:r w:rsidRPr="006E4E6C">
              <w:rPr>
                <w:noProof/>
                <w:lang w:val="en-US"/>
              </w:rPr>
              <w:drawing>
                <wp:inline distT="0" distB="0" distL="0" distR="0" wp14:anchorId="2ACED093" wp14:editId="5B246BC5">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6">
                            <a:extLst>
                              <a:ext uri="{BEBA8EAE-BF5A-486C-A8C5-ECC9F3942E4B}">
                                <a14:imgProps xmlns:a14="http://schemas.microsoft.com/office/drawing/2010/main">
                                  <a14:imgLayer r:embed="rId17">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326D7C" w:rsidRPr="006E4E6C" w14:paraId="429A9B86" w14:textId="77777777" w:rsidTr="004B4652">
        <w:trPr>
          <w:cantSplit/>
          <w:trHeight w:val="282"/>
          <w:jc w:val="right"/>
        </w:trPr>
        <w:tc>
          <w:tcPr>
            <w:tcW w:w="1489" w:type="dxa"/>
            <w:tcBorders>
              <w:bottom w:val="single" w:sz="2" w:space="0" w:color="auto"/>
            </w:tcBorders>
          </w:tcPr>
          <w:p w14:paraId="33C4ABA0" w14:textId="77777777" w:rsidR="00326D7C" w:rsidRPr="006E4E6C" w:rsidRDefault="00326D7C" w:rsidP="004B4652">
            <w:pPr>
              <w:rPr>
                <w:noProof/>
              </w:rPr>
            </w:pPr>
          </w:p>
        </w:tc>
        <w:tc>
          <w:tcPr>
            <w:tcW w:w="5599" w:type="dxa"/>
            <w:gridSpan w:val="6"/>
            <w:tcBorders>
              <w:bottom w:val="single" w:sz="2" w:space="0" w:color="auto"/>
            </w:tcBorders>
          </w:tcPr>
          <w:p w14:paraId="1AF8F06B" w14:textId="77777777" w:rsidR="00326D7C" w:rsidRPr="006E4E6C" w:rsidRDefault="00326D7C" w:rsidP="004B4652">
            <w:pPr>
              <w:rPr>
                <w:b/>
                <w:sz w:val="24"/>
                <w:szCs w:val="24"/>
              </w:rPr>
            </w:pPr>
          </w:p>
        </w:tc>
        <w:tc>
          <w:tcPr>
            <w:tcW w:w="2409" w:type="dxa"/>
            <w:tcBorders>
              <w:bottom w:val="single" w:sz="2" w:space="0" w:color="auto"/>
            </w:tcBorders>
          </w:tcPr>
          <w:p w14:paraId="5B2C03CC" w14:textId="67DEB3B1" w:rsidR="00326D7C" w:rsidRPr="006E4E6C" w:rsidRDefault="00326D7C" w:rsidP="004B4652">
            <w:pPr>
              <w:pStyle w:val="Normal-pool"/>
              <w:rPr>
                <w:lang w:val="fr-FR"/>
              </w:rPr>
            </w:pPr>
            <w:r w:rsidRPr="006E4E6C">
              <w:rPr>
                <w:b/>
                <w:sz w:val="24"/>
                <w:szCs w:val="24"/>
                <w:lang w:val="fr-FR"/>
              </w:rPr>
              <w:t>IPBES</w:t>
            </w:r>
            <w:r>
              <w:rPr>
                <w:lang w:val="fr-FR"/>
              </w:rPr>
              <w:t>/6/10</w:t>
            </w:r>
          </w:p>
        </w:tc>
      </w:tr>
      <w:tr w:rsidR="00326D7C" w:rsidRPr="00A5323D" w14:paraId="75C15D47" w14:textId="77777777" w:rsidTr="004B4652">
        <w:trPr>
          <w:cantSplit/>
          <w:trHeight w:val="1433"/>
          <w:jc w:val="right"/>
        </w:trPr>
        <w:tc>
          <w:tcPr>
            <w:tcW w:w="1964" w:type="dxa"/>
            <w:gridSpan w:val="2"/>
            <w:tcBorders>
              <w:top w:val="single" w:sz="2" w:space="0" w:color="auto"/>
              <w:bottom w:val="single" w:sz="24" w:space="0" w:color="auto"/>
            </w:tcBorders>
          </w:tcPr>
          <w:p w14:paraId="404D4B88" w14:textId="77777777" w:rsidR="00326D7C" w:rsidRPr="006E4E6C" w:rsidRDefault="00326D7C" w:rsidP="004B4652">
            <w:pPr>
              <w:spacing w:before="240" w:after="240"/>
              <w:rPr>
                <w:rFonts w:ascii="Arial" w:hAnsi="Arial" w:cs="Arial"/>
                <w:b/>
                <w:sz w:val="28"/>
                <w:szCs w:val="28"/>
              </w:rPr>
            </w:pPr>
            <w:r w:rsidRPr="006E4E6C">
              <w:rPr>
                <w:rFonts w:ascii="Arial" w:hAnsi="Arial" w:cs="Arial"/>
                <w:b/>
                <w:noProof/>
                <w:sz w:val="28"/>
                <w:szCs w:val="28"/>
                <w:lang w:val="en-US"/>
              </w:rPr>
              <w:drawing>
                <wp:inline distT="0" distB="0" distL="0" distR="0" wp14:anchorId="1F4752A3" wp14:editId="0E3A0A8A">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705770CD" w14:textId="77777777" w:rsidR="00326D7C" w:rsidRPr="006E4E6C" w:rsidRDefault="00514433" w:rsidP="004B4652">
            <w:pPr>
              <w:pStyle w:val="Normal-pool"/>
              <w:spacing w:before="120" w:after="240"/>
              <w:rPr>
                <w:lang w:val="fr-FR"/>
              </w:rPr>
            </w:pPr>
            <w:hyperlink r:id="rId19" w:tgtFrame="_blank" w:history="1">
              <w:r w:rsidR="00326D7C"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658F64DA" w14:textId="710D146F" w:rsidR="00326D7C" w:rsidRPr="006E4E6C" w:rsidRDefault="00326D7C" w:rsidP="004B4652">
            <w:pPr>
              <w:pStyle w:val="Normal-pool"/>
              <w:spacing w:before="120"/>
              <w:rPr>
                <w:lang w:val="fr-FR"/>
              </w:rPr>
            </w:pPr>
            <w:r w:rsidRPr="006E4E6C">
              <w:rPr>
                <w:lang w:val="fr-FR"/>
              </w:rPr>
              <w:t xml:space="preserve">Distr. générale </w:t>
            </w:r>
            <w:r w:rsidRPr="006E4E6C">
              <w:rPr>
                <w:lang w:val="fr-FR"/>
              </w:rPr>
              <w:br/>
            </w:r>
            <w:r>
              <w:rPr>
                <w:lang w:val="fr-FR"/>
              </w:rPr>
              <w:t>5</w:t>
            </w:r>
            <w:r w:rsidRPr="006E4E6C">
              <w:rPr>
                <w:lang w:val="fr-FR"/>
              </w:rPr>
              <w:t> décembre 2017</w:t>
            </w:r>
          </w:p>
          <w:p w14:paraId="491CED1D" w14:textId="77777777" w:rsidR="00326D7C" w:rsidRPr="006E4E6C" w:rsidRDefault="00326D7C" w:rsidP="004B4652">
            <w:pPr>
              <w:pStyle w:val="Normal-pool"/>
              <w:spacing w:before="120"/>
              <w:rPr>
                <w:lang w:val="fr-FR"/>
              </w:rPr>
            </w:pPr>
            <w:r w:rsidRPr="006E4E6C">
              <w:rPr>
                <w:lang w:val="fr-FR"/>
              </w:rPr>
              <w:t xml:space="preserve">Français </w:t>
            </w:r>
            <w:r w:rsidRPr="006E4E6C">
              <w:rPr>
                <w:lang w:val="fr-FR"/>
              </w:rPr>
              <w:br/>
              <w:t>Original : anglais</w:t>
            </w:r>
          </w:p>
        </w:tc>
      </w:tr>
    </w:tbl>
    <w:p w14:paraId="162474A4" w14:textId="77777777" w:rsidR="00326D7C" w:rsidRPr="00326D7C" w:rsidRDefault="00326D7C" w:rsidP="00326D7C">
      <w:pPr>
        <w:pStyle w:val="AATitle"/>
        <w:ind w:left="180" w:right="4160"/>
        <w:rPr>
          <w:lang w:val="fr-FR"/>
        </w:rPr>
      </w:pPr>
      <w:r w:rsidRPr="00326D7C">
        <w:rPr>
          <w:lang w:val="fr-FR"/>
        </w:rPr>
        <w:t xml:space="preserve">Plénière de la Plateforme intergouvernementale </w:t>
      </w:r>
      <w:r w:rsidRPr="00326D7C">
        <w:rPr>
          <w:lang w:val="fr-FR"/>
        </w:rPr>
        <w:br/>
        <w:t xml:space="preserve">scientifique et politique sur la biodiversité </w:t>
      </w:r>
      <w:r w:rsidRPr="00326D7C">
        <w:rPr>
          <w:lang w:val="fr-FR"/>
        </w:rPr>
        <w:br/>
        <w:t>et les services écosystémiques</w:t>
      </w:r>
    </w:p>
    <w:p w14:paraId="0F9B7732" w14:textId="77777777" w:rsidR="00326D7C" w:rsidRPr="00326D7C" w:rsidRDefault="00326D7C" w:rsidP="00326D7C">
      <w:pPr>
        <w:pStyle w:val="AATitle"/>
        <w:ind w:left="180" w:right="4160"/>
        <w:rPr>
          <w:lang w:val="fr-FR"/>
        </w:rPr>
      </w:pPr>
      <w:r w:rsidRPr="00326D7C">
        <w:rPr>
          <w:lang w:val="fr-FR"/>
        </w:rPr>
        <w:t>Sixième session</w:t>
      </w:r>
    </w:p>
    <w:p w14:paraId="5A3874CE" w14:textId="77777777" w:rsidR="00326D7C" w:rsidRPr="00326D7C" w:rsidRDefault="00326D7C" w:rsidP="00326D7C">
      <w:pPr>
        <w:pStyle w:val="AATitle"/>
        <w:ind w:left="180" w:right="4160"/>
        <w:rPr>
          <w:lang w:val="fr-FR"/>
        </w:rPr>
      </w:pPr>
      <w:r w:rsidRPr="00326D7C">
        <w:rPr>
          <w:b w:val="0"/>
          <w:lang w:val="fr-FR" w:eastAsia="ja-JP"/>
        </w:rPr>
        <w:t>Medellin (Colombie), 18-24 mars 2018</w:t>
      </w:r>
    </w:p>
    <w:p w14:paraId="3446C1FD" w14:textId="3A27F94A" w:rsidR="0037708F" w:rsidRPr="00326D7C" w:rsidRDefault="00326D7C" w:rsidP="00326D7C">
      <w:pPr>
        <w:pStyle w:val="AATitle"/>
        <w:ind w:left="180"/>
        <w:rPr>
          <w:b w:val="0"/>
          <w:lang w:val="fr-FR"/>
        </w:rPr>
      </w:pPr>
      <w:r>
        <w:rPr>
          <w:b w:val="0"/>
          <w:lang w:val="fr-FR"/>
        </w:rPr>
        <w:t>Point </w:t>
      </w:r>
      <w:r w:rsidR="004C0D04" w:rsidRPr="00326D7C">
        <w:rPr>
          <w:b w:val="0"/>
          <w:lang w:val="fr-FR"/>
        </w:rPr>
        <w:t>10 de l</w:t>
      </w:r>
      <w:r w:rsidR="001260F2" w:rsidRPr="00326D7C">
        <w:rPr>
          <w:b w:val="0"/>
          <w:lang w:val="fr-FR"/>
        </w:rPr>
        <w:t>’</w:t>
      </w:r>
      <w:r w:rsidR="004C0D04" w:rsidRPr="00326D7C">
        <w:rPr>
          <w:b w:val="0"/>
          <w:lang w:val="fr-FR"/>
        </w:rPr>
        <w:t>ordre du jour provisoire</w:t>
      </w:r>
      <w:r w:rsidR="004C0D04" w:rsidRPr="00326D7C">
        <w:rPr>
          <w:b w:val="0"/>
          <w:lang w:val="fr-FR"/>
        </w:rPr>
        <w:footnoteReference w:customMarkFollows="1" w:id="2"/>
        <w:t>*</w:t>
      </w:r>
      <w:bookmarkEnd w:id="0"/>
    </w:p>
    <w:p w14:paraId="198CE58C" w14:textId="77777777" w:rsidR="0037708F" w:rsidRPr="00326D7C" w:rsidRDefault="004C0D04" w:rsidP="00326D7C">
      <w:pPr>
        <w:pStyle w:val="AATitle2"/>
        <w:spacing w:before="60"/>
        <w:ind w:left="180" w:right="4536"/>
        <w:rPr>
          <w:lang w:val="fr-FR"/>
        </w:rPr>
      </w:pPr>
      <w:bookmarkStart w:id="3" w:name="bookmark_24"/>
      <w:r w:rsidRPr="00326D7C">
        <w:rPr>
          <w:bCs/>
          <w:lang w:val="fr-FR"/>
        </w:rPr>
        <w:t>Examen de la Plateforme</w:t>
      </w:r>
      <w:bookmarkEnd w:id="3"/>
    </w:p>
    <w:p w14:paraId="4D4EEF25" w14:textId="61AC0B9A" w:rsidR="0037708F" w:rsidRPr="00326D7C" w:rsidRDefault="004C0D04">
      <w:pPr>
        <w:pStyle w:val="BBTitle"/>
        <w:rPr>
          <w:lang w:val="fr-FR"/>
        </w:rPr>
      </w:pPr>
      <w:bookmarkStart w:id="4" w:name="bookmark_25"/>
      <w:r>
        <w:rPr>
          <w:bCs/>
          <w:lang w:val="fr-FR"/>
        </w:rPr>
        <w:t>Examen de l</w:t>
      </w:r>
      <w:r w:rsidR="001260F2">
        <w:rPr>
          <w:bCs/>
          <w:lang w:val="fr-FR"/>
        </w:rPr>
        <w:t>’</w:t>
      </w:r>
      <w:r>
        <w:rPr>
          <w:bCs/>
          <w:lang w:val="fr-FR"/>
        </w:rPr>
        <w:t>efficacité d</w:t>
      </w:r>
      <w:r w:rsidR="00326D7C">
        <w:rPr>
          <w:bCs/>
          <w:lang w:val="fr-FR"/>
        </w:rPr>
        <w:t>es fonctions administratives et </w:t>
      </w:r>
      <w:r>
        <w:rPr>
          <w:bCs/>
          <w:lang w:val="fr-FR"/>
        </w:rPr>
        <w:t>scientif</w:t>
      </w:r>
      <w:r w:rsidR="00326D7C">
        <w:rPr>
          <w:bCs/>
          <w:lang w:val="fr-FR"/>
        </w:rPr>
        <w:t>iques de la Plateforme [produit 4 </w:t>
      </w:r>
      <w:r>
        <w:rPr>
          <w:bCs/>
          <w:lang w:val="fr-FR"/>
        </w:rPr>
        <w:t>e)]</w:t>
      </w:r>
      <w:bookmarkEnd w:id="4"/>
    </w:p>
    <w:p w14:paraId="68393CA0" w14:textId="77777777" w:rsidR="0037708F" w:rsidRPr="00326D7C" w:rsidRDefault="004C0D04">
      <w:pPr>
        <w:pStyle w:val="CH2"/>
        <w:rPr>
          <w:lang w:val="fr-FR"/>
        </w:rPr>
      </w:pPr>
      <w:bookmarkStart w:id="5" w:name="bookmark_26"/>
      <w:r>
        <w:rPr>
          <w:bCs/>
          <w:lang w:val="fr-FR"/>
        </w:rPr>
        <w:t>Note du secrétariat</w:t>
      </w:r>
      <w:bookmarkEnd w:id="5"/>
    </w:p>
    <w:p w14:paraId="76D7AC53" w14:textId="3B8F9B18" w:rsidR="0037708F" w:rsidRPr="00326D7C" w:rsidRDefault="004C0D04">
      <w:pPr>
        <w:pStyle w:val="CH1"/>
        <w:rPr>
          <w:lang w:val="fr-FR"/>
        </w:rPr>
      </w:pPr>
      <w:bookmarkStart w:id="6" w:name="bookmark_27"/>
      <w:r>
        <w:rPr>
          <w:lang w:val="fr-FR"/>
        </w:rPr>
        <w:tab/>
      </w:r>
      <w:r>
        <w:rPr>
          <w:lang w:val="fr-FR"/>
        </w:rPr>
        <w:tab/>
      </w:r>
      <w:r>
        <w:rPr>
          <w:bCs/>
          <w:lang w:val="fr-FR"/>
        </w:rPr>
        <w:t>Introduction</w:t>
      </w:r>
      <w:bookmarkEnd w:id="6"/>
    </w:p>
    <w:p w14:paraId="4AFAE310" w14:textId="689055EC" w:rsidR="0037708F" w:rsidRPr="00326D7C" w:rsidRDefault="004C0D04" w:rsidP="00326D7C">
      <w:pPr>
        <w:pStyle w:val="Normalnumber"/>
        <w:ind w:left="1260" w:firstLine="9"/>
        <w:rPr>
          <w:lang w:val="fr-FR"/>
        </w:rPr>
      </w:pPr>
      <w:r w:rsidRPr="00326D7C">
        <w:rPr>
          <w:lang w:val="fr-FR"/>
        </w:rPr>
        <w:t>Dans le cadre du premier programme de travail de la Plateforme intergouvernementale scientifique et politique sur la biodiversité et les services écosystémiques (IPBES)</w:t>
      </w:r>
      <w:r w:rsidR="0093222C">
        <w:rPr>
          <w:lang w:val="fr-FR"/>
        </w:rPr>
        <w:t>, la Plénière, dans sa décision </w:t>
      </w:r>
      <w:r w:rsidRPr="00326D7C">
        <w:rPr>
          <w:lang w:val="fr-FR"/>
        </w:rPr>
        <w:t>IPBES-2/5, a demandé un examen de l</w:t>
      </w:r>
      <w:r w:rsidR="001260F2" w:rsidRPr="00326D7C">
        <w:rPr>
          <w:lang w:val="fr-FR"/>
        </w:rPr>
        <w:t>’</w:t>
      </w:r>
      <w:r w:rsidRPr="00326D7C">
        <w:rPr>
          <w:lang w:val="fr-FR"/>
        </w:rPr>
        <w:t>efficacité des fonctions administratives et scientifiq</w:t>
      </w:r>
      <w:r w:rsidR="00AE3BB4">
        <w:rPr>
          <w:lang w:val="fr-FR"/>
        </w:rPr>
        <w:t>ues de la Plateforme [produit 4 </w:t>
      </w:r>
      <w:r w:rsidRPr="00326D7C">
        <w:rPr>
          <w:lang w:val="fr-FR"/>
        </w:rPr>
        <w:t>e)] et a prié le Groupe d</w:t>
      </w:r>
      <w:r w:rsidR="001260F2" w:rsidRPr="00326D7C">
        <w:rPr>
          <w:lang w:val="fr-FR"/>
        </w:rPr>
        <w:t>’</w:t>
      </w:r>
      <w:r w:rsidRPr="00326D7C">
        <w:rPr>
          <w:lang w:val="fr-FR"/>
        </w:rPr>
        <w:t>experts multidisciplinaire de définir, en consultation avec le Bureau, une procédure pour cet examen. À sa quatrième session, la Plénière a examiné une proposition de procédure pour l</w:t>
      </w:r>
      <w:r w:rsidR="001260F2" w:rsidRPr="00326D7C">
        <w:rPr>
          <w:lang w:val="fr-FR"/>
        </w:rPr>
        <w:t>’</w:t>
      </w:r>
      <w:r w:rsidRPr="00326D7C">
        <w:rPr>
          <w:lang w:val="fr-FR"/>
        </w:rPr>
        <w:t>examen et a demandé que la portée et le cadre de référence de l</w:t>
      </w:r>
      <w:r w:rsidR="001260F2" w:rsidRPr="00326D7C">
        <w:rPr>
          <w:lang w:val="fr-FR"/>
        </w:rPr>
        <w:t>’</w:t>
      </w:r>
      <w:r w:rsidRPr="00326D7C">
        <w:rPr>
          <w:lang w:val="fr-FR"/>
        </w:rPr>
        <w:t>examen final continuent d</w:t>
      </w:r>
      <w:r w:rsidR="001260F2" w:rsidRPr="00326D7C">
        <w:rPr>
          <w:lang w:val="fr-FR"/>
        </w:rPr>
        <w:t>’</w:t>
      </w:r>
      <w:r w:rsidRPr="00326D7C">
        <w:rPr>
          <w:lang w:val="fr-FR"/>
        </w:rPr>
        <w:t>être affin</w:t>
      </w:r>
      <w:r w:rsidR="00630DE1">
        <w:rPr>
          <w:lang w:val="fr-FR"/>
        </w:rPr>
        <w:t>és (décision </w:t>
      </w:r>
      <w:r w:rsidR="0093222C">
        <w:rPr>
          <w:lang w:val="fr-FR"/>
        </w:rPr>
        <w:t>IPBES-4/1, section </w:t>
      </w:r>
      <w:r w:rsidRPr="00326D7C">
        <w:rPr>
          <w:lang w:val="fr-FR"/>
        </w:rPr>
        <w:t xml:space="preserve">VII). </w:t>
      </w:r>
    </w:p>
    <w:p w14:paraId="15E5C0D8" w14:textId="6B7AB36A" w:rsidR="0037708F" w:rsidRPr="00326D7C" w:rsidRDefault="004C0D04" w:rsidP="00636518">
      <w:pPr>
        <w:pStyle w:val="Normalnumber"/>
        <w:ind w:left="1260" w:firstLine="9"/>
        <w:rPr>
          <w:lang w:val="fr-FR"/>
        </w:rPr>
      </w:pPr>
      <w:bookmarkStart w:id="7" w:name="bookmark_29"/>
      <w:r>
        <w:rPr>
          <w:lang w:val="fr-FR"/>
        </w:rPr>
        <w:t>À sa cinquième session, la Plénière a adopté la décision</w:t>
      </w:r>
      <w:r w:rsidR="0093222C">
        <w:rPr>
          <w:lang w:val="fr-FR"/>
        </w:rPr>
        <w:t> </w:t>
      </w:r>
      <w:r>
        <w:rPr>
          <w:lang w:val="fr-FR"/>
        </w:rPr>
        <w:t>IPBES-5/2, dans laquelle elle approuvait le cadre pour l</w:t>
      </w:r>
      <w:r w:rsidR="001260F2">
        <w:rPr>
          <w:lang w:val="fr-FR"/>
        </w:rPr>
        <w:t>’</w:t>
      </w:r>
      <w:r>
        <w:rPr>
          <w:lang w:val="fr-FR"/>
        </w:rPr>
        <w:t>examen de la Plateforme (</w:t>
      </w:r>
      <w:r w:rsidR="0029799E">
        <w:rPr>
          <w:lang w:val="fr-FR"/>
        </w:rPr>
        <w:t>présenté</w:t>
      </w:r>
      <w:r>
        <w:rPr>
          <w:lang w:val="fr-FR"/>
        </w:rPr>
        <w:t xml:space="preserve"> dans l</w:t>
      </w:r>
      <w:r w:rsidR="001260F2">
        <w:rPr>
          <w:lang w:val="fr-FR"/>
        </w:rPr>
        <w:t>’</w:t>
      </w:r>
      <w:r>
        <w:rPr>
          <w:lang w:val="fr-FR"/>
        </w:rPr>
        <w:t>annexe à la décision).</w:t>
      </w:r>
      <w:bookmarkEnd w:id="7"/>
    </w:p>
    <w:p w14:paraId="2A23E4C1" w14:textId="144AE5CE" w:rsidR="0037708F" w:rsidRPr="00326D7C" w:rsidRDefault="004C0D04" w:rsidP="00636518">
      <w:pPr>
        <w:pStyle w:val="Normalnumber"/>
        <w:ind w:left="1260" w:firstLine="9"/>
        <w:rPr>
          <w:lang w:val="fr-FR"/>
        </w:rPr>
      </w:pPr>
      <w:bookmarkStart w:id="8" w:name="bookmark_30"/>
      <w:r>
        <w:rPr>
          <w:lang w:val="fr-FR"/>
        </w:rPr>
        <w:t>Dans cette même décision, la Plénière priait le Bureau, en consultation avec le Groupe d</w:t>
      </w:r>
      <w:r w:rsidR="001260F2">
        <w:rPr>
          <w:lang w:val="fr-FR"/>
        </w:rPr>
        <w:t>’</w:t>
      </w:r>
      <w:r>
        <w:rPr>
          <w:lang w:val="fr-FR"/>
        </w:rPr>
        <w:t>experts multidisciplinaire, de réviser le questionnaire figurant dans l</w:t>
      </w:r>
      <w:r w:rsidR="001260F2">
        <w:rPr>
          <w:lang w:val="fr-FR"/>
        </w:rPr>
        <w:t>’</w:t>
      </w:r>
      <w:r>
        <w:rPr>
          <w:lang w:val="fr-FR"/>
        </w:rPr>
        <w:t>appendice du cadre en tenant compte des observations reçues lors de la cinquième session de la Plénière; priait le secrétariat de mettre le questionnaire révisé à la disposition des membres et des parties prenantes de la Plateforme pour une période de deux semaines après la cinquième session de la Plénière, afin qu</w:t>
      </w:r>
      <w:r w:rsidR="001260F2">
        <w:rPr>
          <w:lang w:val="fr-FR"/>
        </w:rPr>
        <w:t>’</w:t>
      </w:r>
      <w:r>
        <w:rPr>
          <w:lang w:val="fr-FR"/>
        </w:rPr>
        <w:t>ils puissent l</w:t>
      </w:r>
      <w:r w:rsidR="001260F2">
        <w:rPr>
          <w:lang w:val="fr-FR"/>
        </w:rPr>
        <w:t>’</w:t>
      </w:r>
      <w:r>
        <w:rPr>
          <w:lang w:val="fr-FR"/>
        </w:rPr>
        <w:t>examiner; et priait le Bureau, en consultation avec le Groupe d</w:t>
      </w:r>
      <w:r w:rsidR="001260F2">
        <w:rPr>
          <w:lang w:val="fr-FR"/>
        </w:rPr>
        <w:t>’</w:t>
      </w:r>
      <w:r>
        <w:rPr>
          <w:lang w:val="fr-FR"/>
        </w:rPr>
        <w:t>experts multidis</w:t>
      </w:r>
      <w:r w:rsidR="001260F2">
        <w:rPr>
          <w:lang w:val="fr-FR"/>
        </w:rPr>
        <w:t>ci</w:t>
      </w:r>
      <w:r>
        <w:rPr>
          <w:lang w:val="fr-FR"/>
        </w:rPr>
        <w:t xml:space="preserve">plinaire, de finaliser le questionnaire, en tenant compte des observations reçues durant la période de deux semaines susvisée. </w:t>
      </w:r>
      <w:bookmarkEnd w:id="8"/>
    </w:p>
    <w:p w14:paraId="3E0B8220" w14:textId="1871D07C" w:rsidR="0037708F" w:rsidRPr="00326D7C" w:rsidRDefault="004C0D04" w:rsidP="00636518">
      <w:pPr>
        <w:pStyle w:val="Normalnumber"/>
        <w:ind w:left="1260" w:firstLine="9"/>
        <w:rPr>
          <w:lang w:val="fr-FR"/>
        </w:rPr>
      </w:pPr>
      <w:bookmarkStart w:id="9" w:name="bookmark_31"/>
      <w:r>
        <w:rPr>
          <w:lang w:val="fr-FR"/>
        </w:rPr>
        <w:t>La Plénière a également approuvé la réalisation d</w:t>
      </w:r>
      <w:r w:rsidR="001260F2">
        <w:rPr>
          <w:lang w:val="fr-FR"/>
        </w:rPr>
        <w:t>’</w:t>
      </w:r>
      <w:r>
        <w:rPr>
          <w:lang w:val="fr-FR"/>
        </w:rPr>
        <w:t>un examen interne par le Groupe d</w:t>
      </w:r>
      <w:r w:rsidR="001260F2">
        <w:rPr>
          <w:lang w:val="fr-FR"/>
        </w:rPr>
        <w:t>’</w:t>
      </w:r>
      <w:r>
        <w:rPr>
          <w:lang w:val="fr-FR"/>
        </w:rPr>
        <w:t>experts multidisciplinaire et le Bureau, et la communication des conclusions de cet examen aux examinateurs externes. Elle a prié l</w:t>
      </w:r>
      <w:r w:rsidR="001260F2">
        <w:rPr>
          <w:lang w:val="fr-FR"/>
        </w:rPr>
        <w:t>’</w:t>
      </w:r>
      <w:r>
        <w:rPr>
          <w:lang w:val="fr-FR"/>
        </w:rPr>
        <w:t>équipe d</w:t>
      </w:r>
      <w:r w:rsidR="001260F2">
        <w:rPr>
          <w:lang w:val="fr-FR"/>
        </w:rPr>
        <w:t>’</w:t>
      </w:r>
      <w:r>
        <w:rPr>
          <w:lang w:val="fr-FR"/>
        </w:rPr>
        <w:t xml:space="preserve">examen interne de transmettre le rapport visé au paragraphe 11 du cadre à la Plénière à sa sixième session. </w:t>
      </w:r>
      <w:bookmarkEnd w:id="9"/>
    </w:p>
    <w:p w14:paraId="5A8BE070" w14:textId="0ACBBE12" w:rsidR="0037708F" w:rsidRPr="00326D7C" w:rsidRDefault="004C0D04" w:rsidP="00F127B9">
      <w:pPr>
        <w:pStyle w:val="Normalnumber"/>
        <w:keepNext/>
        <w:keepLines/>
        <w:ind w:left="1259" w:firstLine="11"/>
        <w:rPr>
          <w:lang w:val="fr-FR"/>
        </w:rPr>
      </w:pPr>
      <w:bookmarkStart w:id="10" w:name="bookmark_32"/>
      <w:r>
        <w:rPr>
          <w:lang w:val="fr-FR"/>
        </w:rPr>
        <w:lastRenderedPageBreak/>
        <w:t xml:space="preserve">La </w:t>
      </w:r>
      <w:r w:rsidR="00847554">
        <w:rPr>
          <w:lang w:val="fr-FR"/>
        </w:rPr>
        <w:t>Plénière</w:t>
      </w:r>
      <w:r>
        <w:rPr>
          <w:lang w:val="fr-FR"/>
        </w:rPr>
        <w:t xml:space="preserve"> a </w:t>
      </w:r>
      <w:r w:rsidR="0029799E">
        <w:rPr>
          <w:lang w:val="fr-FR"/>
        </w:rPr>
        <w:t xml:space="preserve">en outre </w:t>
      </w:r>
      <w:r>
        <w:rPr>
          <w:lang w:val="fr-FR"/>
        </w:rPr>
        <w:t>prié la Secrétaire exécutive de demander la désignation de candidats pour la commission d</w:t>
      </w:r>
      <w:r w:rsidR="001260F2">
        <w:rPr>
          <w:lang w:val="fr-FR"/>
        </w:rPr>
        <w:t>’</w:t>
      </w:r>
      <w:r>
        <w:rPr>
          <w:lang w:val="fr-FR"/>
        </w:rPr>
        <w:t>examen, en visant à assurer une représentation régionale équilibrée, et de mettre en œuvre une procédure d</w:t>
      </w:r>
      <w:r w:rsidR="001260F2">
        <w:rPr>
          <w:lang w:val="fr-FR"/>
        </w:rPr>
        <w:t>’</w:t>
      </w:r>
      <w:r>
        <w:rPr>
          <w:lang w:val="fr-FR"/>
        </w:rPr>
        <w:t>appel d</w:t>
      </w:r>
      <w:r w:rsidR="001260F2">
        <w:rPr>
          <w:lang w:val="fr-FR"/>
        </w:rPr>
        <w:t>’</w:t>
      </w:r>
      <w:r>
        <w:rPr>
          <w:lang w:val="fr-FR"/>
        </w:rPr>
        <w:t>offres concurrentielle afin qu</w:t>
      </w:r>
      <w:r w:rsidR="001260F2">
        <w:rPr>
          <w:lang w:val="fr-FR"/>
        </w:rPr>
        <w:t>’</w:t>
      </w:r>
      <w:r>
        <w:rPr>
          <w:lang w:val="fr-FR"/>
        </w:rPr>
        <w:t>une organisation professionnelle externe coordonne l</w:t>
      </w:r>
      <w:r w:rsidR="001260F2">
        <w:rPr>
          <w:lang w:val="fr-FR"/>
        </w:rPr>
        <w:t>’</w:t>
      </w:r>
      <w:r>
        <w:rPr>
          <w:lang w:val="fr-FR"/>
        </w:rPr>
        <w:t>examen, le commencement des travaux de cette organisation étant prévu au début de l</w:t>
      </w:r>
      <w:r w:rsidR="001260F2">
        <w:rPr>
          <w:lang w:val="fr-FR"/>
        </w:rPr>
        <w:t>’</w:t>
      </w:r>
      <w:r>
        <w:rPr>
          <w:lang w:val="fr-FR"/>
        </w:rPr>
        <w:t xml:space="preserve">année 2018, sous réserve de la disponibilité de ressources financières. La </w:t>
      </w:r>
      <w:r w:rsidR="00847554">
        <w:rPr>
          <w:lang w:val="fr-FR"/>
        </w:rPr>
        <w:t>Plénière</w:t>
      </w:r>
      <w:r>
        <w:rPr>
          <w:lang w:val="fr-FR"/>
        </w:rPr>
        <w:t xml:space="preserve"> a prié la commission d</w:t>
      </w:r>
      <w:r w:rsidR="001260F2">
        <w:rPr>
          <w:lang w:val="fr-FR"/>
        </w:rPr>
        <w:t>’</w:t>
      </w:r>
      <w:r>
        <w:rPr>
          <w:lang w:val="fr-FR"/>
        </w:rPr>
        <w:t>examen, conformément au cadre susmentionné, de fournir à la Plénière à sa septième session un rapport final sur l</w:t>
      </w:r>
      <w:r w:rsidR="001260F2">
        <w:rPr>
          <w:lang w:val="fr-FR"/>
        </w:rPr>
        <w:t>’</w:t>
      </w:r>
      <w:r>
        <w:rPr>
          <w:lang w:val="fr-FR"/>
        </w:rPr>
        <w:t xml:space="preserve">examen, comportant des recommandations concernant la mise en œuvre du deuxième programme de travail de la Plateforme. </w:t>
      </w:r>
      <w:bookmarkEnd w:id="10"/>
    </w:p>
    <w:p w14:paraId="432E0839" w14:textId="7ADEA4A2" w:rsidR="0037708F" w:rsidRPr="00326D7C" w:rsidRDefault="00630DE1">
      <w:pPr>
        <w:pStyle w:val="CH1"/>
        <w:rPr>
          <w:lang w:val="fr-FR"/>
        </w:rPr>
      </w:pPr>
      <w:bookmarkStart w:id="11" w:name="bookmark_33"/>
      <w:r>
        <w:rPr>
          <w:lang w:val="fr-FR"/>
        </w:rPr>
        <w:tab/>
      </w:r>
      <w:r w:rsidR="004C0D04">
        <w:rPr>
          <w:lang w:val="fr-FR"/>
        </w:rPr>
        <w:t>I.</w:t>
      </w:r>
      <w:r w:rsidR="004C0D04">
        <w:rPr>
          <w:lang w:val="fr-FR"/>
        </w:rPr>
        <w:tab/>
      </w:r>
      <w:r w:rsidR="004C0D04">
        <w:rPr>
          <w:bCs/>
          <w:lang w:val="fr-FR"/>
        </w:rPr>
        <w:t>Rapport de l</w:t>
      </w:r>
      <w:r w:rsidR="001260F2">
        <w:rPr>
          <w:bCs/>
          <w:lang w:val="fr-FR"/>
        </w:rPr>
        <w:t>’</w:t>
      </w:r>
      <w:r w:rsidR="004C0D04">
        <w:rPr>
          <w:bCs/>
          <w:lang w:val="fr-FR"/>
        </w:rPr>
        <w:t>équipe d</w:t>
      </w:r>
      <w:r w:rsidR="001260F2">
        <w:rPr>
          <w:bCs/>
          <w:lang w:val="fr-FR"/>
        </w:rPr>
        <w:t>’</w:t>
      </w:r>
      <w:r w:rsidR="004C0D04">
        <w:rPr>
          <w:bCs/>
          <w:lang w:val="fr-FR"/>
        </w:rPr>
        <w:t>examen interne</w:t>
      </w:r>
      <w:bookmarkEnd w:id="11"/>
    </w:p>
    <w:p w14:paraId="57FE3CE3" w14:textId="23468551" w:rsidR="0037708F" w:rsidRDefault="00630DE1">
      <w:pPr>
        <w:pStyle w:val="CH2"/>
        <w:tabs>
          <w:tab w:val="clear" w:pos="624"/>
          <w:tab w:val="left" w:pos="4082"/>
        </w:tabs>
        <w:spacing w:before="80"/>
        <w:ind w:left="1247" w:hanging="1247"/>
        <w:rPr>
          <w:rFonts w:eastAsia="Times New Roman"/>
        </w:rPr>
      </w:pPr>
      <w:bookmarkStart w:id="12" w:name="bookmark_34"/>
      <w:r>
        <w:rPr>
          <w:lang w:val="fr-FR"/>
        </w:rPr>
        <w:tab/>
      </w:r>
      <w:r w:rsidR="004C0D04">
        <w:rPr>
          <w:lang w:val="fr-FR"/>
        </w:rPr>
        <w:t>A.</w:t>
      </w:r>
      <w:r w:rsidR="004C0D04">
        <w:rPr>
          <w:lang w:val="fr-FR"/>
        </w:rPr>
        <w:tab/>
      </w:r>
      <w:r w:rsidR="004C0D04">
        <w:rPr>
          <w:bCs/>
          <w:lang w:val="fr-FR"/>
        </w:rPr>
        <w:t>Finalisation du questionnaire</w:t>
      </w:r>
      <w:bookmarkEnd w:id="12"/>
    </w:p>
    <w:p w14:paraId="4F72A38F" w14:textId="1D69D967" w:rsidR="0037708F" w:rsidRPr="00636518" w:rsidRDefault="004C0D04" w:rsidP="00636518">
      <w:pPr>
        <w:pStyle w:val="Normalnumber"/>
        <w:ind w:left="1260" w:firstLine="9"/>
        <w:rPr>
          <w:lang w:val="fr-FR"/>
        </w:rPr>
      </w:pPr>
      <w:bookmarkStart w:id="13" w:name="bookmark_35"/>
      <w:r>
        <w:rPr>
          <w:lang w:val="fr-FR"/>
        </w:rPr>
        <w:t>À leur huitième réunion, le Bureau et le Groupe d</w:t>
      </w:r>
      <w:r w:rsidR="001260F2">
        <w:rPr>
          <w:lang w:val="fr-FR"/>
        </w:rPr>
        <w:t>’</w:t>
      </w:r>
      <w:r>
        <w:rPr>
          <w:lang w:val="fr-FR"/>
        </w:rPr>
        <w:t>experts multidisciplinaire sont convenus de la composition d</w:t>
      </w:r>
      <w:r w:rsidR="001260F2">
        <w:rPr>
          <w:lang w:val="fr-FR"/>
        </w:rPr>
        <w:t>’</w:t>
      </w:r>
      <w:r>
        <w:rPr>
          <w:lang w:val="fr-FR"/>
        </w:rPr>
        <w:t>une équipe d</w:t>
      </w:r>
      <w:r w:rsidR="001260F2">
        <w:rPr>
          <w:lang w:val="fr-FR"/>
        </w:rPr>
        <w:t>’</w:t>
      </w:r>
      <w:r>
        <w:rPr>
          <w:lang w:val="fr-FR"/>
        </w:rPr>
        <w:t>examen interne. L</w:t>
      </w:r>
      <w:r w:rsidR="001260F2">
        <w:rPr>
          <w:lang w:val="fr-FR"/>
        </w:rPr>
        <w:t>’</w:t>
      </w:r>
      <w:r>
        <w:rPr>
          <w:lang w:val="fr-FR"/>
        </w:rPr>
        <w:t>équipe comprend le Président de la Plateforme, un membre du Bureau</w:t>
      </w:r>
      <w:r w:rsidR="00971C9A">
        <w:rPr>
          <w:lang w:val="fr-FR"/>
        </w:rPr>
        <w:t xml:space="preserve"> (Alfred Oteng-Yeboah), un co</w:t>
      </w:r>
      <w:r>
        <w:rPr>
          <w:lang w:val="fr-FR"/>
        </w:rPr>
        <w:t>président et deux membres du Groupe d</w:t>
      </w:r>
      <w:r w:rsidR="001260F2">
        <w:rPr>
          <w:lang w:val="fr-FR"/>
        </w:rPr>
        <w:t>’</w:t>
      </w:r>
      <w:r>
        <w:rPr>
          <w:lang w:val="fr-FR"/>
        </w:rPr>
        <w:t xml:space="preserve">experts multidisciplinaire (Marie Stenseke, Carlos Joly et Vinod Mathur), et le Secrétaire exécutif. </w:t>
      </w:r>
      <w:bookmarkEnd w:id="13"/>
    </w:p>
    <w:p w14:paraId="7BF98FA5" w14:textId="1DBAE899" w:rsidR="0037708F" w:rsidRPr="00636518" w:rsidRDefault="0029799E" w:rsidP="00636518">
      <w:pPr>
        <w:pStyle w:val="Normalnumber"/>
        <w:ind w:left="1260" w:firstLine="9"/>
        <w:rPr>
          <w:lang w:val="fr-FR"/>
        </w:rPr>
      </w:pPr>
      <w:bookmarkStart w:id="14" w:name="bookmark_36"/>
      <w:r>
        <w:rPr>
          <w:lang w:val="fr-FR"/>
        </w:rPr>
        <w:t>Comme suite à</w:t>
      </w:r>
      <w:r w:rsidR="001C43F3">
        <w:rPr>
          <w:lang w:val="fr-FR"/>
        </w:rPr>
        <w:t xml:space="preserve"> la décision </w:t>
      </w:r>
      <w:r w:rsidR="004C0D04">
        <w:rPr>
          <w:lang w:val="fr-FR"/>
        </w:rPr>
        <w:t>IPBES-5/2, l</w:t>
      </w:r>
      <w:r w:rsidR="001260F2">
        <w:rPr>
          <w:lang w:val="fr-FR"/>
        </w:rPr>
        <w:t>’</w:t>
      </w:r>
      <w:r w:rsidR="004C0D04">
        <w:rPr>
          <w:lang w:val="fr-FR"/>
        </w:rPr>
        <w:t>équipe d</w:t>
      </w:r>
      <w:r w:rsidR="001260F2">
        <w:rPr>
          <w:lang w:val="fr-FR"/>
        </w:rPr>
        <w:t>’</w:t>
      </w:r>
      <w:r w:rsidR="004C0D04">
        <w:rPr>
          <w:lang w:val="fr-FR"/>
        </w:rPr>
        <w:t>examen interne, au nom du Bureau et du Groupe d</w:t>
      </w:r>
      <w:r w:rsidR="001260F2">
        <w:rPr>
          <w:lang w:val="fr-FR"/>
        </w:rPr>
        <w:t>’</w:t>
      </w:r>
      <w:r w:rsidR="004C0D04">
        <w:rPr>
          <w:lang w:val="fr-FR"/>
        </w:rPr>
        <w:t>experts multidisciplinaire, a révisé le questionnaire figurant dans l</w:t>
      </w:r>
      <w:r w:rsidR="001260F2">
        <w:rPr>
          <w:lang w:val="fr-FR"/>
        </w:rPr>
        <w:t>’</w:t>
      </w:r>
      <w:r w:rsidR="004C0D04">
        <w:rPr>
          <w:lang w:val="fr-FR"/>
        </w:rPr>
        <w:t>appendice de l</w:t>
      </w:r>
      <w:r w:rsidR="001260F2">
        <w:rPr>
          <w:lang w:val="fr-FR"/>
        </w:rPr>
        <w:t>’</w:t>
      </w:r>
      <w:r w:rsidR="001C43F3">
        <w:rPr>
          <w:lang w:val="fr-FR"/>
        </w:rPr>
        <w:t>annexe à la décision </w:t>
      </w:r>
      <w:r w:rsidR="004C0D04">
        <w:rPr>
          <w:lang w:val="fr-FR"/>
        </w:rPr>
        <w:t>IPBES-5/2 et l</w:t>
      </w:r>
      <w:r w:rsidR="001260F2">
        <w:rPr>
          <w:lang w:val="fr-FR"/>
        </w:rPr>
        <w:t>’</w:t>
      </w:r>
      <w:r w:rsidR="004C0D04">
        <w:rPr>
          <w:lang w:val="fr-FR"/>
        </w:rPr>
        <w:t>a mis à la disposition des membres et des parties prenantes de la Plateforme pou</w:t>
      </w:r>
      <w:r w:rsidR="001C43F3">
        <w:rPr>
          <w:lang w:val="fr-FR"/>
        </w:rPr>
        <w:t>r une période de deux semaines (28 </w:t>
      </w:r>
      <w:r w:rsidR="004C0D04">
        <w:rPr>
          <w:lang w:val="fr-FR"/>
        </w:rPr>
        <w:t>avril – 12</w:t>
      </w:r>
      <w:r w:rsidR="001C43F3">
        <w:rPr>
          <w:lang w:val="fr-FR"/>
        </w:rPr>
        <w:t> </w:t>
      </w:r>
      <w:r w:rsidR="004C0D04">
        <w:rPr>
          <w:lang w:val="fr-FR"/>
        </w:rPr>
        <w:t>mai 2017) afin qu</w:t>
      </w:r>
      <w:r w:rsidR="001260F2">
        <w:rPr>
          <w:lang w:val="fr-FR"/>
        </w:rPr>
        <w:t>’</w:t>
      </w:r>
      <w:r w:rsidR="004C0D04">
        <w:rPr>
          <w:lang w:val="fr-FR"/>
        </w:rPr>
        <w:t>ils émettent des observations. Seize séries d</w:t>
      </w:r>
      <w:r w:rsidR="001260F2">
        <w:rPr>
          <w:lang w:val="fr-FR"/>
        </w:rPr>
        <w:t>’</w:t>
      </w:r>
      <w:r w:rsidR="004C0D04">
        <w:rPr>
          <w:lang w:val="fr-FR"/>
        </w:rPr>
        <w:t>observations ont été reçues qui émanaient de quatre gouvernements (Australie, États-Unis d</w:t>
      </w:r>
      <w:r w:rsidR="001260F2">
        <w:rPr>
          <w:lang w:val="fr-FR"/>
        </w:rPr>
        <w:t>’</w:t>
      </w:r>
      <w:r w:rsidR="004C0D04">
        <w:rPr>
          <w:lang w:val="fr-FR"/>
        </w:rPr>
        <w:t>Amérique, Malaisie, Népal), de l</w:t>
      </w:r>
      <w:r w:rsidR="001260F2">
        <w:rPr>
          <w:lang w:val="fr-FR"/>
        </w:rPr>
        <w:t>’</w:t>
      </w:r>
      <w:r w:rsidR="001C43F3">
        <w:rPr>
          <w:lang w:val="fr-FR"/>
        </w:rPr>
        <w:t>Union européenne et de 11 </w:t>
      </w:r>
      <w:r w:rsidR="004C0D04">
        <w:rPr>
          <w:lang w:val="fr-FR"/>
        </w:rPr>
        <w:t>particuliers. Le comité d</w:t>
      </w:r>
      <w:r w:rsidR="001260F2">
        <w:rPr>
          <w:lang w:val="fr-FR"/>
        </w:rPr>
        <w:t>’</w:t>
      </w:r>
      <w:r w:rsidR="004C0D04">
        <w:rPr>
          <w:lang w:val="fr-FR"/>
        </w:rPr>
        <w:t xml:space="preserve">examen interne a établi la version définitive du questionnaire, en tenant compte de ces observations. La version finale du questionnaire figure </w:t>
      </w:r>
      <w:r>
        <w:rPr>
          <w:lang w:val="fr-FR"/>
        </w:rPr>
        <w:t>dans</w:t>
      </w:r>
      <w:r w:rsidR="004C0D04">
        <w:rPr>
          <w:lang w:val="fr-FR"/>
        </w:rPr>
        <w:t xml:space="preserve"> l</w:t>
      </w:r>
      <w:r w:rsidR="001260F2">
        <w:rPr>
          <w:lang w:val="fr-FR"/>
        </w:rPr>
        <w:t>’</w:t>
      </w:r>
      <w:r w:rsidR="001C43F3">
        <w:rPr>
          <w:lang w:val="fr-FR"/>
        </w:rPr>
        <w:t>appendice </w:t>
      </w:r>
      <w:r w:rsidR="004C0D04">
        <w:rPr>
          <w:lang w:val="fr-FR"/>
        </w:rPr>
        <w:t>V de l</w:t>
      </w:r>
      <w:r w:rsidR="001260F2">
        <w:rPr>
          <w:lang w:val="fr-FR"/>
        </w:rPr>
        <w:t>’</w:t>
      </w:r>
      <w:r w:rsidR="004C0D04">
        <w:rPr>
          <w:lang w:val="fr-FR"/>
        </w:rPr>
        <w:t>annexe au document IPBES/6/INF/32.</w:t>
      </w:r>
      <w:bookmarkEnd w:id="14"/>
    </w:p>
    <w:p w14:paraId="30089FF5" w14:textId="23A78572" w:rsidR="0037708F" w:rsidRPr="00326D7C" w:rsidRDefault="0093222C" w:rsidP="00636518">
      <w:pPr>
        <w:pStyle w:val="Normalnumber"/>
        <w:ind w:left="1260" w:firstLine="9"/>
        <w:rPr>
          <w:rFonts w:cstheme="minorHAnsi"/>
          <w:lang w:val="fr-FR"/>
        </w:rPr>
      </w:pPr>
      <w:bookmarkStart w:id="15" w:name="bookmark_37"/>
      <w:r>
        <w:rPr>
          <w:lang w:val="fr-FR"/>
        </w:rPr>
        <w:t>Conformément au paragraphe </w:t>
      </w:r>
      <w:r w:rsidR="004C0D04">
        <w:rPr>
          <w:lang w:val="fr-FR"/>
        </w:rPr>
        <w:t>11 du cadre, le volet interne se présente sous la forme d</w:t>
      </w:r>
      <w:r w:rsidR="001260F2">
        <w:rPr>
          <w:lang w:val="fr-FR"/>
        </w:rPr>
        <w:t>’</w:t>
      </w:r>
      <w:r w:rsidR="004C0D04">
        <w:rPr>
          <w:lang w:val="fr-FR"/>
        </w:rPr>
        <w:t xml:space="preserve">une autoévaluation se fondant sur les réponses au questionnaire </w:t>
      </w:r>
      <w:r w:rsidR="0029799E">
        <w:rPr>
          <w:lang w:val="fr-FR"/>
        </w:rPr>
        <w:t>communiquées par d</w:t>
      </w:r>
      <w:r w:rsidR="004C0D04">
        <w:rPr>
          <w:lang w:val="fr-FR"/>
        </w:rPr>
        <w:t>es membres précédents et actuels du Groupe d</w:t>
      </w:r>
      <w:r w:rsidR="001260F2">
        <w:rPr>
          <w:lang w:val="fr-FR"/>
        </w:rPr>
        <w:t>’</w:t>
      </w:r>
      <w:r w:rsidR="004C0D04">
        <w:rPr>
          <w:lang w:val="fr-FR"/>
        </w:rPr>
        <w:t>experts mult</w:t>
      </w:r>
      <w:r w:rsidR="0029799E">
        <w:rPr>
          <w:lang w:val="fr-FR"/>
        </w:rPr>
        <w:t>idisciplinaire et du Bureau ; le</w:t>
      </w:r>
      <w:r w:rsidR="004C0D04">
        <w:rPr>
          <w:lang w:val="fr-FR"/>
        </w:rPr>
        <w:t xml:space="preserve"> secrétariat, y compris ses groupes d</w:t>
      </w:r>
      <w:r w:rsidR="001260F2">
        <w:rPr>
          <w:lang w:val="fr-FR"/>
        </w:rPr>
        <w:t>’</w:t>
      </w:r>
      <w:r w:rsidR="00847554">
        <w:rPr>
          <w:lang w:val="fr-FR"/>
        </w:rPr>
        <w:t>appui technique</w:t>
      </w:r>
      <w:r w:rsidR="004C0D04">
        <w:rPr>
          <w:lang w:val="fr-FR"/>
        </w:rPr>
        <w:t xml:space="preserve"> ; des membres des groupes de travail de la Plateforme ; des vice-présidents et des auteurs-coordonnateurs principaux des évaluations en cours et antérieures réalisées par la Plateforme ; et des correspondants nationaux. Le questionnaire a été diffusé le 22</w:t>
      </w:r>
      <w:r w:rsidR="001C43F3">
        <w:rPr>
          <w:lang w:val="fr-FR"/>
        </w:rPr>
        <w:t> </w:t>
      </w:r>
      <w:r w:rsidR="004C0D04">
        <w:rPr>
          <w:lang w:val="fr-FR"/>
        </w:rPr>
        <w:t>mai 2017, ave</w:t>
      </w:r>
      <w:r w:rsidR="001C43F3">
        <w:rPr>
          <w:lang w:val="fr-FR"/>
        </w:rPr>
        <w:t>c un délai de réponse fixé au 7 </w:t>
      </w:r>
      <w:r w:rsidR="004C0D04">
        <w:rPr>
          <w:lang w:val="fr-FR"/>
        </w:rPr>
        <w:t xml:space="preserve">août 2017. </w:t>
      </w:r>
      <w:r w:rsidR="0029799E">
        <w:rPr>
          <w:lang w:val="fr-FR"/>
        </w:rPr>
        <w:t>Y ont répondu :</w:t>
      </w:r>
      <w:r w:rsidR="004C0D04">
        <w:rPr>
          <w:lang w:val="fr-FR"/>
        </w:rPr>
        <w:t xml:space="preserve"> 85</w:t>
      </w:r>
      <w:r w:rsidR="001C43F3">
        <w:rPr>
          <w:lang w:val="fr-FR"/>
        </w:rPr>
        <w:t> </w:t>
      </w:r>
      <w:r w:rsidR="004C0D04">
        <w:rPr>
          <w:lang w:val="fr-FR"/>
        </w:rPr>
        <w:t>personne</w:t>
      </w:r>
      <w:r w:rsidR="001C43F3">
        <w:rPr>
          <w:lang w:val="fr-FR"/>
        </w:rPr>
        <w:t>s, dont 9 membres du Bureau, 23 </w:t>
      </w:r>
      <w:r w:rsidR="004C0D04">
        <w:rPr>
          <w:lang w:val="fr-FR"/>
        </w:rPr>
        <w:t>membres du Groupe d</w:t>
      </w:r>
      <w:r w:rsidR="001260F2">
        <w:rPr>
          <w:lang w:val="fr-FR"/>
        </w:rPr>
        <w:t>’</w:t>
      </w:r>
      <w:r w:rsidR="004C0D04">
        <w:rPr>
          <w:lang w:val="fr-FR"/>
        </w:rPr>
        <w:t xml:space="preserve">experts multidisciplinaire, </w:t>
      </w:r>
      <w:r w:rsidR="001C43F3">
        <w:rPr>
          <w:lang w:val="fr-FR"/>
        </w:rPr>
        <w:t>21 correspondants nationaux, 17 </w:t>
      </w:r>
      <w:r w:rsidR="004C0D04">
        <w:rPr>
          <w:lang w:val="fr-FR"/>
        </w:rPr>
        <w:t>experts de la Plateforme (co-présidents des</w:t>
      </w:r>
      <w:r w:rsidR="00F127B9">
        <w:rPr>
          <w:lang w:val="fr-FR"/>
        </w:rPr>
        <w:t> </w:t>
      </w:r>
      <w:r w:rsidR="004C0D04">
        <w:rPr>
          <w:lang w:val="fr-FR"/>
        </w:rPr>
        <w:t>groupes de travail et des évaluations, auteurs-coordonnateurs principaux des évaluations, et un petit nombre de membres des groupes de travail et d</w:t>
      </w:r>
      <w:r w:rsidR="001260F2">
        <w:rPr>
          <w:lang w:val="fr-FR"/>
        </w:rPr>
        <w:t>’</w:t>
      </w:r>
      <w:r w:rsidR="004C0D04">
        <w:rPr>
          <w:lang w:val="fr-FR"/>
        </w:rPr>
        <w:t>auteurs-coordonnateurs principaux invités à par</w:t>
      </w:r>
      <w:r w:rsidR="001C43F3">
        <w:rPr>
          <w:lang w:val="fr-FR"/>
        </w:rPr>
        <w:t>ticiper à un</w:t>
      </w:r>
      <w:r w:rsidR="00F127B9">
        <w:rPr>
          <w:lang w:val="fr-FR"/>
        </w:rPr>
        <w:t> </w:t>
      </w:r>
      <w:r w:rsidR="001C43F3">
        <w:rPr>
          <w:lang w:val="fr-FR"/>
        </w:rPr>
        <w:t>autre titre) et 17 </w:t>
      </w:r>
      <w:r w:rsidR="004C0D04">
        <w:rPr>
          <w:lang w:val="fr-FR"/>
        </w:rPr>
        <w:t>membres du secrétariat (y compris les membres des groupes d</w:t>
      </w:r>
      <w:r w:rsidR="001260F2">
        <w:rPr>
          <w:lang w:val="fr-FR"/>
        </w:rPr>
        <w:t>’</w:t>
      </w:r>
      <w:r w:rsidR="004C0D04">
        <w:rPr>
          <w:lang w:val="fr-FR"/>
        </w:rPr>
        <w:t>appui technique). Certaines des personnes sondées ont fourni leur contribution à plus d</w:t>
      </w:r>
      <w:r w:rsidR="001260F2">
        <w:rPr>
          <w:lang w:val="fr-FR"/>
        </w:rPr>
        <w:t>’</w:t>
      </w:r>
      <w:r w:rsidR="004C0D04">
        <w:rPr>
          <w:lang w:val="fr-FR"/>
        </w:rPr>
        <w:t xml:space="preserve">un titre. </w:t>
      </w:r>
      <w:bookmarkEnd w:id="15"/>
    </w:p>
    <w:p w14:paraId="55ED4CF3" w14:textId="6590ECB5" w:rsidR="0037708F" w:rsidRPr="00326D7C" w:rsidRDefault="00630DE1">
      <w:pPr>
        <w:pStyle w:val="CH2"/>
        <w:tabs>
          <w:tab w:val="clear" w:pos="624"/>
          <w:tab w:val="left" w:pos="4082"/>
        </w:tabs>
        <w:spacing w:before="80"/>
        <w:ind w:left="1247" w:hanging="1247"/>
        <w:rPr>
          <w:rFonts w:eastAsia="Times New Roman"/>
          <w:lang w:val="fr-FR"/>
        </w:rPr>
      </w:pPr>
      <w:bookmarkStart w:id="16" w:name="bookmark_38"/>
      <w:r>
        <w:rPr>
          <w:lang w:val="fr-FR"/>
        </w:rPr>
        <w:tab/>
      </w:r>
      <w:r w:rsidR="004C0D04">
        <w:rPr>
          <w:lang w:val="fr-FR"/>
        </w:rPr>
        <w:t>B.</w:t>
      </w:r>
      <w:r w:rsidR="004C0D04">
        <w:rPr>
          <w:lang w:val="fr-FR"/>
        </w:rPr>
        <w:tab/>
      </w:r>
      <w:r w:rsidR="004C0D04">
        <w:rPr>
          <w:bCs/>
          <w:lang w:val="fr-FR"/>
        </w:rPr>
        <w:t>Établissement du rapport d</w:t>
      </w:r>
      <w:r w:rsidR="001260F2">
        <w:rPr>
          <w:bCs/>
          <w:lang w:val="fr-FR"/>
        </w:rPr>
        <w:t>’</w:t>
      </w:r>
      <w:r w:rsidR="004C0D04">
        <w:rPr>
          <w:bCs/>
          <w:lang w:val="fr-FR"/>
        </w:rPr>
        <w:t>examen interne</w:t>
      </w:r>
      <w:bookmarkEnd w:id="16"/>
    </w:p>
    <w:p w14:paraId="0BADE30B" w14:textId="0CF75738" w:rsidR="0037708F" w:rsidRPr="00326D7C" w:rsidRDefault="0029799E" w:rsidP="00636518">
      <w:pPr>
        <w:pStyle w:val="Normalnumber"/>
        <w:ind w:left="1260" w:firstLine="9"/>
        <w:rPr>
          <w:lang w:val="fr-FR"/>
        </w:rPr>
      </w:pPr>
      <w:bookmarkStart w:id="17" w:name="bookmark_39"/>
      <w:r>
        <w:rPr>
          <w:lang w:val="fr-FR"/>
        </w:rPr>
        <w:t>Comme suite</w:t>
      </w:r>
      <w:r w:rsidR="004C0D04">
        <w:rPr>
          <w:lang w:val="fr-FR"/>
        </w:rPr>
        <w:t xml:space="preserve"> à la requête de la Plénière, l</w:t>
      </w:r>
      <w:r w:rsidR="001260F2">
        <w:rPr>
          <w:lang w:val="fr-FR"/>
        </w:rPr>
        <w:t>’</w:t>
      </w:r>
      <w:r w:rsidR="004C0D04">
        <w:rPr>
          <w:lang w:val="fr-FR"/>
        </w:rPr>
        <w:t>équipe d</w:t>
      </w:r>
      <w:r w:rsidR="001260F2">
        <w:rPr>
          <w:lang w:val="fr-FR"/>
        </w:rPr>
        <w:t>’</w:t>
      </w:r>
      <w:r w:rsidR="004C0D04">
        <w:rPr>
          <w:lang w:val="fr-FR"/>
        </w:rPr>
        <w:t>examen interne a établi le rapport demandé au paragraphe</w:t>
      </w:r>
      <w:r w:rsidR="001C43F3">
        <w:rPr>
          <w:lang w:val="fr-FR"/>
        </w:rPr>
        <w:t> </w:t>
      </w:r>
      <w:r w:rsidR="004C0D04">
        <w:rPr>
          <w:lang w:val="fr-FR"/>
        </w:rPr>
        <w:t>11 du cadre pour l</w:t>
      </w:r>
      <w:r w:rsidR="001260F2">
        <w:rPr>
          <w:lang w:val="fr-FR"/>
        </w:rPr>
        <w:t>’</w:t>
      </w:r>
      <w:r w:rsidR="004C0D04">
        <w:rPr>
          <w:lang w:val="fr-FR"/>
        </w:rPr>
        <w:t>examen (annexe à la décision</w:t>
      </w:r>
      <w:r w:rsidR="001C43F3">
        <w:rPr>
          <w:lang w:val="fr-FR"/>
        </w:rPr>
        <w:t> </w:t>
      </w:r>
      <w:r w:rsidR="004C0D04">
        <w:rPr>
          <w:lang w:val="fr-FR"/>
        </w:rPr>
        <w:t>IPBES-5/2), dont une autoévaluation fondée sur les réponses au questionnaire. Le rapport a été approuvé par le Groupe d</w:t>
      </w:r>
      <w:r w:rsidR="001260F2">
        <w:rPr>
          <w:lang w:val="fr-FR"/>
        </w:rPr>
        <w:t>’</w:t>
      </w:r>
      <w:r w:rsidR="004C0D04">
        <w:rPr>
          <w:lang w:val="fr-FR"/>
        </w:rPr>
        <w:t xml:space="preserve">experts multidisciplinaire et le Bureau. </w:t>
      </w:r>
      <w:bookmarkEnd w:id="17"/>
    </w:p>
    <w:p w14:paraId="28EBCB87" w14:textId="126F1DAD" w:rsidR="0037708F" w:rsidRPr="00326D7C" w:rsidRDefault="004C0D04" w:rsidP="00636518">
      <w:pPr>
        <w:pStyle w:val="Normalnumber"/>
        <w:ind w:left="1260" w:firstLine="9"/>
        <w:rPr>
          <w:lang w:val="fr-FR"/>
        </w:rPr>
      </w:pPr>
      <w:bookmarkStart w:id="18" w:name="bookmark_40"/>
      <w:r>
        <w:rPr>
          <w:lang w:val="fr-FR"/>
        </w:rPr>
        <w:t>Le rapport comprend un résumé analytique, qui présente les principaux résultats de l</w:t>
      </w:r>
      <w:r w:rsidR="001260F2">
        <w:rPr>
          <w:lang w:val="fr-FR"/>
        </w:rPr>
        <w:t>’</w:t>
      </w:r>
      <w:r>
        <w:rPr>
          <w:lang w:val="fr-FR"/>
        </w:rPr>
        <w:t>examen interne tel que conçu par le comité d</w:t>
      </w:r>
      <w:r w:rsidR="001260F2">
        <w:rPr>
          <w:lang w:val="fr-FR"/>
        </w:rPr>
        <w:t>’</w:t>
      </w:r>
      <w:r>
        <w:rPr>
          <w:lang w:val="fr-FR"/>
        </w:rPr>
        <w:t>examen interne et approuvé par le Bureau et le Groupe d</w:t>
      </w:r>
      <w:r w:rsidR="001260F2">
        <w:rPr>
          <w:lang w:val="fr-FR"/>
        </w:rPr>
        <w:t>’</w:t>
      </w:r>
      <w:r>
        <w:rPr>
          <w:lang w:val="fr-FR"/>
        </w:rPr>
        <w:t>experts multidisciplinaire. Les déclarations en caractères gras découlent directement de l</w:t>
      </w:r>
      <w:r w:rsidR="001260F2">
        <w:rPr>
          <w:lang w:val="fr-FR"/>
        </w:rPr>
        <w:t>’</w:t>
      </w:r>
      <w:r>
        <w:rPr>
          <w:lang w:val="fr-FR"/>
        </w:rPr>
        <w:t>analyse quantitative du questionnaire, tandis que le texte en caractères ordinaires découle d</w:t>
      </w:r>
      <w:r w:rsidR="001260F2">
        <w:rPr>
          <w:lang w:val="fr-FR"/>
        </w:rPr>
        <w:t>’</w:t>
      </w:r>
      <w:r>
        <w:rPr>
          <w:lang w:val="fr-FR"/>
        </w:rPr>
        <w:t>autres observations reçues via le questionnaire et inclut des éléments que le comité d</w:t>
      </w:r>
      <w:r w:rsidR="001260F2">
        <w:rPr>
          <w:lang w:val="fr-FR"/>
        </w:rPr>
        <w:t>’</w:t>
      </w:r>
      <w:r>
        <w:rPr>
          <w:lang w:val="fr-FR"/>
        </w:rPr>
        <w:t>examen interne a choisi de souligner compte tenu de l</w:t>
      </w:r>
      <w:r w:rsidR="001260F2">
        <w:rPr>
          <w:lang w:val="fr-FR"/>
        </w:rPr>
        <w:t>’</w:t>
      </w:r>
      <w:r>
        <w:rPr>
          <w:lang w:val="fr-FR"/>
        </w:rPr>
        <w:t>expérience de ses membres. Le résumé analytique du rapport figure dans l</w:t>
      </w:r>
      <w:r w:rsidR="001260F2">
        <w:rPr>
          <w:lang w:val="fr-FR"/>
        </w:rPr>
        <w:t>’</w:t>
      </w:r>
      <w:r>
        <w:rPr>
          <w:lang w:val="fr-FR"/>
        </w:rPr>
        <w:t xml:space="preserve">annexe à la présente note. </w:t>
      </w:r>
      <w:bookmarkEnd w:id="18"/>
    </w:p>
    <w:p w14:paraId="78EBCC29" w14:textId="446A4726" w:rsidR="0037708F" w:rsidRPr="00326D7C" w:rsidRDefault="004C0D04" w:rsidP="00636518">
      <w:pPr>
        <w:pStyle w:val="Normalnumber"/>
        <w:ind w:left="1260" w:firstLine="9"/>
        <w:rPr>
          <w:lang w:val="fr-FR"/>
        </w:rPr>
      </w:pPr>
      <w:bookmarkStart w:id="19" w:name="bookmark_41"/>
      <w:r>
        <w:rPr>
          <w:lang w:val="fr-FR"/>
        </w:rPr>
        <w:t>Le rapport contient aussi une analyse détaillée du questionnaire, section par section, y compris des considérations pour l</w:t>
      </w:r>
      <w:r w:rsidR="001260F2">
        <w:rPr>
          <w:lang w:val="fr-FR"/>
        </w:rPr>
        <w:t>’</w:t>
      </w:r>
      <w:r>
        <w:rPr>
          <w:lang w:val="fr-FR"/>
        </w:rPr>
        <w:t>avenir mises en exergue par le Groupe d</w:t>
      </w:r>
      <w:r w:rsidR="001260F2">
        <w:rPr>
          <w:lang w:val="fr-FR"/>
        </w:rPr>
        <w:t>’</w:t>
      </w:r>
      <w:r>
        <w:rPr>
          <w:lang w:val="fr-FR"/>
        </w:rPr>
        <w:t>experts multidisciplinaire et le Bureau. Le rapport complet est disponible dans le document IPBES/6/INF/32. L</w:t>
      </w:r>
      <w:r w:rsidR="001260F2">
        <w:rPr>
          <w:lang w:val="fr-FR"/>
        </w:rPr>
        <w:t>’</w:t>
      </w:r>
      <w:r>
        <w:rPr>
          <w:lang w:val="fr-FR"/>
        </w:rPr>
        <w:t>appendice I du rapport contient des informations sur le mandat, les procédures et la méthodologie de l</w:t>
      </w:r>
      <w:r w:rsidR="001260F2">
        <w:rPr>
          <w:lang w:val="fr-FR"/>
        </w:rPr>
        <w:t>’</w:t>
      </w:r>
      <w:r>
        <w:rPr>
          <w:lang w:val="fr-FR"/>
        </w:rPr>
        <w:t>examen interne. L</w:t>
      </w:r>
      <w:r w:rsidR="001260F2">
        <w:rPr>
          <w:lang w:val="fr-FR"/>
        </w:rPr>
        <w:t>’</w:t>
      </w:r>
      <w:r>
        <w:rPr>
          <w:lang w:val="fr-FR"/>
        </w:rPr>
        <w:t>appendice</w:t>
      </w:r>
      <w:r w:rsidR="00636518">
        <w:rPr>
          <w:lang w:val="fr-FR"/>
        </w:rPr>
        <w:t> </w:t>
      </w:r>
      <w:r>
        <w:rPr>
          <w:lang w:val="fr-FR"/>
        </w:rPr>
        <w:t>I</w:t>
      </w:r>
      <w:r w:rsidR="00636518">
        <w:rPr>
          <w:lang w:val="fr-FR"/>
        </w:rPr>
        <w:t>I présente, pour chacune des 99 </w:t>
      </w:r>
      <w:r>
        <w:rPr>
          <w:lang w:val="fr-FR"/>
        </w:rPr>
        <w:t xml:space="preserve">questions du questionnaire permettant un classement, le pourcentage de réponses reçues pour chaque notation de 1 à 5, une colonne graphique illustrant le nombre de réponses reçues pour chaque notation de 1 à 5, ainsi que la moyenne avec son écart type. Pour les sept questions </w:t>
      </w:r>
      <w:r>
        <w:rPr>
          <w:lang w:val="fr-FR"/>
        </w:rPr>
        <w:lastRenderedPageBreak/>
        <w:t xml:space="preserve">dont les réponses étaient limitées à </w:t>
      </w:r>
      <w:r w:rsidR="001260F2">
        <w:rPr>
          <w:lang w:val="fr-FR"/>
        </w:rPr>
        <w:t>« </w:t>
      </w:r>
      <w:r>
        <w:rPr>
          <w:lang w:val="fr-FR"/>
        </w:rPr>
        <w:t>oui</w:t>
      </w:r>
      <w:r w:rsidR="001260F2">
        <w:rPr>
          <w:lang w:val="fr-FR"/>
        </w:rPr>
        <w:t> »</w:t>
      </w:r>
      <w:r>
        <w:rPr>
          <w:lang w:val="fr-FR"/>
        </w:rPr>
        <w:t xml:space="preserve"> ou </w:t>
      </w:r>
      <w:r w:rsidR="001260F2">
        <w:rPr>
          <w:lang w:val="fr-FR"/>
        </w:rPr>
        <w:t>« </w:t>
      </w:r>
      <w:r>
        <w:rPr>
          <w:lang w:val="fr-FR"/>
        </w:rPr>
        <w:t>non</w:t>
      </w:r>
      <w:r w:rsidR="001260F2">
        <w:rPr>
          <w:lang w:val="fr-FR"/>
        </w:rPr>
        <w:t> »</w:t>
      </w:r>
      <w:r>
        <w:rPr>
          <w:lang w:val="fr-FR"/>
        </w:rPr>
        <w:t>, l</w:t>
      </w:r>
      <w:r w:rsidR="001260F2">
        <w:rPr>
          <w:lang w:val="fr-FR"/>
        </w:rPr>
        <w:t>’</w:t>
      </w:r>
      <w:r>
        <w:rPr>
          <w:lang w:val="fr-FR"/>
        </w:rPr>
        <w:t>appendice II présen</w:t>
      </w:r>
      <w:r w:rsidR="001260F2">
        <w:rPr>
          <w:lang w:val="fr-FR"/>
        </w:rPr>
        <w:t>te le pourcentage de réponses (« </w:t>
      </w:r>
      <w:r>
        <w:rPr>
          <w:lang w:val="fr-FR"/>
        </w:rPr>
        <w:t>oui</w:t>
      </w:r>
      <w:r w:rsidR="001260F2">
        <w:rPr>
          <w:lang w:val="fr-FR"/>
        </w:rPr>
        <w:t> »</w:t>
      </w:r>
      <w:r>
        <w:rPr>
          <w:lang w:val="fr-FR"/>
        </w:rPr>
        <w:t xml:space="preserve"> ou </w:t>
      </w:r>
      <w:r w:rsidR="001260F2">
        <w:rPr>
          <w:lang w:val="fr-FR"/>
        </w:rPr>
        <w:t>« </w:t>
      </w:r>
      <w:r>
        <w:rPr>
          <w:lang w:val="fr-FR"/>
        </w:rPr>
        <w:t>non</w:t>
      </w:r>
      <w:r w:rsidR="001260F2">
        <w:rPr>
          <w:lang w:val="fr-FR"/>
        </w:rPr>
        <w:t> »</w:t>
      </w:r>
      <w:r>
        <w:rPr>
          <w:lang w:val="fr-FR"/>
        </w:rPr>
        <w:t>) reçues, le nombre de réponses reçues ainsi qu</w:t>
      </w:r>
      <w:r w:rsidR="001260F2">
        <w:rPr>
          <w:lang w:val="fr-FR"/>
        </w:rPr>
        <w:t>’</w:t>
      </w:r>
      <w:r>
        <w:rPr>
          <w:lang w:val="fr-FR"/>
        </w:rPr>
        <w:t>un graphique circulaire illustrant les réponses pour chaque question. L</w:t>
      </w:r>
      <w:r w:rsidR="001260F2">
        <w:rPr>
          <w:lang w:val="fr-FR"/>
        </w:rPr>
        <w:t>’</w:t>
      </w:r>
      <w:r w:rsidR="00636518">
        <w:rPr>
          <w:lang w:val="fr-FR"/>
        </w:rPr>
        <w:t>appendice </w:t>
      </w:r>
      <w:r>
        <w:rPr>
          <w:lang w:val="fr-FR"/>
        </w:rPr>
        <w:t>III énumère les éléments des travaux de la Plateforme qui ont obtenu le score le plus élevé et le score le moins élevé dans le questionnaire. L</w:t>
      </w:r>
      <w:r w:rsidR="001260F2">
        <w:rPr>
          <w:lang w:val="fr-FR"/>
        </w:rPr>
        <w:t>’</w:t>
      </w:r>
      <w:r w:rsidR="00636518">
        <w:rPr>
          <w:lang w:val="fr-FR"/>
        </w:rPr>
        <w:t>appendice </w:t>
      </w:r>
      <w:r>
        <w:rPr>
          <w:lang w:val="fr-FR"/>
        </w:rPr>
        <w:t>IV donne un bref aperçu des observations qualitatives fournies dans le cadre du questionnaire. L</w:t>
      </w:r>
      <w:r w:rsidR="001260F2">
        <w:rPr>
          <w:lang w:val="fr-FR"/>
        </w:rPr>
        <w:t>’</w:t>
      </w:r>
      <w:r>
        <w:rPr>
          <w:lang w:val="fr-FR"/>
        </w:rPr>
        <w:t>appendice</w:t>
      </w:r>
      <w:r w:rsidR="00636518">
        <w:rPr>
          <w:lang w:val="fr-FR"/>
        </w:rPr>
        <w:t> </w:t>
      </w:r>
      <w:r>
        <w:rPr>
          <w:lang w:val="fr-FR"/>
        </w:rPr>
        <w:t>V présente la version définitive du questionnaire ayant servi de base à l</w:t>
      </w:r>
      <w:r w:rsidR="001260F2">
        <w:rPr>
          <w:lang w:val="fr-FR"/>
        </w:rPr>
        <w:t>’</w:t>
      </w:r>
      <w:r>
        <w:rPr>
          <w:lang w:val="fr-FR"/>
        </w:rPr>
        <w:t xml:space="preserve">examen interne. </w:t>
      </w:r>
      <w:bookmarkEnd w:id="19"/>
    </w:p>
    <w:p w14:paraId="09044419" w14:textId="4E070D0D" w:rsidR="0037708F" w:rsidRPr="00630DE1" w:rsidRDefault="00630DE1">
      <w:pPr>
        <w:pStyle w:val="CH1"/>
        <w:rPr>
          <w:lang w:val="fr-FR"/>
        </w:rPr>
      </w:pPr>
      <w:bookmarkStart w:id="20" w:name="bookmark_42"/>
      <w:r>
        <w:rPr>
          <w:lang w:val="fr-FR"/>
        </w:rPr>
        <w:tab/>
      </w:r>
      <w:r w:rsidR="004C0D04">
        <w:rPr>
          <w:lang w:val="fr-FR"/>
        </w:rPr>
        <w:t>II.</w:t>
      </w:r>
      <w:r w:rsidR="004C0D04">
        <w:rPr>
          <w:lang w:val="fr-FR"/>
        </w:rPr>
        <w:tab/>
      </w:r>
      <w:r w:rsidR="004C0D04">
        <w:rPr>
          <w:bCs/>
          <w:lang w:val="fr-FR"/>
        </w:rPr>
        <w:t>Volet externe de l</w:t>
      </w:r>
      <w:r w:rsidR="001260F2">
        <w:rPr>
          <w:bCs/>
          <w:lang w:val="fr-FR"/>
        </w:rPr>
        <w:t>’</w:t>
      </w:r>
      <w:r w:rsidR="004C0D04">
        <w:rPr>
          <w:bCs/>
          <w:lang w:val="fr-FR"/>
        </w:rPr>
        <w:t>examen</w:t>
      </w:r>
      <w:bookmarkEnd w:id="20"/>
    </w:p>
    <w:p w14:paraId="03B528A9" w14:textId="4F7EC72D" w:rsidR="0037708F" w:rsidRPr="00326D7C" w:rsidRDefault="00636518" w:rsidP="00636518">
      <w:pPr>
        <w:pStyle w:val="Normalnumber"/>
        <w:ind w:left="1260" w:firstLine="9"/>
        <w:rPr>
          <w:lang w:val="fr-FR"/>
        </w:rPr>
      </w:pPr>
      <w:bookmarkStart w:id="21" w:name="bookmark_43"/>
      <w:r>
        <w:rPr>
          <w:lang w:val="fr-FR"/>
        </w:rPr>
        <w:t>Dans sa décision </w:t>
      </w:r>
      <w:r w:rsidR="004C0D04">
        <w:rPr>
          <w:lang w:val="fr-FR"/>
        </w:rPr>
        <w:t xml:space="preserve">IPBES-5/2, la </w:t>
      </w:r>
      <w:r w:rsidR="001260F2">
        <w:rPr>
          <w:lang w:val="fr-FR"/>
        </w:rPr>
        <w:t>Plénière</w:t>
      </w:r>
      <w:r w:rsidR="004C0D04">
        <w:rPr>
          <w:lang w:val="fr-FR"/>
        </w:rPr>
        <w:t xml:space="preserve"> priait également la Secrétaire exécutive de demander la désignation de candidats pour la commission d</w:t>
      </w:r>
      <w:r w:rsidR="001260F2">
        <w:rPr>
          <w:lang w:val="fr-FR"/>
        </w:rPr>
        <w:t>’</w:t>
      </w:r>
      <w:r w:rsidR="004C0D04">
        <w:rPr>
          <w:lang w:val="fr-FR"/>
        </w:rPr>
        <w:t>examen, en visant à assurer une représentation régionale équilibrée, et de mettre en œuvre une procédure d</w:t>
      </w:r>
      <w:r w:rsidR="001260F2">
        <w:rPr>
          <w:lang w:val="fr-FR"/>
        </w:rPr>
        <w:t>’</w:t>
      </w:r>
      <w:r w:rsidR="004C0D04">
        <w:rPr>
          <w:lang w:val="fr-FR"/>
        </w:rPr>
        <w:t>appel d</w:t>
      </w:r>
      <w:r w:rsidR="001260F2">
        <w:rPr>
          <w:lang w:val="fr-FR"/>
        </w:rPr>
        <w:t>’</w:t>
      </w:r>
      <w:r w:rsidR="004C0D04">
        <w:rPr>
          <w:lang w:val="fr-FR"/>
        </w:rPr>
        <w:t>offres concurrentielle afin qu</w:t>
      </w:r>
      <w:r w:rsidR="001260F2">
        <w:rPr>
          <w:lang w:val="fr-FR"/>
        </w:rPr>
        <w:t>’</w:t>
      </w:r>
      <w:r w:rsidR="004C0D04">
        <w:rPr>
          <w:lang w:val="fr-FR"/>
        </w:rPr>
        <w:t>une organisation professionnelle externe coordonne l</w:t>
      </w:r>
      <w:r w:rsidR="001260F2">
        <w:rPr>
          <w:lang w:val="fr-FR"/>
        </w:rPr>
        <w:t>’</w:t>
      </w:r>
      <w:r w:rsidR="004C0D04">
        <w:rPr>
          <w:lang w:val="fr-FR"/>
        </w:rPr>
        <w:t>examen, le commencement des travaux de cette organisation étant prévu au début de l</w:t>
      </w:r>
      <w:r w:rsidR="001260F2">
        <w:rPr>
          <w:lang w:val="fr-FR"/>
        </w:rPr>
        <w:t>’</w:t>
      </w:r>
      <w:r w:rsidR="004C0D04">
        <w:rPr>
          <w:lang w:val="fr-FR"/>
        </w:rPr>
        <w:t>année 2018, sous réserve de la disponibilité de ressources financières.</w:t>
      </w:r>
      <w:bookmarkEnd w:id="21"/>
    </w:p>
    <w:p w14:paraId="57E58A00" w14:textId="18C98135" w:rsidR="0037708F" w:rsidRPr="00326D7C" w:rsidRDefault="004C0D04" w:rsidP="00636518">
      <w:pPr>
        <w:pStyle w:val="Normalnumber"/>
        <w:ind w:left="1260" w:firstLine="9"/>
        <w:rPr>
          <w:lang w:val="fr-FR"/>
        </w:rPr>
      </w:pPr>
      <w:bookmarkStart w:id="22" w:name="bookmark_44"/>
      <w:r>
        <w:rPr>
          <w:lang w:val="fr-FR"/>
        </w:rPr>
        <w:t xml:space="preserve">Le 6 novembre, la Secrétaire exécutive a publié les notifications EM/2017/31 et EM/2017/32, </w:t>
      </w:r>
      <w:r w:rsidR="0029799E">
        <w:rPr>
          <w:lang w:val="fr-FR"/>
        </w:rPr>
        <w:t>demandant</w:t>
      </w:r>
      <w:r>
        <w:rPr>
          <w:lang w:val="fr-FR"/>
        </w:rPr>
        <w:t xml:space="preserve"> qu</w:t>
      </w:r>
      <w:r w:rsidR="001260F2">
        <w:rPr>
          <w:lang w:val="fr-FR"/>
        </w:rPr>
        <w:t>’</w:t>
      </w:r>
      <w:r w:rsidR="00636518">
        <w:rPr>
          <w:lang w:val="fr-FR"/>
        </w:rPr>
        <w:t>au 2 </w:t>
      </w:r>
      <w:r>
        <w:rPr>
          <w:lang w:val="fr-FR"/>
        </w:rPr>
        <w:t>janvier 2018, les membres de la commission d</w:t>
      </w:r>
      <w:r w:rsidR="001260F2">
        <w:rPr>
          <w:lang w:val="fr-FR"/>
        </w:rPr>
        <w:t>’</w:t>
      </w:r>
      <w:r>
        <w:rPr>
          <w:lang w:val="fr-FR"/>
        </w:rPr>
        <w:t xml:space="preserve">examen de la Plateforme aient été désignés et que les organisations professionnelles </w:t>
      </w:r>
      <w:r w:rsidR="003F07BD">
        <w:rPr>
          <w:lang w:val="fr-FR"/>
        </w:rPr>
        <w:t>souhaitant se porter candidates pour</w:t>
      </w:r>
      <w:r>
        <w:rPr>
          <w:lang w:val="fr-FR"/>
        </w:rPr>
        <w:t xml:space="preserve"> coordonner le volet externe de l</w:t>
      </w:r>
      <w:r w:rsidR="001260F2">
        <w:rPr>
          <w:lang w:val="fr-FR"/>
        </w:rPr>
        <w:t>’</w:t>
      </w:r>
      <w:r>
        <w:rPr>
          <w:lang w:val="fr-FR"/>
        </w:rPr>
        <w:t>examen de la Plateforme se soient manifestées. L</w:t>
      </w:r>
      <w:r w:rsidR="001260F2">
        <w:rPr>
          <w:lang w:val="fr-FR"/>
        </w:rPr>
        <w:t>’</w:t>
      </w:r>
      <w:r>
        <w:rPr>
          <w:lang w:val="fr-FR"/>
        </w:rPr>
        <w:t>appel a été formulé par le Bureau, en collaboration avec le Groupe d</w:t>
      </w:r>
      <w:r w:rsidR="001260F2">
        <w:rPr>
          <w:lang w:val="fr-FR"/>
        </w:rPr>
        <w:t>’</w:t>
      </w:r>
      <w:r>
        <w:rPr>
          <w:lang w:val="fr-FR"/>
        </w:rPr>
        <w:t>experts multidisciplinaire, selon le cadre pour l</w:t>
      </w:r>
      <w:r w:rsidR="001260F2">
        <w:rPr>
          <w:lang w:val="fr-FR"/>
        </w:rPr>
        <w:t>’</w:t>
      </w:r>
      <w:r>
        <w:rPr>
          <w:lang w:val="fr-FR"/>
        </w:rPr>
        <w:t>examen f</w:t>
      </w:r>
      <w:r w:rsidR="00636518">
        <w:rPr>
          <w:lang w:val="fr-FR"/>
        </w:rPr>
        <w:t>igurant en annexe à la décision </w:t>
      </w:r>
      <w:r>
        <w:rPr>
          <w:lang w:val="fr-FR"/>
        </w:rPr>
        <w:t xml:space="preserve">IPBES-5/2. </w:t>
      </w:r>
      <w:bookmarkEnd w:id="22"/>
    </w:p>
    <w:p w14:paraId="1BEBFB18" w14:textId="6D3322FB" w:rsidR="0037708F" w:rsidRPr="00326D7C" w:rsidRDefault="004C0D04" w:rsidP="00636518">
      <w:pPr>
        <w:pStyle w:val="Normalnumber"/>
        <w:ind w:left="1260" w:firstLine="9"/>
        <w:rPr>
          <w:color w:val="000000"/>
          <w:lang w:val="fr-FR"/>
        </w:rPr>
      </w:pPr>
      <w:bookmarkStart w:id="23" w:name="bookmark_45"/>
      <w:r>
        <w:rPr>
          <w:lang w:val="fr-FR"/>
        </w:rPr>
        <w:t>La commission d</w:t>
      </w:r>
      <w:r w:rsidR="001260F2">
        <w:rPr>
          <w:lang w:val="fr-FR"/>
        </w:rPr>
        <w:t>’</w:t>
      </w:r>
      <w:r>
        <w:rPr>
          <w:lang w:val="fr-FR"/>
        </w:rPr>
        <w:t>examen comprendra un nombre maximum de 10 examinateurs et présentera une composition équilibrée incluant des représentants gouvernementaux, des scientifiques et des représentants d</w:t>
      </w:r>
      <w:r w:rsidR="001260F2">
        <w:rPr>
          <w:lang w:val="fr-FR"/>
        </w:rPr>
        <w:t>’</w:t>
      </w:r>
      <w:r>
        <w:rPr>
          <w:lang w:val="fr-FR"/>
        </w:rPr>
        <w:t>organisations non-gouvernementales. Les membres de la commission seront, en réponse à l</w:t>
      </w:r>
      <w:r w:rsidR="001260F2">
        <w:rPr>
          <w:lang w:val="fr-FR"/>
        </w:rPr>
        <w:t>’</w:t>
      </w:r>
      <w:r>
        <w:rPr>
          <w:lang w:val="fr-FR"/>
        </w:rPr>
        <w:t>appel lancé, choisis par le Bureau en consultation avec le Groupe d</w:t>
      </w:r>
      <w:r w:rsidR="001260F2">
        <w:rPr>
          <w:lang w:val="fr-FR"/>
        </w:rPr>
        <w:t>’</w:t>
      </w:r>
      <w:r>
        <w:rPr>
          <w:lang w:val="fr-FR"/>
        </w:rPr>
        <w:t>experts multidisciplinaire, dans le respect des critères ci-après, tels qu</w:t>
      </w:r>
      <w:r w:rsidR="001260F2">
        <w:rPr>
          <w:lang w:val="fr-FR"/>
        </w:rPr>
        <w:t>’</w:t>
      </w:r>
      <w:r w:rsidR="00AE3BB4">
        <w:rPr>
          <w:lang w:val="fr-FR"/>
        </w:rPr>
        <w:t>ils sont énoncé</w:t>
      </w:r>
      <w:r>
        <w:rPr>
          <w:lang w:val="fr-FR"/>
        </w:rPr>
        <w:t>s au parag</w:t>
      </w:r>
      <w:r w:rsidR="00636518">
        <w:rPr>
          <w:lang w:val="fr-FR"/>
        </w:rPr>
        <w:t>raphe </w:t>
      </w:r>
      <w:r>
        <w:rPr>
          <w:lang w:val="fr-FR"/>
        </w:rPr>
        <w:t>9 du cadre</w:t>
      </w:r>
      <w:r w:rsidR="00636518">
        <w:rPr>
          <w:lang w:val="fr-FR"/>
        </w:rPr>
        <w:t> </w:t>
      </w:r>
      <w:r>
        <w:rPr>
          <w:lang w:val="fr-FR"/>
        </w:rPr>
        <w:t xml:space="preserve">: </w:t>
      </w:r>
      <w:bookmarkEnd w:id="23"/>
    </w:p>
    <w:p w14:paraId="470C7A12" w14:textId="1EBC50B5" w:rsidR="0037708F" w:rsidRPr="00326D7C" w:rsidRDefault="004C0D04" w:rsidP="00636518">
      <w:pPr>
        <w:pStyle w:val="Normalnumber"/>
        <w:numPr>
          <w:ilvl w:val="1"/>
          <w:numId w:val="4"/>
        </w:numPr>
        <w:tabs>
          <w:tab w:val="clear" w:pos="2948"/>
        </w:tabs>
        <w:ind w:left="1260" w:firstLine="540"/>
        <w:rPr>
          <w:color w:val="000000"/>
          <w:lang w:val="fr-FR"/>
        </w:rPr>
      </w:pPr>
      <w:bookmarkStart w:id="24" w:name="bookmark_46"/>
      <w:r>
        <w:rPr>
          <w:lang w:val="fr-FR"/>
        </w:rPr>
        <w:t>Qualifications de l</w:t>
      </w:r>
      <w:r w:rsidR="001260F2">
        <w:rPr>
          <w:lang w:val="fr-FR"/>
        </w:rPr>
        <w:t>’</w:t>
      </w:r>
      <w:r>
        <w:rPr>
          <w:lang w:val="fr-FR"/>
        </w:rPr>
        <w:t>organisation et des examinateurs en matière de réalisation d</w:t>
      </w:r>
      <w:r w:rsidR="001260F2">
        <w:rPr>
          <w:lang w:val="fr-FR"/>
        </w:rPr>
        <w:t>’</w:t>
      </w:r>
      <w:r>
        <w:rPr>
          <w:lang w:val="fr-FR"/>
        </w:rPr>
        <w:t>examens institutionnels au niveau mondial</w:t>
      </w:r>
      <w:r w:rsidR="00AE3BB4">
        <w:rPr>
          <w:lang w:val="fr-FR"/>
        </w:rPr>
        <w:t> </w:t>
      </w:r>
      <w:r>
        <w:rPr>
          <w:lang w:val="fr-FR"/>
        </w:rPr>
        <w:t xml:space="preserve">; </w:t>
      </w:r>
      <w:bookmarkEnd w:id="24"/>
    </w:p>
    <w:p w14:paraId="44B3E0C7" w14:textId="7CF78407" w:rsidR="0037708F" w:rsidRPr="00326D7C" w:rsidRDefault="004C0D04" w:rsidP="00636518">
      <w:pPr>
        <w:pStyle w:val="Normalnumber"/>
        <w:numPr>
          <w:ilvl w:val="1"/>
          <w:numId w:val="4"/>
        </w:numPr>
        <w:tabs>
          <w:tab w:val="clear" w:pos="2948"/>
        </w:tabs>
        <w:ind w:left="1260" w:firstLine="540"/>
        <w:rPr>
          <w:color w:val="000000"/>
          <w:lang w:val="fr-FR"/>
        </w:rPr>
      </w:pPr>
      <w:bookmarkStart w:id="25" w:name="bookmark_47"/>
      <w:r>
        <w:rPr>
          <w:lang w:val="fr-FR"/>
        </w:rPr>
        <w:t>Expérience démontrée de l</w:t>
      </w:r>
      <w:r w:rsidR="001260F2">
        <w:rPr>
          <w:lang w:val="fr-FR"/>
        </w:rPr>
        <w:t>’</w:t>
      </w:r>
      <w:r>
        <w:rPr>
          <w:lang w:val="fr-FR"/>
        </w:rPr>
        <w:t>organisation et des examinateurs en matière de travail avec des interfaces science-politique ainsi que dans le domaine de la compréhension des rôles et fonctions d</w:t>
      </w:r>
      <w:r w:rsidR="001260F2">
        <w:rPr>
          <w:lang w:val="fr-FR"/>
        </w:rPr>
        <w:t>’</w:t>
      </w:r>
      <w:r>
        <w:rPr>
          <w:lang w:val="fr-FR"/>
        </w:rPr>
        <w:t>un processus d</w:t>
      </w:r>
      <w:r w:rsidR="001260F2">
        <w:rPr>
          <w:lang w:val="fr-FR"/>
        </w:rPr>
        <w:t>’</w:t>
      </w:r>
      <w:r>
        <w:rPr>
          <w:lang w:val="fr-FR"/>
        </w:rPr>
        <w:t>évaluation de l</w:t>
      </w:r>
      <w:r w:rsidR="001260F2">
        <w:rPr>
          <w:lang w:val="fr-FR"/>
        </w:rPr>
        <w:t>’</w:t>
      </w:r>
      <w:r>
        <w:rPr>
          <w:lang w:val="fr-FR"/>
        </w:rPr>
        <w:t xml:space="preserve">environnement mondial, en général et dans le cas particulier de la Plateforme. </w:t>
      </w:r>
      <w:bookmarkEnd w:id="25"/>
    </w:p>
    <w:p w14:paraId="43C2FCC6" w14:textId="5B9D249A" w:rsidR="0037708F" w:rsidRPr="00636518" w:rsidRDefault="004C0D04" w:rsidP="00636518">
      <w:pPr>
        <w:pStyle w:val="Normalnumber"/>
        <w:ind w:left="1260" w:firstLine="9"/>
        <w:rPr>
          <w:lang w:val="fr-FR"/>
        </w:rPr>
      </w:pPr>
      <w:bookmarkStart w:id="26" w:name="bookmark_48"/>
      <w:r>
        <w:rPr>
          <w:lang w:val="fr-FR"/>
        </w:rPr>
        <w:t>Le Bureau et le Groupe d</w:t>
      </w:r>
      <w:r w:rsidR="001260F2">
        <w:rPr>
          <w:lang w:val="fr-FR"/>
        </w:rPr>
        <w:t>’</w:t>
      </w:r>
      <w:r>
        <w:rPr>
          <w:lang w:val="fr-FR"/>
        </w:rPr>
        <w:t>experts multidisciplinaire sélectionneront également, sur la base de ces critères, une organisation professionnelle externe, en réponse à l</w:t>
      </w:r>
      <w:r w:rsidR="001260F2">
        <w:rPr>
          <w:lang w:val="fr-FR"/>
        </w:rPr>
        <w:t>’</w:t>
      </w:r>
      <w:r>
        <w:rPr>
          <w:lang w:val="fr-FR"/>
        </w:rPr>
        <w:t>appel lancé. Le secrétariat, en collaboration avec le Bureau, examinera les propositions et, si aucune proposition ne satisfait aux critères ou ne correspond aux ressources financières disponibles, le Bureau peut décider d</w:t>
      </w:r>
      <w:r w:rsidR="001260F2">
        <w:rPr>
          <w:lang w:val="fr-FR"/>
        </w:rPr>
        <w:t>’</w:t>
      </w:r>
      <w:r>
        <w:rPr>
          <w:lang w:val="fr-FR"/>
        </w:rPr>
        <w:t>embaucher un fonctionnaire d</w:t>
      </w:r>
      <w:r w:rsidR="001260F2">
        <w:rPr>
          <w:lang w:val="fr-FR"/>
        </w:rPr>
        <w:t>’</w:t>
      </w:r>
      <w:r>
        <w:rPr>
          <w:lang w:val="fr-FR"/>
        </w:rPr>
        <w:t>administration se trouvant en dehors du secrétariat afin de coordonner l</w:t>
      </w:r>
      <w:r w:rsidR="001260F2">
        <w:rPr>
          <w:lang w:val="fr-FR"/>
        </w:rPr>
        <w:t>’</w:t>
      </w:r>
      <w:r>
        <w:rPr>
          <w:lang w:val="fr-FR"/>
        </w:rPr>
        <w:t xml:space="preserve">examen. </w:t>
      </w:r>
      <w:bookmarkEnd w:id="26"/>
    </w:p>
    <w:p w14:paraId="2A680089" w14:textId="63C26444" w:rsidR="0037708F" w:rsidRPr="00326D7C" w:rsidRDefault="004C0D04" w:rsidP="00636518">
      <w:pPr>
        <w:pStyle w:val="Normalnumber"/>
        <w:ind w:left="1260" w:firstLine="9"/>
        <w:rPr>
          <w:lang w:val="fr-FR"/>
        </w:rPr>
      </w:pPr>
      <w:bookmarkStart w:id="27" w:name="bookmark_49"/>
      <w:r>
        <w:rPr>
          <w:lang w:val="fr-FR"/>
        </w:rPr>
        <w:t>À la suite d</w:t>
      </w:r>
      <w:r w:rsidR="001260F2">
        <w:rPr>
          <w:lang w:val="fr-FR"/>
        </w:rPr>
        <w:t>’</w:t>
      </w:r>
      <w:r>
        <w:rPr>
          <w:lang w:val="fr-FR"/>
        </w:rPr>
        <w:t>une décision prise par le Bureau à sa dixième réunion, le Fonds d</w:t>
      </w:r>
      <w:r w:rsidR="001260F2">
        <w:rPr>
          <w:lang w:val="fr-FR"/>
        </w:rPr>
        <w:t>’</w:t>
      </w:r>
      <w:r>
        <w:rPr>
          <w:lang w:val="fr-FR"/>
        </w:rPr>
        <w:t>affectation spéciale ne sera utilisé pour aucune dépense afférente à l</w:t>
      </w:r>
      <w:r w:rsidR="001260F2">
        <w:rPr>
          <w:lang w:val="fr-FR"/>
        </w:rPr>
        <w:t>’</w:t>
      </w:r>
      <w:r>
        <w:rPr>
          <w:lang w:val="fr-FR"/>
        </w:rPr>
        <w:t>examen externe, en attendant l</w:t>
      </w:r>
      <w:r w:rsidR="001260F2">
        <w:rPr>
          <w:lang w:val="fr-FR"/>
        </w:rPr>
        <w:t>’</w:t>
      </w:r>
      <w:r>
        <w:rPr>
          <w:lang w:val="fr-FR"/>
        </w:rPr>
        <w:t>examen par la Plénière du budget révisé pour 2018, qu</w:t>
      </w:r>
      <w:r w:rsidR="001260F2">
        <w:rPr>
          <w:lang w:val="fr-FR"/>
        </w:rPr>
        <w:t>’</w:t>
      </w:r>
      <w:r>
        <w:rPr>
          <w:lang w:val="fr-FR"/>
        </w:rPr>
        <w:t>elle a approuvé à sa cinquième session. Plus précisément, le Fonds n</w:t>
      </w:r>
      <w:r w:rsidR="001260F2">
        <w:rPr>
          <w:lang w:val="fr-FR"/>
        </w:rPr>
        <w:t>’</w:t>
      </w:r>
      <w:r>
        <w:rPr>
          <w:lang w:val="fr-FR"/>
        </w:rPr>
        <w:t>a pas été utilisé à l</w:t>
      </w:r>
      <w:r w:rsidR="001260F2">
        <w:rPr>
          <w:lang w:val="fr-FR"/>
        </w:rPr>
        <w:t>’</w:t>
      </w:r>
      <w:r>
        <w:rPr>
          <w:lang w:val="fr-FR"/>
        </w:rPr>
        <w:t>appui de la participation des membres de la commission d</w:t>
      </w:r>
      <w:r w:rsidR="001260F2">
        <w:rPr>
          <w:lang w:val="fr-FR"/>
        </w:rPr>
        <w:t>’</w:t>
      </w:r>
      <w:r>
        <w:rPr>
          <w:lang w:val="fr-FR"/>
        </w:rPr>
        <w:t>examen à la sixième session de la Plénière, et le secrétariat n</w:t>
      </w:r>
      <w:r w:rsidR="001260F2">
        <w:rPr>
          <w:lang w:val="fr-FR"/>
        </w:rPr>
        <w:t>’</w:t>
      </w:r>
      <w:r>
        <w:rPr>
          <w:lang w:val="fr-FR"/>
        </w:rPr>
        <w:t>a pas conclu d</w:t>
      </w:r>
      <w:r w:rsidR="001260F2">
        <w:rPr>
          <w:lang w:val="fr-FR"/>
        </w:rPr>
        <w:t>’</w:t>
      </w:r>
      <w:r>
        <w:rPr>
          <w:lang w:val="fr-FR"/>
        </w:rPr>
        <w:t>accord contractuel avec une organisation professionnelle externe. Les prévisions budgétaires suivantes sont incluses dans le cadre pour l</w:t>
      </w:r>
      <w:r w:rsidR="001260F2">
        <w:rPr>
          <w:lang w:val="fr-FR"/>
        </w:rPr>
        <w:t>’</w:t>
      </w:r>
      <w:r>
        <w:rPr>
          <w:lang w:val="fr-FR"/>
        </w:rPr>
        <w:t xml:space="preserve">examen </w:t>
      </w:r>
      <w:r w:rsidR="00AE3BB4">
        <w:rPr>
          <w:lang w:val="fr-FR"/>
        </w:rPr>
        <w:br/>
        <w:t>(décision </w:t>
      </w:r>
      <w:r>
        <w:rPr>
          <w:lang w:val="fr-FR"/>
        </w:rPr>
        <w:t>IPBES-5/2, annexe).</w:t>
      </w:r>
      <w:bookmarkEnd w:id="27"/>
    </w:p>
    <w:tbl>
      <w:tblPr>
        <w:tblW w:w="0" w:type="auto"/>
        <w:tblInd w:w="1967" w:type="dxa"/>
        <w:tblLayout w:type="fixed"/>
        <w:tblLook w:val="04A0" w:firstRow="1" w:lastRow="0" w:firstColumn="1" w:lastColumn="0" w:noHBand="0" w:noVBand="1"/>
      </w:tblPr>
      <w:tblGrid>
        <w:gridCol w:w="5230"/>
        <w:gridCol w:w="1734"/>
      </w:tblGrid>
      <w:tr w:rsidR="0037708F" w:rsidRPr="00A5323D" w14:paraId="62E66DE2" w14:textId="77777777">
        <w:tc>
          <w:tcPr>
            <w:tcW w:w="5230" w:type="dxa"/>
            <w:tcBorders>
              <w:top w:val="single" w:sz="4" w:space="0" w:color="auto"/>
              <w:bottom w:val="single" w:sz="12" w:space="0" w:color="auto"/>
            </w:tcBorders>
            <w:shd w:val="clear" w:color="auto" w:fill="auto"/>
          </w:tcPr>
          <w:p w14:paraId="72E961FB" w14:textId="03AB6B64" w:rsidR="0037708F" w:rsidRDefault="004C0D04">
            <w:pPr>
              <w:spacing w:before="40" w:after="40"/>
              <w:rPr>
                <w:i/>
                <w:sz w:val="18"/>
                <w:szCs w:val="18"/>
              </w:rPr>
            </w:pPr>
            <w:bookmarkStart w:id="28" w:name="bookmark_50"/>
            <w:r>
              <w:rPr>
                <w:i/>
                <w:iCs/>
                <w:lang w:val="fr-FR"/>
              </w:rPr>
              <w:t>Rubrique</w:t>
            </w:r>
            <w:bookmarkEnd w:id="28"/>
          </w:p>
        </w:tc>
        <w:tc>
          <w:tcPr>
            <w:tcW w:w="1734" w:type="dxa"/>
            <w:tcBorders>
              <w:top w:val="single" w:sz="4" w:space="0" w:color="auto"/>
              <w:bottom w:val="single" w:sz="12" w:space="0" w:color="auto"/>
            </w:tcBorders>
            <w:shd w:val="clear" w:color="auto" w:fill="auto"/>
          </w:tcPr>
          <w:p w14:paraId="7E60CEB2" w14:textId="77777777" w:rsidR="0037708F" w:rsidRPr="00326D7C" w:rsidRDefault="004C0D04">
            <w:pPr>
              <w:spacing w:before="40" w:after="40"/>
              <w:jc w:val="right"/>
              <w:rPr>
                <w:i/>
                <w:sz w:val="18"/>
                <w:szCs w:val="18"/>
                <w:lang w:val="fr-FR"/>
              </w:rPr>
            </w:pPr>
            <w:bookmarkStart w:id="29" w:name="bookmark_51"/>
            <w:r>
              <w:rPr>
                <w:i/>
                <w:iCs/>
                <w:lang w:val="fr-FR"/>
              </w:rPr>
              <w:t>Coût en dollars des États-Unis</w:t>
            </w:r>
            <w:bookmarkEnd w:id="29"/>
          </w:p>
        </w:tc>
      </w:tr>
      <w:tr w:rsidR="0037708F" w14:paraId="72B3EB0D" w14:textId="77777777">
        <w:trPr>
          <w:trHeight w:val="34"/>
        </w:trPr>
        <w:tc>
          <w:tcPr>
            <w:tcW w:w="5230" w:type="dxa"/>
            <w:shd w:val="clear" w:color="auto" w:fill="auto"/>
          </w:tcPr>
          <w:p w14:paraId="3D12749B" w14:textId="4171272E" w:rsidR="0037708F" w:rsidRDefault="004C0D04">
            <w:pPr>
              <w:spacing w:before="40" w:after="40"/>
              <w:rPr>
                <w:b/>
                <w:sz w:val="4"/>
                <w:szCs w:val="4"/>
              </w:rPr>
            </w:pPr>
            <w:bookmarkStart w:id="30" w:name="bookmark_52"/>
            <w:r>
              <w:rPr>
                <w:lang w:val="fr-FR"/>
              </w:rPr>
              <w:t xml:space="preserve">Appui administratif </w:t>
            </w:r>
            <w:bookmarkEnd w:id="30"/>
          </w:p>
        </w:tc>
        <w:tc>
          <w:tcPr>
            <w:tcW w:w="1734" w:type="dxa"/>
            <w:shd w:val="clear" w:color="auto" w:fill="auto"/>
          </w:tcPr>
          <w:p w14:paraId="081041AB" w14:textId="47326560" w:rsidR="0037708F" w:rsidRDefault="004C0D04">
            <w:pPr>
              <w:spacing w:before="40" w:after="40"/>
              <w:jc w:val="right"/>
              <w:rPr>
                <w:b/>
                <w:snapToGrid w:val="0"/>
                <w:sz w:val="4"/>
                <w:szCs w:val="4"/>
                <w:u w:val="single"/>
              </w:rPr>
            </w:pPr>
            <w:bookmarkStart w:id="31" w:name="bookmark_53"/>
            <w:r>
              <w:rPr>
                <w:lang w:val="fr-FR"/>
              </w:rPr>
              <w:t>63</w:t>
            </w:r>
            <w:r w:rsidR="00352964">
              <w:rPr>
                <w:lang w:val="fr-FR"/>
              </w:rPr>
              <w:t> </w:t>
            </w:r>
            <w:r>
              <w:rPr>
                <w:lang w:val="fr-FR"/>
              </w:rPr>
              <w:t>160</w:t>
            </w:r>
            <w:bookmarkEnd w:id="31"/>
          </w:p>
        </w:tc>
      </w:tr>
      <w:tr w:rsidR="0037708F" w14:paraId="2DB447A9" w14:textId="77777777">
        <w:tc>
          <w:tcPr>
            <w:tcW w:w="5230" w:type="dxa"/>
            <w:shd w:val="clear" w:color="auto" w:fill="auto"/>
          </w:tcPr>
          <w:p w14:paraId="7B4D38D2" w14:textId="006B63D2" w:rsidR="0037708F" w:rsidRPr="00326D7C" w:rsidRDefault="004C0D04">
            <w:pPr>
              <w:widowControl w:val="0"/>
              <w:tabs>
                <w:tab w:val="left" w:pos="6480"/>
                <w:tab w:val="left" w:pos="7200"/>
              </w:tabs>
              <w:spacing w:before="40" w:after="40"/>
              <w:rPr>
                <w:b/>
                <w:sz w:val="18"/>
                <w:szCs w:val="18"/>
                <w:lang w:val="fr-FR"/>
              </w:rPr>
            </w:pPr>
            <w:bookmarkStart w:id="32" w:name="bookmark_54"/>
            <w:r>
              <w:rPr>
                <w:lang w:val="fr-FR"/>
              </w:rPr>
              <w:t>Indemnité de déplacement et indemnité journalière de subsistance pour 10 personnes assistant à la sixième session de la Plénière</w:t>
            </w:r>
            <w:bookmarkEnd w:id="32"/>
          </w:p>
        </w:tc>
        <w:tc>
          <w:tcPr>
            <w:tcW w:w="1734" w:type="dxa"/>
            <w:shd w:val="clear" w:color="auto" w:fill="auto"/>
          </w:tcPr>
          <w:p w14:paraId="5C89CE18" w14:textId="43A7C817" w:rsidR="0037708F" w:rsidRDefault="004C0D04">
            <w:pPr>
              <w:widowControl w:val="0"/>
              <w:tabs>
                <w:tab w:val="left" w:pos="6480"/>
                <w:tab w:val="left" w:pos="7200"/>
              </w:tabs>
              <w:spacing w:before="40" w:after="40"/>
              <w:jc w:val="right"/>
              <w:rPr>
                <w:b/>
                <w:snapToGrid w:val="0"/>
                <w:sz w:val="18"/>
                <w:szCs w:val="18"/>
                <w:u w:val="single"/>
              </w:rPr>
            </w:pPr>
            <w:bookmarkStart w:id="33" w:name="bookmark_55"/>
            <w:r>
              <w:rPr>
                <w:lang w:val="fr-FR"/>
              </w:rPr>
              <w:t>37</w:t>
            </w:r>
            <w:r w:rsidR="00352964">
              <w:rPr>
                <w:lang w:val="fr-FR"/>
              </w:rPr>
              <w:t> </w:t>
            </w:r>
            <w:r>
              <w:rPr>
                <w:lang w:val="fr-FR"/>
              </w:rPr>
              <w:t>500</w:t>
            </w:r>
            <w:bookmarkEnd w:id="33"/>
          </w:p>
        </w:tc>
      </w:tr>
      <w:tr w:rsidR="0037708F" w14:paraId="6DAB9C08" w14:textId="77777777">
        <w:trPr>
          <w:trHeight w:val="461"/>
        </w:trPr>
        <w:tc>
          <w:tcPr>
            <w:tcW w:w="5230" w:type="dxa"/>
            <w:shd w:val="clear" w:color="auto" w:fill="auto"/>
          </w:tcPr>
          <w:p w14:paraId="782DE92B" w14:textId="40A17110" w:rsidR="0037708F" w:rsidRPr="00326D7C" w:rsidRDefault="004C0D04">
            <w:pPr>
              <w:widowControl w:val="0"/>
              <w:tabs>
                <w:tab w:val="left" w:pos="6480"/>
                <w:tab w:val="left" w:pos="7200"/>
              </w:tabs>
              <w:spacing w:before="40" w:after="40"/>
              <w:rPr>
                <w:i/>
                <w:sz w:val="18"/>
                <w:szCs w:val="18"/>
                <w:lang w:val="fr-FR"/>
              </w:rPr>
            </w:pPr>
            <w:bookmarkStart w:id="34" w:name="bookmark_56"/>
            <w:r>
              <w:rPr>
                <w:lang w:val="fr-FR"/>
              </w:rPr>
              <w:t>Indemnité de déplacement et indemnité journalière de subsistance pour 10 personnes assistant aux onzième réunions du Groupe d</w:t>
            </w:r>
            <w:r w:rsidR="001260F2">
              <w:rPr>
                <w:lang w:val="fr-FR"/>
              </w:rPr>
              <w:t>’</w:t>
            </w:r>
            <w:r>
              <w:rPr>
                <w:lang w:val="fr-FR"/>
              </w:rPr>
              <w:t xml:space="preserve">experts multidisciplinaire et du Bureau </w:t>
            </w:r>
            <w:bookmarkEnd w:id="34"/>
          </w:p>
        </w:tc>
        <w:tc>
          <w:tcPr>
            <w:tcW w:w="1734" w:type="dxa"/>
            <w:shd w:val="clear" w:color="auto" w:fill="auto"/>
          </w:tcPr>
          <w:p w14:paraId="14572177" w14:textId="576C2B34" w:rsidR="0037708F" w:rsidRDefault="004C0D04">
            <w:pPr>
              <w:widowControl w:val="0"/>
              <w:tabs>
                <w:tab w:val="left" w:pos="6480"/>
                <w:tab w:val="left" w:pos="7200"/>
              </w:tabs>
              <w:spacing w:before="40" w:after="40"/>
              <w:jc w:val="right"/>
              <w:rPr>
                <w:b/>
                <w:snapToGrid w:val="0"/>
                <w:sz w:val="18"/>
                <w:szCs w:val="18"/>
                <w:u w:val="single"/>
              </w:rPr>
            </w:pPr>
            <w:bookmarkStart w:id="35" w:name="bookmark_57"/>
            <w:r>
              <w:rPr>
                <w:lang w:val="fr-FR"/>
              </w:rPr>
              <w:t>37</w:t>
            </w:r>
            <w:r w:rsidR="00352964">
              <w:rPr>
                <w:lang w:val="fr-FR"/>
              </w:rPr>
              <w:t> </w:t>
            </w:r>
            <w:r>
              <w:rPr>
                <w:lang w:val="fr-FR"/>
              </w:rPr>
              <w:t>500</w:t>
            </w:r>
            <w:bookmarkEnd w:id="35"/>
          </w:p>
        </w:tc>
      </w:tr>
      <w:tr w:rsidR="0037708F" w14:paraId="02009CA4" w14:textId="77777777">
        <w:trPr>
          <w:trHeight w:val="542"/>
        </w:trPr>
        <w:tc>
          <w:tcPr>
            <w:tcW w:w="5230" w:type="dxa"/>
            <w:shd w:val="clear" w:color="auto" w:fill="auto"/>
          </w:tcPr>
          <w:p w14:paraId="6B8DDBE2" w14:textId="51B98CE2" w:rsidR="0037708F" w:rsidRPr="00326D7C" w:rsidRDefault="004C0D04">
            <w:pPr>
              <w:widowControl w:val="0"/>
              <w:tabs>
                <w:tab w:val="left" w:pos="6480"/>
                <w:tab w:val="left" w:pos="7200"/>
              </w:tabs>
              <w:spacing w:before="40" w:after="40"/>
              <w:rPr>
                <w:i/>
                <w:sz w:val="18"/>
                <w:szCs w:val="18"/>
                <w:lang w:val="fr-FR"/>
              </w:rPr>
            </w:pPr>
            <w:bookmarkStart w:id="36" w:name="bookmark_58"/>
            <w:r>
              <w:rPr>
                <w:lang w:val="fr-FR"/>
              </w:rPr>
              <w:lastRenderedPageBreak/>
              <w:t>Indemnité de déplacement et indemnité journalière de subsistance pour 10 personnes assistant aux douzième</w:t>
            </w:r>
            <w:r w:rsidR="00215987">
              <w:rPr>
                <w:lang w:val="fr-FR"/>
              </w:rPr>
              <w:t> </w:t>
            </w:r>
            <w:r>
              <w:rPr>
                <w:lang w:val="fr-FR"/>
              </w:rPr>
              <w:t>réunions du Groupe d</w:t>
            </w:r>
            <w:r w:rsidR="001260F2">
              <w:rPr>
                <w:lang w:val="fr-FR"/>
              </w:rPr>
              <w:t>’</w:t>
            </w:r>
            <w:r>
              <w:rPr>
                <w:lang w:val="fr-FR"/>
              </w:rPr>
              <w:t>experts multidisciplinaire et</w:t>
            </w:r>
            <w:r w:rsidR="00215987">
              <w:rPr>
                <w:lang w:val="fr-FR"/>
              </w:rPr>
              <w:t> </w:t>
            </w:r>
            <w:r>
              <w:rPr>
                <w:lang w:val="fr-FR"/>
              </w:rPr>
              <w:t xml:space="preserve">du Bureau </w:t>
            </w:r>
            <w:bookmarkEnd w:id="36"/>
          </w:p>
        </w:tc>
        <w:tc>
          <w:tcPr>
            <w:tcW w:w="1734" w:type="dxa"/>
            <w:shd w:val="clear" w:color="auto" w:fill="auto"/>
          </w:tcPr>
          <w:p w14:paraId="3C396C68" w14:textId="4FCFF7EF" w:rsidR="0037708F" w:rsidRDefault="004C0D04">
            <w:pPr>
              <w:widowControl w:val="0"/>
              <w:tabs>
                <w:tab w:val="left" w:pos="6480"/>
                <w:tab w:val="left" w:pos="7200"/>
              </w:tabs>
              <w:spacing w:before="40" w:after="40"/>
              <w:jc w:val="right"/>
              <w:rPr>
                <w:b/>
                <w:snapToGrid w:val="0"/>
                <w:sz w:val="18"/>
                <w:szCs w:val="18"/>
                <w:u w:val="single"/>
              </w:rPr>
            </w:pPr>
            <w:bookmarkStart w:id="37" w:name="bookmark_59"/>
            <w:r>
              <w:rPr>
                <w:lang w:val="fr-FR"/>
              </w:rPr>
              <w:t>37</w:t>
            </w:r>
            <w:r w:rsidR="00352964">
              <w:rPr>
                <w:lang w:val="fr-FR"/>
              </w:rPr>
              <w:t> </w:t>
            </w:r>
            <w:r>
              <w:rPr>
                <w:lang w:val="fr-FR"/>
              </w:rPr>
              <w:t>500</w:t>
            </w:r>
            <w:bookmarkEnd w:id="37"/>
          </w:p>
        </w:tc>
      </w:tr>
      <w:tr w:rsidR="0037708F" w14:paraId="3AB33C28" w14:textId="77777777">
        <w:trPr>
          <w:trHeight w:val="452"/>
        </w:trPr>
        <w:tc>
          <w:tcPr>
            <w:tcW w:w="5230" w:type="dxa"/>
            <w:shd w:val="clear" w:color="auto" w:fill="auto"/>
          </w:tcPr>
          <w:p w14:paraId="6C85DE4C" w14:textId="56C70B4B" w:rsidR="0037708F" w:rsidRPr="00326D7C" w:rsidRDefault="004C0D04">
            <w:pPr>
              <w:widowControl w:val="0"/>
              <w:tabs>
                <w:tab w:val="left" w:pos="6480"/>
                <w:tab w:val="left" w:pos="7200"/>
              </w:tabs>
              <w:spacing w:before="40" w:after="40"/>
              <w:rPr>
                <w:i/>
                <w:sz w:val="18"/>
                <w:szCs w:val="18"/>
                <w:lang w:val="fr-FR"/>
              </w:rPr>
            </w:pPr>
            <w:bookmarkStart w:id="38" w:name="bookmark_60"/>
            <w:r>
              <w:rPr>
                <w:lang w:val="fr-FR"/>
              </w:rPr>
              <w:t>Indemnité de déplacement et indemnité journalière de subsistance pour deux examinateurs participant à la septième</w:t>
            </w:r>
            <w:r w:rsidR="00215987">
              <w:rPr>
                <w:lang w:val="fr-FR"/>
              </w:rPr>
              <w:t> </w:t>
            </w:r>
            <w:r>
              <w:rPr>
                <w:lang w:val="fr-FR"/>
              </w:rPr>
              <w:t>session de la Plénière</w:t>
            </w:r>
            <w:bookmarkEnd w:id="38"/>
          </w:p>
        </w:tc>
        <w:tc>
          <w:tcPr>
            <w:tcW w:w="1734" w:type="dxa"/>
            <w:shd w:val="clear" w:color="auto" w:fill="auto"/>
          </w:tcPr>
          <w:p w14:paraId="66ADF595" w14:textId="4E2F9AA4" w:rsidR="0037708F" w:rsidRDefault="004C0D04">
            <w:pPr>
              <w:widowControl w:val="0"/>
              <w:tabs>
                <w:tab w:val="left" w:pos="6480"/>
                <w:tab w:val="left" w:pos="7200"/>
              </w:tabs>
              <w:spacing w:before="40" w:after="40"/>
              <w:jc w:val="right"/>
              <w:rPr>
                <w:b/>
                <w:snapToGrid w:val="0"/>
                <w:sz w:val="18"/>
                <w:szCs w:val="18"/>
                <w:u w:val="single"/>
              </w:rPr>
            </w:pPr>
            <w:bookmarkStart w:id="39" w:name="bookmark_61"/>
            <w:r>
              <w:rPr>
                <w:lang w:val="fr-FR"/>
              </w:rPr>
              <w:t>7</w:t>
            </w:r>
            <w:r w:rsidR="00352964">
              <w:rPr>
                <w:lang w:val="fr-FR"/>
              </w:rPr>
              <w:t> </w:t>
            </w:r>
            <w:r>
              <w:rPr>
                <w:lang w:val="fr-FR"/>
              </w:rPr>
              <w:t>500</w:t>
            </w:r>
            <w:bookmarkEnd w:id="39"/>
          </w:p>
        </w:tc>
      </w:tr>
      <w:tr w:rsidR="0037708F" w14:paraId="133E0A22" w14:textId="77777777">
        <w:trPr>
          <w:trHeight w:val="400"/>
        </w:trPr>
        <w:tc>
          <w:tcPr>
            <w:tcW w:w="5230" w:type="dxa"/>
            <w:tcBorders>
              <w:bottom w:val="single" w:sz="4" w:space="0" w:color="auto"/>
            </w:tcBorders>
            <w:shd w:val="clear" w:color="auto" w:fill="auto"/>
          </w:tcPr>
          <w:p w14:paraId="09179B02" w14:textId="1548CD77" w:rsidR="0037708F" w:rsidRDefault="004C0D04">
            <w:pPr>
              <w:widowControl w:val="0"/>
              <w:tabs>
                <w:tab w:val="left" w:pos="6480"/>
                <w:tab w:val="left" w:pos="7200"/>
              </w:tabs>
              <w:spacing w:before="40" w:after="40"/>
              <w:rPr>
                <w:sz w:val="18"/>
                <w:szCs w:val="18"/>
              </w:rPr>
            </w:pPr>
            <w:bookmarkStart w:id="40" w:name="bookmark_62"/>
            <w:r>
              <w:rPr>
                <w:lang w:val="fr-FR"/>
              </w:rPr>
              <w:t>Honoraires des examinateurs</w:t>
            </w:r>
            <w:bookmarkEnd w:id="40"/>
          </w:p>
        </w:tc>
        <w:tc>
          <w:tcPr>
            <w:tcW w:w="1734" w:type="dxa"/>
            <w:tcBorders>
              <w:bottom w:val="single" w:sz="4" w:space="0" w:color="auto"/>
            </w:tcBorders>
            <w:shd w:val="clear" w:color="auto" w:fill="auto"/>
          </w:tcPr>
          <w:p w14:paraId="69A25259" w14:textId="66D74414" w:rsidR="0037708F" w:rsidRDefault="004C0D04">
            <w:pPr>
              <w:widowControl w:val="0"/>
              <w:tabs>
                <w:tab w:val="left" w:pos="6480"/>
                <w:tab w:val="left" w:pos="7200"/>
              </w:tabs>
              <w:spacing w:before="40" w:after="40"/>
              <w:jc w:val="right"/>
              <w:rPr>
                <w:b/>
                <w:snapToGrid w:val="0"/>
                <w:sz w:val="18"/>
                <w:szCs w:val="18"/>
                <w:u w:val="single"/>
              </w:rPr>
            </w:pPr>
            <w:bookmarkStart w:id="41" w:name="bookmark_63"/>
            <w:r>
              <w:rPr>
                <w:lang w:val="fr-FR"/>
              </w:rPr>
              <w:t>Non compris</w:t>
            </w:r>
            <w:bookmarkEnd w:id="41"/>
          </w:p>
        </w:tc>
      </w:tr>
      <w:tr w:rsidR="0037708F" w14:paraId="229839A7" w14:textId="77777777">
        <w:trPr>
          <w:trHeight w:val="64"/>
        </w:trPr>
        <w:tc>
          <w:tcPr>
            <w:tcW w:w="5230" w:type="dxa"/>
            <w:tcBorders>
              <w:top w:val="single" w:sz="4" w:space="0" w:color="auto"/>
              <w:bottom w:val="single" w:sz="12" w:space="0" w:color="auto"/>
            </w:tcBorders>
            <w:shd w:val="clear" w:color="auto" w:fill="auto"/>
          </w:tcPr>
          <w:p w14:paraId="4E17801C" w14:textId="3485BC5C" w:rsidR="0037708F" w:rsidRDefault="004C0D04">
            <w:pPr>
              <w:widowControl w:val="0"/>
              <w:tabs>
                <w:tab w:val="left" w:pos="6480"/>
                <w:tab w:val="left" w:pos="7200"/>
              </w:tabs>
              <w:spacing w:before="40" w:after="40"/>
              <w:rPr>
                <w:sz w:val="18"/>
                <w:szCs w:val="18"/>
              </w:rPr>
            </w:pPr>
            <w:bookmarkStart w:id="42" w:name="bookmark_64"/>
            <w:r>
              <w:rPr>
                <w:b/>
                <w:bCs/>
                <w:lang w:val="fr-FR"/>
              </w:rPr>
              <w:t>Total</w:t>
            </w:r>
            <w:bookmarkEnd w:id="42"/>
          </w:p>
        </w:tc>
        <w:tc>
          <w:tcPr>
            <w:tcW w:w="1734" w:type="dxa"/>
            <w:tcBorders>
              <w:top w:val="single" w:sz="4" w:space="0" w:color="auto"/>
              <w:bottom w:val="single" w:sz="12" w:space="0" w:color="auto"/>
            </w:tcBorders>
            <w:shd w:val="clear" w:color="auto" w:fill="auto"/>
          </w:tcPr>
          <w:p w14:paraId="769A9021" w14:textId="648E23FC" w:rsidR="0037708F" w:rsidRDefault="004C0D04">
            <w:pPr>
              <w:widowControl w:val="0"/>
              <w:tabs>
                <w:tab w:val="left" w:pos="6480"/>
                <w:tab w:val="left" w:pos="7200"/>
              </w:tabs>
              <w:spacing w:before="40" w:after="40"/>
              <w:jc w:val="right"/>
              <w:rPr>
                <w:b/>
                <w:snapToGrid w:val="0"/>
                <w:sz w:val="18"/>
                <w:szCs w:val="18"/>
                <w:u w:val="single"/>
              </w:rPr>
            </w:pPr>
            <w:bookmarkStart w:id="43" w:name="bookmark_65"/>
            <w:r>
              <w:rPr>
                <w:b/>
                <w:bCs/>
                <w:lang w:val="fr-FR"/>
              </w:rPr>
              <w:t>183</w:t>
            </w:r>
            <w:r w:rsidR="00352964">
              <w:rPr>
                <w:b/>
                <w:bCs/>
                <w:lang w:val="fr-FR"/>
              </w:rPr>
              <w:t> </w:t>
            </w:r>
            <w:r>
              <w:rPr>
                <w:b/>
                <w:bCs/>
                <w:lang w:val="fr-FR"/>
              </w:rPr>
              <w:t>160</w:t>
            </w:r>
            <w:bookmarkEnd w:id="43"/>
          </w:p>
        </w:tc>
      </w:tr>
    </w:tbl>
    <w:p w14:paraId="279077D7" w14:textId="2C2BC5DB" w:rsidR="0037708F" w:rsidRPr="00326D7C" w:rsidRDefault="004C0D04" w:rsidP="00215987">
      <w:pPr>
        <w:pStyle w:val="Normalnumber"/>
        <w:spacing w:before="240"/>
        <w:ind w:left="1259" w:firstLine="11"/>
        <w:rPr>
          <w:lang w:val="fr-FR"/>
        </w:rPr>
      </w:pPr>
      <w:bookmarkStart w:id="44" w:name="bookmark_66"/>
      <w:r>
        <w:rPr>
          <w:lang w:val="fr-FR"/>
        </w:rPr>
        <w:t xml:space="preserve">Des informations concernant </w:t>
      </w:r>
      <w:r w:rsidR="00847554">
        <w:rPr>
          <w:lang w:val="fr-FR"/>
        </w:rPr>
        <w:t>les résultats</w:t>
      </w:r>
      <w:r>
        <w:rPr>
          <w:lang w:val="fr-FR"/>
        </w:rPr>
        <w:t xml:space="preserve"> du processus de sélection seront disponibles dans le document de base IPBES/6/INF/33. </w:t>
      </w:r>
      <w:bookmarkEnd w:id="44"/>
    </w:p>
    <w:p w14:paraId="177E0C6F" w14:textId="3C12DACD" w:rsidR="0037708F" w:rsidRDefault="00215987" w:rsidP="00215987">
      <w:pPr>
        <w:pStyle w:val="CH1"/>
      </w:pPr>
      <w:bookmarkStart w:id="45" w:name="bookmark_67"/>
      <w:r>
        <w:rPr>
          <w:lang w:val="fr-FR"/>
        </w:rPr>
        <w:tab/>
      </w:r>
      <w:r w:rsidR="004C0D04">
        <w:rPr>
          <w:lang w:val="fr-FR"/>
        </w:rPr>
        <w:t>III.</w:t>
      </w:r>
      <w:r w:rsidR="004C0D04">
        <w:rPr>
          <w:lang w:val="fr-FR"/>
        </w:rPr>
        <w:tab/>
        <w:t>Mesure proposée</w:t>
      </w:r>
      <w:bookmarkEnd w:id="45"/>
    </w:p>
    <w:p w14:paraId="59AFAC8E" w14:textId="2F58DF99" w:rsidR="0037708F" w:rsidRPr="00326D7C" w:rsidRDefault="004C0D04" w:rsidP="00931577">
      <w:pPr>
        <w:pStyle w:val="Normalnumber"/>
        <w:ind w:left="1260" w:firstLine="9"/>
        <w:rPr>
          <w:lang w:val="fr-FR"/>
        </w:rPr>
      </w:pPr>
      <w:bookmarkStart w:id="46" w:name="bookmark_68"/>
      <w:r>
        <w:rPr>
          <w:lang w:val="fr-FR"/>
        </w:rPr>
        <w:t>L</w:t>
      </w:r>
      <w:r w:rsidR="00A5323D">
        <w:rPr>
          <w:lang w:val="fr-FR"/>
        </w:rPr>
        <w:t>a Plénière souhaitera peut-être </w:t>
      </w:r>
      <w:r>
        <w:rPr>
          <w:lang w:val="fr-FR"/>
        </w:rPr>
        <w:t xml:space="preserve">: </w:t>
      </w:r>
      <w:bookmarkEnd w:id="46"/>
    </w:p>
    <w:p w14:paraId="39E99F05" w14:textId="0E3B32A6" w:rsidR="0037708F" w:rsidRPr="00326D7C" w:rsidRDefault="004C0D04">
      <w:pPr>
        <w:pStyle w:val="Normalnumber"/>
        <w:numPr>
          <w:ilvl w:val="0"/>
          <w:numId w:val="0"/>
        </w:numPr>
        <w:ind w:left="1814"/>
        <w:rPr>
          <w:lang w:val="fr-FR"/>
        </w:rPr>
      </w:pPr>
      <w:bookmarkStart w:id="47" w:name="bookmark_69"/>
      <w:r>
        <w:rPr>
          <w:lang w:val="fr-FR"/>
        </w:rPr>
        <w:t>Prendre note avec satisfaction du rapport établi par l</w:t>
      </w:r>
      <w:r w:rsidR="001260F2">
        <w:rPr>
          <w:lang w:val="fr-FR"/>
        </w:rPr>
        <w:t>’</w:t>
      </w:r>
      <w:r>
        <w:rPr>
          <w:lang w:val="fr-FR"/>
        </w:rPr>
        <w:t>équipe d</w:t>
      </w:r>
      <w:r w:rsidR="001260F2">
        <w:rPr>
          <w:lang w:val="fr-FR"/>
        </w:rPr>
        <w:t>’</w:t>
      </w:r>
      <w:r>
        <w:rPr>
          <w:lang w:val="fr-FR"/>
        </w:rPr>
        <w:t>examen interne, de la désignation d</w:t>
      </w:r>
      <w:r w:rsidR="001260F2">
        <w:rPr>
          <w:lang w:val="fr-FR"/>
        </w:rPr>
        <w:t>’</w:t>
      </w:r>
      <w:r>
        <w:rPr>
          <w:lang w:val="fr-FR"/>
        </w:rPr>
        <w:t>une commission d</w:t>
      </w:r>
      <w:r w:rsidR="001260F2">
        <w:rPr>
          <w:lang w:val="fr-FR"/>
        </w:rPr>
        <w:t>’</w:t>
      </w:r>
      <w:r>
        <w:rPr>
          <w:lang w:val="fr-FR"/>
        </w:rPr>
        <w:t>examen chargée de conduire l</w:t>
      </w:r>
      <w:r w:rsidR="001260F2">
        <w:rPr>
          <w:lang w:val="fr-FR"/>
        </w:rPr>
        <w:t>’</w:t>
      </w:r>
      <w:r>
        <w:rPr>
          <w:lang w:val="fr-FR"/>
        </w:rPr>
        <w:t>examen, et des progrès réalisés dans le choix d</w:t>
      </w:r>
      <w:r w:rsidR="001260F2">
        <w:rPr>
          <w:lang w:val="fr-FR"/>
        </w:rPr>
        <w:t>’</w:t>
      </w:r>
      <w:r>
        <w:rPr>
          <w:lang w:val="fr-FR"/>
        </w:rPr>
        <w:t>une organisation professionnelle externe chargée de coordonner l</w:t>
      </w:r>
      <w:r w:rsidR="001260F2">
        <w:rPr>
          <w:lang w:val="fr-FR"/>
        </w:rPr>
        <w:t>’</w:t>
      </w:r>
      <w:r>
        <w:rPr>
          <w:lang w:val="fr-FR"/>
        </w:rPr>
        <w:t>examen</w:t>
      </w:r>
      <w:r>
        <w:rPr>
          <w:rStyle w:val="FootnoteReference"/>
          <w:lang w:val="fr-FR"/>
        </w:rPr>
        <w:footnoteReference w:id="3"/>
      </w:r>
      <w:r>
        <w:rPr>
          <w:lang w:val="fr-FR"/>
        </w:rPr>
        <w:t>.</w:t>
      </w:r>
      <w:bookmarkEnd w:id="47"/>
    </w:p>
    <w:p w14:paraId="11225126" w14:textId="77777777" w:rsidR="0037708F" w:rsidRPr="00326D7C" w:rsidRDefault="004C0D04">
      <w:pPr>
        <w:rPr>
          <w:rFonts w:eastAsia="Times New Roman"/>
          <w:b/>
          <w:bCs/>
          <w:sz w:val="28"/>
          <w:szCs w:val="22"/>
          <w:lang w:val="fr-FR"/>
        </w:rPr>
      </w:pPr>
      <w:r w:rsidRPr="00326D7C">
        <w:rPr>
          <w:lang w:val="fr-FR"/>
        </w:rPr>
        <w:br w:type="page"/>
      </w:r>
    </w:p>
    <w:p w14:paraId="6C524466" w14:textId="080DFF5D" w:rsidR="0037708F" w:rsidRPr="00326D7C" w:rsidRDefault="004C0D04">
      <w:pPr>
        <w:pStyle w:val="ZZAnxheader"/>
        <w:rPr>
          <w:lang w:val="fr-FR"/>
        </w:rPr>
      </w:pPr>
      <w:bookmarkStart w:id="49" w:name="bookmark_71"/>
      <w:r>
        <w:rPr>
          <w:lang w:val="fr-FR"/>
        </w:rPr>
        <w:lastRenderedPageBreak/>
        <w:t xml:space="preserve">Annexe </w:t>
      </w:r>
      <w:bookmarkEnd w:id="49"/>
    </w:p>
    <w:p w14:paraId="313D2673" w14:textId="610465E4" w:rsidR="0037708F" w:rsidRPr="00326D7C" w:rsidRDefault="004C0D04">
      <w:pPr>
        <w:pStyle w:val="ZZAnxtitle"/>
        <w:tabs>
          <w:tab w:val="left" w:pos="4082"/>
        </w:tabs>
        <w:rPr>
          <w:lang w:val="fr-FR"/>
        </w:rPr>
      </w:pPr>
      <w:bookmarkStart w:id="50" w:name="bookmark_72"/>
      <w:r>
        <w:rPr>
          <w:lang w:val="fr-FR"/>
        </w:rPr>
        <w:t>Résumé analytique : principaux résultats de l</w:t>
      </w:r>
      <w:r w:rsidR="001260F2">
        <w:rPr>
          <w:lang w:val="fr-FR"/>
        </w:rPr>
        <w:t>’</w:t>
      </w:r>
      <w:r>
        <w:rPr>
          <w:lang w:val="fr-FR"/>
        </w:rPr>
        <w:t>examen interne</w:t>
      </w:r>
      <w:bookmarkEnd w:id="50"/>
    </w:p>
    <w:p w14:paraId="11F8E318" w14:textId="40FAD35F" w:rsidR="0037708F" w:rsidRDefault="00215987" w:rsidP="00215987">
      <w:pPr>
        <w:pStyle w:val="CH1"/>
      </w:pPr>
      <w:bookmarkStart w:id="51" w:name="bookmark_73"/>
      <w:r>
        <w:rPr>
          <w:bCs/>
          <w:lang w:val="fr-FR"/>
        </w:rPr>
        <w:tab/>
        <w:t>I.</w:t>
      </w:r>
      <w:r>
        <w:rPr>
          <w:bCs/>
          <w:lang w:val="fr-FR"/>
        </w:rPr>
        <w:tab/>
      </w:r>
      <w:r w:rsidR="004C0D04">
        <w:rPr>
          <w:bCs/>
          <w:lang w:val="fr-FR"/>
        </w:rPr>
        <w:t>Conclusion générale</w:t>
      </w:r>
      <w:bookmarkEnd w:id="51"/>
    </w:p>
    <w:p w14:paraId="142CD6FB" w14:textId="5BB99702" w:rsidR="0037708F" w:rsidRPr="00326D7C" w:rsidRDefault="004C0D04" w:rsidP="0093222C">
      <w:pPr>
        <w:pStyle w:val="Normalnumber"/>
        <w:numPr>
          <w:ilvl w:val="0"/>
          <w:numId w:val="8"/>
        </w:numPr>
        <w:rPr>
          <w:lang w:val="fr-FR"/>
        </w:rPr>
      </w:pPr>
      <w:bookmarkStart w:id="52" w:name="bookmark_74"/>
      <w:r>
        <w:rPr>
          <w:lang w:val="fr-FR"/>
        </w:rPr>
        <w:t>L</w:t>
      </w:r>
      <w:r w:rsidR="001260F2">
        <w:rPr>
          <w:lang w:val="fr-FR"/>
        </w:rPr>
        <w:t>’</w:t>
      </w:r>
      <w:r>
        <w:rPr>
          <w:lang w:val="fr-FR"/>
        </w:rPr>
        <w:t>examen interne consistait en une analyse de la Plateforme en termes d</w:t>
      </w:r>
      <w:r w:rsidR="001260F2">
        <w:rPr>
          <w:lang w:val="fr-FR"/>
        </w:rPr>
        <w:t>’</w:t>
      </w:r>
      <w:r>
        <w:rPr>
          <w:lang w:val="fr-FR"/>
        </w:rPr>
        <w:t>efficacité et d</w:t>
      </w:r>
      <w:r w:rsidR="001260F2">
        <w:rPr>
          <w:lang w:val="fr-FR"/>
        </w:rPr>
        <w:t>’</w:t>
      </w:r>
      <w:r>
        <w:rPr>
          <w:lang w:val="fr-FR"/>
        </w:rPr>
        <w:t xml:space="preserve">efficience, mesurées par rapport à ses objectifs actuels, ses principes de fonctionnement, ses quatre fonctions et ses processus administratifs et scientifiques pour la mise </w:t>
      </w:r>
      <w:r w:rsidRPr="001260F2">
        <w:rPr>
          <w:lang w:val="fr-FR"/>
        </w:rPr>
        <w:t xml:space="preserve">en </w:t>
      </w:r>
      <w:r w:rsidR="001260F2" w:rsidRPr="001260F2">
        <w:rPr>
          <w:lang w:val="fr-FR"/>
        </w:rPr>
        <w:t>œuvre</w:t>
      </w:r>
      <w:r>
        <w:rPr>
          <w:lang w:val="fr-FR"/>
        </w:rPr>
        <w:t xml:space="preserve"> du programme de travail, l</w:t>
      </w:r>
      <w:r w:rsidR="001260F2">
        <w:rPr>
          <w:lang w:val="fr-FR"/>
        </w:rPr>
        <w:t>’</w:t>
      </w:r>
      <w:r>
        <w:rPr>
          <w:lang w:val="fr-FR"/>
        </w:rPr>
        <w:t>efficacité de l</w:t>
      </w:r>
      <w:r w:rsidR="001260F2">
        <w:rPr>
          <w:lang w:val="fr-FR"/>
        </w:rPr>
        <w:t>’</w:t>
      </w:r>
      <w:r>
        <w:rPr>
          <w:lang w:val="fr-FR"/>
        </w:rPr>
        <w:t>exécution du programme de travail et des structures d</w:t>
      </w:r>
      <w:r w:rsidR="001260F2">
        <w:rPr>
          <w:lang w:val="fr-FR"/>
        </w:rPr>
        <w:t>’</w:t>
      </w:r>
      <w:r>
        <w:rPr>
          <w:lang w:val="fr-FR"/>
        </w:rPr>
        <w:t>appui mises en place, des procédures de préparation des produits de la Plateforme et des autres décisions pertinentes de la Plénière de</w:t>
      </w:r>
      <w:r w:rsidR="001260F2">
        <w:rPr>
          <w:lang w:val="fr-FR"/>
        </w:rPr>
        <w:t xml:space="preserve"> </w:t>
      </w:r>
      <w:r>
        <w:rPr>
          <w:lang w:val="fr-FR"/>
        </w:rPr>
        <w:t xml:space="preserve">la Plateforme. </w:t>
      </w:r>
      <w:bookmarkEnd w:id="52"/>
    </w:p>
    <w:p w14:paraId="174004B2" w14:textId="36EB4813" w:rsidR="0037708F" w:rsidRPr="007C59FD" w:rsidRDefault="004C0D04" w:rsidP="0093222C">
      <w:pPr>
        <w:pStyle w:val="Normalnumber"/>
        <w:numPr>
          <w:ilvl w:val="0"/>
          <w:numId w:val="8"/>
        </w:numPr>
        <w:rPr>
          <w:b/>
          <w:lang w:val="fr-FR"/>
        </w:rPr>
      </w:pPr>
      <w:bookmarkStart w:id="53" w:name="bookmark_75"/>
      <w:r>
        <w:rPr>
          <w:lang w:val="fr-FR"/>
        </w:rPr>
        <w:t>L</w:t>
      </w:r>
      <w:r w:rsidR="001260F2">
        <w:rPr>
          <w:lang w:val="fr-FR"/>
        </w:rPr>
        <w:t>’</w:t>
      </w:r>
      <w:r>
        <w:rPr>
          <w:lang w:val="fr-FR"/>
        </w:rPr>
        <w:t>examen interne a montré que l</w:t>
      </w:r>
      <w:r w:rsidR="001260F2">
        <w:rPr>
          <w:lang w:val="fr-FR"/>
        </w:rPr>
        <w:t>’</w:t>
      </w:r>
      <w:r>
        <w:rPr>
          <w:lang w:val="fr-FR"/>
        </w:rPr>
        <w:t>IPBES fonctionne dans l</w:t>
      </w:r>
      <w:r w:rsidR="001260F2">
        <w:rPr>
          <w:lang w:val="fr-FR"/>
        </w:rPr>
        <w:t>’</w:t>
      </w:r>
      <w:r>
        <w:rPr>
          <w:lang w:val="fr-FR"/>
        </w:rPr>
        <w:t>ensemble de manière satisfaisante, avec un score gé</w:t>
      </w:r>
      <w:r w:rsidR="00A032B3">
        <w:rPr>
          <w:lang w:val="fr-FR"/>
        </w:rPr>
        <w:t>néral de 3,5 sur 5 (voir Figure </w:t>
      </w:r>
      <w:r>
        <w:rPr>
          <w:lang w:val="fr-FR"/>
        </w:rPr>
        <w:t>1), bien que des possibilités d</w:t>
      </w:r>
      <w:r w:rsidR="001260F2">
        <w:rPr>
          <w:lang w:val="fr-FR"/>
        </w:rPr>
        <w:t>’</w:t>
      </w:r>
      <w:r>
        <w:rPr>
          <w:lang w:val="fr-FR"/>
        </w:rPr>
        <w:t xml:space="preserve">amélioration existent dans </w:t>
      </w:r>
      <w:r w:rsidRPr="007C59FD">
        <w:rPr>
          <w:b/>
          <w:lang w:val="fr-FR"/>
        </w:rPr>
        <w:t xml:space="preserve">plusieurs domaines. </w:t>
      </w:r>
      <w:bookmarkEnd w:id="53"/>
    </w:p>
    <w:p w14:paraId="7A7CC1FE" w14:textId="49EF7E3A" w:rsidR="0037708F" w:rsidRPr="007C59FD" w:rsidRDefault="004C0D04">
      <w:pPr>
        <w:pStyle w:val="Titletable"/>
        <w:rPr>
          <w:b w:val="0"/>
          <w:lang w:val="fr-FR"/>
        </w:rPr>
      </w:pPr>
      <w:bookmarkStart w:id="54" w:name="bookmark_76"/>
      <w:r w:rsidRPr="007C59FD">
        <w:rPr>
          <w:b w:val="0"/>
          <w:lang w:val="fr-FR"/>
        </w:rPr>
        <w:t>Figure 1</w:t>
      </w:r>
      <w:bookmarkEnd w:id="54"/>
    </w:p>
    <w:p w14:paraId="7DA733D3" w14:textId="2899A245" w:rsidR="0037708F" w:rsidRPr="00326D7C" w:rsidRDefault="004C0D04">
      <w:pPr>
        <w:pStyle w:val="Titletable"/>
        <w:rPr>
          <w:lang w:val="fr-FR"/>
        </w:rPr>
      </w:pPr>
      <w:bookmarkStart w:id="55" w:name="bookmark_77"/>
      <w:r>
        <w:rPr>
          <w:lang w:val="fr-FR"/>
        </w:rPr>
        <w:t>Pourcentage moyen de réponses reçues pour l</w:t>
      </w:r>
      <w:r w:rsidR="001260F2">
        <w:rPr>
          <w:lang w:val="fr-FR"/>
        </w:rPr>
        <w:t>’</w:t>
      </w:r>
      <w:r>
        <w:rPr>
          <w:lang w:val="fr-FR"/>
        </w:rPr>
        <w:t>ensemble des questions pour chaque notation, de 1 à 5</w:t>
      </w:r>
      <w:bookmarkEnd w:id="55"/>
    </w:p>
    <w:p w14:paraId="0E00EC45" w14:textId="239972B6" w:rsidR="0037708F" w:rsidRDefault="004C0D04">
      <w:pPr>
        <w:pStyle w:val="Normalnumber"/>
        <w:numPr>
          <w:ilvl w:val="0"/>
          <w:numId w:val="0"/>
        </w:numPr>
        <w:ind w:left="1247"/>
      </w:pPr>
      <w:r>
        <w:rPr>
          <w:noProof/>
          <w:lang w:val="en-US"/>
        </w:rPr>
        <w:drawing>
          <wp:inline distT="0" distB="0" distL="0" distR="0" wp14:anchorId="5B9F52EF" wp14:editId="0B8D35D9">
            <wp:extent cx="5381625" cy="3724275"/>
            <wp:effectExtent l="0" t="0" r="9525" b="9525"/>
            <wp:docPr id="1" name="Chart 1">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86E1EF" w14:textId="4C428333" w:rsidR="0037708F" w:rsidRPr="00326D7C" w:rsidRDefault="004C0D04" w:rsidP="0093222C">
      <w:pPr>
        <w:pStyle w:val="Normalnumber"/>
        <w:numPr>
          <w:ilvl w:val="0"/>
          <w:numId w:val="8"/>
        </w:numPr>
        <w:spacing w:after="240"/>
        <w:ind w:left="1253"/>
        <w:rPr>
          <w:lang w:val="fr-FR"/>
        </w:rPr>
      </w:pPr>
      <w:bookmarkStart w:id="56" w:name="bookmark_78"/>
      <w:r>
        <w:rPr>
          <w:lang w:val="fr-FR"/>
        </w:rPr>
        <w:t xml:space="preserve">Seules de légères différences peuvent être observées dans la notation générale des cinq </w:t>
      </w:r>
      <w:r w:rsidR="00A032B3">
        <w:rPr>
          <w:lang w:val="fr-FR"/>
        </w:rPr>
        <w:t>catégories de personnes sondées </w:t>
      </w:r>
      <w:r>
        <w:rPr>
          <w:lang w:val="fr-FR"/>
        </w:rPr>
        <w:t>: les membres des organes subsidiaires de la Plateforme (4</w:t>
      </w:r>
      <w:r w:rsidR="00A032B3">
        <w:rPr>
          <w:lang w:val="fr-FR"/>
        </w:rPr>
        <w:t>9 </w:t>
      </w:r>
      <w:r w:rsidR="00931577">
        <w:rPr>
          <w:lang w:val="fr-FR"/>
        </w:rPr>
        <w:t xml:space="preserve">réponses) et du secrétariat, </w:t>
      </w:r>
      <w:r>
        <w:rPr>
          <w:lang w:val="fr-FR"/>
        </w:rPr>
        <w:t>et les correspondants nationaux ou les experts faisant partie des groupes de travail et des groupes d</w:t>
      </w:r>
      <w:r w:rsidR="001260F2">
        <w:rPr>
          <w:lang w:val="fr-FR"/>
        </w:rPr>
        <w:t>’</w:t>
      </w:r>
      <w:r>
        <w:rPr>
          <w:lang w:val="fr-FR"/>
        </w:rPr>
        <w:t xml:space="preserve">experts de la </w:t>
      </w:r>
      <w:r w:rsidR="00A032B3">
        <w:rPr>
          <w:lang w:val="fr-FR"/>
        </w:rPr>
        <w:t>Plateforme (38 </w:t>
      </w:r>
      <w:r>
        <w:rPr>
          <w:lang w:val="fr-FR"/>
        </w:rPr>
        <w:t>réponses</w:t>
      </w:r>
      <w:r w:rsidR="00A032B3">
        <w:rPr>
          <w:lang w:val="fr-FR"/>
        </w:rPr>
        <w:t> ; voir Figure </w:t>
      </w:r>
      <w:r>
        <w:rPr>
          <w:lang w:val="fr-FR"/>
        </w:rPr>
        <w:t xml:space="preserve">2). </w:t>
      </w:r>
      <w:bookmarkEnd w:id="56"/>
    </w:p>
    <w:p w14:paraId="3F84D227" w14:textId="4B404B09" w:rsidR="0037708F" w:rsidRPr="007C59FD" w:rsidRDefault="00A5323D">
      <w:pPr>
        <w:pStyle w:val="Titletable"/>
        <w:rPr>
          <w:b w:val="0"/>
          <w:lang w:val="fr-FR"/>
        </w:rPr>
      </w:pPr>
      <w:bookmarkStart w:id="57" w:name="bookmark_79"/>
      <w:r>
        <w:rPr>
          <w:b w:val="0"/>
          <w:lang w:val="fr-FR"/>
        </w:rPr>
        <w:t>Figure </w:t>
      </w:r>
      <w:r w:rsidR="004C0D04" w:rsidRPr="007C59FD">
        <w:rPr>
          <w:b w:val="0"/>
          <w:lang w:val="fr-FR"/>
        </w:rPr>
        <w:t>2</w:t>
      </w:r>
      <w:bookmarkEnd w:id="57"/>
    </w:p>
    <w:p w14:paraId="2A796128" w14:textId="25D893F1" w:rsidR="0037708F" w:rsidRDefault="004C0D04">
      <w:pPr>
        <w:pStyle w:val="Titletable"/>
        <w:rPr>
          <w:lang w:val="fr-FR"/>
        </w:rPr>
      </w:pPr>
      <w:bookmarkStart w:id="58" w:name="bookmark_80"/>
      <w:r>
        <w:rPr>
          <w:lang w:val="fr-FR"/>
        </w:rPr>
        <w:t>Réponse moyenne pour l</w:t>
      </w:r>
      <w:r w:rsidR="001260F2">
        <w:rPr>
          <w:lang w:val="fr-FR"/>
        </w:rPr>
        <w:t>’</w:t>
      </w:r>
      <w:r>
        <w:rPr>
          <w:lang w:val="fr-FR"/>
        </w:rPr>
        <w:t>ensemble des questions fournie par catégorie de personnes sondées</w:t>
      </w:r>
      <w:r w:rsidR="007C59FD">
        <w:rPr>
          <w:lang w:val="fr-FR"/>
        </w:rPr>
        <w:t> </w:t>
      </w:r>
      <w:r>
        <w:rPr>
          <w:lang w:val="fr-FR"/>
        </w:rPr>
        <w:t>: membres du Bureau, Groupe d</w:t>
      </w:r>
      <w:r w:rsidR="001260F2">
        <w:rPr>
          <w:lang w:val="fr-FR"/>
        </w:rPr>
        <w:t>’</w:t>
      </w:r>
      <w:r>
        <w:rPr>
          <w:lang w:val="fr-FR"/>
        </w:rPr>
        <w:t>experts multidisciplinaire, secrétariat, dont les unités d</w:t>
      </w:r>
      <w:r w:rsidR="001260F2">
        <w:rPr>
          <w:lang w:val="fr-FR"/>
        </w:rPr>
        <w:t>’</w:t>
      </w:r>
      <w:r>
        <w:rPr>
          <w:lang w:val="fr-FR"/>
        </w:rPr>
        <w:t>appui technique, coordonnateurs nationaux de la Platefo</w:t>
      </w:r>
      <w:r w:rsidR="0093222C">
        <w:rPr>
          <w:lang w:val="fr-FR"/>
        </w:rPr>
        <w:t>rme et experts sélectionnés (co</w:t>
      </w:r>
      <w:r>
        <w:rPr>
          <w:lang w:val="fr-FR"/>
        </w:rPr>
        <w:t>présidents des groupes de travail et des groupes d</w:t>
      </w:r>
      <w:r w:rsidR="001260F2">
        <w:rPr>
          <w:lang w:val="fr-FR"/>
        </w:rPr>
        <w:t>’</w:t>
      </w:r>
      <w:r>
        <w:rPr>
          <w:lang w:val="fr-FR"/>
        </w:rPr>
        <w:t>experts et auteurs-coordonnateurs principaux des évaluations)</w:t>
      </w:r>
      <w:bookmarkEnd w:id="58"/>
    </w:p>
    <w:p w14:paraId="00B05DDF" w14:textId="241E180B" w:rsidR="00880061" w:rsidRDefault="00880061" w:rsidP="00880061">
      <w:pPr>
        <w:pStyle w:val="NormalNonumber"/>
        <w:rPr>
          <w:lang w:val="fr-FR"/>
        </w:rPr>
      </w:pPr>
    </w:p>
    <w:p w14:paraId="318D16B8" w14:textId="0A975AE0" w:rsidR="00880061" w:rsidRPr="00880061" w:rsidRDefault="00880061" w:rsidP="00880061">
      <w:pPr>
        <w:pStyle w:val="NormalNonumber"/>
      </w:pPr>
      <w:r>
        <w:rPr>
          <w:b/>
          <w:noProof/>
          <w:szCs w:val="22"/>
          <w:lang w:val="en-US"/>
        </w:rPr>
        <w:lastRenderedPageBreak/>
        <w:drawing>
          <wp:inline distT="0" distB="0" distL="0" distR="0" wp14:anchorId="7D9FBB0C" wp14:editId="058A223C">
            <wp:extent cx="5605145" cy="3156585"/>
            <wp:effectExtent l="0" t="0" r="14605" b="571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2AE0E8" w14:textId="50FEA706" w:rsidR="0037708F" w:rsidRPr="00326D7C" w:rsidRDefault="00880061" w:rsidP="00880061">
      <w:pPr>
        <w:pStyle w:val="CH1"/>
        <w:rPr>
          <w:lang w:val="fr-FR"/>
        </w:rPr>
      </w:pPr>
      <w:bookmarkStart w:id="59" w:name="bookmark_81"/>
      <w:r>
        <w:rPr>
          <w:lang w:val="fr-FR"/>
        </w:rPr>
        <w:tab/>
        <w:t>II.</w:t>
      </w:r>
      <w:r>
        <w:rPr>
          <w:lang w:val="fr-FR"/>
        </w:rPr>
        <w:tab/>
      </w:r>
      <w:r w:rsidR="004C0D04">
        <w:rPr>
          <w:lang w:val="fr-FR"/>
        </w:rPr>
        <w:t>Mise en œuvre du programme de travail 2014–2018</w:t>
      </w:r>
      <w:bookmarkEnd w:id="59"/>
    </w:p>
    <w:p w14:paraId="5502F248" w14:textId="716DF6BC" w:rsidR="0037708F" w:rsidRPr="00326D7C" w:rsidRDefault="004C0D04" w:rsidP="0093222C">
      <w:pPr>
        <w:pStyle w:val="Normalnumber"/>
        <w:numPr>
          <w:ilvl w:val="0"/>
          <w:numId w:val="8"/>
        </w:numPr>
        <w:rPr>
          <w:lang w:val="fr-FR"/>
        </w:rPr>
      </w:pPr>
      <w:bookmarkStart w:id="60" w:name="bookmark_82"/>
      <w:r>
        <w:rPr>
          <w:b/>
          <w:bCs/>
          <w:lang w:val="fr-FR"/>
        </w:rPr>
        <w:t>Les processus de cadrage pour les évaluations sont considérés comme ayant fonctionné correctement, exception faite de l</w:t>
      </w:r>
      <w:r w:rsidR="001260F2">
        <w:rPr>
          <w:b/>
          <w:bCs/>
          <w:lang w:val="fr-FR"/>
        </w:rPr>
        <w:t>’</w:t>
      </w:r>
      <w:r>
        <w:rPr>
          <w:b/>
          <w:bCs/>
          <w:lang w:val="fr-FR"/>
        </w:rPr>
        <w:t>évaluation relative à l</w:t>
      </w:r>
      <w:r w:rsidR="001260F2">
        <w:rPr>
          <w:b/>
          <w:bCs/>
          <w:lang w:val="fr-FR"/>
        </w:rPr>
        <w:t>’</w:t>
      </w:r>
      <w:r>
        <w:rPr>
          <w:b/>
          <w:bCs/>
          <w:lang w:val="fr-FR"/>
        </w:rPr>
        <w:t>utilisation durable des espèces sauvages</w:t>
      </w:r>
      <w:r w:rsidR="00931577">
        <w:rPr>
          <w:b/>
          <w:bCs/>
          <w:lang w:val="fr-FR"/>
        </w:rPr>
        <w:t> </w:t>
      </w:r>
      <w:r w:rsidR="0093222C">
        <w:rPr>
          <w:b/>
          <w:bCs/>
          <w:lang w:val="fr-FR"/>
        </w:rPr>
        <w:t>; il </w:t>
      </w:r>
      <w:r>
        <w:rPr>
          <w:b/>
          <w:bCs/>
          <w:lang w:val="fr-FR"/>
        </w:rPr>
        <w:t>est apparu que le cadrage d</w:t>
      </w:r>
      <w:r w:rsidR="001260F2">
        <w:rPr>
          <w:b/>
          <w:bCs/>
          <w:lang w:val="fr-FR"/>
        </w:rPr>
        <w:t>’</w:t>
      </w:r>
      <w:r>
        <w:rPr>
          <w:b/>
          <w:bCs/>
          <w:lang w:val="fr-FR"/>
        </w:rPr>
        <w:t>un sujet si complexe par des moyens indirects ne fonctionnait pas.</w:t>
      </w:r>
      <w:r>
        <w:rPr>
          <w:lang w:val="fr-FR"/>
        </w:rPr>
        <w:t xml:space="preserve"> Davantage d</w:t>
      </w:r>
      <w:r w:rsidR="001260F2">
        <w:rPr>
          <w:lang w:val="fr-FR"/>
        </w:rPr>
        <w:t>’</w:t>
      </w:r>
      <w:r>
        <w:rPr>
          <w:lang w:val="fr-FR"/>
        </w:rPr>
        <w:t xml:space="preserve">experts stratégiques devraient être associés au processus de cadrage pour assurer la pertinence des évaluations présentées aux décideurs. </w:t>
      </w:r>
      <w:r>
        <w:rPr>
          <w:b/>
          <w:bCs/>
          <w:lang w:val="fr-FR"/>
        </w:rPr>
        <w:t>Les résumés à l</w:t>
      </w:r>
      <w:r w:rsidR="001260F2">
        <w:rPr>
          <w:b/>
          <w:bCs/>
          <w:lang w:val="fr-FR"/>
        </w:rPr>
        <w:t>’</w:t>
      </w:r>
      <w:r>
        <w:rPr>
          <w:b/>
          <w:bCs/>
          <w:lang w:val="fr-FR"/>
        </w:rPr>
        <w:t>intention des décideurs des évaluations concernant la pollinisation, les scénarios et les modèles ont été bien reçus</w:t>
      </w:r>
      <w:r>
        <w:rPr>
          <w:lang w:val="fr-FR"/>
        </w:rPr>
        <w:t>, et les futurs résumés à l</w:t>
      </w:r>
      <w:r w:rsidR="001260F2">
        <w:rPr>
          <w:lang w:val="fr-FR"/>
        </w:rPr>
        <w:t>’</w:t>
      </w:r>
      <w:r>
        <w:rPr>
          <w:lang w:val="fr-FR"/>
        </w:rPr>
        <w:t>intention des décideurs devraient être d</w:t>
      </w:r>
      <w:r w:rsidR="001260F2">
        <w:rPr>
          <w:lang w:val="fr-FR"/>
        </w:rPr>
        <w:t>’</w:t>
      </w:r>
      <w:r>
        <w:rPr>
          <w:lang w:val="fr-FR"/>
        </w:rPr>
        <w:t xml:space="preserve">une longueur similaire ou plus courts. </w:t>
      </w:r>
      <w:r>
        <w:rPr>
          <w:b/>
          <w:bCs/>
          <w:lang w:val="fr-FR"/>
        </w:rPr>
        <w:t>D</w:t>
      </w:r>
      <w:r w:rsidR="001260F2">
        <w:rPr>
          <w:b/>
          <w:bCs/>
          <w:lang w:val="fr-FR"/>
        </w:rPr>
        <w:t>’</w:t>
      </w:r>
      <w:r>
        <w:rPr>
          <w:b/>
          <w:bCs/>
          <w:lang w:val="fr-FR"/>
        </w:rPr>
        <w:t>une manière générale, les comités de gestion des évaluations menées à ce jour sont considérés comme s</w:t>
      </w:r>
      <w:r w:rsidR="001260F2">
        <w:rPr>
          <w:b/>
          <w:bCs/>
          <w:lang w:val="fr-FR"/>
        </w:rPr>
        <w:t>’</w:t>
      </w:r>
      <w:r>
        <w:rPr>
          <w:b/>
          <w:bCs/>
          <w:lang w:val="fr-FR"/>
        </w:rPr>
        <w:t>étant acquittés de leur rôle.</w:t>
      </w:r>
      <w:r>
        <w:rPr>
          <w:lang w:val="fr-FR"/>
        </w:rPr>
        <w:t xml:space="preserve"> </w:t>
      </w:r>
      <w:bookmarkEnd w:id="60"/>
    </w:p>
    <w:p w14:paraId="6D15915D" w14:textId="68E846CF" w:rsidR="0037708F" w:rsidRPr="00326D7C" w:rsidRDefault="004C0D04" w:rsidP="0093222C">
      <w:pPr>
        <w:pStyle w:val="Normalnumber"/>
        <w:numPr>
          <w:ilvl w:val="0"/>
          <w:numId w:val="8"/>
        </w:numPr>
        <w:rPr>
          <w:lang w:val="fr-FR"/>
        </w:rPr>
      </w:pPr>
      <w:bookmarkStart w:id="61" w:name="bookmark_83"/>
      <w:r>
        <w:rPr>
          <w:b/>
          <w:bCs/>
          <w:lang w:val="fr-FR"/>
        </w:rPr>
        <w:t>Pour permettre à la Plateforme de s</w:t>
      </w:r>
      <w:r w:rsidR="001260F2">
        <w:rPr>
          <w:b/>
          <w:bCs/>
          <w:lang w:val="fr-FR"/>
        </w:rPr>
        <w:t>’</w:t>
      </w:r>
      <w:r>
        <w:rPr>
          <w:b/>
          <w:bCs/>
          <w:lang w:val="fr-FR"/>
        </w:rPr>
        <w:t>améliorer dans des domaines comme sa démarche interdisciplinaire et multidisciplinaire, la parité homme-femme, l</w:t>
      </w:r>
      <w:r w:rsidR="001260F2">
        <w:rPr>
          <w:b/>
          <w:bCs/>
          <w:lang w:val="fr-FR"/>
        </w:rPr>
        <w:t>’</w:t>
      </w:r>
      <w:r>
        <w:rPr>
          <w:b/>
          <w:bCs/>
          <w:lang w:val="fr-FR"/>
        </w:rPr>
        <w:t>équité de la représentation et participation régionales dans sa structure et ses travaux</w:t>
      </w:r>
      <w:r>
        <w:rPr>
          <w:lang w:val="fr-FR"/>
        </w:rPr>
        <w:t>, il faudrait que les experts désignés par les gouvernements et les organisations comprennent un plus grand nombre de personnes ayant une expérience des sciences sociales et humaines et de l</w:t>
      </w:r>
      <w:r w:rsidR="001260F2">
        <w:rPr>
          <w:lang w:val="fr-FR"/>
        </w:rPr>
        <w:t>’</w:t>
      </w:r>
      <w:r>
        <w:rPr>
          <w:lang w:val="fr-FR"/>
        </w:rPr>
        <w:t>élaboration des politiques, de femmes spécialistes, d</w:t>
      </w:r>
      <w:r w:rsidR="001260F2">
        <w:rPr>
          <w:lang w:val="fr-FR"/>
        </w:rPr>
        <w:t>’</w:t>
      </w:r>
      <w:r>
        <w:rPr>
          <w:lang w:val="fr-FR"/>
        </w:rPr>
        <w:t>experts en savoir autochtone et local et d</w:t>
      </w:r>
      <w:r w:rsidR="001260F2">
        <w:rPr>
          <w:lang w:val="fr-FR"/>
        </w:rPr>
        <w:t>’</w:t>
      </w:r>
      <w:r>
        <w:rPr>
          <w:lang w:val="fr-FR"/>
        </w:rPr>
        <w:t>experts provenant d</w:t>
      </w:r>
      <w:r w:rsidR="001260F2">
        <w:rPr>
          <w:lang w:val="fr-FR"/>
        </w:rPr>
        <w:t>’</w:t>
      </w:r>
      <w:r>
        <w:rPr>
          <w:lang w:val="fr-FR"/>
        </w:rPr>
        <w:t>Europe orientale et d</w:t>
      </w:r>
      <w:r w:rsidR="001260F2">
        <w:rPr>
          <w:lang w:val="fr-FR"/>
        </w:rPr>
        <w:t>’</w:t>
      </w:r>
      <w:r>
        <w:rPr>
          <w:lang w:val="fr-FR"/>
        </w:rPr>
        <w:t xml:space="preserve">Afrique. </w:t>
      </w:r>
      <w:bookmarkEnd w:id="61"/>
    </w:p>
    <w:p w14:paraId="6F769B7D" w14:textId="30913436" w:rsidR="0037708F" w:rsidRPr="00326D7C" w:rsidRDefault="004C0D04" w:rsidP="0093222C">
      <w:pPr>
        <w:pStyle w:val="Normalnumber"/>
        <w:numPr>
          <w:ilvl w:val="0"/>
          <w:numId w:val="8"/>
        </w:numPr>
        <w:rPr>
          <w:lang w:val="fr-FR"/>
        </w:rPr>
      </w:pPr>
      <w:bookmarkStart w:id="62" w:name="bookmark_84"/>
      <w:r>
        <w:rPr>
          <w:b/>
          <w:bCs/>
          <w:lang w:val="fr-FR"/>
        </w:rPr>
        <w:t>L</w:t>
      </w:r>
      <w:r w:rsidR="001260F2">
        <w:rPr>
          <w:b/>
          <w:bCs/>
          <w:lang w:val="fr-FR"/>
        </w:rPr>
        <w:t>’</w:t>
      </w:r>
      <w:r>
        <w:rPr>
          <w:b/>
          <w:bCs/>
          <w:lang w:val="fr-FR"/>
        </w:rPr>
        <w:t>indépendance scientifique, la crédibilité, la pertinence et la légitimité des évaluations de la Plateforme bénéficieraient d</w:t>
      </w:r>
      <w:r w:rsidR="001260F2">
        <w:rPr>
          <w:b/>
          <w:bCs/>
          <w:lang w:val="fr-FR"/>
        </w:rPr>
        <w:t>’</w:t>
      </w:r>
      <w:r>
        <w:rPr>
          <w:b/>
          <w:bCs/>
          <w:lang w:val="fr-FR"/>
        </w:rPr>
        <w:t>un nombre accru de contributions et d</w:t>
      </w:r>
      <w:r w:rsidR="001260F2">
        <w:rPr>
          <w:b/>
          <w:bCs/>
          <w:lang w:val="fr-FR"/>
        </w:rPr>
        <w:t>’</w:t>
      </w:r>
      <w:r>
        <w:rPr>
          <w:b/>
          <w:bCs/>
          <w:lang w:val="fr-FR"/>
        </w:rPr>
        <w:t>observations dans le processus d</w:t>
      </w:r>
      <w:r w:rsidR="001260F2">
        <w:rPr>
          <w:b/>
          <w:bCs/>
          <w:lang w:val="fr-FR"/>
        </w:rPr>
        <w:t>’</w:t>
      </w:r>
      <w:r>
        <w:rPr>
          <w:b/>
          <w:bCs/>
          <w:lang w:val="fr-FR"/>
        </w:rPr>
        <w:t>examen par les pairs</w:t>
      </w:r>
      <w:r>
        <w:rPr>
          <w:lang w:val="fr-FR"/>
        </w:rPr>
        <w:t>, en particulier provenant des gouvernements. Les réunions pour le dialogue régional organisées avec les correspondants nationaux de la Plateforme, tenues dans le cadre du plan glissant pour le renforcement des capacités dans le contexte de la troisième réunion des auteurs pour l</w:t>
      </w:r>
      <w:r w:rsidR="001260F2">
        <w:rPr>
          <w:lang w:val="fr-FR"/>
        </w:rPr>
        <w:t>’</w:t>
      </w:r>
      <w:r>
        <w:rPr>
          <w:lang w:val="fr-FR"/>
        </w:rPr>
        <w:t>évaluation de la dégradation et restauration des terres et les évaluations régionales, ont été bien accueillies et pourraient aussi être prises en considération pour de futures processus d</w:t>
      </w:r>
      <w:r w:rsidR="001260F2">
        <w:rPr>
          <w:lang w:val="fr-FR"/>
        </w:rPr>
        <w:t>’</w:t>
      </w:r>
      <w:r>
        <w:rPr>
          <w:lang w:val="fr-FR"/>
        </w:rPr>
        <w:t>évaluation, en tant que moyen d</w:t>
      </w:r>
      <w:r w:rsidR="001260F2">
        <w:rPr>
          <w:lang w:val="fr-FR"/>
        </w:rPr>
        <w:t>’</w:t>
      </w:r>
      <w:r>
        <w:rPr>
          <w:lang w:val="fr-FR"/>
        </w:rPr>
        <w:t>aider les gouvernements à fournir des contributions et observations.</w:t>
      </w:r>
      <w:bookmarkEnd w:id="62"/>
    </w:p>
    <w:p w14:paraId="3437EA3F" w14:textId="0A178E06" w:rsidR="0037708F" w:rsidRPr="00326D7C" w:rsidRDefault="004C0D04" w:rsidP="0093222C">
      <w:pPr>
        <w:pStyle w:val="Normalnumber"/>
        <w:numPr>
          <w:ilvl w:val="0"/>
          <w:numId w:val="8"/>
        </w:numPr>
        <w:rPr>
          <w:lang w:val="fr-FR"/>
        </w:rPr>
      </w:pPr>
      <w:bookmarkStart w:id="63" w:name="bookmark_85"/>
      <w:r>
        <w:rPr>
          <w:lang w:val="fr-FR"/>
        </w:rPr>
        <w:t>Contrairement à la fonction d</w:t>
      </w:r>
      <w:r w:rsidR="001260F2">
        <w:rPr>
          <w:lang w:val="fr-FR"/>
        </w:rPr>
        <w:t>’</w:t>
      </w:r>
      <w:r>
        <w:rPr>
          <w:lang w:val="fr-FR"/>
        </w:rPr>
        <w:t xml:space="preserve">évaluation, mise en </w:t>
      </w:r>
      <w:r w:rsidR="001260F2">
        <w:rPr>
          <w:lang w:val="fr-FR"/>
        </w:rPr>
        <w:t xml:space="preserve">œuvre </w:t>
      </w:r>
      <w:r>
        <w:rPr>
          <w:lang w:val="fr-FR"/>
        </w:rPr>
        <w:t>dans le cadre d</w:t>
      </w:r>
      <w:r w:rsidR="001260F2">
        <w:rPr>
          <w:lang w:val="fr-FR"/>
        </w:rPr>
        <w:t>’</w:t>
      </w:r>
      <w:r>
        <w:rPr>
          <w:lang w:val="fr-FR"/>
        </w:rPr>
        <w:t xml:space="preserve">une série de procédures convenues, la mise en </w:t>
      </w:r>
      <w:r w:rsidR="001260F2">
        <w:rPr>
          <w:lang w:val="fr-FR"/>
        </w:rPr>
        <w:t xml:space="preserve">œuvre </w:t>
      </w:r>
      <w:r>
        <w:rPr>
          <w:lang w:val="fr-FR"/>
        </w:rPr>
        <w:t>des fonctions relatives au renforcement des capacités, à la production de connaissances et aux outils et méthodes d</w:t>
      </w:r>
      <w:r w:rsidR="001260F2">
        <w:rPr>
          <w:lang w:val="fr-FR"/>
        </w:rPr>
        <w:t>’</w:t>
      </w:r>
      <w:r>
        <w:rPr>
          <w:lang w:val="fr-FR"/>
        </w:rPr>
        <w:t>aide à l</w:t>
      </w:r>
      <w:r w:rsidR="001260F2">
        <w:rPr>
          <w:lang w:val="fr-FR"/>
        </w:rPr>
        <w:t>’</w:t>
      </w:r>
      <w:r>
        <w:rPr>
          <w:lang w:val="fr-FR"/>
        </w:rPr>
        <w:t>élaboration des politiques, y compris l</w:t>
      </w:r>
      <w:r w:rsidR="001260F2">
        <w:rPr>
          <w:lang w:val="fr-FR"/>
        </w:rPr>
        <w:t>’</w:t>
      </w:r>
      <w:r>
        <w:rPr>
          <w:lang w:val="fr-FR"/>
        </w:rPr>
        <w:t>établissement de liens avec d</w:t>
      </w:r>
      <w:r w:rsidR="001260F2">
        <w:rPr>
          <w:lang w:val="fr-FR"/>
        </w:rPr>
        <w:t>’</w:t>
      </w:r>
      <w:r>
        <w:rPr>
          <w:lang w:val="fr-FR"/>
        </w:rPr>
        <w:t>autres initiatives et organisations, exigeait la création d</w:t>
      </w:r>
      <w:r w:rsidR="001260F2">
        <w:rPr>
          <w:lang w:val="fr-FR"/>
        </w:rPr>
        <w:t>’</w:t>
      </w:r>
      <w:r>
        <w:rPr>
          <w:lang w:val="fr-FR"/>
        </w:rPr>
        <w:t>une base institutionnelle et procédurale. En conséquence, l</w:t>
      </w:r>
      <w:r w:rsidR="001260F2">
        <w:rPr>
          <w:lang w:val="fr-FR"/>
        </w:rPr>
        <w:t>’</w:t>
      </w:r>
      <w:r>
        <w:rPr>
          <w:lang w:val="fr-FR"/>
        </w:rPr>
        <w:t>exécution de ces fonctions a d</w:t>
      </w:r>
      <w:r w:rsidR="001260F2">
        <w:rPr>
          <w:lang w:val="fr-FR"/>
        </w:rPr>
        <w:t>’</w:t>
      </w:r>
      <w:r>
        <w:rPr>
          <w:lang w:val="fr-FR"/>
        </w:rPr>
        <w:t>une manière générale été plus lente, mais elle s</w:t>
      </w:r>
      <w:r w:rsidR="001260F2">
        <w:rPr>
          <w:lang w:val="fr-FR"/>
        </w:rPr>
        <w:t>’</w:t>
      </w:r>
      <w:r>
        <w:rPr>
          <w:lang w:val="fr-FR"/>
        </w:rPr>
        <w:t>est améliorée récemment avec l</w:t>
      </w:r>
      <w:r w:rsidR="001260F2">
        <w:rPr>
          <w:lang w:val="fr-FR"/>
        </w:rPr>
        <w:t>’</w:t>
      </w:r>
      <w:r>
        <w:rPr>
          <w:lang w:val="fr-FR"/>
        </w:rPr>
        <w:t xml:space="preserve">instauration de procédures pertinentes. </w:t>
      </w:r>
      <w:bookmarkEnd w:id="63"/>
    </w:p>
    <w:p w14:paraId="602232A6" w14:textId="02B4ECDA" w:rsidR="0037708F" w:rsidRPr="00326D7C" w:rsidRDefault="004C0D04" w:rsidP="0093222C">
      <w:pPr>
        <w:pStyle w:val="Normalnumber"/>
        <w:numPr>
          <w:ilvl w:val="0"/>
          <w:numId w:val="8"/>
        </w:numPr>
        <w:rPr>
          <w:lang w:val="fr-FR"/>
        </w:rPr>
      </w:pPr>
      <w:bookmarkStart w:id="64" w:name="bookmark_86"/>
      <w:r>
        <w:rPr>
          <w:b/>
          <w:bCs/>
          <w:lang w:val="fr-FR"/>
        </w:rPr>
        <w:t>L</w:t>
      </w:r>
      <w:r w:rsidR="001260F2">
        <w:rPr>
          <w:b/>
          <w:bCs/>
          <w:lang w:val="fr-FR"/>
        </w:rPr>
        <w:t>’</w:t>
      </w:r>
      <w:r>
        <w:rPr>
          <w:b/>
          <w:bCs/>
          <w:lang w:val="fr-FR"/>
        </w:rPr>
        <w:t>utilité du catalogue des outils d</w:t>
      </w:r>
      <w:r w:rsidR="001260F2">
        <w:rPr>
          <w:b/>
          <w:bCs/>
          <w:lang w:val="fr-FR"/>
        </w:rPr>
        <w:t>’</w:t>
      </w:r>
      <w:r>
        <w:rPr>
          <w:b/>
          <w:bCs/>
          <w:lang w:val="fr-FR"/>
        </w:rPr>
        <w:t>aide à l</w:t>
      </w:r>
      <w:r w:rsidR="001260F2">
        <w:rPr>
          <w:b/>
          <w:bCs/>
          <w:lang w:val="fr-FR"/>
        </w:rPr>
        <w:t>’</w:t>
      </w:r>
      <w:r>
        <w:rPr>
          <w:b/>
          <w:bCs/>
          <w:lang w:val="fr-FR"/>
        </w:rPr>
        <w:t>élaboration des politiques, qui comprend les catalogues pour les évaluations, a en moyenne été jugée satisfaisante.</w:t>
      </w:r>
      <w:r>
        <w:rPr>
          <w:lang w:val="fr-FR"/>
        </w:rPr>
        <w:t xml:space="preserve"> Le catalogue est à un stade précoce de son développement, et une évaluation concluante de son utilité n</w:t>
      </w:r>
      <w:r w:rsidR="001260F2">
        <w:rPr>
          <w:lang w:val="fr-FR"/>
        </w:rPr>
        <w:t>’</w:t>
      </w:r>
      <w:r>
        <w:rPr>
          <w:lang w:val="fr-FR"/>
        </w:rPr>
        <w:t xml:space="preserve">est donc pas encore possible. </w:t>
      </w:r>
      <w:r>
        <w:rPr>
          <w:lang w:val="fr-FR"/>
        </w:rPr>
        <w:lastRenderedPageBreak/>
        <w:t>En outre, les progrès ont été limités par les ressources allouées à l</w:t>
      </w:r>
      <w:r w:rsidR="001260F2">
        <w:rPr>
          <w:lang w:val="fr-FR"/>
        </w:rPr>
        <w:t>’</w:t>
      </w:r>
      <w:r>
        <w:rPr>
          <w:lang w:val="fr-FR"/>
        </w:rPr>
        <w:t>appui de ce produit. L</w:t>
      </w:r>
      <w:r w:rsidR="001260F2">
        <w:rPr>
          <w:lang w:val="fr-FR"/>
        </w:rPr>
        <w:t>’</w:t>
      </w:r>
      <w:r>
        <w:rPr>
          <w:lang w:val="fr-FR"/>
        </w:rPr>
        <w:t>exécution de cette fonction de la Plateforme est possible non seulement grâce à la mise au point du catalogue des outils d</w:t>
      </w:r>
      <w:r w:rsidR="001260F2">
        <w:rPr>
          <w:lang w:val="fr-FR"/>
        </w:rPr>
        <w:t>’</w:t>
      </w:r>
      <w:r>
        <w:rPr>
          <w:lang w:val="fr-FR"/>
        </w:rPr>
        <w:t>aide à l</w:t>
      </w:r>
      <w:r w:rsidR="001260F2">
        <w:rPr>
          <w:lang w:val="fr-FR"/>
        </w:rPr>
        <w:t>’</w:t>
      </w:r>
      <w:r>
        <w:rPr>
          <w:lang w:val="fr-FR"/>
        </w:rPr>
        <w:t>élaboration des politiques, mais aussi grâce à la fonction d</w:t>
      </w:r>
      <w:r w:rsidR="001260F2">
        <w:rPr>
          <w:lang w:val="fr-FR"/>
        </w:rPr>
        <w:t>’</w:t>
      </w:r>
      <w:r>
        <w:rPr>
          <w:lang w:val="fr-FR"/>
        </w:rPr>
        <w:t>évaluation, en particulier l</w:t>
      </w:r>
      <w:r w:rsidR="001260F2">
        <w:rPr>
          <w:lang w:val="fr-FR"/>
        </w:rPr>
        <w:t>’</w:t>
      </w:r>
      <w:r>
        <w:rPr>
          <w:lang w:val="fr-FR"/>
        </w:rPr>
        <w:t>évaluation méthodologique des scénarios et des modèles et l</w:t>
      </w:r>
      <w:r w:rsidR="001260F2">
        <w:rPr>
          <w:lang w:val="fr-FR"/>
        </w:rPr>
        <w:t>’</w:t>
      </w:r>
      <w:r>
        <w:rPr>
          <w:lang w:val="fr-FR"/>
        </w:rPr>
        <w:t xml:space="preserve">élaboration du guide préliminaire sur les valeurs et activités connexes.  </w:t>
      </w:r>
      <w:bookmarkEnd w:id="64"/>
    </w:p>
    <w:p w14:paraId="1AFDFA40" w14:textId="4DAB3D0D" w:rsidR="0037708F" w:rsidRPr="00326D7C" w:rsidRDefault="004C0D04" w:rsidP="0093222C">
      <w:pPr>
        <w:pStyle w:val="Normalnumber"/>
        <w:numPr>
          <w:ilvl w:val="0"/>
          <w:numId w:val="8"/>
        </w:numPr>
        <w:rPr>
          <w:lang w:val="fr-FR"/>
        </w:rPr>
      </w:pPr>
      <w:bookmarkStart w:id="65" w:name="bookmark_87"/>
      <w:r>
        <w:rPr>
          <w:lang w:val="fr-FR"/>
        </w:rPr>
        <w:t xml:space="preserve">À sa cinquième session, la Plénière a accueilli avec satisfaction le plan glissant pour le renforcement des capacités qui, depuis, oriente les activités dans ce domaine. </w:t>
      </w:r>
      <w:r w:rsidRPr="0093222C">
        <w:rPr>
          <w:lang w:val="fr-FR"/>
        </w:rPr>
        <w:t>Le programme de bourses de recherche a été bien reçu.</w:t>
      </w:r>
      <w:r>
        <w:rPr>
          <w:lang w:val="fr-FR"/>
        </w:rPr>
        <w:t xml:space="preserve"> </w:t>
      </w:r>
      <w:r w:rsidRPr="0093222C">
        <w:rPr>
          <w:lang w:val="fr-FR"/>
        </w:rPr>
        <w:t xml:space="preserve">Les résultats du forum sur le renforcement des capacités ont été globalement considérés comme </w:t>
      </w:r>
      <w:r w:rsidR="001260F2" w:rsidRPr="0093222C">
        <w:rPr>
          <w:lang w:val="fr-FR"/>
        </w:rPr>
        <w:t>« </w:t>
      </w:r>
      <w:r w:rsidRPr="0093222C">
        <w:rPr>
          <w:lang w:val="fr-FR"/>
        </w:rPr>
        <w:t>satisfaisants</w:t>
      </w:r>
      <w:r w:rsidR="001260F2" w:rsidRPr="0093222C">
        <w:rPr>
          <w:lang w:val="fr-FR"/>
        </w:rPr>
        <w:t> »</w:t>
      </w:r>
      <w:r>
        <w:rPr>
          <w:lang w:val="fr-FR"/>
        </w:rPr>
        <w:t>, et il est possible que sa structure doive évoluer. Les réunions pour le dialogue régional ont été bien reçues ; leurs résultats pourraient être encore améliorés si elles avaient lieu plus tôt dans le processus d</w:t>
      </w:r>
      <w:r w:rsidR="001260F2">
        <w:rPr>
          <w:lang w:val="fr-FR"/>
        </w:rPr>
        <w:t>’</w:t>
      </w:r>
      <w:r>
        <w:rPr>
          <w:lang w:val="fr-FR"/>
        </w:rPr>
        <w:t xml:space="preserve">examen par les pairs. </w:t>
      </w:r>
      <w:bookmarkEnd w:id="65"/>
    </w:p>
    <w:p w14:paraId="1C762AF7" w14:textId="430AA3C4" w:rsidR="0037708F" w:rsidRPr="00326D7C" w:rsidRDefault="004C0D04" w:rsidP="0093222C">
      <w:pPr>
        <w:pStyle w:val="Normalnumber"/>
        <w:numPr>
          <w:ilvl w:val="0"/>
          <w:numId w:val="8"/>
        </w:numPr>
        <w:rPr>
          <w:lang w:val="fr-FR"/>
        </w:rPr>
      </w:pPr>
      <w:bookmarkStart w:id="66" w:name="bookmark_88"/>
      <w:r w:rsidRPr="0093222C">
        <w:rPr>
          <w:lang w:val="fr-FR"/>
        </w:rPr>
        <w:t>Les éléments des travaux sur les connaissances et les données son</w:t>
      </w:r>
      <w:r w:rsidR="001260F2" w:rsidRPr="0093222C">
        <w:rPr>
          <w:lang w:val="fr-FR"/>
        </w:rPr>
        <w:t>t globalement considérés comme « </w:t>
      </w:r>
      <w:r w:rsidRPr="0093222C">
        <w:rPr>
          <w:lang w:val="fr-FR"/>
        </w:rPr>
        <w:t>satisfaisants</w:t>
      </w:r>
      <w:r w:rsidR="001260F2" w:rsidRPr="0093222C">
        <w:rPr>
          <w:lang w:val="fr-FR"/>
        </w:rPr>
        <w:t> »</w:t>
      </w:r>
      <w:r>
        <w:rPr>
          <w:lang w:val="fr-FR"/>
        </w:rPr>
        <w:t>, et les travaux contribuant à cette fonction devraient être renforcés à l</w:t>
      </w:r>
      <w:r w:rsidR="001260F2">
        <w:rPr>
          <w:lang w:val="fr-FR"/>
        </w:rPr>
        <w:t>’</w:t>
      </w:r>
      <w:r>
        <w:rPr>
          <w:lang w:val="fr-FR"/>
        </w:rPr>
        <w:t>avenir. S</w:t>
      </w:r>
      <w:r w:rsidR="001260F2">
        <w:rPr>
          <w:lang w:val="fr-FR"/>
        </w:rPr>
        <w:t>’</w:t>
      </w:r>
      <w:r>
        <w:rPr>
          <w:lang w:val="fr-FR"/>
        </w:rPr>
        <w:t>agissant de catalyser la production de nouvelles connaissances, seules des activités limitées ont été organisées à ce jour, tandis que les évaluation</w:t>
      </w:r>
      <w:r w:rsidR="001260F2">
        <w:rPr>
          <w:lang w:val="fr-FR"/>
        </w:rPr>
        <w:t>s</w:t>
      </w:r>
      <w:r>
        <w:rPr>
          <w:lang w:val="fr-FR"/>
        </w:rPr>
        <w:t xml:space="preserve"> font la lumière sur les lacunes existant dans les connaissances. </w:t>
      </w:r>
      <w:bookmarkEnd w:id="66"/>
    </w:p>
    <w:p w14:paraId="7C5B04AB" w14:textId="21A39586" w:rsidR="0037708F" w:rsidRPr="00326D7C" w:rsidRDefault="004C0D04" w:rsidP="0093222C">
      <w:pPr>
        <w:pStyle w:val="Normalnumber"/>
        <w:numPr>
          <w:ilvl w:val="0"/>
          <w:numId w:val="8"/>
        </w:numPr>
        <w:rPr>
          <w:lang w:val="fr-FR"/>
        </w:rPr>
      </w:pPr>
      <w:bookmarkStart w:id="67" w:name="bookmark_89"/>
      <w:r w:rsidRPr="0093222C">
        <w:rPr>
          <w:lang w:val="fr-FR"/>
        </w:rPr>
        <w:t>Les aspects des travaux relatifs à l</w:t>
      </w:r>
      <w:r w:rsidR="001260F2" w:rsidRPr="0093222C">
        <w:rPr>
          <w:lang w:val="fr-FR"/>
        </w:rPr>
        <w:t>’</w:t>
      </w:r>
      <w:r w:rsidRPr="0093222C">
        <w:rPr>
          <w:lang w:val="fr-FR"/>
        </w:rPr>
        <w:t>adéquation de la reconnaissance, la prise en compte et le respect des savoirs autochtones et locaux é</w:t>
      </w:r>
      <w:r w:rsidR="001260F2" w:rsidRPr="0093222C">
        <w:rPr>
          <w:lang w:val="fr-FR"/>
        </w:rPr>
        <w:t>taient généralement considérés « </w:t>
      </w:r>
      <w:r w:rsidRPr="0093222C">
        <w:rPr>
          <w:lang w:val="fr-FR"/>
        </w:rPr>
        <w:t>bons</w:t>
      </w:r>
      <w:r w:rsidR="001260F2" w:rsidRPr="0093222C">
        <w:rPr>
          <w:lang w:val="fr-FR"/>
        </w:rPr>
        <w:t> », ou « </w:t>
      </w:r>
      <w:r w:rsidRPr="0093222C">
        <w:rPr>
          <w:lang w:val="fr-FR"/>
        </w:rPr>
        <w:t>satisfaisants</w:t>
      </w:r>
      <w:r w:rsidR="001260F2" w:rsidRPr="0093222C">
        <w:rPr>
          <w:lang w:val="fr-FR"/>
        </w:rPr>
        <w:t> » à « </w:t>
      </w:r>
      <w:r w:rsidRPr="0093222C">
        <w:rPr>
          <w:lang w:val="fr-FR"/>
        </w:rPr>
        <w:t>bons</w:t>
      </w:r>
      <w:r w:rsidR="001260F2" w:rsidRPr="0093222C">
        <w:rPr>
          <w:lang w:val="fr-FR"/>
        </w:rPr>
        <w:t> »</w:t>
      </w:r>
      <w:r w:rsidRPr="0093222C">
        <w:rPr>
          <w:lang w:val="fr-FR"/>
        </w:rPr>
        <w:t>.</w:t>
      </w:r>
      <w:r>
        <w:rPr>
          <w:lang w:val="fr-FR"/>
        </w:rPr>
        <w:t xml:space="preserve"> Ces travaux sont considérés comme ayant progressé de manière significative grâce à l</w:t>
      </w:r>
      <w:r w:rsidR="001260F2">
        <w:rPr>
          <w:lang w:val="fr-FR"/>
        </w:rPr>
        <w:t>’</w:t>
      </w:r>
      <w:r>
        <w:rPr>
          <w:lang w:val="fr-FR"/>
        </w:rPr>
        <w:t>adoption par la Plénière à sa cinquième session de la démarche concernant la reconnaissance et l</w:t>
      </w:r>
      <w:r w:rsidR="001260F2">
        <w:rPr>
          <w:lang w:val="fr-FR"/>
        </w:rPr>
        <w:t>’</w:t>
      </w:r>
      <w:r>
        <w:rPr>
          <w:lang w:val="fr-FR"/>
        </w:rPr>
        <w:t xml:space="preserve">utilisation des savoirs autochtones et locaux. Sa mise en </w:t>
      </w:r>
      <w:r w:rsidR="001260F2">
        <w:rPr>
          <w:lang w:val="fr-FR"/>
        </w:rPr>
        <w:t>œuvre</w:t>
      </w:r>
      <w:r>
        <w:rPr>
          <w:lang w:val="fr-FR"/>
        </w:rPr>
        <w:t>, par le biais notamment du mécanisme participatif, devrait promouvoir ces travaux encore plus avant à l</w:t>
      </w:r>
      <w:r w:rsidR="001260F2">
        <w:rPr>
          <w:lang w:val="fr-FR"/>
        </w:rPr>
        <w:t>’</w:t>
      </w:r>
      <w:r>
        <w:rPr>
          <w:lang w:val="fr-FR"/>
        </w:rPr>
        <w:t>avenir. La participation des détenteurs de savoirs autochtones et locaux aux activités de la Plateforme devrait être renforcée.</w:t>
      </w:r>
      <w:bookmarkEnd w:id="67"/>
    </w:p>
    <w:p w14:paraId="4ACF0423" w14:textId="2F35C559" w:rsidR="0037708F" w:rsidRPr="00326D7C" w:rsidRDefault="004C0D04" w:rsidP="0093222C">
      <w:pPr>
        <w:pStyle w:val="Normalnumber"/>
        <w:numPr>
          <w:ilvl w:val="0"/>
          <w:numId w:val="8"/>
        </w:numPr>
        <w:rPr>
          <w:lang w:val="fr-FR"/>
        </w:rPr>
      </w:pPr>
      <w:bookmarkStart w:id="68" w:name="bookmark_90"/>
      <w:r w:rsidRPr="0093222C">
        <w:rPr>
          <w:lang w:val="fr-FR"/>
        </w:rPr>
        <w:t>Les synergies entre les quatre fonctions de la Plateforme sont considérées comme un domaine nécessitant des améliorations.</w:t>
      </w:r>
      <w:r>
        <w:rPr>
          <w:lang w:val="fr-FR"/>
        </w:rPr>
        <w:t xml:space="preserve"> </w:t>
      </w:r>
      <w:r w:rsidRPr="0093222C">
        <w:rPr>
          <w:lang w:val="fr-FR"/>
        </w:rPr>
        <w:t>La répartition du budget entre les différents produit</w:t>
      </w:r>
      <w:r w:rsidR="001260F2" w:rsidRPr="0093222C">
        <w:rPr>
          <w:lang w:val="fr-FR"/>
        </w:rPr>
        <w:t>s de la Plateforme a été jugée « </w:t>
      </w:r>
      <w:r w:rsidRPr="0093222C">
        <w:rPr>
          <w:lang w:val="fr-FR"/>
        </w:rPr>
        <w:t>satisfaisante</w:t>
      </w:r>
      <w:r w:rsidR="001260F2" w:rsidRPr="0093222C">
        <w:rPr>
          <w:lang w:val="fr-FR"/>
        </w:rPr>
        <w:t> »</w:t>
      </w:r>
      <w:r w:rsidRPr="0093222C">
        <w:rPr>
          <w:lang w:val="fr-FR"/>
        </w:rPr>
        <w:t>.</w:t>
      </w:r>
      <w:r>
        <w:rPr>
          <w:lang w:val="fr-FR"/>
        </w:rPr>
        <w:t xml:space="preserve"> Les synergies et l</w:t>
      </w:r>
      <w:r w:rsidR="001260F2">
        <w:rPr>
          <w:lang w:val="fr-FR"/>
        </w:rPr>
        <w:t>’</w:t>
      </w:r>
      <w:r>
        <w:rPr>
          <w:lang w:val="fr-FR"/>
        </w:rPr>
        <w:t>équilibre entre les quatre fonctions sont un élément important à prendre en compte dans l</w:t>
      </w:r>
      <w:r w:rsidR="001260F2">
        <w:rPr>
          <w:lang w:val="fr-FR"/>
        </w:rPr>
        <w:t>’</w:t>
      </w:r>
      <w:r>
        <w:rPr>
          <w:lang w:val="fr-FR"/>
        </w:rPr>
        <w:t>élaboration du deuxième programme de travail.</w:t>
      </w:r>
      <w:bookmarkEnd w:id="68"/>
    </w:p>
    <w:p w14:paraId="02DEA1D6" w14:textId="210A94B6" w:rsidR="0037708F" w:rsidRPr="00326D7C" w:rsidRDefault="00880061" w:rsidP="00880061">
      <w:pPr>
        <w:pStyle w:val="CH1"/>
        <w:rPr>
          <w:lang w:val="fr-FR"/>
        </w:rPr>
      </w:pPr>
      <w:bookmarkStart w:id="69" w:name="bookmark_91"/>
      <w:r>
        <w:rPr>
          <w:lang w:val="fr-FR"/>
        </w:rPr>
        <w:tab/>
        <w:t>II.</w:t>
      </w:r>
      <w:r>
        <w:rPr>
          <w:lang w:val="fr-FR"/>
        </w:rPr>
        <w:tab/>
      </w:r>
      <w:r w:rsidR="004C0D04">
        <w:rPr>
          <w:lang w:val="fr-FR"/>
        </w:rPr>
        <w:t>Fonctionnement de la Plénière, du Bureau, du Groupe d</w:t>
      </w:r>
      <w:r w:rsidR="001260F2">
        <w:rPr>
          <w:lang w:val="fr-FR"/>
        </w:rPr>
        <w:t>’</w:t>
      </w:r>
      <w:r w:rsidR="004C0D04">
        <w:rPr>
          <w:lang w:val="fr-FR"/>
        </w:rPr>
        <w:t>experts multidisciplinaire et du secrétariat, y compris des unités d</w:t>
      </w:r>
      <w:r w:rsidR="001260F2">
        <w:rPr>
          <w:lang w:val="fr-FR"/>
        </w:rPr>
        <w:t>’</w:t>
      </w:r>
      <w:r w:rsidR="004C0D04">
        <w:rPr>
          <w:lang w:val="fr-FR"/>
        </w:rPr>
        <w:t>appui technique</w:t>
      </w:r>
      <w:bookmarkEnd w:id="69"/>
    </w:p>
    <w:p w14:paraId="31F35088" w14:textId="4BFA35CD" w:rsidR="0037708F" w:rsidRPr="00630DE1" w:rsidRDefault="004C0D04" w:rsidP="00630DE1">
      <w:pPr>
        <w:pStyle w:val="Normalnumber"/>
        <w:numPr>
          <w:ilvl w:val="0"/>
          <w:numId w:val="8"/>
        </w:numPr>
        <w:rPr>
          <w:lang w:val="fr-FR"/>
        </w:rPr>
      </w:pPr>
      <w:bookmarkStart w:id="70" w:name="bookmark_92"/>
      <w:r w:rsidRPr="00630DE1">
        <w:rPr>
          <w:lang w:val="fr-FR"/>
        </w:rPr>
        <w:t>Les sessions de la Plénière sont considérées comme bien organisées et menées de manière efficace, avec une documentation et des informations appropriées, et les décisions de la Plénière sont considérées comme efficacement appliquées par le secrétariat, le Bureau et le Groupe d</w:t>
      </w:r>
      <w:r w:rsidR="001260F2" w:rsidRPr="00630DE1">
        <w:rPr>
          <w:lang w:val="fr-FR"/>
        </w:rPr>
        <w:t>’</w:t>
      </w:r>
      <w:r w:rsidRPr="00630DE1">
        <w:rPr>
          <w:lang w:val="fr-FR"/>
        </w:rPr>
        <w:t>experts multidisciplinaire.</w:t>
      </w:r>
      <w:r>
        <w:rPr>
          <w:lang w:val="fr-FR"/>
        </w:rPr>
        <w:t xml:space="preserve"> </w:t>
      </w:r>
      <w:r w:rsidRPr="00630DE1">
        <w:rPr>
          <w:lang w:val="fr-FR"/>
        </w:rPr>
        <w:t>Les conseils fournis à la Plénière concernant la coordination entre la Plateforme et les autres institutions concernées pourraient être améliorés.</w:t>
      </w:r>
      <w:r>
        <w:rPr>
          <w:lang w:val="fr-FR"/>
        </w:rPr>
        <w:t xml:space="preserve"> </w:t>
      </w:r>
      <w:bookmarkEnd w:id="70"/>
    </w:p>
    <w:p w14:paraId="5E653751" w14:textId="23D80BBF" w:rsidR="0037708F" w:rsidRPr="00630DE1" w:rsidRDefault="004C0D04" w:rsidP="00630DE1">
      <w:pPr>
        <w:pStyle w:val="Normalnumber"/>
        <w:numPr>
          <w:ilvl w:val="0"/>
          <w:numId w:val="8"/>
        </w:numPr>
        <w:rPr>
          <w:lang w:val="fr-FR"/>
        </w:rPr>
      </w:pPr>
      <w:bookmarkStart w:id="71" w:name="bookmark_93"/>
      <w:r w:rsidRPr="00630DE1">
        <w:rPr>
          <w:lang w:val="fr-FR"/>
        </w:rPr>
        <w:t>Le Bureau s</w:t>
      </w:r>
      <w:r w:rsidR="001260F2" w:rsidRPr="00630DE1">
        <w:rPr>
          <w:lang w:val="fr-FR"/>
        </w:rPr>
        <w:t>’</w:t>
      </w:r>
      <w:r w:rsidRPr="00630DE1">
        <w:rPr>
          <w:lang w:val="fr-FR"/>
        </w:rPr>
        <w:t xml:space="preserve">est bien acquitté de son mandat dans la mise en </w:t>
      </w:r>
      <w:r w:rsidR="001260F2" w:rsidRPr="00630DE1">
        <w:rPr>
          <w:lang w:val="fr-FR"/>
        </w:rPr>
        <w:t>œuvre</w:t>
      </w:r>
      <w:r w:rsidRPr="00630DE1">
        <w:rPr>
          <w:lang w:val="fr-FR"/>
        </w:rPr>
        <w:t xml:space="preserve"> des fonctions administratives de la Plateforme, bien qu</w:t>
      </w:r>
      <w:r w:rsidR="001260F2" w:rsidRPr="00630DE1">
        <w:rPr>
          <w:lang w:val="fr-FR"/>
        </w:rPr>
        <w:t>’</w:t>
      </w:r>
      <w:r w:rsidRPr="00630DE1">
        <w:rPr>
          <w:lang w:val="fr-FR"/>
        </w:rPr>
        <w:t>il puisse améliorer son rôle dans l</w:t>
      </w:r>
      <w:r w:rsidR="001260F2" w:rsidRPr="00630DE1">
        <w:rPr>
          <w:lang w:val="fr-FR"/>
        </w:rPr>
        <w:t>’</w:t>
      </w:r>
      <w:r w:rsidRPr="00630DE1">
        <w:rPr>
          <w:lang w:val="fr-FR"/>
        </w:rPr>
        <w:t>identification des donateurs et l</w:t>
      </w:r>
      <w:r w:rsidR="001260F2" w:rsidRPr="00630DE1">
        <w:rPr>
          <w:lang w:val="fr-FR"/>
        </w:rPr>
        <w:t>’</w:t>
      </w:r>
      <w:r w:rsidRPr="00630DE1">
        <w:rPr>
          <w:lang w:val="fr-FR"/>
        </w:rPr>
        <w:t>établissement des accords de partenariat pour la conduite des activités de la Plateforme.</w:t>
      </w:r>
      <w:r>
        <w:rPr>
          <w:lang w:val="fr-FR"/>
        </w:rPr>
        <w:t xml:space="preserve"> </w:t>
      </w:r>
      <w:r w:rsidRPr="00630DE1">
        <w:rPr>
          <w:lang w:val="fr-FR"/>
        </w:rPr>
        <w:t>Les membres du Bureau se sont acquittés efficacement de leur rôle dans les domaines de la présidence et de la contribution aux groupes de travail, aux groupes d</w:t>
      </w:r>
      <w:r w:rsidR="001260F2" w:rsidRPr="00630DE1">
        <w:rPr>
          <w:lang w:val="fr-FR"/>
        </w:rPr>
        <w:t>’</w:t>
      </w:r>
      <w:r w:rsidRPr="00630DE1">
        <w:rPr>
          <w:lang w:val="fr-FR"/>
        </w:rPr>
        <w:t>experts et aux comités de gestion des évaluations.</w:t>
      </w:r>
      <w:r>
        <w:rPr>
          <w:lang w:val="fr-FR"/>
        </w:rPr>
        <w:t xml:space="preserve"> </w:t>
      </w:r>
      <w:r w:rsidRPr="00630DE1">
        <w:rPr>
          <w:lang w:val="fr-FR"/>
        </w:rPr>
        <w:t>Les membres de la Plateforme et des groupes régionaux ont été appuyés à des degrés divers par les membres respectifs du Bureau.</w:t>
      </w:r>
      <w:bookmarkEnd w:id="71"/>
    </w:p>
    <w:p w14:paraId="6C07FAF6" w14:textId="4F25D2B5" w:rsidR="0037708F" w:rsidRPr="00326D7C" w:rsidRDefault="004C0D04" w:rsidP="00630DE1">
      <w:pPr>
        <w:pStyle w:val="Normalnumber"/>
        <w:numPr>
          <w:ilvl w:val="0"/>
          <w:numId w:val="8"/>
        </w:numPr>
        <w:rPr>
          <w:lang w:val="fr-FR"/>
        </w:rPr>
      </w:pPr>
      <w:bookmarkStart w:id="72" w:name="bookmark_94"/>
      <w:r>
        <w:rPr>
          <w:b/>
          <w:bCs/>
          <w:lang w:val="fr-FR"/>
        </w:rPr>
        <w:t>Le Groupe d</w:t>
      </w:r>
      <w:r w:rsidR="001260F2">
        <w:rPr>
          <w:b/>
          <w:bCs/>
          <w:lang w:val="fr-FR"/>
        </w:rPr>
        <w:t>’</w:t>
      </w:r>
      <w:r>
        <w:rPr>
          <w:b/>
          <w:bCs/>
          <w:lang w:val="fr-FR"/>
        </w:rPr>
        <w:t>experts multidisciplinaire s</w:t>
      </w:r>
      <w:r w:rsidR="001260F2">
        <w:rPr>
          <w:b/>
          <w:bCs/>
          <w:lang w:val="fr-FR"/>
        </w:rPr>
        <w:t>’</w:t>
      </w:r>
      <w:r>
        <w:rPr>
          <w:b/>
          <w:bCs/>
          <w:lang w:val="fr-FR"/>
        </w:rPr>
        <w:t xml:space="preserve">est acquitté efficacement de son mandat dans la mise en </w:t>
      </w:r>
      <w:r w:rsidR="001260F2">
        <w:rPr>
          <w:b/>
          <w:bCs/>
          <w:lang w:val="fr-FR"/>
        </w:rPr>
        <w:t xml:space="preserve">œuvre </w:t>
      </w:r>
      <w:r>
        <w:rPr>
          <w:b/>
          <w:bCs/>
          <w:lang w:val="fr-FR"/>
        </w:rPr>
        <w:t xml:space="preserve">des </w:t>
      </w:r>
      <w:r w:rsidRPr="00630DE1">
        <w:rPr>
          <w:lang w:val="fr-FR"/>
        </w:rPr>
        <w:t>fonctions</w:t>
      </w:r>
      <w:r>
        <w:rPr>
          <w:b/>
          <w:bCs/>
          <w:lang w:val="fr-FR"/>
        </w:rPr>
        <w:t xml:space="preserve"> scientifiques de la Plateforme, bien qu</w:t>
      </w:r>
      <w:r w:rsidR="001260F2">
        <w:rPr>
          <w:b/>
          <w:bCs/>
          <w:lang w:val="fr-FR"/>
        </w:rPr>
        <w:t>’</w:t>
      </w:r>
      <w:r>
        <w:rPr>
          <w:b/>
          <w:bCs/>
          <w:lang w:val="fr-FR"/>
        </w:rPr>
        <w:t>il puisse améliorer son rôle dans l</w:t>
      </w:r>
      <w:r w:rsidR="001260F2">
        <w:rPr>
          <w:b/>
          <w:bCs/>
          <w:lang w:val="fr-FR"/>
        </w:rPr>
        <w:t>’</w:t>
      </w:r>
      <w:r>
        <w:rPr>
          <w:b/>
          <w:bCs/>
          <w:lang w:val="fr-FR"/>
        </w:rPr>
        <w:t>implication dans le programme de travail de la communauté scientifique et des autres détenteurs de savoirs.</w:t>
      </w:r>
      <w:r>
        <w:rPr>
          <w:lang w:val="fr-FR"/>
        </w:rPr>
        <w:t xml:space="preserve"> </w:t>
      </w:r>
      <w:r>
        <w:rPr>
          <w:b/>
          <w:bCs/>
          <w:lang w:val="fr-FR"/>
        </w:rPr>
        <w:t>Les membres du Groupe d</w:t>
      </w:r>
      <w:r w:rsidR="001260F2">
        <w:rPr>
          <w:b/>
          <w:bCs/>
          <w:lang w:val="fr-FR"/>
        </w:rPr>
        <w:t>’</w:t>
      </w:r>
      <w:r>
        <w:rPr>
          <w:b/>
          <w:bCs/>
          <w:lang w:val="fr-FR"/>
        </w:rPr>
        <w:t>experts interdisciplinaire se sont acquittés efficacement de leur rôle dans les domaines de la présidence et de la contribution aux groupes de travail et aux groupes d</w:t>
      </w:r>
      <w:r w:rsidR="001260F2">
        <w:rPr>
          <w:b/>
          <w:bCs/>
          <w:lang w:val="fr-FR"/>
        </w:rPr>
        <w:t>’</w:t>
      </w:r>
      <w:r>
        <w:rPr>
          <w:b/>
          <w:bCs/>
          <w:lang w:val="fr-FR"/>
        </w:rPr>
        <w:t>experts.</w:t>
      </w:r>
      <w:r>
        <w:rPr>
          <w:lang w:val="fr-FR"/>
        </w:rPr>
        <w:t xml:space="preserve"> Les interactions étroites entre le Bureau et le Groupe d</w:t>
      </w:r>
      <w:r w:rsidR="001260F2">
        <w:rPr>
          <w:lang w:val="fr-FR"/>
        </w:rPr>
        <w:t>’</w:t>
      </w:r>
      <w:r>
        <w:rPr>
          <w:lang w:val="fr-FR"/>
        </w:rPr>
        <w:t>experts multidisciplinaire ont profité aux travaux des deux organes et devraient se poursuivre à l</w:t>
      </w:r>
      <w:r w:rsidR="001260F2">
        <w:rPr>
          <w:lang w:val="fr-FR"/>
        </w:rPr>
        <w:t>’</w:t>
      </w:r>
      <w:r>
        <w:rPr>
          <w:lang w:val="fr-FR"/>
        </w:rPr>
        <w:t>avenir.</w:t>
      </w:r>
      <w:bookmarkEnd w:id="72"/>
    </w:p>
    <w:p w14:paraId="093395B9" w14:textId="3B2971A2" w:rsidR="0037708F" w:rsidRPr="00326D7C" w:rsidRDefault="004C0D04" w:rsidP="00630DE1">
      <w:pPr>
        <w:pStyle w:val="Normalnumber"/>
        <w:numPr>
          <w:ilvl w:val="0"/>
          <w:numId w:val="8"/>
        </w:numPr>
        <w:rPr>
          <w:lang w:val="fr-FR"/>
        </w:rPr>
      </w:pPr>
      <w:bookmarkStart w:id="73" w:name="bookmark_95"/>
      <w:r>
        <w:rPr>
          <w:lang w:val="fr-FR"/>
        </w:rPr>
        <w:t>Le secrétariat a été très efficace, compte tenu en particulier du fait qu</w:t>
      </w:r>
      <w:r w:rsidR="001260F2">
        <w:rPr>
          <w:lang w:val="fr-FR"/>
        </w:rPr>
        <w:t>’</w:t>
      </w:r>
      <w:r>
        <w:rPr>
          <w:lang w:val="fr-FR"/>
        </w:rPr>
        <w:t>il a pendant longtemps souffert d</w:t>
      </w:r>
      <w:r w:rsidR="001260F2">
        <w:rPr>
          <w:lang w:val="fr-FR"/>
        </w:rPr>
        <w:t>’</w:t>
      </w:r>
      <w:r>
        <w:rPr>
          <w:lang w:val="fr-FR"/>
        </w:rPr>
        <w:t>un grave manque d</w:t>
      </w:r>
      <w:r w:rsidR="001260F2">
        <w:rPr>
          <w:lang w:val="fr-FR"/>
        </w:rPr>
        <w:t>’</w:t>
      </w:r>
      <w:r>
        <w:rPr>
          <w:lang w:val="fr-FR"/>
        </w:rPr>
        <w:t xml:space="preserve">effectifs. </w:t>
      </w:r>
      <w:r>
        <w:rPr>
          <w:b/>
          <w:bCs/>
          <w:lang w:val="fr-FR"/>
        </w:rPr>
        <w:t>Il a veillé à la qualité de la documentation et à la bonne tenue des sessions de la Plénière et de ses organes subsidiaires, il a été attentif aux requêtes de la Plénière et des correspondants nationaux entre les sessions, et il a fourni un appui solide à la mise en</w:t>
      </w:r>
      <w:r w:rsidR="001260F2">
        <w:rPr>
          <w:b/>
          <w:bCs/>
          <w:lang w:val="fr-FR"/>
        </w:rPr>
        <w:t xml:space="preserve"> œuvre</w:t>
      </w:r>
      <w:r>
        <w:rPr>
          <w:b/>
          <w:bCs/>
          <w:lang w:val="fr-FR"/>
        </w:rPr>
        <w:t xml:space="preserve"> du programme de travail.</w:t>
      </w:r>
      <w:r>
        <w:rPr>
          <w:lang w:val="fr-FR"/>
        </w:rPr>
        <w:t xml:space="preserve"> L</w:t>
      </w:r>
      <w:r w:rsidR="001260F2">
        <w:rPr>
          <w:lang w:val="fr-FR"/>
        </w:rPr>
        <w:t>’</w:t>
      </w:r>
      <w:r>
        <w:rPr>
          <w:lang w:val="fr-FR"/>
        </w:rPr>
        <w:t>efficacité des groupes d</w:t>
      </w:r>
      <w:r w:rsidR="001260F2">
        <w:rPr>
          <w:lang w:val="fr-FR"/>
        </w:rPr>
        <w:t>’</w:t>
      </w:r>
      <w:r>
        <w:rPr>
          <w:lang w:val="fr-FR"/>
        </w:rPr>
        <w:t>appui technique a été variable, certains d</w:t>
      </w:r>
      <w:r w:rsidR="001260F2">
        <w:rPr>
          <w:lang w:val="fr-FR"/>
        </w:rPr>
        <w:t>’</w:t>
      </w:r>
      <w:r>
        <w:rPr>
          <w:lang w:val="fr-FR"/>
        </w:rPr>
        <w:t xml:space="preserve">entre eux </w:t>
      </w:r>
      <w:r>
        <w:rPr>
          <w:lang w:val="fr-FR"/>
        </w:rPr>
        <w:lastRenderedPageBreak/>
        <w:t>se montrant très efficaces tandis que d</w:t>
      </w:r>
      <w:r w:rsidR="001260F2">
        <w:rPr>
          <w:lang w:val="fr-FR"/>
        </w:rPr>
        <w:t>’</w:t>
      </w:r>
      <w:r>
        <w:rPr>
          <w:lang w:val="fr-FR"/>
        </w:rPr>
        <w:t>autres ont vu leur eff</w:t>
      </w:r>
      <w:r w:rsidR="00880061">
        <w:rPr>
          <w:lang w:val="fr-FR"/>
        </w:rPr>
        <w:t>ic</w:t>
      </w:r>
      <w:r>
        <w:rPr>
          <w:lang w:val="fr-FR"/>
        </w:rPr>
        <w:t xml:space="preserve">acité progresser au fil du premier programme de travail. </w:t>
      </w:r>
      <w:r>
        <w:rPr>
          <w:b/>
          <w:bCs/>
          <w:lang w:val="fr-FR"/>
        </w:rPr>
        <w:t>La pertinence de la taille, la composition et la structure du secrétariat, y compris ses unités d</w:t>
      </w:r>
      <w:r w:rsidR="001260F2">
        <w:rPr>
          <w:b/>
          <w:bCs/>
          <w:lang w:val="fr-FR"/>
        </w:rPr>
        <w:t>’</w:t>
      </w:r>
      <w:r>
        <w:rPr>
          <w:b/>
          <w:bCs/>
          <w:lang w:val="fr-FR"/>
        </w:rPr>
        <w:t>a</w:t>
      </w:r>
      <w:r w:rsidR="001260F2">
        <w:rPr>
          <w:b/>
          <w:bCs/>
          <w:lang w:val="fr-FR"/>
        </w:rPr>
        <w:t>ppui technique, est considérée « </w:t>
      </w:r>
      <w:r>
        <w:rPr>
          <w:b/>
          <w:bCs/>
          <w:lang w:val="fr-FR"/>
        </w:rPr>
        <w:t>satisfaisante</w:t>
      </w:r>
      <w:r w:rsidR="001260F2">
        <w:rPr>
          <w:b/>
          <w:bCs/>
          <w:lang w:val="fr-FR"/>
        </w:rPr>
        <w:t> »</w:t>
      </w:r>
      <w:r w:rsidR="004B4652">
        <w:rPr>
          <w:b/>
          <w:bCs/>
          <w:lang w:val="fr-FR"/>
        </w:rPr>
        <w:t> </w:t>
      </w:r>
      <w:r>
        <w:rPr>
          <w:b/>
          <w:bCs/>
          <w:lang w:val="fr-FR"/>
        </w:rPr>
        <w:t>;</w:t>
      </w:r>
      <w:r>
        <w:rPr>
          <w:lang w:val="fr-FR"/>
        </w:rPr>
        <w:t xml:space="preserve"> pour le deuxième programme de travail, il importe que le secrétariat dispose de ressources adéquates correspondant à la taille du programme. </w:t>
      </w:r>
      <w:bookmarkEnd w:id="73"/>
    </w:p>
    <w:p w14:paraId="1B03927B" w14:textId="7E7F1D56" w:rsidR="0037708F" w:rsidRPr="00326D7C" w:rsidRDefault="00880061" w:rsidP="00880061">
      <w:pPr>
        <w:pStyle w:val="CH1"/>
        <w:rPr>
          <w:lang w:val="fr-FR"/>
        </w:rPr>
      </w:pPr>
      <w:bookmarkStart w:id="74" w:name="bookmark_96"/>
      <w:r>
        <w:rPr>
          <w:lang w:val="fr-FR"/>
        </w:rPr>
        <w:tab/>
        <w:t>III.</w:t>
      </w:r>
      <w:r>
        <w:rPr>
          <w:lang w:val="fr-FR"/>
        </w:rPr>
        <w:tab/>
      </w:r>
      <w:r w:rsidR="004C0D04">
        <w:rPr>
          <w:lang w:val="fr-FR"/>
        </w:rPr>
        <w:t>Fonctionnement des groupes de travail et des groupes d</w:t>
      </w:r>
      <w:r w:rsidR="001260F2">
        <w:rPr>
          <w:lang w:val="fr-FR"/>
        </w:rPr>
        <w:t>’</w:t>
      </w:r>
      <w:r w:rsidR="004C0D04">
        <w:rPr>
          <w:lang w:val="fr-FR"/>
        </w:rPr>
        <w:t>experts</w:t>
      </w:r>
      <w:bookmarkEnd w:id="74"/>
    </w:p>
    <w:p w14:paraId="73173BF7" w14:textId="46EE214B" w:rsidR="0037708F" w:rsidRPr="00326D7C" w:rsidRDefault="004C0D04" w:rsidP="0093222C">
      <w:pPr>
        <w:pStyle w:val="Normalnumber"/>
        <w:numPr>
          <w:ilvl w:val="0"/>
          <w:numId w:val="8"/>
        </w:numPr>
        <w:rPr>
          <w:lang w:val="fr-FR"/>
        </w:rPr>
      </w:pPr>
      <w:bookmarkStart w:id="75" w:name="bookmark_97"/>
      <w:r>
        <w:rPr>
          <w:lang w:val="fr-FR"/>
        </w:rPr>
        <w:t>Les interactions entre les groupes de travail, les groupes d</w:t>
      </w:r>
      <w:r w:rsidR="001260F2">
        <w:rPr>
          <w:lang w:val="fr-FR"/>
        </w:rPr>
        <w:t>’</w:t>
      </w:r>
      <w:r>
        <w:rPr>
          <w:lang w:val="fr-FR"/>
        </w:rPr>
        <w:t xml:space="preserve">experts et les évaluations sont considérées comme nécessitant des améliorations. </w:t>
      </w:r>
      <w:r>
        <w:rPr>
          <w:b/>
          <w:bCs/>
          <w:lang w:val="fr-FR"/>
        </w:rPr>
        <w:t>Le groupe de travail sur le renforcement des capacités et les groupes d</w:t>
      </w:r>
      <w:r w:rsidR="001260F2">
        <w:rPr>
          <w:b/>
          <w:bCs/>
          <w:lang w:val="fr-FR"/>
        </w:rPr>
        <w:t>’</w:t>
      </w:r>
      <w:r>
        <w:rPr>
          <w:b/>
          <w:bCs/>
          <w:lang w:val="fr-FR"/>
        </w:rPr>
        <w:t>experts sur les scénarios et les modèles et sur les valeurs ont bien fonctionné.</w:t>
      </w:r>
      <w:r>
        <w:rPr>
          <w:lang w:val="fr-FR"/>
        </w:rPr>
        <w:t xml:space="preserve"> </w:t>
      </w:r>
      <w:r>
        <w:rPr>
          <w:b/>
          <w:bCs/>
          <w:lang w:val="fr-FR"/>
        </w:rPr>
        <w:t>Les travaux des autres groupes d</w:t>
      </w:r>
      <w:r w:rsidR="001260F2">
        <w:rPr>
          <w:b/>
          <w:bCs/>
          <w:lang w:val="fr-FR"/>
        </w:rPr>
        <w:t>’experts ont été jugés « </w:t>
      </w:r>
      <w:r>
        <w:rPr>
          <w:b/>
          <w:bCs/>
          <w:lang w:val="fr-FR"/>
        </w:rPr>
        <w:t>satisfaisants</w:t>
      </w:r>
      <w:r w:rsidR="001260F2">
        <w:rPr>
          <w:b/>
          <w:bCs/>
          <w:lang w:val="fr-FR"/>
        </w:rPr>
        <w:t> »</w:t>
      </w:r>
      <w:r>
        <w:rPr>
          <w:b/>
          <w:bCs/>
          <w:lang w:val="fr-FR"/>
        </w:rPr>
        <w:t>.</w:t>
      </w:r>
      <w:r>
        <w:rPr>
          <w:lang w:val="fr-FR"/>
        </w:rPr>
        <w:t xml:space="preserve"> Si la création d</w:t>
      </w:r>
      <w:r w:rsidR="001260F2">
        <w:rPr>
          <w:lang w:val="fr-FR"/>
        </w:rPr>
        <w:t>’</w:t>
      </w:r>
      <w:r>
        <w:rPr>
          <w:lang w:val="fr-FR"/>
        </w:rPr>
        <w:t>une série d</w:t>
      </w:r>
      <w:r w:rsidR="001260F2">
        <w:rPr>
          <w:lang w:val="fr-FR"/>
        </w:rPr>
        <w:t>’</w:t>
      </w:r>
      <w:r>
        <w:rPr>
          <w:lang w:val="fr-FR"/>
        </w:rPr>
        <w:t>indicateurs est importante, le temps consacré à leur mise au point les a rendus moins utiles pour les évaluations régionales et l</w:t>
      </w:r>
      <w:r w:rsidR="001260F2">
        <w:rPr>
          <w:lang w:val="fr-FR"/>
        </w:rPr>
        <w:t>’</w:t>
      </w:r>
      <w:r>
        <w:rPr>
          <w:lang w:val="fr-FR"/>
        </w:rPr>
        <w:t xml:space="preserve">évaluation de la dégradation et restauration des terres. </w:t>
      </w:r>
      <w:bookmarkEnd w:id="75"/>
    </w:p>
    <w:p w14:paraId="5D647747" w14:textId="36EE8599" w:rsidR="0037708F" w:rsidRPr="00326D7C" w:rsidRDefault="00880061" w:rsidP="00880061">
      <w:pPr>
        <w:pStyle w:val="CH1"/>
        <w:rPr>
          <w:lang w:val="fr-FR"/>
        </w:rPr>
      </w:pPr>
      <w:bookmarkStart w:id="76" w:name="bookmark_98"/>
      <w:r w:rsidRPr="00880061">
        <w:rPr>
          <w:lang w:val="fr-FR"/>
        </w:rPr>
        <w:tab/>
        <w:t>I</w:t>
      </w:r>
      <w:r>
        <w:rPr>
          <w:lang w:val="fr-FR"/>
        </w:rPr>
        <w:t>V</w:t>
      </w:r>
      <w:r w:rsidRPr="00880061">
        <w:rPr>
          <w:lang w:val="fr-FR"/>
        </w:rPr>
        <w:t>.</w:t>
      </w:r>
      <w:r w:rsidRPr="00880061">
        <w:rPr>
          <w:lang w:val="fr-FR"/>
        </w:rPr>
        <w:tab/>
      </w:r>
      <w:r w:rsidR="004C0D04">
        <w:rPr>
          <w:lang w:val="fr-FR"/>
        </w:rPr>
        <w:t>Partenariats, participation des parties prenantes et communication</w:t>
      </w:r>
      <w:bookmarkEnd w:id="76"/>
    </w:p>
    <w:p w14:paraId="7240C511" w14:textId="500158AA" w:rsidR="0037708F" w:rsidRPr="00326D7C" w:rsidRDefault="004C0D04" w:rsidP="0093222C">
      <w:pPr>
        <w:pStyle w:val="Normalnumber"/>
        <w:numPr>
          <w:ilvl w:val="0"/>
          <w:numId w:val="8"/>
        </w:numPr>
        <w:rPr>
          <w:lang w:val="fr-FR"/>
        </w:rPr>
      </w:pPr>
      <w:bookmarkStart w:id="77" w:name="bookmark_99"/>
      <w:r>
        <w:rPr>
          <w:lang w:val="fr-FR"/>
        </w:rPr>
        <w:t>La collaboration avec les partenaires au sein du système des Nations Unies et avec d</w:t>
      </w:r>
      <w:r w:rsidR="001260F2">
        <w:rPr>
          <w:lang w:val="fr-FR"/>
        </w:rPr>
        <w:t>’</w:t>
      </w:r>
      <w:r>
        <w:rPr>
          <w:lang w:val="fr-FR"/>
        </w:rPr>
        <w:t>autres organisations concernées, les initiatives et les réseaux ont progressé mais, dans l</w:t>
      </w:r>
      <w:r w:rsidR="001260F2">
        <w:rPr>
          <w:lang w:val="fr-FR"/>
        </w:rPr>
        <w:t>’</w:t>
      </w:r>
      <w:r>
        <w:rPr>
          <w:lang w:val="fr-FR"/>
        </w:rPr>
        <w:t xml:space="preserve">ensemble, </w:t>
      </w:r>
      <w:r>
        <w:rPr>
          <w:b/>
          <w:bCs/>
          <w:lang w:val="fr-FR"/>
        </w:rPr>
        <w:t>la collaboration est considérée comme un domaine nécessitant des améliorations.</w:t>
      </w:r>
      <w:r>
        <w:rPr>
          <w:lang w:val="fr-FR"/>
        </w:rPr>
        <w:t xml:space="preserve"> </w:t>
      </w:r>
      <w:r>
        <w:rPr>
          <w:b/>
          <w:bCs/>
          <w:lang w:val="fr-FR"/>
        </w:rPr>
        <w:t>La participation des parties prenantes, la sensibilisation et la communication sont considérées comme devant être renforcées</w:t>
      </w:r>
      <w:r>
        <w:rPr>
          <w:lang w:val="fr-FR"/>
        </w:rPr>
        <w:t>, même s</w:t>
      </w:r>
      <w:r w:rsidR="001260F2">
        <w:rPr>
          <w:lang w:val="fr-FR"/>
        </w:rPr>
        <w:t>’</w:t>
      </w:r>
      <w:r>
        <w:rPr>
          <w:lang w:val="fr-FR"/>
        </w:rPr>
        <w:t>il a été reconnu que les récents recrutements ont considérablement renforcé les activités de communication et de sensibilisation. La visibilité de la Plateforme doit s</w:t>
      </w:r>
      <w:r w:rsidR="001260F2">
        <w:rPr>
          <w:lang w:val="fr-FR"/>
        </w:rPr>
        <w:t>’</w:t>
      </w:r>
      <w:r>
        <w:rPr>
          <w:lang w:val="fr-FR"/>
        </w:rPr>
        <w:t>étendre au-delà des ministères de l</w:t>
      </w:r>
      <w:r w:rsidR="001260F2">
        <w:rPr>
          <w:lang w:val="fr-FR"/>
        </w:rPr>
        <w:t>’</w:t>
      </w:r>
      <w:r>
        <w:rPr>
          <w:lang w:val="fr-FR"/>
        </w:rPr>
        <w:t>environnement.</w:t>
      </w:r>
      <w:bookmarkEnd w:id="77"/>
    </w:p>
    <w:p w14:paraId="39D51B0E" w14:textId="507F9B2A" w:rsidR="0037708F" w:rsidRPr="00326D7C" w:rsidRDefault="00880061" w:rsidP="00880061">
      <w:pPr>
        <w:pStyle w:val="CH1"/>
        <w:rPr>
          <w:lang w:val="fr-FR"/>
        </w:rPr>
      </w:pPr>
      <w:bookmarkStart w:id="78" w:name="bookmark_100"/>
      <w:r>
        <w:rPr>
          <w:bCs/>
          <w:lang w:val="fr-FR"/>
        </w:rPr>
        <w:tab/>
        <w:t>V.</w:t>
      </w:r>
      <w:r>
        <w:rPr>
          <w:bCs/>
          <w:lang w:val="fr-FR"/>
        </w:rPr>
        <w:tab/>
      </w:r>
      <w:r w:rsidR="004C0D04">
        <w:rPr>
          <w:bCs/>
          <w:lang w:val="fr-FR"/>
        </w:rPr>
        <w:t>Efficacité de la gestion budgétaire et des règles financières</w:t>
      </w:r>
      <w:bookmarkEnd w:id="78"/>
    </w:p>
    <w:p w14:paraId="3F7BC7EB" w14:textId="4F52E317" w:rsidR="0037708F" w:rsidRPr="00326D7C" w:rsidRDefault="004C0D04" w:rsidP="0093222C">
      <w:pPr>
        <w:pStyle w:val="Normalnumber"/>
        <w:numPr>
          <w:ilvl w:val="0"/>
          <w:numId w:val="8"/>
        </w:numPr>
        <w:rPr>
          <w:lang w:val="fr-FR"/>
        </w:rPr>
      </w:pPr>
      <w:bookmarkStart w:id="79" w:name="bookmark_101"/>
      <w:r>
        <w:rPr>
          <w:b/>
          <w:bCs/>
          <w:lang w:val="fr-FR"/>
        </w:rPr>
        <w:t>Au vu de la difficile situation budgétaire, il a été reconnu que les activités de collecte de fonds doivent être intensifiées.</w:t>
      </w:r>
      <w:r>
        <w:rPr>
          <w:lang w:val="fr-FR"/>
        </w:rPr>
        <w:t xml:space="preserve"> </w:t>
      </w:r>
      <w:r>
        <w:rPr>
          <w:b/>
          <w:bCs/>
          <w:lang w:val="fr-FR"/>
        </w:rPr>
        <w:t>Les règles financières sont considérées comme ayant été bien observées, et les documents budgétaires présentés à la Plénière sont adéquats.</w:t>
      </w:r>
      <w:r>
        <w:rPr>
          <w:lang w:val="fr-FR"/>
        </w:rPr>
        <w:t xml:space="preserve"> Des montants importants ont été obtenus sous forme de contributions en nature, ce qui a réduit la pression sur le Fonds d</w:t>
      </w:r>
      <w:r w:rsidR="001260F2">
        <w:rPr>
          <w:lang w:val="fr-FR"/>
        </w:rPr>
        <w:t>’</w:t>
      </w:r>
      <w:r>
        <w:rPr>
          <w:lang w:val="fr-FR"/>
        </w:rPr>
        <w:t>affectation spéciale de la Plateforme.</w:t>
      </w:r>
      <w:bookmarkEnd w:id="79"/>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37708F" w:rsidRPr="00A5323D" w14:paraId="00F18B19" w14:textId="77777777" w:rsidTr="00880061">
        <w:tc>
          <w:tcPr>
            <w:tcW w:w="2009" w:type="dxa"/>
          </w:tcPr>
          <w:p w14:paraId="24F50740" w14:textId="77777777" w:rsidR="0037708F" w:rsidRPr="00326D7C" w:rsidRDefault="0037708F">
            <w:pPr>
              <w:pStyle w:val="Normal-pool"/>
              <w:spacing w:before="520"/>
              <w:rPr>
                <w:lang w:val="fr-FR"/>
              </w:rPr>
            </w:pPr>
          </w:p>
        </w:tc>
        <w:tc>
          <w:tcPr>
            <w:tcW w:w="2009" w:type="dxa"/>
          </w:tcPr>
          <w:p w14:paraId="6723FA97" w14:textId="77777777" w:rsidR="0037708F" w:rsidRPr="00326D7C" w:rsidRDefault="0037708F">
            <w:pPr>
              <w:pStyle w:val="Normal-pool"/>
              <w:spacing w:before="520"/>
              <w:rPr>
                <w:lang w:val="fr-FR"/>
              </w:rPr>
            </w:pPr>
          </w:p>
        </w:tc>
        <w:tc>
          <w:tcPr>
            <w:tcW w:w="2009" w:type="dxa"/>
            <w:tcBorders>
              <w:bottom w:val="single" w:sz="4" w:space="0" w:color="auto"/>
            </w:tcBorders>
          </w:tcPr>
          <w:p w14:paraId="6A51529D" w14:textId="77777777" w:rsidR="0037708F" w:rsidRPr="00326D7C" w:rsidRDefault="0037708F">
            <w:pPr>
              <w:pStyle w:val="Normal-pool"/>
              <w:spacing w:before="520"/>
              <w:rPr>
                <w:lang w:val="fr-FR"/>
              </w:rPr>
            </w:pPr>
          </w:p>
        </w:tc>
        <w:tc>
          <w:tcPr>
            <w:tcW w:w="2009" w:type="dxa"/>
          </w:tcPr>
          <w:p w14:paraId="4CDB301E" w14:textId="77777777" w:rsidR="0037708F" w:rsidRPr="00326D7C" w:rsidRDefault="0037708F">
            <w:pPr>
              <w:pStyle w:val="Normal-pool"/>
              <w:spacing w:before="520"/>
              <w:rPr>
                <w:lang w:val="fr-FR"/>
              </w:rPr>
            </w:pPr>
          </w:p>
        </w:tc>
        <w:tc>
          <w:tcPr>
            <w:tcW w:w="2010" w:type="dxa"/>
          </w:tcPr>
          <w:p w14:paraId="0FD1DBFF" w14:textId="77777777" w:rsidR="0037708F" w:rsidRPr="00326D7C" w:rsidRDefault="0037708F">
            <w:pPr>
              <w:pStyle w:val="Normal-pool"/>
              <w:spacing w:before="520"/>
              <w:rPr>
                <w:lang w:val="fr-FR"/>
              </w:rPr>
            </w:pPr>
          </w:p>
        </w:tc>
      </w:tr>
    </w:tbl>
    <w:p w14:paraId="02E03AE7" w14:textId="77777777" w:rsidR="0037708F" w:rsidRPr="00326D7C" w:rsidRDefault="0037708F">
      <w:pPr>
        <w:pStyle w:val="Normal-pool"/>
        <w:rPr>
          <w:lang w:val="fr-FR"/>
        </w:rPr>
      </w:pPr>
    </w:p>
    <w:sectPr w:rsidR="0037708F" w:rsidRPr="00326D7C">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5D65" w14:textId="77777777" w:rsidR="003F4B74" w:rsidRDefault="003F4B74">
      <w:r>
        <w:separator/>
      </w:r>
    </w:p>
    <w:p w14:paraId="4C22E91F" w14:textId="77777777" w:rsidR="003F4B74" w:rsidRDefault="003F4B74"/>
  </w:endnote>
  <w:endnote w:type="continuationSeparator" w:id="0">
    <w:p w14:paraId="6FD032CD" w14:textId="77777777" w:rsidR="003F4B74" w:rsidRDefault="003F4B74">
      <w:r>
        <w:continuationSeparator/>
      </w:r>
    </w:p>
    <w:p w14:paraId="2139DAE2" w14:textId="77777777" w:rsidR="003F4B74" w:rsidRDefault="003F4B74"/>
  </w:endnote>
  <w:endnote w:type="continuationNotice" w:id="1">
    <w:p w14:paraId="5C1C1AF2" w14:textId="77777777" w:rsidR="003F4B74" w:rsidRDefault="003F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6B6D851E" w:rsidR="0037708F" w:rsidRDefault="004C0D04">
    <w:pPr>
      <w:pStyle w:val="Footer"/>
    </w:pPr>
    <w:r>
      <w:rPr>
        <w:rStyle w:val="PageNumber"/>
      </w:rPr>
      <w:fldChar w:fldCharType="begin"/>
    </w:r>
    <w:r>
      <w:rPr>
        <w:rStyle w:val="PageNumber"/>
      </w:rPr>
      <w:instrText xml:space="preserve"> PAGE </w:instrText>
    </w:r>
    <w:r>
      <w:rPr>
        <w:rStyle w:val="PageNumber"/>
      </w:rPr>
      <w:fldChar w:fldCharType="separate"/>
    </w:r>
    <w:r w:rsidR="0051443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320CDF5C" w:rsidR="0037708F" w:rsidRDefault="004C0D04">
    <w:pPr>
      <w:pStyle w:val="Footer"/>
      <w:jc w:val="right"/>
    </w:pPr>
    <w:r>
      <w:rPr>
        <w:rStyle w:val="PageNumber"/>
      </w:rPr>
      <w:fldChar w:fldCharType="begin"/>
    </w:r>
    <w:r>
      <w:rPr>
        <w:rStyle w:val="PageNumber"/>
      </w:rPr>
      <w:instrText xml:space="preserve"> PAGE </w:instrText>
    </w:r>
    <w:r>
      <w:rPr>
        <w:rStyle w:val="PageNumber"/>
      </w:rPr>
      <w:fldChar w:fldCharType="separate"/>
    </w:r>
    <w:r w:rsidR="00514433">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B00" w14:textId="6F868AEF" w:rsidR="0037708F" w:rsidRDefault="001C43F3">
    <w:pPr>
      <w:pStyle w:val="Footer"/>
      <w:rPr>
        <w:sz w:val="20"/>
      </w:rPr>
    </w:pPr>
    <w:bookmarkStart w:id="82" w:name="headerBookmark_12"/>
    <w:r>
      <w:rPr>
        <w:lang w:val="fr-FR"/>
      </w:rPr>
      <w:t>K1709169</w:t>
    </w:r>
    <w:r w:rsidR="004C0D04">
      <w:rPr>
        <w:lang w:val="fr-FR"/>
      </w:rPr>
      <w:tab/>
    </w:r>
    <w:r w:rsidR="00A5323D">
      <w:rPr>
        <w:lang w:val="fr-FR"/>
      </w:rPr>
      <w:t>02</w:t>
    </w:r>
    <w:r w:rsidR="004C0D04">
      <w:rPr>
        <w:lang w:val="fr-FR"/>
      </w:rPr>
      <w:t>0</w:t>
    </w:r>
    <w:r w:rsidR="00F127B9">
      <w:rPr>
        <w:lang w:val="fr-FR"/>
      </w:rPr>
      <w:t>1</w:t>
    </w:r>
    <w:r w:rsidR="004C0D04">
      <w:rPr>
        <w:lang w:val="fr-FR"/>
      </w:rPr>
      <w:t>18</w:t>
    </w:r>
    <w:bookmarkEnd w:id="8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B45E" w14:textId="77777777" w:rsidR="003F4B74" w:rsidRDefault="003F4B74">
      <w:pPr>
        <w:spacing w:before="60"/>
        <w:ind w:left="624"/>
      </w:pPr>
      <w:r>
        <w:separator/>
      </w:r>
    </w:p>
  </w:footnote>
  <w:footnote w:type="continuationSeparator" w:id="0">
    <w:p w14:paraId="421520F6" w14:textId="77777777" w:rsidR="003F4B74" w:rsidRDefault="003F4B74">
      <w:r>
        <w:continuationSeparator/>
      </w:r>
    </w:p>
    <w:p w14:paraId="3F9E47D9" w14:textId="77777777" w:rsidR="003F4B74" w:rsidRDefault="003F4B74"/>
  </w:footnote>
  <w:footnote w:type="continuationNotice" w:id="1">
    <w:p w14:paraId="7AB15AE6" w14:textId="77777777" w:rsidR="003F4B74" w:rsidRDefault="003F4B74"/>
  </w:footnote>
  <w:footnote w:id="2">
    <w:p w14:paraId="458E1BD1" w14:textId="77777777" w:rsidR="0037708F" w:rsidRDefault="004C0D04">
      <w:pPr>
        <w:pStyle w:val="FootnoteText"/>
        <w:tabs>
          <w:tab w:val="clear" w:pos="1247"/>
          <w:tab w:val="clear" w:pos="1814"/>
          <w:tab w:val="clear" w:pos="2381"/>
          <w:tab w:val="clear" w:pos="2948"/>
          <w:tab w:val="clear" w:pos="3515"/>
          <w:tab w:val="left" w:pos="624"/>
        </w:tabs>
        <w:ind w:left="1253"/>
        <w:rPr>
          <w:szCs w:val="18"/>
        </w:rPr>
      </w:pPr>
      <w:bookmarkStart w:id="2" w:name="footnoteBookmark_23"/>
      <w:r>
        <w:rPr>
          <w:lang w:val="fr-FR"/>
        </w:rPr>
        <w:t>* IPBES/6/1.</w:t>
      </w:r>
      <w:bookmarkEnd w:id="2"/>
    </w:p>
  </w:footnote>
  <w:footnote w:id="3">
    <w:p w14:paraId="1345EF87" w14:textId="18F0415C" w:rsidR="0037708F" w:rsidRDefault="004C0D04">
      <w:pPr>
        <w:pStyle w:val="FootnoteText"/>
      </w:pPr>
      <w:r>
        <w:rPr>
          <w:rStyle w:val="FootnoteReference"/>
          <w:lang w:val="fr-FR"/>
        </w:rPr>
        <w:footnoteRef/>
      </w:r>
      <w:bookmarkStart w:id="48" w:name="footnoteBookmark_70"/>
      <w:r>
        <w:rPr>
          <w:lang w:val="fr-FR"/>
        </w:rPr>
        <w:t xml:space="preserve"> IPBES/6/10.</w:t>
      </w:r>
      <w:bookmarkEnd w:id="4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5F4CA83A" w:rsidR="0037708F" w:rsidRDefault="004C0D04">
    <w:pPr>
      <w:pStyle w:val="Header"/>
      <w:rPr>
        <w:szCs w:val="18"/>
      </w:rPr>
    </w:pPr>
    <w:bookmarkStart w:id="80" w:name="headerBookmark_11"/>
    <w:r>
      <w:rPr>
        <w:szCs w:val="18"/>
      </w:rPr>
      <w:t>IPBES/</w:t>
    </w:r>
    <w:r>
      <w:rPr>
        <w:szCs w:val="18"/>
        <w:lang w:eastAsia="ja-JP"/>
      </w:rPr>
      <w:t>6/10</w:t>
    </w:r>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1ADE9F0D" w:rsidR="0037708F" w:rsidRDefault="004C0D04">
    <w:pPr>
      <w:pStyle w:val="Header"/>
      <w:jc w:val="right"/>
      <w:rPr>
        <w:szCs w:val="18"/>
      </w:rPr>
    </w:pPr>
    <w:bookmarkStart w:id="81" w:name="headerBookmark_10"/>
    <w:r>
      <w:rPr>
        <w:szCs w:val="18"/>
      </w:rPr>
      <w:t>IPBES/</w:t>
    </w:r>
    <w:r>
      <w:rPr>
        <w:szCs w:val="18"/>
        <w:lang w:eastAsia="ja-JP"/>
      </w:rPr>
      <w:t>6/10</w:t>
    </w:r>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C703" w14:textId="1DA508BB" w:rsidR="0037708F" w:rsidRDefault="003770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5E7"/>
    <w:multiLevelType w:val="hybridMultilevel"/>
    <w:tmpl w:val="261A380C"/>
    <w:lvl w:ilvl="0" w:tplc="9C5E370C">
      <w:start w:val="1"/>
      <w:numFmt w:val="upperRoman"/>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lvlOverride w:ilvl="0">
      <w:lvl w:ilvl="0">
        <w:start w:val="1"/>
        <w:numFmt w:val="decimal"/>
        <w:pStyle w:val="Normalnumber"/>
        <w:lvlText w:val="%1."/>
        <w:lvlJc w:val="left"/>
        <w:pPr>
          <w:ind w:left="2174" w:hanging="360"/>
        </w:pPr>
        <w:rPr>
          <w:rFonts w:ascii="Times New Roman" w:eastAsia="Times New Roman" w:hAnsi="Times New Roman" w:cs="Times New Roman"/>
        </w:rPr>
      </w:lvl>
    </w:lvlOverride>
    <w:lvlOverride w:ilvl="1">
      <w:lvl w:ilvl="1">
        <w:start w:val="1"/>
        <w:numFmt w:val="lowerLetter"/>
        <w:lvlText w:val="%2)"/>
        <w:lvlJc w:val="left"/>
        <w:pPr>
          <w:ind w:left="2894" w:hanging="360"/>
        </w:pPr>
        <w:rPr>
          <w:rFonts w:ascii="Times New Roman" w:eastAsia="Times New Roman" w:hAnsi="Times New Roman" w:cs="Times New Roman"/>
        </w:r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5">
    <w:abstractNumId w:val="6"/>
  </w:num>
  <w:num w:numId="6">
    <w:abstractNumId w:val="4"/>
  </w:num>
  <w:num w:numId="7">
    <w:abstractNumId w:val="7"/>
  </w:num>
  <w:num w:numId="8">
    <w:abstractNumId w:val="1"/>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
    <w:abstractNumId w:val="0"/>
  </w:num>
  <w:num w:numId="10">
    <w:abstractNumId w:val="1"/>
    <w:lvlOverride w:ilvl="0">
      <w:lvl w:ilvl="0">
        <w:start w:val="1"/>
        <w:numFmt w:val="decimal"/>
        <w:pStyle w:val="Normalnumber"/>
        <w:lvlText w:val="%1."/>
        <w:lvlJc w:val="left"/>
        <w:pPr>
          <w:ind w:left="2174" w:hanging="360"/>
        </w:pPr>
        <w:rPr>
          <w:rFonts w:ascii="Times New Roman" w:eastAsia="Times New Roman" w:hAnsi="Times New Roman" w:cs="Times New Roman"/>
        </w:rPr>
      </w:lvl>
    </w:lvlOverride>
    <w:lvlOverride w:ilvl="1">
      <w:lvl w:ilvl="1">
        <w:start w:val="1"/>
        <w:numFmt w:val="lowerLetter"/>
        <w:lvlText w:val="%2)"/>
        <w:lvlJc w:val="left"/>
        <w:pPr>
          <w:ind w:left="2894" w:hanging="360"/>
        </w:pPr>
        <w:rPr>
          <w:rFonts w:ascii="Times New Roman" w:eastAsia="Times New Roman" w:hAnsi="Times New Roman" w:cs="Times New Roman"/>
        </w:r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11">
    <w:abstractNumId w:val="1"/>
    <w:lvlOverride w:ilvl="0">
      <w:lvl w:ilvl="0">
        <w:start w:val="1"/>
        <w:numFmt w:val="decimal"/>
        <w:pStyle w:val="Normalnumber"/>
        <w:lvlText w:val="%1."/>
        <w:lvlJc w:val="left"/>
        <w:pPr>
          <w:ind w:left="2174" w:hanging="360"/>
        </w:pPr>
        <w:rPr>
          <w:rFonts w:ascii="Times New Roman" w:eastAsia="Times New Roman" w:hAnsi="Times New Roman" w:cs="Times New Roman"/>
        </w:rPr>
      </w:lvl>
    </w:lvlOverride>
    <w:lvlOverride w:ilvl="1">
      <w:lvl w:ilvl="1">
        <w:start w:val="1"/>
        <w:numFmt w:val="lowerLetter"/>
        <w:lvlText w:val="%2)"/>
        <w:lvlJc w:val="left"/>
        <w:pPr>
          <w:ind w:left="2894" w:hanging="360"/>
        </w:pPr>
        <w:rPr>
          <w:rFonts w:ascii="Times New Roman" w:eastAsia="Times New Roman" w:hAnsi="Times New Roman" w:cs="Times New Roman"/>
        </w:r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12">
    <w:abstractNumId w:val="1"/>
    <w:lvlOverride w:ilvl="0">
      <w:lvl w:ilvl="0">
        <w:start w:val="1"/>
        <w:numFmt w:val="decimal"/>
        <w:pStyle w:val="Normalnumber"/>
        <w:lvlText w:val="%1."/>
        <w:lvlJc w:val="left"/>
        <w:pPr>
          <w:ind w:left="2174" w:hanging="360"/>
        </w:pPr>
        <w:rPr>
          <w:rFonts w:ascii="Times New Roman" w:eastAsia="Times New Roman" w:hAnsi="Times New Roman" w:cs="Times New Roman"/>
        </w:rPr>
      </w:lvl>
    </w:lvlOverride>
    <w:lvlOverride w:ilvl="1">
      <w:lvl w:ilvl="1">
        <w:start w:val="1"/>
        <w:numFmt w:val="lowerLetter"/>
        <w:lvlText w:val="%2)"/>
        <w:lvlJc w:val="left"/>
        <w:pPr>
          <w:ind w:left="2894" w:hanging="360"/>
        </w:pPr>
        <w:rPr>
          <w:rFonts w:ascii="Times New Roman" w:eastAsia="Times New Roman" w:hAnsi="Times New Roman" w:cs="Times New Roman"/>
        </w:r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800C4"/>
    <w:rsid w:val="00080B33"/>
    <w:rsid w:val="00081E43"/>
    <w:rsid w:val="00082A0C"/>
    <w:rsid w:val="000917E8"/>
    <w:rsid w:val="00094221"/>
    <w:rsid w:val="0009640C"/>
    <w:rsid w:val="000A4790"/>
    <w:rsid w:val="000B1C30"/>
    <w:rsid w:val="000B59B2"/>
    <w:rsid w:val="000C665C"/>
    <w:rsid w:val="000D33C0"/>
    <w:rsid w:val="000D523B"/>
    <w:rsid w:val="000E067F"/>
    <w:rsid w:val="000E13EF"/>
    <w:rsid w:val="000E53DF"/>
    <w:rsid w:val="000F3B6C"/>
    <w:rsid w:val="00100602"/>
    <w:rsid w:val="00102111"/>
    <w:rsid w:val="001159BB"/>
    <w:rsid w:val="001202E3"/>
    <w:rsid w:val="00121708"/>
    <w:rsid w:val="0012562E"/>
    <w:rsid w:val="001260F2"/>
    <w:rsid w:val="0013059D"/>
    <w:rsid w:val="0013398F"/>
    <w:rsid w:val="0013648B"/>
    <w:rsid w:val="00137580"/>
    <w:rsid w:val="00141A55"/>
    <w:rsid w:val="00151424"/>
    <w:rsid w:val="001554A3"/>
    <w:rsid w:val="00156281"/>
    <w:rsid w:val="0016362C"/>
    <w:rsid w:val="001657FE"/>
    <w:rsid w:val="00166FFD"/>
    <w:rsid w:val="001673CF"/>
    <w:rsid w:val="00170D4D"/>
    <w:rsid w:val="001811FA"/>
    <w:rsid w:val="00181BC9"/>
    <w:rsid w:val="00181EC8"/>
    <w:rsid w:val="00182AEE"/>
    <w:rsid w:val="00183EEE"/>
    <w:rsid w:val="00184349"/>
    <w:rsid w:val="00187A5D"/>
    <w:rsid w:val="00192269"/>
    <w:rsid w:val="0019268D"/>
    <w:rsid w:val="001A423F"/>
    <w:rsid w:val="001A64B7"/>
    <w:rsid w:val="001B08F0"/>
    <w:rsid w:val="001B1617"/>
    <w:rsid w:val="001B3588"/>
    <w:rsid w:val="001B40EE"/>
    <w:rsid w:val="001C43F3"/>
    <w:rsid w:val="001C74C3"/>
    <w:rsid w:val="001D3874"/>
    <w:rsid w:val="001D4810"/>
    <w:rsid w:val="001D7E75"/>
    <w:rsid w:val="001E26C3"/>
    <w:rsid w:val="001E28D0"/>
    <w:rsid w:val="001E56D2"/>
    <w:rsid w:val="001E7D56"/>
    <w:rsid w:val="001F034F"/>
    <w:rsid w:val="001F75DE"/>
    <w:rsid w:val="001F765B"/>
    <w:rsid w:val="00200D58"/>
    <w:rsid w:val="002013BE"/>
    <w:rsid w:val="002041A0"/>
    <w:rsid w:val="002063A4"/>
    <w:rsid w:val="0021145B"/>
    <w:rsid w:val="00215826"/>
    <w:rsid w:val="00215987"/>
    <w:rsid w:val="00221AE7"/>
    <w:rsid w:val="002231FA"/>
    <w:rsid w:val="00234B58"/>
    <w:rsid w:val="002463AF"/>
    <w:rsid w:val="002464B8"/>
    <w:rsid w:val="00247707"/>
    <w:rsid w:val="00250609"/>
    <w:rsid w:val="00250F52"/>
    <w:rsid w:val="00253901"/>
    <w:rsid w:val="00254264"/>
    <w:rsid w:val="002545F6"/>
    <w:rsid w:val="002620CD"/>
    <w:rsid w:val="002726CF"/>
    <w:rsid w:val="002732DC"/>
    <w:rsid w:val="002757F7"/>
    <w:rsid w:val="002773E9"/>
    <w:rsid w:val="00286740"/>
    <w:rsid w:val="00287E60"/>
    <w:rsid w:val="00291B5D"/>
    <w:rsid w:val="002929D8"/>
    <w:rsid w:val="0029799E"/>
    <w:rsid w:val="002A0E0D"/>
    <w:rsid w:val="002A237D"/>
    <w:rsid w:val="002A4C53"/>
    <w:rsid w:val="002A564F"/>
    <w:rsid w:val="002A6A11"/>
    <w:rsid w:val="002B035E"/>
    <w:rsid w:val="002B0737"/>
    <w:rsid w:val="002B56EA"/>
    <w:rsid w:val="002C145D"/>
    <w:rsid w:val="002C2C3E"/>
    <w:rsid w:val="002C3453"/>
    <w:rsid w:val="002C533E"/>
    <w:rsid w:val="002C7132"/>
    <w:rsid w:val="002D027F"/>
    <w:rsid w:val="002D146C"/>
    <w:rsid w:val="002D3489"/>
    <w:rsid w:val="002D3D4C"/>
    <w:rsid w:val="002D7B60"/>
    <w:rsid w:val="002E0A87"/>
    <w:rsid w:val="002E0D90"/>
    <w:rsid w:val="002E3EA7"/>
    <w:rsid w:val="002F176E"/>
    <w:rsid w:val="002F1F0E"/>
    <w:rsid w:val="002F312A"/>
    <w:rsid w:val="002F4761"/>
    <w:rsid w:val="002F5B0F"/>
    <w:rsid w:val="002F6E0C"/>
    <w:rsid w:val="003029A1"/>
    <w:rsid w:val="003056C1"/>
    <w:rsid w:val="00306B12"/>
    <w:rsid w:val="003124FF"/>
    <w:rsid w:val="0031413F"/>
    <w:rsid w:val="00320BDB"/>
    <w:rsid w:val="003212A9"/>
    <w:rsid w:val="00326D7C"/>
    <w:rsid w:val="003364FF"/>
    <w:rsid w:val="00336901"/>
    <w:rsid w:val="00337F63"/>
    <w:rsid w:val="00341F94"/>
    <w:rsid w:val="00342061"/>
    <w:rsid w:val="003446B5"/>
    <w:rsid w:val="0034548C"/>
    <w:rsid w:val="00350017"/>
    <w:rsid w:val="003503B6"/>
    <w:rsid w:val="00352964"/>
    <w:rsid w:val="00352F00"/>
    <w:rsid w:val="00355EA9"/>
    <w:rsid w:val="0037708F"/>
    <w:rsid w:val="00377EB9"/>
    <w:rsid w:val="00385963"/>
    <w:rsid w:val="00387932"/>
    <w:rsid w:val="00394E92"/>
    <w:rsid w:val="00396257"/>
    <w:rsid w:val="00397909"/>
    <w:rsid w:val="00397EB8"/>
    <w:rsid w:val="003A4FD0"/>
    <w:rsid w:val="003A69D1"/>
    <w:rsid w:val="003A6EF9"/>
    <w:rsid w:val="003B0C0D"/>
    <w:rsid w:val="003B1545"/>
    <w:rsid w:val="003B32FC"/>
    <w:rsid w:val="003B41D2"/>
    <w:rsid w:val="003B57B7"/>
    <w:rsid w:val="003B72EF"/>
    <w:rsid w:val="003B7A70"/>
    <w:rsid w:val="003C409D"/>
    <w:rsid w:val="003C4EFB"/>
    <w:rsid w:val="003C670D"/>
    <w:rsid w:val="003D2B36"/>
    <w:rsid w:val="003E05E6"/>
    <w:rsid w:val="003E09A0"/>
    <w:rsid w:val="003E395B"/>
    <w:rsid w:val="003E5FEA"/>
    <w:rsid w:val="003E7728"/>
    <w:rsid w:val="003F07BD"/>
    <w:rsid w:val="003F0E85"/>
    <w:rsid w:val="003F4B74"/>
    <w:rsid w:val="00400EFD"/>
    <w:rsid w:val="00403755"/>
    <w:rsid w:val="00404648"/>
    <w:rsid w:val="00404965"/>
    <w:rsid w:val="00410C55"/>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5F50"/>
    <w:rsid w:val="00476C56"/>
    <w:rsid w:val="00480742"/>
    <w:rsid w:val="004827F3"/>
    <w:rsid w:val="00493E19"/>
    <w:rsid w:val="00494455"/>
    <w:rsid w:val="00495289"/>
    <w:rsid w:val="00496EFB"/>
    <w:rsid w:val="004A1438"/>
    <w:rsid w:val="004A36DE"/>
    <w:rsid w:val="004A4744"/>
    <w:rsid w:val="004B0A4B"/>
    <w:rsid w:val="004B1F4A"/>
    <w:rsid w:val="004B4652"/>
    <w:rsid w:val="004B5666"/>
    <w:rsid w:val="004C0D04"/>
    <w:rsid w:val="004C5C96"/>
    <w:rsid w:val="004D06A4"/>
    <w:rsid w:val="004D6638"/>
    <w:rsid w:val="004E1BBB"/>
    <w:rsid w:val="004E6336"/>
    <w:rsid w:val="004F1A81"/>
    <w:rsid w:val="004F2D0E"/>
    <w:rsid w:val="0050619E"/>
    <w:rsid w:val="00507F32"/>
    <w:rsid w:val="00512808"/>
    <w:rsid w:val="0051335F"/>
    <w:rsid w:val="00514433"/>
    <w:rsid w:val="005160EC"/>
    <w:rsid w:val="005218D9"/>
    <w:rsid w:val="005269C4"/>
    <w:rsid w:val="005341C5"/>
    <w:rsid w:val="0053431C"/>
    <w:rsid w:val="00535BDA"/>
    <w:rsid w:val="00536186"/>
    <w:rsid w:val="00537EC1"/>
    <w:rsid w:val="00543454"/>
    <w:rsid w:val="00544198"/>
    <w:rsid w:val="005453ED"/>
    <w:rsid w:val="0055008F"/>
    <w:rsid w:val="00550273"/>
    <w:rsid w:val="00550DF7"/>
    <w:rsid w:val="00555DC6"/>
    <w:rsid w:val="005628E3"/>
    <w:rsid w:val="00565DCE"/>
    <w:rsid w:val="0057037E"/>
    <w:rsid w:val="00571ED8"/>
    <w:rsid w:val="00572430"/>
    <w:rsid w:val="0057315F"/>
    <w:rsid w:val="00573200"/>
    <w:rsid w:val="00574792"/>
    <w:rsid w:val="00574E0C"/>
    <w:rsid w:val="00574E93"/>
    <w:rsid w:val="005750B4"/>
    <w:rsid w:val="0058044D"/>
    <w:rsid w:val="00584B14"/>
    <w:rsid w:val="005858AD"/>
    <w:rsid w:val="0058611F"/>
    <w:rsid w:val="0058768E"/>
    <w:rsid w:val="0059580D"/>
    <w:rsid w:val="005A0602"/>
    <w:rsid w:val="005A1B2D"/>
    <w:rsid w:val="005A59FE"/>
    <w:rsid w:val="005B0DDF"/>
    <w:rsid w:val="005B584B"/>
    <w:rsid w:val="005C00D1"/>
    <w:rsid w:val="005C481F"/>
    <w:rsid w:val="005C6047"/>
    <w:rsid w:val="005C67C8"/>
    <w:rsid w:val="005D0249"/>
    <w:rsid w:val="005D36D1"/>
    <w:rsid w:val="005D4E57"/>
    <w:rsid w:val="005F05FD"/>
    <w:rsid w:val="005F100C"/>
    <w:rsid w:val="005F1648"/>
    <w:rsid w:val="005F7986"/>
    <w:rsid w:val="005F7B75"/>
    <w:rsid w:val="00604768"/>
    <w:rsid w:val="00607ABA"/>
    <w:rsid w:val="0061054B"/>
    <w:rsid w:val="006119BC"/>
    <w:rsid w:val="00614864"/>
    <w:rsid w:val="0061660A"/>
    <w:rsid w:val="00620F1E"/>
    <w:rsid w:val="00621F9B"/>
    <w:rsid w:val="006231AF"/>
    <w:rsid w:val="00623998"/>
    <w:rsid w:val="006252F5"/>
    <w:rsid w:val="006303B4"/>
    <w:rsid w:val="00630DE1"/>
    <w:rsid w:val="00636518"/>
    <w:rsid w:val="006370DB"/>
    <w:rsid w:val="00637CE4"/>
    <w:rsid w:val="00641396"/>
    <w:rsid w:val="00641703"/>
    <w:rsid w:val="006421CF"/>
    <w:rsid w:val="006431A6"/>
    <w:rsid w:val="006459F6"/>
    <w:rsid w:val="006474E9"/>
    <w:rsid w:val="006501AD"/>
    <w:rsid w:val="0065086E"/>
    <w:rsid w:val="00651BFA"/>
    <w:rsid w:val="00667141"/>
    <w:rsid w:val="00673954"/>
    <w:rsid w:val="00680C84"/>
    <w:rsid w:val="006848C8"/>
    <w:rsid w:val="00686FD9"/>
    <w:rsid w:val="00692E2A"/>
    <w:rsid w:val="006968D2"/>
    <w:rsid w:val="006A6838"/>
    <w:rsid w:val="006A76F2"/>
    <w:rsid w:val="006B23FC"/>
    <w:rsid w:val="006B2B6C"/>
    <w:rsid w:val="006C3C12"/>
    <w:rsid w:val="006C740F"/>
    <w:rsid w:val="006D3683"/>
    <w:rsid w:val="006D7EFB"/>
    <w:rsid w:val="006E2006"/>
    <w:rsid w:val="006E2D3B"/>
    <w:rsid w:val="006E3441"/>
    <w:rsid w:val="006E6722"/>
    <w:rsid w:val="006F5B20"/>
    <w:rsid w:val="006F7C94"/>
    <w:rsid w:val="00700A0F"/>
    <w:rsid w:val="00702508"/>
    <w:rsid w:val="007027B9"/>
    <w:rsid w:val="00705F05"/>
    <w:rsid w:val="00714C5E"/>
    <w:rsid w:val="00715E88"/>
    <w:rsid w:val="00722341"/>
    <w:rsid w:val="00723B64"/>
    <w:rsid w:val="0072504C"/>
    <w:rsid w:val="0073025E"/>
    <w:rsid w:val="00734CAA"/>
    <w:rsid w:val="00736B0A"/>
    <w:rsid w:val="00745F24"/>
    <w:rsid w:val="00746D9D"/>
    <w:rsid w:val="007532F9"/>
    <w:rsid w:val="00754B14"/>
    <w:rsid w:val="00757581"/>
    <w:rsid w:val="00757CA2"/>
    <w:rsid w:val="0076107C"/>
    <w:rsid w:val="0077008E"/>
    <w:rsid w:val="00772F40"/>
    <w:rsid w:val="007737A8"/>
    <w:rsid w:val="0079062B"/>
    <w:rsid w:val="007964D9"/>
    <w:rsid w:val="007A0685"/>
    <w:rsid w:val="007A5746"/>
    <w:rsid w:val="007A5C12"/>
    <w:rsid w:val="007B3217"/>
    <w:rsid w:val="007B36DE"/>
    <w:rsid w:val="007C2541"/>
    <w:rsid w:val="007C59FD"/>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9B3"/>
    <w:rsid w:val="00843576"/>
    <w:rsid w:val="00843B64"/>
    <w:rsid w:val="00847554"/>
    <w:rsid w:val="00853640"/>
    <w:rsid w:val="00854EB8"/>
    <w:rsid w:val="008556AE"/>
    <w:rsid w:val="0086242F"/>
    <w:rsid w:val="00867BFF"/>
    <w:rsid w:val="00871513"/>
    <w:rsid w:val="008739BA"/>
    <w:rsid w:val="00880061"/>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523E"/>
    <w:rsid w:val="008F1ECC"/>
    <w:rsid w:val="008F5894"/>
    <w:rsid w:val="008F7B79"/>
    <w:rsid w:val="00901521"/>
    <w:rsid w:val="00911AB0"/>
    <w:rsid w:val="00914084"/>
    <w:rsid w:val="0092178C"/>
    <w:rsid w:val="00931577"/>
    <w:rsid w:val="0093222C"/>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64E3B"/>
    <w:rsid w:val="00966754"/>
    <w:rsid w:val="00970E74"/>
    <w:rsid w:val="00971C9A"/>
    <w:rsid w:val="00975552"/>
    <w:rsid w:val="0098071E"/>
    <w:rsid w:val="00983EE2"/>
    <w:rsid w:val="0098413D"/>
    <w:rsid w:val="00986F26"/>
    <w:rsid w:val="0098795B"/>
    <w:rsid w:val="00992D72"/>
    <w:rsid w:val="009A2923"/>
    <w:rsid w:val="009A4ACC"/>
    <w:rsid w:val="009A6528"/>
    <w:rsid w:val="009B4A0F"/>
    <w:rsid w:val="009B78F6"/>
    <w:rsid w:val="009C1324"/>
    <w:rsid w:val="009C2890"/>
    <w:rsid w:val="009C2F37"/>
    <w:rsid w:val="009C6D94"/>
    <w:rsid w:val="009C725F"/>
    <w:rsid w:val="009D0B63"/>
    <w:rsid w:val="009D3F3B"/>
    <w:rsid w:val="009D59AB"/>
    <w:rsid w:val="009E6DF7"/>
    <w:rsid w:val="00A032B3"/>
    <w:rsid w:val="00A1348D"/>
    <w:rsid w:val="00A14A1D"/>
    <w:rsid w:val="00A17BA5"/>
    <w:rsid w:val="00A232EE"/>
    <w:rsid w:val="00A25358"/>
    <w:rsid w:val="00A41B84"/>
    <w:rsid w:val="00A42891"/>
    <w:rsid w:val="00A44411"/>
    <w:rsid w:val="00A469FA"/>
    <w:rsid w:val="00A5323D"/>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0568"/>
    <w:rsid w:val="00AA31A3"/>
    <w:rsid w:val="00AA3A0E"/>
    <w:rsid w:val="00AA4E66"/>
    <w:rsid w:val="00AB2918"/>
    <w:rsid w:val="00AB5340"/>
    <w:rsid w:val="00AC7790"/>
    <w:rsid w:val="00AC7C96"/>
    <w:rsid w:val="00AD07F8"/>
    <w:rsid w:val="00AD3BAC"/>
    <w:rsid w:val="00AD6913"/>
    <w:rsid w:val="00AD7C9B"/>
    <w:rsid w:val="00AE237D"/>
    <w:rsid w:val="00AE3BB4"/>
    <w:rsid w:val="00AE5B98"/>
    <w:rsid w:val="00AE78E0"/>
    <w:rsid w:val="00AE7DFE"/>
    <w:rsid w:val="00AF1164"/>
    <w:rsid w:val="00AF34B1"/>
    <w:rsid w:val="00AF7249"/>
    <w:rsid w:val="00AF7C07"/>
    <w:rsid w:val="00B02DB7"/>
    <w:rsid w:val="00B04D46"/>
    <w:rsid w:val="00B063E8"/>
    <w:rsid w:val="00B13586"/>
    <w:rsid w:val="00B17933"/>
    <w:rsid w:val="00B20FAE"/>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6DA2"/>
    <w:rsid w:val="00C30C63"/>
    <w:rsid w:val="00C3419C"/>
    <w:rsid w:val="00C41236"/>
    <w:rsid w:val="00C47B77"/>
    <w:rsid w:val="00C50649"/>
    <w:rsid w:val="00C50C11"/>
    <w:rsid w:val="00C51F45"/>
    <w:rsid w:val="00C549DA"/>
    <w:rsid w:val="00C558DA"/>
    <w:rsid w:val="00C55AF0"/>
    <w:rsid w:val="00C57664"/>
    <w:rsid w:val="00C644FB"/>
    <w:rsid w:val="00C67678"/>
    <w:rsid w:val="00C725DC"/>
    <w:rsid w:val="00C84759"/>
    <w:rsid w:val="00C90FDD"/>
    <w:rsid w:val="00C93203"/>
    <w:rsid w:val="00C93A3A"/>
    <w:rsid w:val="00C956B3"/>
    <w:rsid w:val="00C95831"/>
    <w:rsid w:val="00C961BB"/>
    <w:rsid w:val="00CA2CB5"/>
    <w:rsid w:val="00CA3FEB"/>
    <w:rsid w:val="00CA5494"/>
    <w:rsid w:val="00CA6C7F"/>
    <w:rsid w:val="00CB1404"/>
    <w:rsid w:val="00CB5521"/>
    <w:rsid w:val="00CC10A6"/>
    <w:rsid w:val="00CC2354"/>
    <w:rsid w:val="00CD2A97"/>
    <w:rsid w:val="00CD2BA6"/>
    <w:rsid w:val="00CD3D68"/>
    <w:rsid w:val="00CD7044"/>
    <w:rsid w:val="00CE2264"/>
    <w:rsid w:val="00CE229D"/>
    <w:rsid w:val="00CE2A2D"/>
    <w:rsid w:val="00CE524C"/>
    <w:rsid w:val="00CE5FCF"/>
    <w:rsid w:val="00CF141F"/>
    <w:rsid w:val="00CF1A24"/>
    <w:rsid w:val="00CF4777"/>
    <w:rsid w:val="00CF7C54"/>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E8C"/>
    <w:rsid w:val="00D539B7"/>
    <w:rsid w:val="00D62076"/>
    <w:rsid w:val="00D63B8C"/>
    <w:rsid w:val="00D71D25"/>
    <w:rsid w:val="00D72AE3"/>
    <w:rsid w:val="00D739CC"/>
    <w:rsid w:val="00D76614"/>
    <w:rsid w:val="00D8093D"/>
    <w:rsid w:val="00D80A9A"/>
    <w:rsid w:val="00D8108C"/>
    <w:rsid w:val="00D82D20"/>
    <w:rsid w:val="00D8418A"/>
    <w:rsid w:val="00D842AE"/>
    <w:rsid w:val="00D85BD1"/>
    <w:rsid w:val="00D9211C"/>
    <w:rsid w:val="00D92DE0"/>
    <w:rsid w:val="00D93A0F"/>
    <w:rsid w:val="00D956AE"/>
    <w:rsid w:val="00D96369"/>
    <w:rsid w:val="00D97F1C"/>
    <w:rsid w:val="00DA1BCA"/>
    <w:rsid w:val="00DA400B"/>
    <w:rsid w:val="00DA527D"/>
    <w:rsid w:val="00DA7368"/>
    <w:rsid w:val="00DB1194"/>
    <w:rsid w:val="00DB2A9F"/>
    <w:rsid w:val="00DC0B8D"/>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F3B"/>
    <w:rsid w:val="00E04301"/>
    <w:rsid w:val="00E06389"/>
    <w:rsid w:val="00E06797"/>
    <w:rsid w:val="00E07216"/>
    <w:rsid w:val="00E10FB7"/>
    <w:rsid w:val="00E110C8"/>
    <w:rsid w:val="00E1511C"/>
    <w:rsid w:val="00E17BD4"/>
    <w:rsid w:val="00E215B0"/>
    <w:rsid w:val="00E21C83"/>
    <w:rsid w:val="00E2657C"/>
    <w:rsid w:val="00E302D9"/>
    <w:rsid w:val="00E31C4A"/>
    <w:rsid w:val="00E41FB3"/>
    <w:rsid w:val="00E4304E"/>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81947"/>
    <w:rsid w:val="00E85B7D"/>
    <w:rsid w:val="00E9121B"/>
    <w:rsid w:val="00E92B5F"/>
    <w:rsid w:val="00EA0B53"/>
    <w:rsid w:val="00EA0F3E"/>
    <w:rsid w:val="00EA1C2C"/>
    <w:rsid w:val="00EA39E5"/>
    <w:rsid w:val="00EA5E5C"/>
    <w:rsid w:val="00EB1B8B"/>
    <w:rsid w:val="00EB1CC0"/>
    <w:rsid w:val="00EC0F91"/>
    <w:rsid w:val="00EC3219"/>
    <w:rsid w:val="00EC388E"/>
    <w:rsid w:val="00EC42AC"/>
    <w:rsid w:val="00EC5A46"/>
    <w:rsid w:val="00EC63E2"/>
    <w:rsid w:val="00EC6548"/>
    <w:rsid w:val="00ED75BF"/>
    <w:rsid w:val="00EE17B3"/>
    <w:rsid w:val="00EE1A7F"/>
    <w:rsid w:val="00EF22B3"/>
    <w:rsid w:val="00EF2844"/>
    <w:rsid w:val="00F044F7"/>
    <w:rsid w:val="00F064C1"/>
    <w:rsid w:val="00F113DA"/>
    <w:rsid w:val="00F12540"/>
    <w:rsid w:val="00F127B9"/>
    <w:rsid w:val="00F17586"/>
    <w:rsid w:val="00F22D44"/>
    <w:rsid w:val="00F32F67"/>
    <w:rsid w:val="00F366DE"/>
    <w:rsid w:val="00F37DC8"/>
    <w:rsid w:val="00F41127"/>
    <w:rsid w:val="00F41CC8"/>
    <w:rsid w:val="00F42017"/>
    <w:rsid w:val="00F47CD5"/>
    <w:rsid w:val="00F5341A"/>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C4B93B"/>
  <w15:docId w15:val="{7B92D991-2ABB-4929-BDE6-539F50F6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character" w:styleId="Emphasis">
    <w:name w:val="Emphasis"/>
    <w:basedOn w:val="DefaultParagraphFont"/>
    <w:uiPriority w:val="20"/>
    <w:qFormat/>
    <w:rsid w:val="00126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1.wd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nterm.un.org/DGAACS/unterm.nsf/WebView/89752D0EE42F5EDF852575EC006B64B1?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DC87-44BB-BEF4-4E3B644CF3B8}"/>
            </c:ext>
          </c:extLst>
        </c:ser>
        <c:dLbls>
          <c:showLegendKey val="0"/>
          <c:showVal val="0"/>
          <c:showCatName val="0"/>
          <c:showSerName val="0"/>
          <c:showPercent val="0"/>
          <c:showBubbleSize val="0"/>
        </c:dLbls>
        <c:gapWidth val="219"/>
        <c:overlap val="-27"/>
        <c:axId val="-1214730048"/>
        <c:axId val="-1215559808"/>
      </c:barChart>
      <c:catAx>
        <c:axId val="-12147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559808"/>
        <c:crosses val="autoZero"/>
        <c:auto val="1"/>
        <c:lblAlgn val="ctr"/>
        <c:lblOffset val="100"/>
        <c:noMultiLvlLbl val="0"/>
      </c:catAx>
      <c:valAx>
        <c:axId val="-121555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73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72931930321397E-2"/>
          <c:y val="3.7385618606209502E-2"/>
          <c:w val="0.91434160455515801"/>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0.44981432130447602</c:v>
                  </c:pt>
                </c:numCache>
              </c:numRef>
            </c:plus>
            <c:minus>
              <c:numRef>
                <c:f>Deviation!$C$109</c:f>
                <c:numCache>
                  <c:formatCode>General</c:formatCode>
                  <c:ptCount val="1"/>
                  <c:pt idx="0">
                    <c:v>0.44981432130447602</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4C45-482F-A00A-EF35ABF22880}"/>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0.34725257710687202</c:v>
                  </c:pt>
                </c:numCache>
              </c:numRef>
            </c:plus>
            <c:minus>
              <c:numRef>
                <c:f>Deviation!$D$109</c:f>
                <c:numCache>
                  <c:formatCode>General</c:formatCode>
                  <c:ptCount val="1"/>
                  <c:pt idx="0">
                    <c:v>0.34725257710687202</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4C45-482F-A00A-EF35ABF22880}"/>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0.53238477705558496</c:v>
                  </c:pt>
                </c:numCache>
              </c:numRef>
            </c:plus>
            <c:minus>
              <c:numRef>
                <c:f>Deviation!$E$109</c:f>
                <c:numCache>
                  <c:formatCode>General</c:formatCode>
                  <c:ptCount val="1"/>
                  <c:pt idx="0">
                    <c:v>0.53238477705558496</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3.3901647685644201</c:v>
                </c:pt>
              </c:numCache>
            </c:numRef>
          </c:val>
          <c:extLst>
            <c:ext xmlns:c16="http://schemas.microsoft.com/office/drawing/2014/chart" uri="{C3380CC4-5D6E-409C-BE32-E72D297353CC}">
              <c16:uniqueId val="{00000002-4C45-482F-A00A-EF35ABF22880}"/>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0.33769227367447902</c:v>
                  </c:pt>
                </c:numCache>
              </c:numRef>
            </c:plus>
            <c:minus>
              <c:numRef>
                <c:f>Deviation!$F$109</c:f>
                <c:numCache>
                  <c:formatCode>General</c:formatCode>
                  <c:ptCount val="1"/>
                  <c:pt idx="0">
                    <c:v>0.33769227367447902</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4C45-482F-A00A-EF35ABF22880}"/>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0.38126744933041701</c:v>
                  </c:pt>
                </c:numCache>
              </c:numRef>
            </c:plus>
            <c:minus>
              <c:numRef>
                <c:f>Deviation!$G$109</c:f>
                <c:numCache>
                  <c:formatCode>General</c:formatCode>
                  <c:ptCount val="1"/>
                  <c:pt idx="0">
                    <c:v>0.38126744933041701</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3.3378759428001841</c:v>
                </c:pt>
              </c:numCache>
            </c:numRef>
          </c:val>
          <c:extLst>
            <c:ext xmlns:c16="http://schemas.microsoft.com/office/drawing/2014/chart" uri="{C3380CC4-5D6E-409C-BE32-E72D297353CC}">
              <c16:uniqueId val="{00000004-4C45-482F-A00A-EF35ABF22880}"/>
            </c:ext>
          </c:extLst>
        </c:ser>
        <c:dLbls>
          <c:showLegendKey val="0"/>
          <c:showVal val="1"/>
          <c:showCatName val="0"/>
          <c:showSerName val="0"/>
          <c:showPercent val="0"/>
          <c:showBubbleSize val="0"/>
        </c:dLbls>
        <c:gapWidth val="219"/>
        <c:overlap val="-47"/>
        <c:axId val="2107863464"/>
        <c:axId val="2061617560"/>
      </c:barChart>
      <c:catAx>
        <c:axId val="2107863464"/>
        <c:scaling>
          <c:orientation val="minMax"/>
        </c:scaling>
        <c:delete val="1"/>
        <c:axPos val="b"/>
        <c:numFmt formatCode="General" sourceLinked="1"/>
        <c:majorTickMark val="none"/>
        <c:minorTickMark val="none"/>
        <c:tickLblPos val="nextTo"/>
        <c:crossAx val="2061617560"/>
        <c:crosses val="autoZero"/>
        <c:auto val="1"/>
        <c:lblAlgn val="ctr"/>
        <c:lblOffset val="100"/>
        <c:noMultiLvlLbl val="0"/>
      </c:catAx>
      <c:valAx>
        <c:axId val="206161756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6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0.181</cdr:x>
      <cdr:y>0.93141</cdr:y>
    </cdr:from>
    <cdr:to>
      <cdr:x>0.28876</cdr:x>
      <cdr:y>0.98235</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1255862" y="3480437"/>
          <a:ext cx="747728" cy="1903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chemeClr val="tx1">
                  <a:lumMod val="50000"/>
                  <a:lumOff val="50000"/>
                </a:schemeClr>
              </a:solidFill>
            </a:rPr>
            <a:t>Bureau</a:t>
          </a:r>
        </a:p>
      </cdr:txBody>
    </cdr:sp>
  </cdr:relSizeAnchor>
  <cdr:relSizeAnchor xmlns:cdr="http://schemas.openxmlformats.org/drawingml/2006/chartDrawing">
    <cdr:from>
      <cdr:x>0.61674</cdr:x>
      <cdr:y>0.92243</cdr:y>
    </cdr:from>
    <cdr:to>
      <cdr:x>0.71989</cdr:x>
      <cdr:y>0.97647</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456910" y="2911729"/>
          <a:ext cx="578170" cy="17058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Secr</a:t>
          </a:r>
          <a:r>
            <a:rPr lang="fr-FR" sz="900">
              <a:solidFill>
                <a:schemeClr val="bg1">
                  <a:lumMod val="50000"/>
                </a:schemeClr>
              </a:solidFill>
            </a:rPr>
            <a:t>é</a:t>
          </a:r>
          <a:r>
            <a:rPr lang="en-GB" sz="900">
              <a:solidFill>
                <a:schemeClr val="bg1">
                  <a:lumMod val="50000"/>
                </a:schemeClr>
              </a:solidFill>
            </a:rPr>
            <a:t>tariat</a:t>
          </a:r>
        </a:p>
      </cdr:txBody>
    </cdr:sp>
  </cdr:relSizeAnchor>
  <cdr:relSizeAnchor xmlns:cdr="http://schemas.openxmlformats.org/drawingml/2006/chartDrawing">
    <cdr:from>
      <cdr:x>0.41462</cdr:x>
      <cdr:y>0.92251</cdr:y>
    </cdr:from>
    <cdr:to>
      <cdr:x>0.60836</cdr:x>
      <cdr:y>1</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2323990" y="2911989"/>
          <a:ext cx="1085960" cy="2445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solidFill>
                <a:schemeClr val="bg2">
                  <a:lumMod val="50000"/>
                </a:schemeClr>
              </a:solidFill>
            </a:rPr>
            <a:t>Correspondants </a:t>
          </a:r>
          <a:r>
            <a:rPr lang="en-GB" sz="900" baseline="0">
              <a:solidFill>
                <a:schemeClr val="bg2">
                  <a:lumMod val="50000"/>
                </a:schemeClr>
              </a:solidFill>
            </a:rPr>
            <a:t>nationaux</a:t>
          </a:r>
          <a:endParaRPr lang="en-GB" sz="900">
            <a:solidFill>
              <a:schemeClr val="bg2">
                <a:lumMod val="50000"/>
              </a:schemeClr>
            </a:solidFill>
          </a:endParaRPr>
        </a:p>
      </cdr:txBody>
    </cdr:sp>
  </cdr:relSizeAnchor>
  <cdr:relSizeAnchor xmlns:cdr="http://schemas.openxmlformats.org/drawingml/2006/chartDrawing">
    <cdr:from>
      <cdr:x>0.32088</cdr:x>
      <cdr:y>0.92749</cdr:y>
    </cdr:from>
    <cdr:to>
      <cdr:x>0.42403</cdr:x>
      <cdr:y>0.97843</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1798553" y="2927701"/>
          <a:ext cx="578171" cy="1607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tx1">
                  <a:lumMod val="50000"/>
                  <a:lumOff val="50000"/>
                </a:schemeClr>
              </a:solidFill>
            </a:rPr>
            <a:t>GEM</a:t>
          </a:r>
        </a:p>
      </cdr:txBody>
    </cdr:sp>
  </cdr:relSizeAnchor>
  <cdr:relSizeAnchor xmlns:cdr="http://schemas.openxmlformats.org/drawingml/2006/chartDrawing">
    <cdr:from>
      <cdr:x>0.74156</cdr:x>
      <cdr:y>0.92398</cdr:y>
    </cdr:from>
    <cdr:to>
      <cdr:x>0.84471</cdr:x>
      <cdr:y>0.97255</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5145405" y="3452664"/>
          <a:ext cx="715683" cy="1814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Sélection d'experts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www.w3.org/XML/1998/namespace"/>
    <ds:schemaRef ds:uri="http://schemas.openxmlformats.org/package/2006/metadata/core-properties"/>
    <ds:schemaRef ds:uri="http://purl.org/dc/elements/1.1/"/>
    <ds:schemaRef ds:uri="http://schemas.microsoft.com/office/infopath/2007/PartnerControls"/>
    <ds:schemaRef ds:uri="d4f199e1-8ff6-4421-800c-b60412eeab13"/>
    <ds:schemaRef ds:uri="http://schemas.microsoft.com/office/2006/metadata/properties"/>
    <ds:schemaRef ds:uri="http://purl.org/dc/terms/"/>
    <ds:schemaRef ds:uri="http://purl.org/dc/dcmitype/"/>
    <ds:schemaRef ds:uri="http://schemas.microsoft.com/office/2006/documentManagement/types"/>
    <ds:schemaRef ds:uri="699a0643-be3a-4930-aa07-4f5905529aa4"/>
    <ds:schemaRef ds:uri="9a8f22b8-05ea-4936-a963-5334b0fbdd5f"/>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2F2967EB-2747-4999-8E4B-EF7CFDBA7698}">
  <ds:schemaRefs>
    <ds:schemaRef ds:uri="http://schemas.openxmlformats.org/officeDocument/2006/bibliography"/>
  </ds:schemaRefs>
</ds:datastoreItem>
</file>

<file path=customXml/itemProps5.xml><?xml version="1.0" encoding="utf-8"?>
<ds:datastoreItem xmlns:ds="http://schemas.openxmlformats.org/officeDocument/2006/customXml" ds:itemID="{8E54A23A-60ED-4C2F-87B1-96093ED6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8</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dc:description/>
  <cp:lastModifiedBy>Sarah Banda-Genchev ( IPBES Secretariat )</cp:lastModifiedBy>
  <cp:revision>2</cp:revision>
  <cp:lastPrinted>2018-02-02T10:28:00Z</cp:lastPrinted>
  <dcterms:created xsi:type="dcterms:W3CDTF">2018-02-05T14:23:00Z</dcterms:created>
  <dcterms:modified xsi:type="dcterms:W3CDTF">2018-02-05T14:23:00Z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veronique.racine espinosa</vt:lpwstr>
  </property>
  <property fmtid="{D5CDD505-2E9C-101B-9397-08002B2CF9AE}" pid="9" name="GeneratedDate">
    <vt:lpwstr>1/28/2018 6:18:13 PM</vt:lpwstr>
  </property>
  <property fmtid="{D5CDD505-2E9C-101B-9397-08002B2CF9AE}" pid="10" name="OriginalDocID">
    <vt:lpwstr>b2cc3b14-3648-4060-ae47-d31321d2d6a4</vt:lpwstr>
  </property>
</Properties>
</file>