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50" w:type="pct"/>
        <w:jc w:val="right"/>
        <w:tblLayout w:type="fixed"/>
        <w:tblLook w:val="04A0" w:firstRow="1" w:lastRow="0" w:firstColumn="1" w:lastColumn="0" w:noHBand="0" w:noVBand="1"/>
      </w:tblPr>
      <w:tblGrid>
        <w:gridCol w:w="1476"/>
        <w:gridCol w:w="559"/>
        <w:gridCol w:w="420"/>
        <w:gridCol w:w="838"/>
        <w:gridCol w:w="839"/>
        <w:gridCol w:w="3202"/>
        <w:gridCol w:w="699"/>
        <w:gridCol w:w="1777"/>
      </w:tblGrid>
      <w:tr w:rsidR="00AC5270" w:rsidRPr="006D42BA" w14:paraId="67509066" w14:textId="77777777" w:rsidTr="00431BCF">
        <w:trPr>
          <w:cantSplit/>
          <w:trHeight w:val="1247"/>
          <w:jc w:val="right"/>
        </w:trPr>
        <w:tc>
          <w:tcPr>
            <w:tcW w:w="1475" w:type="dxa"/>
            <w:hideMark/>
          </w:tcPr>
          <w:p w14:paraId="793370DF" w14:textId="77777777" w:rsidR="00AC5270" w:rsidRPr="006D42BA" w:rsidRDefault="00AC5270" w:rsidP="00431BCF">
            <w:pPr>
              <w:keepNext/>
              <w:tabs>
                <w:tab w:val="left" w:pos="1560"/>
              </w:tabs>
              <w:spacing w:before="40"/>
              <w:ind w:left="-113" w:right="-113"/>
              <w:outlineLvl w:val="1"/>
              <w:rPr>
                <w:rFonts w:eastAsia="Times New Roman"/>
                <w:sz w:val="27"/>
                <w:szCs w:val="27"/>
                <w:lang w:val="es-ES"/>
              </w:rPr>
            </w:pPr>
            <w:bookmarkStart w:id="0" w:name="bookmark_22"/>
            <w:bookmarkStart w:id="1" w:name="_GoBack"/>
            <w:bookmarkEnd w:id="1"/>
            <w:r w:rsidRPr="006D42BA">
              <w:rPr>
                <w:rFonts w:ascii="Arial" w:eastAsia="Times New Roman" w:hAnsi="Arial" w:cs="Arial"/>
                <w:b/>
                <w:sz w:val="27"/>
                <w:szCs w:val="27"/>
                <w:lang w:val="es-ES"/>
              </w:rPr>
              <w:t>NACIONES UNIDAS</w:t>
            </w:r>
          </w:p>
        </w:tc>
        <w:tc>
          <w:tcPr>
            <w:tcW w:w="979" w:type="dxa"/>
            <w:gridSpan w:val="2"/>
            <w:vAlign w:val="center"/>
            <w:hideMark/>
          </w:tcPr>
          <w:p w14:paraId="457E1359" w14:textId="77777777" w:rsidR="00AC5270" w:rsidRPr="006D42BA" w:rsidRDefault="00AC5270" w:rsidP="00431BCF">
            <w:pPr>
              <w:ind w:left="-57"/>
              <w:jc w:val="center"/>
              <w:rPr>
                <w:rFonts w:eastAsia="Times New Roman"/>
                <w:lang w:val="es-ES"/>
              </w:rPr>
            </w:pPr>
            <w:r w:rsidRPr="006D42BA">
              <w:rPr>
                <w:rFonts w:eastAsia="Times New Roman"/>
                <w:noProof/>
                <w:lang w:val="es-ES" w:eastAsia="es-ES"/>
              </w:rPr>
              <w:drawing>
                <wp:inline distT="0" distB="0" distL="0" distR="0" wp14:anchorId="2BB55D6B" wp14:editId="67CDA471">
                  <wp:extent cx="552450" cy="552450"/>
                  <wp:effectExtent l="0" t="0" r="0" b="0"/>
                  <wp:docPr id="4" name="Picture 4" descr="Description: Description: 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Description: !UN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838" w:type="dxa"/>
            <w:vAlign w:val="center"/>
            <w:hideMark/>
          </w:tcPr>
          <w:p w14:paraId="10B90C3C" w14:textId="77777777" w:rsidR="00AC5270" w:rsidRPr="006D42BA" w:rsidRDefault="00AC5270" w:rsidP="00431BCF">
            <w:pPr>
              <w:tabs>
                <w:tab w:val="left" w:pos="2450"/>
              </w:tabs>
              <w:ind w:left="-170" w:right="-170"/>
              <w:jc w:val="center"/>
              <w:rPr>
                <w:rFonts w:eastAsia="Times New Roman"/>
                <w:lang w:val="es-ES"/>
              </w:rPr>
            </w:pPr>
            <w:r w:rsidRPr="006D42BA">
              <w:rPr>
                <w:rFonts w:ascii="Calibri" w:hAnsi="Calibri"/>
                <w:sz w:val="22"/>
                <w:szCs w:val="22"/>
                <w:lang w:val="es-ES"/>
              </w:rPr>
              <w:object w:dxaOrig="885" w:dyaOrig="885" w14:anchorId="7A51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o:ole="">
                  <v:imagedata r:id="rId13" o:title="" croptop="5897f" cropbottom="39980f" cropleft="24092f" cropright="26812f"/>
                </v:shape>
                <o:OLEObject Type="Embed" ProgID="PBrush" ShapeID="_x0000_i1025" DrawAspect="Content" ObjectID="_1579349352" r:id="rId14"/>
              </w:object>
            </w:r>
          </w:p>
        </w:tc>
        <w:tc>
          <w:tcPr>
            <w:tcW w:w="839" w:type="dxa"/>
            <w:vAlign w:val="center"/>
            <w:hideMark/>
          </w:tcPr>
          <w:p w14:paraId="2617178A" w14:textId="77777777" w:rsidR="00AC5270" w:rsidRPr="006D42BA" w:rsidRDefault="00AC5270" w:rsidP="00431BCF">
            <w:pPr>
              <w:ind w:left="-142"/>
              <w:jc w:val="center"/>
              <w:rPr>
                <w:rFonts w:eastAsia="Times New Roman"/>
                <w:lang w:val="es-ES"/>
              </w:rPr>
            </w:pPr>
            <w:r w:rsidRPr="006D42BA">
              <w:rPr>
                <w:rFonts w:eastAsia="Times New Roman"/>
                <w:noProof/>
                <w:lang w:val="es-ES" w:eastAsia="es-ES"/>
              </w:rPr>
              <w:drawing>
                <wp:inline distT="0" distB="0" distL="0" distR="0" wp14:anchorId="572A6355" wp14:editId="10319D62">
                  <wp:extent cx="584200" cy="457200"/>
                  <wp:effectExtent l="0" t="0" r="6350" b="0"/>
                  <wp:docPr id="3" name="Picture 3" descr="Description: Description: Description: 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E:\Logos\UNESCO (blac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 cy="457200"/>
                          </a:xfrm>
                          <a:prstGeom prst="rect">
                            <a:avLst/>
                          </a:prstGeom>
                          <a:noFill/>
                          <a:ln>
                            <a:noFill/>
                          </a:ln>
                        </pic:spPr>
                      </pic:pic>
                    </a:graphicData>
                  </a:graphic>
                </wp:inline>
              </w:drawing>
            </w:r>
          </w:p>
        </w:tc>
        <w:tc>
          <w:tcPr>
            <w:tcW w:w="3202" w:type="dxa"/>
            <w:vAlign w:val="center"/>
            <w:hideMark/>
          </w:tcPr>
          <w:p w14:paraId="5EEED662" w14:textId="77777777" w:rsidR="00AC5270" w:rsidRPr="006D42BA" w:rsidRDefault="00AC5270" w:rsidP="00431BCF">
            <w:pPr>
              <w:tabs>
                <w:tab w:val="left" w:pos="2450"/>
              </w:tabs>
              <w:ind w:left="-57" w:right="-142"/>
              <w:rPr>
                <w:rFonts w:eastAsia="Times New Roman"/>
                <w:lang w:val="es-ES"/>
              </w:rPr>
            </w:pPr>
            <w:r w:rsidRPr="006D42BA">
              <w:rPr>
                <w:rFonts w:eastAsia="Times New Roman"/>
                <w:sz w:val="22"/>
                <w:lang w:val="es-ES"/>
              </w:rPr>
              <w:object w:dxaOrig="3135" w:dyaOrig="600" w14:anchorId="21E21459">
                <v:shape id="_x0000_i1026" type="#_x0000_t75" style="width:156.75pt;height:30pt" o:ole="">
                  <v:imagedata r:id="rId16" o:title=""/>
                </v:shape>
                <o:OLEObject Type="Embed" ProgID="PBrush" ShapeID="_x0000_i1026" DrawAspect="Content" ObjectID="_1579349353" r:id="rId17"/>
              </w:object>
            </w:r>
          </w:p>
        </w:tc>
        <w:tc>
          <w:tcPr>
            <w:tcW w:w="699" w:type="dxa"/>
            <w:vAlign w:val="center"/>
            <w:hideMark/>
          </w:tcPr>
          <w:p w14:paraId="0BA351DC" w14:textId="77777777" w:rsidR="00AC5270" w:rsidRPr="006D42BA" w:rsidRDefault="00AC5270" w:rsidP="00431BCF">
            <w:pPr>
              <w:ind w:left="-154" w:right="-142"/>
              <w:jc w:val="center"/>
              <w:rPr>
                <w:rFonts w:eastAsia="Times New Roman"/>
                <w:lang w:val="es-ES"/>
              </w:rPr>
            </w:pPr>
            <w:r w:rsidRPr="006D42BA">
              <w:rPr>
                <w:noProof/>
                <w:lang w:val="es-ES" w:eastAsia="es-ES"/>
              </w:rPr>
              <w:drawing>
                <wp:inline distT="0" distB="0" distL="0" distR="0" wp14:anchorId="5A6F627C" wp14:editId="7E221D7D">
                  <wp:extent cx="317500" cy="6286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00" cy="628650"/>
                          </a:xfrm>
                          <a:prstGeom prst="rect">
                            <a:avLst/>
                          </a:prstGeom>
                          <a:noFill/>
                          <a:ln>
                            <a:noFill/>
                          </a:ln>
                        </pic:spPr>
                      </pic:pic>
                    </a:graphicData>
                  </a:graphic>
                </wp:inline>
              </w:drawing>
            </w:r>
          </w:p>
        </w:tc>
        <w:tc>
          <w:tcPr>
            <w:tcW w:w="1777" w:type="dxa"/>
            <w:hideMark/>
          </w:tcPr>
          <w:p w14:paraId="138819C0" w14:textId="77777777" w:rsidR="00AC5270" w:rsidRPr="006D42BA" w:rsidRDefault="00AC5270" w:rsidP="00431BCF">
            <w:pPr>
              <w:keepNext/>
              <w:spacing w:before="40"/>
              <w:ind w:left="-151"/>
              <w:jc w:val="right"/>
              <w:outlineLvl w:val="1"/>
              <w:rPr>
                <w:rFonts w:ascii="Arial" w:eastAsia="Times New Roman" w:hAnsi="Arial"/>
                <w:b/>
                <w:sz w:val="64"/>
                <w:szCs w:val="24"/>
                <w:lang w:val="es-ES"/>
              </w:rPr>
            </w:pPr>
            <w:r w:rsidRPr="006D42BA">
              <w:rPr>
                <w:rFonts w:ascii="Arial" w:eastAsia="Times New Roman" w:hAnsi="Arial" w:cs="Arial"/>
                <w:b/>
                <w:sz w:val="64"/>
                <w:szCs w:val="64"/>
                <w:lang w:val="es-ES"/>
              </w:rPr>
              <w:t>BES</w:t>
            </w:r>
          </w:p>
        </w:tc>
      </w:tr>
      <w:tr w:rsidR="00AC5270" w:rsidRPr="006D42BA" w14:paraId="76CA27BF" w14:textId="77777777" w:rsidTr="00431BCF">
        <w:trPr>
          <w:cantSplit/>
          <w:trHeight w:val="282"/>
          <w:jc w:val="right"/>
        </w:trPr>
        <w:tc>
          <w:tcPr>
            <w:tcW w:w="1475" w:type="dxa"/>
            <w:tcBorders>
              <w:top w:val="nil"/>
              <w:left w:val="nil"/>
              <w:bottom w:val="single" w:sz="2" w:space="0" w:color="auto"/>
              <w:right w:val="nil"/>
            </w:tcBorders>
          </w:tcPr>
          <w:p w14:paraId="18C074FF" w14:textId="77777777" w:rsidR="00AC5270" w:rsidRPr="006D42BA" w:rsidRDefault="00AC5270" w:rsidP="00431BCF">
            <w:pPr>
              <w:rPr>
                <w:rFonts w:eastAsia="Times New Roman"/>
                <w:lang w:val="es-ES"/>
              </w:rPr>
            </w:pPr>
          </w:p>
        </w:tc>
        <w:tc>
          <w:tcPr>
            <w:tcW w:w="5858" w:type="dxa"/>
            <w:gridSpan w:val="5"/>
            <w:tcBorders>
              <w:top w:val="nil"/>
              <w:left w:val="nil"/>
              <w:bottom w:val="single" w:sz="2" w:space="0" w:color="auto"/>
              <w:right w:val="nil"/>
            </w:tcBorders>
          </w:tcPr>
          <w:p w14:paraId="2A55093E" w14:textId="77777777" w:rsidR="00AC5270" w:rsidRPr="006D42BA" w:rsidRDefault="00AC5270" w:rsidP="00431BCF">
            <w:pPr>
              <w:rPr>
                <w:rFonts w:ascii="Univers" w:eastAsia="Times New Roman" w:hAnsi="Univers"/>
                <w:b/>
                <w:sz w:val="24"/>
                <w:lang w:val="es-ES"/>
              </w:rPr>
            </w:pPr>
          </w:p>
        </w:tc>
        <w:tc>
          <w:tcPr>
            <w:tcW w:w="2476" w:type="dxa"/>
            <w:gridSpan w:val="2"/>
            <w:tcBorders>
              <w:top w:val="nil"/>
              <w:left w:val="nil"/>
              <w:bottom w:val="single" w:sz="2" w:space="0" w:color="auto"/>
              <w:right w:val="nil"/>
            </w:tcBorders>
            <w:hideMark/>
          </w:tcPr>
          <w:p w14:paraId="1B50689E" w14:textId="063213E7" w:rsidR="00AC5270" w:rsidRPr="006D42BA" w:rsidRDefault="00AC5270" w:rsidP="00431BCF">
            <w:pPr>
              <w:rPr>
                <w:rFonts w:eastAsia="Times New Roman"/>
                <w:b/>
                <w:sz w:val="24"/>
                <w:szCs w:val="24"/>
                <w:lang w:val="es-ES"/>
              </w:rPr>
            </w:pPr>
            <w:r w:rsidRPr="006D42BA">
              <w:rPr>
                <w:rFonts w:eastAsia="Times New Roman"/>
                <w:b/>
                <w:sz w:val="24"/>
                <w:szCs w:val="24"/>
                <w:lang w:val="es-ES"/>
              </w:rPr>
              <w:t>IPBES</w:t>
            </w:r>
            <w:r w:rsidRPr="006D42BA">
              <w:rPr>
                <w:rFonts w:eastAsia="Times New Roman"/>
                <w:lang w:val="es-ES"/>
              </w:rPr>
              <w:t>/6/10</w:t>
            </w:r>
          </w:p>
        </w:tc>
      </w:tr>
      <w:tr w:rsidR="00AC5270" w:rsidRPr="006D42BA" w14:paraId="13909B2D" w14:textId="77777777" w:rsidTr="00431BCF">
        <w:trPr>
          <w:cantSplit/>
          <w:trHeight w:val="1433"/>
          <w:jc w:val="right"/>
        </w:trPr>
        <w:tc>
          <w:tcPr>
            <w:tcW w:w="2034" w:type="dxa"/>
            <w:gridSpan w:val="2"/>
            <w:tcBorders>
              <w:top w:val="single" w:sz="2" w:space="0" w:color="auto"/>
              <w:left w:val="nil"/>
              <w:bottom w:val="single" w:sz="24" w:space="0" w:color="auto"/>
              <w:right w:val="nil"/>
            </w:tcBorders>
            <w:hideMark/>
          </w:tcPr>
          <w:p w14:paraId="4463CCFD" w14:textId="77777777" w:rsidR="00AC5270" w:rsidRPr="006D42BA" w:rsidRDefault="00AC5270" w:rsidP="00431BCF">
            <w:pPr>
              <w:spacing w:before="240" w:after="240"/>
              <w:rPr>
                <w:rFonts w:ascii="Arial" w:eastAsia="Times New Roman" w:hAnsi="Arial" w:cs="Arial"/>
                <w:b/>
                <w:sz w:val="28"/>
                <w:szCs w:val="28"/>
                <w:lang w:val="es-ES"/>
              </w:rPr>
            </w:pPr>
            <w:r w:rsidRPr="006D42BA">
              <w:rPr>
                <w:rFonts w:ascii="Arial" w:hAnsi="Arial" w:cs="Arial"/>
                <w:b/>
                <w:noProof/>
                <w:sz w:val="28"/>
                <w:szCs w:val="28"/>
                <w:lang w:val="es-ES" w:eastAsia="es-ES"/>
              </w:rPr>
              <w:drawing>
                <wp:inline distT="0" distB="0" distL="0" distR="0" wp14:anchorId="7DD23A92" wp14:editId="051DDE1E">
                  <wp:extent cx="1117600" cy="5143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514350"/>
                          </a:xfrm>
                          <a:prstGeom prst="rect">
                            <a:avLst/>
                          </a:prstGeom>
                          <a:noFill/>
                          <a:ln>
                            <a:noFill/>
                          </a:ln>
                        </pic:spPr>
                      </pic:pic>
                    </a:graphicData>
                  </a:graphic>
                </wp:inline>
              </w:drawing>
            </w:r>
          </w:p>
        </w:tc>
        <w:tc>
          <w:tcPr>
            <w:tcW w:w="5299" w:type="dxa"/>
            <w:gridSpan w:val="4"/>
            <w:tcBorders>
              <w:top w:val="single" w:sz="2" w:space="0" w:color="auto"/>
              <w:left w:val="nil"/>
              <w:bottom w:val="single" w:sz="24" w:space="0" w:color="auto"/>
              <w:right w:val="nil"/>
            </w:tcBorders>
            <w:hideMark/>
          </w:tcPr>
          <w:p w14:paraId="43BBD077" w14:textId="77777777" w:rsidR="00AC5270" w:rsidRPr="006D42BA" w:rsidRDefault="00AC5270" w:rsidP="00431BCF">
            <w:pPr>
              <w:spacing w:before="360"/>
              <w:rPr>
                <w:rFonts w:ascii="Arial" w:eastAsia="Times New Roman" w:hAnsi="Arial" w:cs="Arial"/>
                <w:b/>
                <w:sz w:val="28"/>
                <w:szCs w:val="28"/>
                <w:lang w:val="es-ES"/>
              </w:rPr>
            </w:pPr>
            <w:r w:rsidRPr="006D42BA">
              <w:rPr>
                <w:rFonts w:ascii="Arial" w:eastAsia="Times New Roman" w:hAnsi="Arial" w:cs="Arial"/>
                <w:b/>
                <w:sz w:val="28"/>
                <w:szCs w:val="28"/>
                <w:lang w:val="es-ES"/>
              </w:rPr>
              <w:t>Plataforma Intergubernamental Científico</w:t>
            </w:r>
            <w:r w:rsidRPr="006D42BA">
              <w:rPr>
                <w:rFonts w:ascii="Arial" w:eastAsia="Times New Roman" w:hAnsi="Arial" w:cs="Arial"/>
                <w:b/>
                <w:sz w:val="28"/>
                <w:szCs w:val="28"/>
                <w:lang w:val="es-ES"/>
              </w:rPr>
              <w:noBreakHyphen/>
              <w:t>normativa sobre Diversidad Biológica y Servicios de los Ecosistemas</w:t>
            </w:r>
          </w:p>
        </w:tc>
        <w:tc>
          <w:tcPr>
            <w:tcW w:w="2476" w:type="dxa"/>
            <w:gridSpan w:val="2"/>
            <w:tcBorders>
              <w:top w:val="single" w:sz="2" w:space="0" w:color="auto"/>
              <w:left w:val="nil"/>
              <w:bottom w:val="single" w:sz="24" w:space="0" w:color="auto"/>
              <w:right w:val="nil"/>
            </w:tcBorders>
            <w:hideMark/>
          </w:tcPr>
          <w:p w14:paraId="173934CF" w14:textId="77777777" w:rsidR="00AC5270" w:rsidRPr="006D42BA" w:rsidRDefault="00AC5270" w:rsidP="00431BCF">
            <w:pPr>
              <w:spacing w:before="120"/>
              <w:rPr>
                <w:rFonts w:eastAsia="Times New Roman"/>
                <w:lang w:val="es-ES"/>
              </w:rPr>
            </w:pPr>
            <w:proofErr w:type="spellStart"/>
            <w:r w:rsidRPr="006D42BA">
              <w:rPr>
                <w:rFonts w:eastAsia="Times New Roman"/>
                <w:lang w:val="es-ES"/>
              </w:rPr>
              <w:t>Distr</w:t>
            </w:r>
            <w:proofErr w:type="spellEnd"/>
            <w:r w:rsidRPr="006D42BA">
              <w:rPr>
                <w:rFonts w:eastAsia="Times New Roman"/>
                <w:lang w:val="es-ES"/>
              </w:rPr>
              <w:t>. general</w:t>
            </w:r>
          </w:p>
          <w:p w14:paraId="08AB98EF" w14:textId="49AF551C" w:rsidR="00AC5270" w:rsidRPr="006D42BA" w:rsidRDefault="00AC5270" w:rsidP="00431BCF">
            <w:pPr>
              <w:widowControl w:val="0"/>
              <w:tabs>
                <w:tab w:val="left" w:pos="6480"/>
                <w:tab w:val="left" w:pos="7200"/>
              </w:tabs>
              <w:spacing w:after="120"/>
              <w:rPr>
                <w:rFonts w:eastAsia="Times New Roman"/>
                <w:lang w:val="es-ES"/>
              </w:rPr>
            </w:pPr>
            <w:r w:rsidRPr="006D42BA">
              <w:rPr>
                <w:rFonts w:eastAsia="Times New Roman"/>
                <w:lang w:val="es-ES"/>
              </w:rPr>
              <w:t>5 de diciembre de 2017</w:t>
            </w:r>
          </w:p>
          <w:p w14:paraId="3A16B0FD" w14:textId="77777777" w:rsidR="00AC5270" w:rsidRPr="006D42BA" w:rsidRDefault="00AC5270" w:rsidP="00431BCF">
            <w:pPr>
              <w:spacing w:before="120" w:after="120"/>
              <w:rPr>
                <w:rFonts w:eastAsia="Times New Roman"/>
                <w:lang w:val="es-ES"/>
              </w:rPr>
            </w:pPr>
            <w:r w:rsidRPr="006D42BA">
              <w:rPr>
                <w:rFonts w:eastAsia="Times New Roman"/>
                <w:lang w:val="es-ES"/>
              </w:rPr>
              <w:t>Español</w:t>
            </w:r>
            <w:r w:rsidRPr="006D42BA">
              <w:rPr>
                <w:rFonts w:eastAsia="Times New Roman"/>
                <w:lang w:val="es-ES"/>
              </w:rPr>
              <w:br/>
              <w:t>Original: inglés</w:t>
            </w:r>
          </w:p>
        </w:tc>
      </w:tr>
    </w:tbl>
    <w:p w14:paraId="2D9DC8D8" w14:textId="77777777" w:rsidR="00AC5270" w:rsidRPr="006D42BA" w:rsidRDefault="00AC5270" w:rsidP="00AC5270">
      <w:pPr>
        <w:pStyle w:val="AATitle"/>
        <w:ind w:right="3402"/>
        <w:rPr>
          <w:lang w:val="es-ES"/>
        </w:rPr>
      </w:pPr>
      <w:bookmarkStart w:id="2" w:name="bookmark_15"/>
      <w:r w:rsidRPr="006D42BA">
        <w:rPr>
          <w:lang w:val="es-ES"/>
        </w:rPr>
        <w:t>Plenario de la Plataforma Intergubernamental Científico-normativa</w:t>
      </w:r>
      <w:bookmarkStart w:id="3" w:name="bookmark_16"/>
      <w:bookmarkEnd w:id="2"/>
      <w:r w:rsidRPr="006D42BA">
        <w:rPr>
          <w:lang w:val="es-ES"/>
        </w:rPr>
        <w:br/>
        <w:t>sobre Diversidad Biológica y Servicios de los Ecosistemas</w:t>
      </w:r>
      <w:bookmarkEnd w:id="3"/>
    </w:p>
    <w:p w14:paraId="192EC27D" w14:textId="77777777" w:rsidR="00AC5270" w:rsidRPr="006D42BA" w:rsidRDefault="00AC5270" w:rsidP="00AC5270">
      <w:pPr>
        <w:pStyle w:val="AATitle"/>
        <w:rPr>
          <w:lang w:val="es-ES"/>
        </w:rPr>
      </w:pPr>
      <w:bookmarkStart w:id="4" w:name="bookmark_17"/>
      <w:r w:rsidRPr="006D42BA">
        <w:rPr>
          <w:lang w:val="es-ES"/>
        </w:rPr>
        <w:t>Sexto período de sesiones</w:t>
      </w:r>
      <w:bookmarkEnd w:id="4"/>
    </w:p>
    <w:p w14:paraId="31E7FBD8" w14:textId="77777777" w:rsidR="00AC5270" w:rsidRPr="006D42BA" w:rsidRDefault="00AC5270" w:rsidP="00AC5270">
      <w:pPr>
        <w:pStyle w:val="AATitle"/>
        <w:rPr>
          <w:b w:val="0"/>
          <w:lang w:val="es-ES"/>
        </w:rPr>
      </w:pPr>
      <w:bookmarkStart w:id="5" w:name="bookmark_18"/>
      <w:r w:rsidRPr="006D42BA">
        <w:rPr>
          <w:b w:val="0"/>
          <w:lang w:val="es-ES"/>
        </w:rPr>
        <w:t>Medellín (Colombia), 18 a 24 de marzo de 2018</w:t>
      </w:r>
      <w:bookmarkEnd w:id="5"/>
    </w:p>
    <w:p w14:paraId="3446C1FD" w14:textId="77777777" w:rsidR="00342945" w:rsidRPr="006D42BA" w:rsidRDefault="003874FC">
      <w:pPr>
        <w:pStyle w:val="AATitle"/>
        <w:rPr>
          <w:b w:val="0"/>
          <w:lang w:val="es-ES"/>
        </w:rPr>
      </w:pPr>
      <w:r w:rsidRPr="006D42BA">
        <w:rPr>
          <w:b w:val="0"/>
          <w:lang w:val="es-ES"/>
        </w:rPr>
        <w:t>Tema 10 del programa provisional</w:t>
      </w:r>
      <w:r w:rsidRPr="006D42BA">
        <w:rPr>
          <w:b w:val="0"/>
          <w:lang w:val="es-ES"/>
        </w:rPr>
        <w:footnoteReference w:customMarkFollows="1" w:id="2"/>
        <w:t>*</w:t>
      </w:r>
      <w:bookmarkEnd w:id="0"/>
    </w:p>
    <w:p w14:paraId="198CE58C" w14:textId="77777777" w:rsidR="00342945" w:rsidRPr="006D42BA" w:rsidRDefault="003874FC">
      <w:pPr>
        <w:pStyle w:val="AATitle2"/>
        <w:spacing w:before="60"/>
        <w:ind w:right="4536"/>
        <w:rPr>
          <w:lang w:val="es-ES"/>
        </w:rPr>
      </w:pPr>
      <w:bookmarkStart w:id="7" w:name="bookmark_24"/>
      <w:r w:rsidRPr="006D42BA">
        <w:rPr>
          <w:bCs/>
          <w:lang w:val="es-ES"/>
        </w:rPr>
        <w:t>Examen de la Plataforma</w:t>
      </w:r>
      <w:bookmarkEnd w:id="7"/>
    </w:p>
    <w:p w14:paraId="4D4EEF25" w14:textId="77777777" w:rsidR="00342945" w:rsidRPr="006D42BA" w:rsidRDefault="003874FC">
      <w:pPr>
        <w:pStyle w:val="BBTitle"/>
        <w:rPr>
          <w:lang w:val="es-ES"/>
        </w:rPr>
      </w:pPr>
      <w:bookmarkStart w:id="8" w:name="bookmark_25"/>
      <w:r w:rsidRPr="006D42BA">
        <w:rPr>
          <w:bCs/>
          <w:lang w:val="es-ES"/>
        </w:rPr>
        <w:t>Examen de la eficacia de las funciones administrativa y científica de la Plataforma (producto previsto 4 e))</w:t>
      </w:r>
      <w:bookmarkEnd w:id="8"/>
    </w:p>
    <w:p w14:paraId="68393CA0" w14:textId="77777777" w:rsidR="00342945" w:rsidRPr="006D42BA" w:rsidRDefault="003874FC">
      <w:pPr>
        <w:pStyle w:val="CH2"/>
        <w:rPr>
          <w:lang w:val="es-ES"/>
        </w:rPr>
      </w:pPr>
      <w:bookmarkStart w:id="9" w:name="bookmark_26"/>
      <w:r w:rsidRPr="006D42BA">
        <w:rPr>
          <w:bCs/>
          <w:lang w:val="es-ES"/>
        </w:rPr>
        <w:t>Nota de la Secretaría</w:t>
      </w:r>
      <w:bookmarkEnd w:id="9"/>
    </w:p>
    <w:p w14:paraId="76D7AC53" w14:textId="3B8F9B18" w:rsidR="00342945" w:rsidRPr="006D42BA" w:rsidRDefault="003874FC">
      <w:pPr>
        <w:pStyle w:val="CH1"/>
        <w:rPr>
          <w:lang w:val="es-ES"/>
        </w:rPr>
      </w:pPr>
      <w:bookmarkStart w:id="10" w:name="bookmark_27"/>
      <w:r w:rsidRPr="006D42BA">
        <w:rPr>
          <w:lang w:val="es-ES"/>
        </w:rPr>
        <w:tab/>
      </w:r>
      <w:r w:rsidRPr="006D42BA">
        <w:rPr>
          <w:lang w:val="es-ES"/>
        </w:rPr>
        <w:tab/>
      </w:r>
      <w:r w:rsidRPr="006D42BA">
        <w:rPr>
          <w:bCs/>
          <w:lang w:val="es-ES"/>
        </w:rPr>
        <w:t>Introducción</w:t>
      </w:r>
      <w:bookmarkEnd w:id="10"/>
    </w:p>
    <w:p w14:paraId="4AFAE310" w14:textId="0E3DD691" w:rsidR="00342945" w:rsidRPr="006D42BA" w:rsidRDefault="003874FC" w:rsidP="00D54905">
      <w:pPr>
        <w:pStyle w:val="Normalnumber"/>
        <w:tabs>
          <w:tab w:val="clear" w:pos="567"/>
          <w:tab w:val="clear" w:pos="1247"/>
          <w:tab w:val="clear" w:pos="1814"/>
          <w:tab w:val="clear" w:pos="2381"/>
          <w:tab w:val="clear" w:pos="2948"/>
          <w:tab w:val="clear" w:pos="3515"/>
        </w:tabs>
        <w:rPr>
          <w:lang w:val="es-ES"/>
        </w:rPr>
      </w:pPr>
      <w:bookmarkStart w:id="11" w:name="bookmark_28"/>
      <w:r w:rsidRPr="006D42BA">
        <w:rPr>
          <w:lang w:val="es-ES"/>
        </w:rPr>
        <w:t>Como parte del primer programa de trabajo de la Plataforma Intergubernamental Científico</w:t>
      </w:r>
      <w:r w:rsidR="0041187F" w:rsidRPr="006D42BA">
        <w:rPr>
          <w:lang w:val="es-ES"/>
        </w:rPr>
        <w:noBreakHyphen/>
      </w:r>
      <w:r w:rsidRPr="006D42BA">
        <w:rPr>
          <w:lang w:val="es-ES"/>
        </w:rPr>
        <w:t>normativa sobre Diversidad Biológica y Servicios de los Ecosi</w:t>
      </w:r>
      <w:r w:rsidR="0041187F" w:rsidRPr="006D42BA">
        <w:rPr>
          <w:lang w:val="es-ES"/>
        </w:rPr>
        <w:t>stemas (IPBES), el Plenario, en </w:t>
      </w:r>
      <w:r w:rsidR="00AB25B5" w:rsidRPr="006D42BA">
        <w:rPr>
          <w:lang w:val="es-ES"/>
        </w:rPr>
        <w:t>su decisión </w:t>
      </w:r>
      <w:r w:rsidRPr="006D42BA">
        <w:rPr>
          <w:lang w:val="es-ES"/>
        </w:rPr>
        <w:t>IPBES</w:t>
      </w:r>
      <w:r w:rsidR="00D54905" w:rsidRPr="006D42BA">
        <w:rPr>
          <w:lang w:val="es-ES"/>
        </w:rPr>
        <w:noBreakHyphen/>
      </w:r>
      <w:r w:rsidRPr="006D42BA">
        <w:rPr>
          <w:lang w:val="es-ES"/>
        </w:rPr>
        <w:t>2/5, encomendó un examen de la eficacia de las funciones administrativa y científica de la IPBES (producto previsto 4 e)), y solicitó al Grupo</w:t>
      </w:r>
      <w:r w:rsidR="0041187F" w:rsidRPr="006D42BA">
        <w:rPr>
          <w:lang w:val="es-ES"/>
        </w:rPr>
        <w:t xml:space="preserve"> M</w:t>
      </w:r>
      <w:r w:rsidRPr="006D42BA">
        <w:rPr>
          <w:lang w:val="es-ES"/>
        </w:rPr>
        <w:t>ultidisciplinario de Expertos que, en consulta con la Mesa, elaborara un procedimiento para ese examen. En su cua</w:t>
      </w:r>
      <w:r w:rsidR="0041187F" w:rsidRPr="006D42BA">
        <w:rPr>
          <w:lang w:val="es-ES"/>
        </w:rPr>
        <w:t>rto período de sesiones, el Ple</w:t>
      </w:r>
      <w:r w:rsidRPr="006D42BA">
        <w:rPr>
          <w:lang w:val="es-ES"/>
        </w:rPr>
        <w:t>nario examinó un proyecto de procedimiento para el examen y pidió que se siguiese perfeccionando el ámbito de ap</w:t>
      </w:r>
      <w:r w:rsidR="00AB25B5" w:rsidRPr="006D42BA">
        <w:rPr>
          <w:lang w:val="es-ES"/>
        </w:rPr>
        <w:t>licación y el mandato (decisión </w:t>
      </w:r>
      <w:r w:rsidRPr="006D42BA">
        <w:rPr>
          <w:lang w:val="es-ES"/>
        </w:rPr>
        <w:t>IPBES</w:t>
      </w:r>
      <w:r w:rsidR="00AB25B5" w:rsidRPr="006D42BA">
        <w:rPr>
          <w:lang w:val="es-ES"/>
        </w:rPr>
        <w:noBreakHyphen/>
      </w:r>
      <w:r w:rsidRPr="006D42BA">
        <w:rPr>
          <w:lang w:val="es-ES"/>
        </w:rPr>
        <w:t xml:space="preserve">4/1, secc. VII). </w:t>
      </w:r>
      <w:bookmarkEnd w:id="11"/>
    </w:p>
    <w:p w14:paraId="15E5C0D8" w14:textId="324017B3" w:rsidR="00342945" w:rsidRPr="006D42BA" w:rsidRDefault="003874FC" w:rsidP="00D54905">
      <w:pPr>
        <w:pStyle w:val="Normalnumber"/>
        <w:tabs>
          <w:tab w:val="clear" w:pos="567"/>
          <w:tab w:val="clear" w:pos="1247"/>
          <w:tab w:val="clear" w:pos="1814"/>
          <w:tab w:val="clear" w:pos="2381"/>
          <w:tab w:val="clear" w:pos="2948"/>
          <w:tab w:val="clear" w:pos="3515"/>
        </w:tabs>
        <w:rPr>
          <w:lang w:val="es-ES"/>
        </w:rPr>
      </w:pPr>
      <w:bookmarkStart w:id="12" w:name="bookmark_29"/>
      <w:r w:rsidRPr="006D42BA">
        <w:rPr>
          <w:lang w:val="es-ES"/>
        </w:rPr>
        <w:t xml:space="preserve">En su quinto período de sesiones, el Plenario adoptó la decisión IPBES-5/2, en la que aprobó el mandato del examen (que </w:t>
      </w:r>
      <w:r w:rsidR="00C70EE6" w:rsidRPr="006D42BA">
        <w:rPr>
          <w:lang w:val="es-ES"/>
        </w:rPr>
        <w:t>figura</w:t>
      </w:r>
      <w:r w:rsidRPr="006D42BA">
        <w:rPr>
          <w:lang w:val="es-ES"/>
        </w:rPr>
        <w:t xml:space="preserve"> en el anexo de la decisión).</w:t>
      </w:r>
      <w:bookmarkEnd w:id="12"/>
    </w:p>
    <w:p w14:paraId="2A23E4C1" w14:textId="4B35AAD7" w:rsidR="00342945" w:rsidRPr="006D42BA" w:rsidRDefault="003874FC" w:rsidP="00D54905">
      <w:pPr>
        <w:pStyle w:val="Normalnumber"/>
        <w:tabs>
          <w:tab w:val="clear" w:pos="567"/>
          <w:tab w:val="clear" w:pos="1247"/>
          <w:tab w:val="clear" w:pos="1814"/>
          <w:tab w:val="clear" w:pos="2381"/>
          <w:tab w:val="clear" w:pos="2948"/>
          <w:tab w:val="clear" w:pos="3515"/>
        </w:tabs>
        <w:rPr>
          <w:lang w:val="es-ES"/>
        </w:rPr>
      </w:pPr>
      <w:bookmarkStart w:id="13" w:name="bookmark_30"/>
      <w:r w:rsidRPr="006D42BA">
        <w:rPr>
          <w:lang w:val="es-ES"/>
        </w:rPr>
        <w:t>En la misma decisión, el Plenario solicitó a la Mesa que, en consulta con el Grupo Multidisciplinario de Expertos, tomando en cuenta las observaciones recibidas durante el quinto período de sesiones del Plenario, revisase el cuestionario que figuraba en el apéndice del mandato; solicitó a la Secretaría que pusiese a disposición de los miembros e interesados de la IPBES el cuestionario revisado durante dos semanas para que estos lo examinasen en las dos semanas posteriores al quinto período de sesiones del Plenario; y solicitó a la Mesa que, en consulta con el Grupo Multidisciplinario de Expertos, finaliza</w:t>
      </w:r>
      <w:r w:rsidR="00223CBF" w:rsidRPr="006D42BA">
        <w:rPr>
          <w:lang w:val="es-ES"/>
        </w:rPr>
        <w:t>s</w:t>
      </w:r>
      <w:r w:rsidRPr="006D42BA">
        <w:rPr>
          <w:lang w:val="es-ES"/>
        </w:rPr>
        <w:t xml:space="preserve">e el cuestionario teniendo en cuenta las observaciones recibidas durante esas dos semanas. </w:t>
      </w:r>
      <w:bookmarkEnd w:id="13"/>
    </w:p>
    <w:p w14:paraId="3E0B8220" w14:textId="77777777" w:rsidR="00342945" w:rsidRPr="006D42BA" w:rsidRDefault="003874FC" w:rsidP="00D54905">
      <w:pPr>
        <w:pStyle w:val="Normalnumber"/>
        <w:tabs>
          <w:tab w:val="clear" w:pos="567"/>
          <w:tab w:val="clear" w:pos="1247"/>
          <w:tab w:val="clear" w:pos="1814"/>
          <w:tab w:val="clear" w:pos="2381"/>
          <w:tab w:val="clear" w:pos="2948"/>
          <w:tab w:val="clear" w:pos="3515"/>
        </w:tabs>
        <w:rPr>
          <w:lang w:val="es-ES"/>
        </w:rPr>
      </w:pPr>
      <w:bookmarkStart w:id="14" w:name="bookmark_31"/>
      <w:r w:rsidRPr="006D42BA">
        <w:rPr>
          <w:lang w:val="es-ES"/>
        </w:rPr>
        <w:t xml:space="preserve">El Plenario aprobó también la realización de un examen interno por parte del Grupo Multidisciplinario de Expertos y la Mesa y la presentación de sus conclusiones a los revisores externos. Solicitó al equipo de examen interno que suministre el informe solicitado en el párrafo 11 del mandato al Plenario en su sexto período de sesiones. </w:t>
      </w:r>
      <w:bookmarkEnd w:id="14"/>
    </w:p>
    <w:p w14:paraId="5A8BE070" w14:textId="1FA2873B" w:rsidR="00342945" w:rsidRPr="006D42BA" w:rsidRDefault="003874FC" w:rsidP="00D54905">
      <w:pPr>
        <w:pStyle w:val="Normalnumber"/>
        <w:tabs>
          <w:tab w:val="clear" w:pos="567"/>
          <w:tab w:val="clear" w:pos="1247"/>
          <w:tab w:val="clear" w:pos="1814"/>
          <w:tab w:val="clear" w:pos="2381"/>
          <w:tab w:val="clear" w:pos="2948"/>
          <w:tab w:val="clear" w:pos="3515"/>
        </w:tabs>
        <w:rPr>
          <w:lang w:val="es-ES"/>
        </w:rPr>
      </w:pPr>
      <w:bookmarkStart w:id="15" w:name="bookmark_32"/>
      <w:r w:rsidRPr="006D42BA">
        <w:rPr>
          <w:lang w:val="es-ES"/>
        </w:rPr>
        <w:t>El Plenario t</w:t>
      </w:r>
      <w:r w:rsidR="0025693F" w:rsidRPr="006D42BA">
        <w:rPr>
          <w:lang w:val="es-ES"/>
        </w:rPr>
        <w:t>ambién solicitó a la Secretaria </w:t>
      </w:r>
      <w:r w:rsidRPr="006D42BA">
        <w:rPr>
          <w:lang w:val="es-ES"/>
        </w:rPr>
        <w:t xml:space="preserve">Ejecutiva que hiciese un llamamiento para la presentación de candidaturas para miembros del grupo de revisión, con vistas a garantizar la representación regional, y que llevase a cabo un proceso de licitación competitivo para seleccionar una organización profesional externa que se encargase de coordinar el examen con vistas a iniciar la labor de la organización a más tardar a principios de 2018, con sujeción a la disponibilidad de recursos. El Plenario pidió al grupo de examen que, de conformidad con el mandato, le presentase en su séptimo </w:t>
      </w:r>
      <w:r w:rsidRPr="006D42BA">
        <w:rPr>
          <w:lang w:val="es-ES"/>
        </w:rPr>
        <w:lastRenderedPageBreak/>
        <w:t xml:space="preserve">período de sesiones un informe final sobre el examen, incluidas recomendaciones sobre la ejecución del segundo programa de trabajo de </w:t>
      </w:r>
      <w:r w:rsidR="00C4132D" w:rsidRPr="006D42BA">
        <w:rPr>
          <w:lang w:val="es-ES"/>
        </w:rPr>
        <w:t>la IPBES</w:t>
      </w:r>
      <w:r w:rsidRPr="006D42BA">
        <w:rPr>
          <w:lang w:val="es-ES"/>
        </w:rPr>
        <w:t xml:space="preserve">. </w:t>
      </w:r>
      <w:bookmarkEnd w:id="15"/>
    </w:p>
    <w:p w14:paraId="432E0839" w14:textId="6C9A8627" w:rsidR="00342945" w:rsidRPr="006D42BA" w:rsidRDefault="00A4051F">
      <w:pPr>
        <w:pStyle w:val="CH1"/>
        <w:rPr>
          <w:lang w:val="es-ES"/>
        </w:rPr>
      </w:pPr>
      <w:bookmarkStart w:id="16" w:name="bookmark_33"/>
      <w:r w:rsidRPr="006D42BA">
        <w:rPr>
          <w:lang w:val="es-ES"/>
        </w:rPr>
        <w:tab/>
      </w:r>
      <w:r w:rsidR="003874FC" w:rsidRPr="006D42BA">
        <w:rPr>
          <w:lang w:val="es-ES"/>
        </w:rPr>
        <w:t>I.</w:t>
      </w:r>
      <w:r w:rsidR="003874FC" w:rsidRPr="006D42BA">
        <w:rPr>
          <w:lang w:val="es-ES"/>
        </w:rPr>
        <w:tab/>
      </w:r>
      <w:r w:rsidR="003874FC" w:rsidRPr="006D42BA">
        <w:rPr>
          <w:bCs/>
          <w:lang w:val="es-ES"/>
        </w:rPr>
        <w:t>Informe del equipo de examen interno</w:t>
      </w:r>
      <w:bookmarkEnd w:id="16"/>
    </w:p>
    <w:p w14:paraId="57FE3CE3" w14:textId="1AD639AA" w:rsidR="00342945" w:rsidRPr="006D42BA" w:rsidRDefault="00A4051F">
      <w:pPr>
        <w:pStyle w:val="CH2"/>
        <w:tabs>
          <w:tab w:val="clear" w:pos="624"/>
          <w:tab w:val="left" w:pos="4082"/>
        </w:tabs>
        <w:spacing w:before="80"/>
        <w:ind w:left="1247" w:hanging="1247"/>
        <w:rPr>
          <w:rFonts w:eastAsia="Times New Roman"/>
          <w:lang w:val="es-ES"/>
        </w:rPr>
      </w:pPr>
      <w:bookmarkStart w:id="17" w:name="bookmark_34"/>
      <w:r w:rsidRPr="006D42BA">
        <w:rPr>
          <w:lang w:val="es-ES"/>
        </w:rPr>
        <w:tab/>
      </w:r>
      <w:r w:rsidR="003874FC" w:rsidRPr="006D42BA">
        <w:rPr>
          <w:lang w:val="es-ES"/>
        </w:rPr>
        <w:t>A.</w:t>
      </w:r>
      <w:r w:rsidR="003874FC" w:rsidRPr="006D42BA">
        <w:rPr>
          <w:lang w:val="es-ES"/>
        </w:rPr>
        <w:tab/>
      </w:r>
      <w:r w:rsidR="003874FC" w:rsidRPr="006D42BA">
        <w:rPr>
          <w:bCs/>
          <w:lang w:val="es-ES"/>
        </w:rPr>
        <w:t>Finalización del cuestionario</w:t>
      </w:r>
      <w:bookmarkEnd w:id="17"/>
    </w:p>
    <w:p w14:paraId="4F72A38F" w14:textId="44742E55" w:rsidR="00342945" w:rsidRPr="006D42BA" w:rsidRDefault="003874FC" w:rsidP="00D54905">
      <w:pPr>
        <w:pStyle w:val="Normalnumber"/>
        <w:tabs>
          <w:tab w:val="clear" w:pos="567"/>
          <w:tab w:val="clear" w:pos="1247"/>
          <w:tab w:val="clear" w:pos="1814"/>
          <w:tab w:val="clear" w:pos="2381"/>
          <w:tab w:val="clear" w:pos="2948"/>
          <w:tab w:val="clear" w:pos="3515"/>
        </w:tabs>
        <w:rPr>
          <w:rFonts w:cstheme="minorHAnsi"/>
          <w:lang w:val="es-ES"/>
        </w:rPr>
      </w:pPr>
      <w:bookmarkStart w:id="18" w:name="bookmark_35"/>
      <w:r w:rsidRPr="006D42BA">
        <w:rPr>
          <w:lang w:val="es-ES"/>
        </w:rPr>
        <w:t>En su octava reunión, la Mesa y el Grupo Multidiscipl</w:t>
      </w:r>
      <w:r w:rsidR="0025693F" w:rsidRPr="006D42BA">
        <w:rPr>
          <w:lang w:val="es-ES"/>
        </w:rPr>
        <w:t>inario de Expertos acordaron la </w:t>
      </w:r>
      <w:r w:rsidRPr="006D42BA">
        <w:rPr>
          <w:lang w:val="es-ES"/>
        </w:rPr>
        <w:t>composición de un equipo de examen interno. El equipo está in</w:t>
      </w:r>
      <w:r w:rsidR="0025693F" w:rsidRPr="006D42BA">
        <w:rPr>
          <w:lang w:val="es-ES"/>
        </w:rPr>
        <w:t>tegrado por el Presidente de la </w:t>
      </w:r>
      <w:r w:rsidRPr="006D42BA">
        <w:rPr>
          <w:lang w:val="es-ES"/>
        </w:rPr>
        <w:t xml:space="preserve">IPBES, un miembro de la Mesa (Alfred </w:t>
      </w:r>
      <w:proofErr w:type="spellStart"/>
      <w:r w:rsidRPr="006D42BA">
        <w:rPr>
          <w:lang w:val="es-ES"/>
        </w:rPr>
        <w:t>Oteng-Yeboah</w:t>
      </w:r>
      <w:proofErr w:type="spellEnd"/>
      <w:r w:rsidRPr="006D42BA">
        <w:rPr>
          <w:lang w:val="es-ES"/>
        </w:rPr>
        <w:t>), un copres</w:t>
      </w:r>
      <w:r w:rsidR="0025693F" w:rsidRPr="006D42BA">
        <w:rPr>
          <w:lang w:val="es-ES"/>
        </w:rPr>
        <w:t>idente y dos miembros del Grupo </w:t>
      </w:r>
      <w:r w:rsidRPr="006D42BA">
        <w:rPr>
          <w:lang w:val="es-ES"/>
        </w:rPr>
        <w:t xml:space="preserve">Multidisciplinario de Expertos (Marie </w:t>
      </w:r>
      <w:proofErr w:type="spellStart"/>
      <w:r w:rsidRPr="006D42BA">
        <w:rPr>
          <w:lang w:val="es-ES"/>
        </w:rPr>
        <w:t>Stenseke</w:t>
      </w:r>
      <w:proofErr w:type="spellEnd"/>
      <w:r w:rsidRPr="006D42BA">
        <w:rPr>
          <w:lang w:val="es-ES"/>
        </w:rPr>
        <w:t xml:space="preserve">, Carlos </w:t>
      </w:r>
      <w:proofErr w:type="spellStart"/>
      <w:r w:rsidRPr="006D42BA">
        <w:rPr>
          <w:lang w:val="es-ES"/>
        </w:rPr>
        <w:t>Joly</w:t>
      </w:r>
      <w:proofErr w:type="spellEnd"/>
      <w:r w:rsidRPr="006D42BA">
        <w:rPr>
          <w:lang w:val="es-ES"/>
        </w:rPr>
        <w:t xml:space="preserve"> </w:t>
      </w:r>
      <w:r w:rsidR="0025693F" w:rsidRPr="006D42BA">
        <w:rPr>
          <w:lang w:val="es-ES"/>
        </w:rPr>
        <w:t xml:space="preserve">y </w:t>
      </w:r>
      <w:proofErr w:type="spellStart"/>
      <w:r w:rsidR="0025693F" w:rsidRPr="006D42BA">
        <w:rPr>
          <w:lang w:val="es-ES"/>
        </w:rPr>
        <w:t>Vinod</w:t>
      </w:r>
      <w:proofErr w:type="spellEnd"/>
      <w:r w:rsidR="0025693F" w:rsidRPr="006D42BA">
        <w:rPr>
          <w:lang w:val="es-ES"/>
        </w:rPr>
        <w:t xml:space="preserve"> </w:t>
      </w:r>
      <w:proofErr w:type="spellStart"/>
      <w:r w:rsidR="0025693F" w:rsidRPr="006D42BA">
        <w:rPr>
          <w:lang w:val="es-ES"/>
        </w:rPr>
        <w:t>Mathur</w:t>
      </w:r>
      <w:proofErr w:type="spellEnd"/>
      <w:r w:rsidR="0025693F" w:rsidRPr="006D42BA">
        <w:rPr>
          <w:lang w:val="es-ES"/>
        </w:rPr>
        <w:t>) y la Secretaria </w:t>
      </w:r>
      <w:r w:rsidRPr="006D42BA">
        <w:rPr>
          <w:lang w:val="es-ES"/>
        </w:rPr>
        <w:t xml:space="preserve">Ejecutiva. </w:t>
      </w:r>
      <w:bookmarkEnd w:id="18"/>
    </w:p>
    <w:p w14:paraId="7BF98FA5" w14:textId="5F558EC8" w:rsidR="00342945" w:rsidRPr="006D42BA" w:rsidRDefault="0025693F" w:rsidP="00D54905">
      <w:pPr>
        <w:pStyle w:val="Normalnumber"/>
        <w:tabs>
          <w:tab w:val="clear" w:pos="567"/>
          <w:tab w:val="clear" w:pos="1247"/>
          <w:tab w:val="clear" w:pos="1814"/>
          <w:tab w:val="clear" w:pos="2381"/>
          <w:tab w:val="clear" w:pos="2948"/>
          <w:tab w:val="clear" w:pos="3515"/>
        </w:tabs>
        <w:rPr>
          <w:rFonts w:cstheme="minorHAnsi"/>
          <w:lang w:val="es-ES"/>
        </w:rPr>
      </w:pPr>
      <w:bookmarkStart w:id="19" w:name="bookmark_36"/>
      <w:r w:rsidRPr="006D42BA">
        <w:rPr>
          <w:lang w:val="es-ES"/>
        </w:rPr>
        <w:t>En respuesta a la decisión </w:t>
      </w:r>
      <w:r w:rsidR="003874FC" w:rsidRPr="006D42BA">
        <w:rPr>
          <w:lang w:val="es-ES"/>
        </w:rPr>
        <w:t>IPBES</w:t>
      </w:r>
      <w:r w:rsidRPr="006D42BA">
        <w:rPr>
          <w:lang w:val="es-ES"/>
        </w:rPr>
        <w:noBreakHyphen/>
      </w:r>
      <w:r w:rsidR="003874FC" w:rsidRPr="006D42BA">
        <w:rPr>
          <w:lang w:val="es-ES"/>
        </w:rPr>
        <w:t xml:space="preserve">5/2, el equipo de examen interno, en nombre de la Mesa </w:t>
      </w:r>
      <w:r w:rsidR="006C1478" w:rsidRPr="006D42BA">
        <w:rPr>
          <w:lang w:val="es-ES"/>
        </w:rPr>
        <w:t>y el </w:t>
      </w:r>
      <w:r w:rsidR="003874FC" w:rsidRPr="006D42BA">
        <w:rPr>
          <w:lang w:val="es-ES"/>
        </w:rPr>
        <w:t xml:space="preserve">Grupo Multidisciplinario de Expertos, revisó el cuestionario que </w:t>
      </w:r>
      <w:r w:rsidR="006C1478" w:rsidRPr="006D42BA">
        <w:rPr>
          <w:lang w:val="es-ES"/>
        </w:rPr>
        <w:t>figura en el apéndice del anexo </w:t>
      </w:r>
      <w:r w:rsidRPr="006D42BA">
        <w:rPr>
          <w:lang w:val="es-ES"/>
        </w:rPr>
        <w:t>de la decisión </w:t>
      </w:r>
      <w:r w:rsidR="003874FC" w:rsidRPr="006D42BA">
        <w:rPr>
          <w:lang w:val="es-ES"/>
        </w:rPr>
        <w:t>IPBES</w:t>
      </w:r>
      <w:r w:rsidRPr="006D42BA">
        <w:rPr>
          <w:lang w:val="es-ES"/>
        </w:rPr>
        <w:noBreakHyphen/>
      </w:r>
      <w:r w:rsidR="003874FC" w:rsidRPr="006D42BA">
        <w:rPr>
          <w:lang w:val="es-ES"/>
        </w:rPr>
        <w:t>5/2, y lo puso a disposición de los miembros de la IPBES y otros interesados por un período de dos semanas (28 de abril – 12 de mayo de 2017) para que estos formulasen sus observaciones. Se recibieron 16 grupos de observaciones, entre otras, observaciones formuladas por cuatro Gobiernos (Australia, los Estados Unidos de Améri</w:t>
      </w:r>
      <w:r w:rsidR="00AB25B5" w:rsidRPr="006D42BA">
        <w:rPr>
          <w:lang w:val="es-ES"/>
        </w:rPr>
        <w:t>ca, Malasia y Nepal), la Unión Europea y </w:t>
      </w:r>
      <w:r w:rsidR="003874FC" w:rsidRPr="006D42BA">
        <w:rPr>
          <w:lang w:val="es-ES"/>
        </w:rPr>
        <w:t>11 personas. El comité de examen interno ultimó el cuestionario teniendo en cuenta esas observaciones. La versión definitiva del cuestionario figura en el apé</w:t>
      </w:r>
      <w:r w:rsidR="006C1478" w:rsidRPr="006D42BA">
        <w:rPr>
          <w:lang w:val="es-ES"/>
        </w:rPr>
        <w:t>ndice V del anexo del documento </w:t>
      </w:r>
      <w:r w:rsidR="003874FC" w:rsidRPr="006D42BA">
        <w:rPr>
          <w:lang w:val="es-ES"/>
        </w:rPr>
        <w:t>IPBES/6/INF/32.</w:t>
      </w:r>
      <w:bookmarkEnd w:id="19"/>
    </w:p>
    <w:p w14:paraId="30089FF5" w14:textId="628C2C84" w:rsidR="00342945" w:rsidRPr="006D42BA" w:rsidRDefault="003874FC" w:rsidP="00D54905">
      <w:pPr>
        <w:pStyle w:val="Normalnumber"/>
        <w:tabs>
          <w:tab w:val="clear" w:pos="567"/>
          <w:tab w:val="clear" w:pos="1247"/>
          <w:tab w:val="clear" w:pos="1814"/>
          <w:tab w:val="clear" w:pos="2381"/>
          <w:tab w:val="clear" w:pos="2948"/>
          <w:tab w:val="clear" w:pos="3515"/>
        </w:tabs>
        <w:rPr>
          <w:rFonts w:cstheme="minorHAnsi"/>
          <w:lang w:val="es-ES"/>
        </w:rPr>
      </w:pPr>
      <w:bookmarkStart w:id="20" w:name="bookmark_37"/>
      <w:r w:rsidRPr="006D42BA">
        <w:rPr>
          <w:lang w:val="es-ES"/>
        </w:rPr>
        <w:t>De conformidad con el párrafo 11 del mandato, el elemento interno del examen interno consiste en una autoevaluación sobre la base de las respuestas al cuestionario por los miembros anteriores y actuales del Grupo Multidisciplinario de Expertos y la Mesa; la Secretaría, en particular sus dependencias de apoyo técnico; los miembros de los equipos de tareas de la IPBES; los copresidentes y los autores principales encargados de la coordinación de evaluaciones terminadas y en curso de la IPBES; y los coordinadores nacionales. El cuestionario</w:t>
      </w:r>
      <w:r w:rsidR="006C1478" w:rsidRPr="006D42BA">
        <w:rPr>
          <w:lang w:val="es-ES"/>
        </w:rPr>
        <w:t xml:space="preserve"> se distribuyó el 22 de mayo de </w:t>
      </w:r>
      <w:r w:rsidRPr="006D42BA">
        <w:rPr>
          <w:lang w:val="es-ES"/>
        </w:rPr>
        <w:t xml:space="preserve">2017, con plazo hasta el 7 de agosto de 2017 para presentar las respuestas. Respondieron al cuestionario un total de 85 personas, entre ellas 9 miembros de la Mesa, 23 miembros del Grupo Multidisciplinario de Expertos, 21 coordinadores nacionales, 17 expertos de la IPBES (copresidentes de los grupos de tareas y las evaluaciones; autores encargados de la coordinación de las evaluaciones, y un </w:t>
      </w:r>
      <w:r w:rsidR="003E78A0" w:rsidRPr="006D42BA">
        <w:rPr>
          <w:lang w:val="es-ES"/>
        </w:rPr>
        <w:t xml:space="preserve">número reducido de miembros de </w:t>
      </w:r>
      <w:r w:rsidRPr="006D42BA">
        <w:rPr>
          <w:lang w:val="es-ES"/>
        </w:rPr>
        <w:t xml:space="preserve">equipos de tareas y autores principales encargados de la evaluación que fueron invitados a participar en una capacidad diferente, así como 17 miembros de la Secretaría (entre ellos miembros de las dependencias de apoyo técnico). Algunos de los encuestados dieron sus respuestas en más de una capacidad. </w:t>
      </w:r>
      <w:bookmarkEnd w:id="20"/>
    </w:p>
    <w:p w14:paraId="55ED4CF3" w14:textId="600B9575" w:rsidR="00342945" w:rsidRPr="006D42BA" w:rsidRDefault="00A4051F">
      <w:pPr>
        <w:pStyle w:val="CH2"/>
        <w:tabs>
          <w:tab w:val="clear" w:pos="624"/>
          <w:tab w:val="left" w:pos="4082"/>
        </w:tabs>
        <w:spacing w:before="80"/>
        <w:ind w:left="1247" w:hanging="1247"/>
        <w:rPr>
          <w:rFonts w:eastAsia="Times New Roman"/>
          <w:lang w:val="es-ES"/>
        </w:rPr>
      </w:pPr>
      <w:bookmarkStart w:id="21" w:name="bookmark_38"/>
      <w:r w:rsidRPr="006D42BA">
        <w:rPr>
          <w:lang w:val="es-ES"/>
        </w:rPr>
        <w:tab/>
      </w:r>
      <w:r w:rsidR="003874FC" w:rsidRPr="006D42BA">
        <w:rPr>
          <w:lang w:val="es-ES"/>
        </w:rPr>
        <w:t>B.</w:t>
      </w:r>
      <w:r w:rsidR="003874FC" w:rsidRPr="006D42BA">
        <w:rPr>
          <w:lang w:val="es-ES"/>
        </w:rPr>
        <w:tab/>
      </w:r>
      <w:r w:rsidR="003874FC" w:rsidRPr="006D42BA">
        <w:rPr>
          <w:bCs/>
          <w:lang w:val="es-ES"/>
        </w:rPr>
        <w:t>Preparación del informe del examen interno</w:t>
      </w:r>
      <w:bookmarkEnd w:id="21"/>
    </w:p>
    <w:p w14:paraId="0BADE30B" w14:textId="265C5680" w:rsidR="00342945" w:rsidRPr="006D42BA" w:rsidRDefault="003874FC" w:rsidP="00D54905">
      <w:pPr>
        <w:pStyle w:val="Normalnumber"/>
        <w:tabs>
          <w:tab w:val="clear" w:pos="567"/>
          <w:tab w:val="clear" w:pos="1247"/>
          <w:tab w:val="clear" w:pos="1814"/>
          <w:tab w:val="clear" w:pos="2381"/>
          <w:tab w:val="clear" w:pos="2948"/>
          <w:tab w:val="clear" w:pos="3515"/>
        </w:tabs>
        <w:rPr>
          <w:lang w:val="es-ES"/>
        </w:rPr>
      </w:pPr>
      <w:bookmarkStart w:id="22" w:name="bookmark_39"/>
      <w:r w:rsidRPr="006D42BA">
        <w:rPr>
          <w:lang w:val="es-ES"/>
        </w:rPr>
        <w:t xml:space="preserve">En respuesta a la solicitud formulada por el Plenario, el equipo de examen interno preparó el informe solicitado en el párrafo 11 del mandato </w:t>
      </w:r>
      <w:r w:rsidR="00C4132D" w:rsidRPr="006D42BA">
        <w:rPr>
          <w:lang w:val="es-ES"/>
        </w:rPr>
        <w:t>del examen</w:t>
      </w:r>
      <w:r w:rsidR="006C1478" w:rsidRPr="006D42BA">
        <w:rPr>
          <w:lang w:val="es-ES"/>
        </w:rPr>
        <w:t xml:space="preserve"> (anexo de la decisión IPBES</w:t>
      </w:r>
      <w:r w:rsidR="006C1478" w:rsidRPr="006D42BA">
        <w:rPr>
          <w:lang w:val="es-ES"/>
        </w:rPr>
        <w:noBreakHyphen/>
      </w:r>
      <w:r w:rsidRPr="006D42BA">
        <w:rPr>
          <w:lang w:val="es-ES"/>
        </w:rPr>
        <w:t xml:space="preserve">5/2), incluida una autoevaluación sobre la base de las respuestas al cuestionario. El informe fue aprobado por el Grupo Multidisciplinario de Expertos y la Mesa. </w:t>
      </w:r>
      <w:bookmarkEnd w:id="22"/>
    </w:p>
    <w:p w14:paraId="28EBCB87" w14:textId="32C740F0" w:rsidR="00342945" w:rsidRPr="006D42BA" w:rsidRDefault="003874FC" w:rsidP="00D54905">
      <w:pPr>
        <w:pStyle w:val="Normalnumber"/>
        <w:tabs>
          <w:tab w:val="clear" w:pos="567"/>
          <w:tab w:val="clear" w:pos="1247"/>
          <w:tab w:val="clear" w:pos="1814"/>
          <w:tab w:val="clear" w:pos="2381"/>
          <w:tab w:val="clear" w:pos="2948"/>
          <w:tab w:val="clear" w:pos="3515"/>
        </w:tabs>
        <w:rPr>
          <w:lang w:val="es-ES"/>
        </w:rPr>
      </w:pPr>
      <w:bookmarkStart w:id="23" w:name="bookmark_40"/>
      <w:r w:rsidRPr="006D42BA">
        <w:rPr>
          <w:lang w:val="es-ES"/>
        </w:rPr>
        <w:t>En el informe se incluye un resumen en el que se presentan los principales resultados del examen interno preparado por el comité de examen interno y aprobado por la Mesa y el Grupo Multidisciplinario de Expertos. Las observaciones destacadas en negritas son resultado directo del análisis cuantitativo del cuestionario, y el texto en tipo de letra normal procede de observaci</w:t>
      </w:r>
      <w:r w:rsidR="00CA1C2B" w:rsidRPr="006D42BA">
        <w:rPr>
          <w:lang w:val="es-ES"/>
        </w:rPr>
        <w:t>o</w:t>
      </w:r>
      <w:r w:rsidRPr="006D42BA">
        <w:rPr>
          <w:lang w:val="es-ES"/>
        </w:rPr>
        <w:t xml:space="preserve">nes adicionales recibidas a través del cuestionario e incluye los aspectos que el comité de examen interno decidió destacar a partir de la experiencia de sus miembros. El resumen se reproduce en el anexo de la presente nota. </w:t>
      </w:r>
      <w:bookmarkEnd w:id="23"/>
    </w:p>
    <w:p w14:paraId="78EBCC29" w14:textId="6B2FEA0A" w:rsidR="00342945" w:rsidRPr="006D42BA" w:rsidRDefault="003874FC" w:rsidP="00D54905">
      <w:pPr>
        <w:pStyle w:val="Normalnumber"/>
        <w:tabs>
          <w:tab w:val="clear" w:pos="567"/>
          <w:tab w:val="clear" w:pos="1247"/>
          <w:tab w:val="clear" w:pos="1814"/>
          <w:tab w:val="clear" w:pos="2381"/>
          <w:tab w:val="clear" w:pos="2948"/>
          <w:tab w:val="clear" w:pos="3515"/>
        </w:tabs>
        <w:rPr>
          <w:lang w:val="es-ES"/>
        </w:rPr>
      </w:pPr>
      <w:bookmarkStart w:id="24" w:name="bookmark_41"/>
      <w:r w:rsidRPr="006D42BA">
        <w:rPr>
          <w:lang w:val="es-ES"/>
        </w:rPr>
        <w:t>El informe también contiene un análisis exhaustivo por secciones del cuestionario, incluidas consideraciones para el futuro señaladas por el Grupo Multidisciplinario de Expertos y la Mesa. La versión completa del</w:t>
      </w:r>
      <w:r w:rsidR="006C1478" w:rsidRPr="006D42BA">
        <w:rPr>
          <w:lang w:val="es-ES"/>
        </w:rPr>
        <w:t xml:space="preserve"> informe figura en el documento </w:t>
      </w:r>
      <w:r w:rsidRPr="006D42BA">
        <w:rPr>
          <w:lang w:val="es-ES"/>
        </w:rPr>
        <w:t>IPBES/6/INF/32. En el apéndice I del informe figura información sobre el mandato, los procesos y los métodos en relación con el</w:t>
      </w:r>
      <w:r w:rsidR="006C1478" w:rsidRPr="006D42BA">
        <w:rPr>
          <w:lang w:val="es-ES"/>
        </w:rPr>
        <w:t xml:space="preserve"> examen interno. En el apéndice </w:t>
      </w:r>
      <w:r w:rsidRPr="006D42BA">
        <w:rPr>
          <w:lang w:val="es-ES"/>
        </w:rPr>
        <w:t>II se presenta para cada una de las 99 preguntas del cuestionario que suponen una calificación, el porcentaje de respuestas recibidas en cada una de las calificaciones entre 1 y 5, un gráfico de columnas que ilustra el número de respuestas recibidas en relación con cada una de las calificaciones entre 1 y 5, y la media con desviación estándar. En relación con las siete preguntas c</w:t>
      </w:r>
      <w:r w:rsidR="006C1478" w:rsidRPr="006D42BA">
        <w:rPr>
          <w:lang w:val="es-ES"/>
        </w:rPr>
        <w:t>uyas respuestas se limitaban a “sí” o “no”</w:t>
      </w:r>
      <w:r w:rsidRPr="006D42BA">
        <w:rPr>
          <w:lang w:val="es-ES"/>
        </w:rPr>
        <w:t xml:space="preserve">, en el apéndice II se presentan los </w:t>
      </w:r>
      <w:r w:rsidR="006C1478" w:rsidRPr="006D42BA">
        <w:rPr>
          <w:lang w:val="es-ES"/>
        </w:rPr>
        <w:t>porcentajes de las respuestas (“sí” o “no”</w:t>
      </w:r>
      <w:r w:rsidRPr="006D42BA">
        <w:rPr>
          <w:lang w:val="es-ES"/>
        </w:rPr>
        <w:t>) recibidas, el número de respuestas recibidas y un gráfico circular para cada pregunta que ilustra las respuestas. En el apéndice III figura una lista de los aspectos de la labor de la</w:t>
      </w:r>
      <w:r w:rsidR="006C1478" w:rsidRPr="006D42BA">
        <w:rPr>
          <w:lang w:val="es-ES"/>
        </w:rPr>
        <w:t> </w:t>
      </w:r>
      <w:r w:rsidRPr="006D42BA">
        <w:rPr>
          <w:lang w:val="es-ES"/>
        </w:rPr>
        <w:t>IPBES</w:t>
      </w:r>
      <w:r w:rsidR="00E93C34" w:rsidRPr="006D42BA">
        <w:rPr>
          <w:lang w:val="es-ES"/>
        </w:rPr>
        <w:t xml:space="preserve"> que</w:t>
      </w:r>
      <w:r w:rsidRPr="006D42BA">
        <w:rPr>
          <w:lang w:val="es-ES"/>
        </w:rPr>
        <w:t xml:space="preserve"> recibieron calificación general más alta y más baja en el cuestionario. En el apéndice IV </w:t>
      </w:r>
      <w:r w:rsidRPr="006D42BA">
        <w:rPr>
          <w:lang w:val="es-ES"/>
        </w:rPr>
        <w:lastRenderedPageBreak/>
        <w:t xml:space="preserve">figura una sinopsis de los comentarios cualitativos recibidos como parte del cuestionario. En el apéndice V figura la versión definitiva del cuestionario utilizado como base para el examen interno. </w:t>
      </w:r>
      <w:bookmarkEnd w:id="24"/>
    </w:p>
    <w:p w14:paraId="09044419" w14:textId="4D23EF2B" w:rsidR="00342945" w:rsidRPr="006D42BA" w:rsidRDefault="00A4051F">
      <w:pPr>
        <w:pStyle w:val="CH1"/>
        <w:rPr>
          <w:lang w:val="es-ES"/>
        </w:rPr>
      </w:pPr>
      <w:bookmarkStart w:id="25" w:name="bookmark_42"/>
      <w:r w:rsidRPr="006D42BA">
        <w:rPr>
          <w:lang w:val="es-ES"/>
        </w:rPr>
        <w:tab/>
      </w:r>
      <w:r w:rsidR="003874FC" w:rsidRPr="006D42BA">
        <w:rPr>
          <w:lang w:val="es-ES"/>
        </w:rPr>
        <w:t>II.</w:t>
      </w:r>
      <w:r w:rsidR="003874FC" w:rsidRPr="006D42BA">
        <w:rPr>
          <w:lang w:val="es-ES"/>
        </w:rPr>
        <w:tab/>
      </w:r>
      <w:r w:rsidR="003874FC" w:rsidRPr="006D42BA">
        <w:rPr>
          <w:bCs/>
          <w:lang w:val="es-ES"/>
        </w:rPr>
        <w:t>Elemento externo del examen</w:t>
      </w:r>
      <w:bookmarkEnd w:id="25"/>
    </w:p>
    <w:p w14:paraId="03B528A9" w14:textId="5E87AFD2" w:rsidR="00342945" w:rsidRPr="006D42BA" w:rsidRDefault="006C1478" w:rsidP="00D54905">
      <w:pPr>
        <w:pStyle w:val="Normalnumber"/>
        <w:tabs>
          <w:tab w:val="clear" w:pos="567"/>
          <w:tab w:val="clear" w:pos="1247"/>
          <w:tab w:val="clear" w:pos="1814"/>
          <w:tab w:val="clear" w:pos="2381"/>
          <w:tab w:val="clear" w:pos="2948"/>
          <w:tab w:val="clear" w:pos="3515"/>
        </w:tabs>
        <w:rPr>
          <w:lang w:val="es-ES"/>
        </w:rPr>
      </w:pPr>
      <w:bookmarkStart w:id="26" w:name="bookmark_43"/>
      <w:r w:rsidRPr="006D42BA">
        <w:rPr>
          <w:lang w:val="es-ES"/>
        </w:rPr>
        <w:t>En la decisión </w:t>
      </w:r>
      <w:r w:rsidR="003874FC" w:rsidRPr="006D42BA">
        <w:rPr>
          <w:lang w:val="es-ES"/>
        </w:rPr>
        <w:t>IPBES</w:t>
      </w:r>
      <w:r w:rsidRPr="006D42BA">
        <w:rPr>
          <w:lang w:val="es-ES"/>
        </w:rPr>
        <w:noBreakHyphen/>
      </w:r>
      <w:r w:rsidR="003874FC" w:rsidRPr="006D42BA">
        <w:rPr>
          <w:lang w:val="es-ES"/>
        </w:rPr>
        <w:t>5/2, el Pl</w:t>
      </w:r>
      <w:r w:rsidR="0025693F" w:rsidRPr="006D42BA">
        <w:rPr>
          <w:lang w:val="es-ES"/>
        </w:rPr>
        <w:t>enario solicitó a la Secretaria </w:t>
      </w:r>
      <w:r w:rsidR="003874FC" w:rsidRPr="006D42BA">
        <w:rPr>
          <w:lang w:val="es-ES"/>
        </w:rPr>
        <w:t>Ejecutiva que hiciese un llamamiento para la presentación de candidaturas para miembros del grupo de revisión, con vistas a garantizar la representación regional, y que llevase a cabo un proceso de licitación competitivo para seleccionar una organización profesional externa que se encargase de coordinar el examen con vistas a iniciar la labor de la organización a más tardar a principios de 2018, con sujeción a la disponibilidad de recursos.</w:t>
      </w:r>
      <w:bookmarkEnd w:id="26"/>
    </w:p>
    <w:p w14:paraId="57E58A00" w14:textId="42CDA491" w:rsidR="00342945" w:rsidRPr="006D42BA" w:rsidRDefault="003874FC" w:rsidP="00D54905">
      <w:pPr>
        <w:pStyle w:val="Normalnumber"/>
        <w:tabs>
          <w:tab w:val="clear" w:pos="567"/>
          <w:tab w:val="clear" w:pos="1247"/>
          <w:tab w:val="clear" w:pos="1814"/>
          <w:tab w:val="clear" w:pos="2381"/>
          <w:tab w:val="clear" w:pos="2948"/>
          <w:tab w:val="clear" w:pos="3515"/>
        </w:tabs>
        <w:rPr>
          <w:lang w:val="es-ES"/>
        </w:rPr>
      </w:pPr>
      <w:bookmarkStart w:id="27" w:name="bookmark_44"/>
      <w:r w:rsidRPr="006D42BA">
        <w:rPr>
          <w:lang w:val="es-ES"/>
        </w:rPr>
        <w:t>E</w:t>
      </w:r>
      <w:r w:rsidR="0025693F" w:rsidRPr="006D42BA">
        <w:rPr>
          <w:lang w:val="es-ES"/>
        </w:rPr>
        <w:t>l 6 de noviembre, la Secretaria </w:t>
      </w:r>
      <w:r w:rsidRPr="006D42BA">
        <w:rPr>
          <w:lang w:val="es-ES"/>
        </w:rPr>
        <w:t xml:space="preserve">Ejecutiva publicó </w:t>
      </w:r>
      <w:r w:rsidR="006C1478" w:rsidRPr="006D42BA">
        <w:rPr>
          <w:lang w:val="es-ES"/>
        </w:rPr>
        <w:t>las notificaciones EM/2017/31 y </w:t>
      </w:r>
      <w:r w:rsidRPr="006D42BA">
        <w:rPr>
          <w:lang w:val="es-ES"/>
        </w:rPr>
        <w:t>EM/2017/32, en las que instaba a que, a más tardar el 2 de enero de 2018, se presentasen candidaturas para miembros del grupo de examen de la IPBES y expresiones de interés de organizaciones profesionales que deseasen coordinar el elemento externo del examen de la IPBES. El llamamiento había sido preparado por la Mesa en colaboración con el Grupo Multidisciplinario de Expertos, sobre la base del mandato para el examen que fi</w:t>
      </w:r>
      <w:r w:rsidR="006C1478" w:rsidRPr="006D42BA">
        <w:rPr>
          <w:lang w:val="es-ES"/>
        </w:rPr>
        <w:t>gura en el anexo de la decisión </w:t>
      </w:r>
      <w:r w:rsidRPr="006D42BA">
        <w:rPr>
          <w:lang w:val="es-ES"/>
        </w:rPr>
        <w:t>IPBES</w:t>
      </w:r>
      <w:r w:rsidR="006C1478" w:rsidRPr="006D42BA">
        <w:rPr>
          <w:lang w:val="es-ES"/>
        </w:rPr>
        <w:noBreakHyphen/>
      </w:r>
      <w:r w:rsidRPr="006D42BA">
        <w:rPr>
          <w:lang w:val="es-ES"/>
        </w:rPr>
        <w:t xml:space="preserve">5/2. </w:t>
      </w:r>
      <w:bookmarkEnd w:id="27"/>
    </w:p>
    <w:p w14:paraId="1BEBFB18" w14:textId="2FCA1AFF" w:rsidR="00342945" w:rsidRPr="006D42BA" w:rsidRDefault="003874FC" w:rsidP="00D54905">
      <w:pPr>
        <w:pStyle w:val="Normalnumber"/>
        <w:tabs>
          <w:tab w:val="clear" w:pos="567"/>
          <w:tab w:val="clear" w:pos="1247"/>
          <w:tab w:val="clear" w:pos="1814"/>
          <w:tab w:val="clear" w:pos="2381"/>
          <w:tab w:val="clear" w:pos="2948"/>
          <w:tab w:val="clear" w:pos="3515"/>
        </w:tabs>
        <w:rPr>
          <w:color w:val="000000"/>
          <w:lang w:val="es-ES"/>
        </w:rPr>
      </w:pPr>
      <w:bookmarkStart w:id="28" w:name="bookmark_45"/>
      <w:r w:rsidRPr="006D42BA">
        <w:rPr>
          <w:lang w:val="es-ES"/>
        </w:rPr>
        <w:t xml:space="preserve">El grupo de examen estará integrado por no más de diez examinadores, que constituirán una combinación equilibrada de representantes de Gobiernos, científicos y representantes de organizaciones no gubernamentales. Los miembros del grupo serán seleccionados, en respuesta al llamamiento hecho por la Mesa en consulta con el Grupo Multidisciplinario de Expertos, sobre la base de los criterios siguientes, como se indica en el párrafo 9 del mandato: </w:t>
      </w:r>
      <w:bookmarkEnd w:id="28"/>
    </w:p>
    <w:p w14:paraId="470C7A12" w14:textId="64DCBB22" w:rsidR="00342945" w:rsidRPr="006D42BA" w:rsidRDefault="003874FC" w:rsidP="00EC0665">
      <w:pPr>
        <w:pStyle w:val="Normalnumber"/>
        <w:numPr>
          <w:ilvl w:val="0"/>
          <w:numId w:val="10"/>
        </w:numPr>
        <w:tabs>
          <w:tab w:val="clear" w:pos="1247"/>
          <w:tab w:val="clear" w:pos="1814"/>
          <w:tab w:val="clear" w:pos="2381"/>
          <w:tab w:val="clear" w:pos="2948"/>
          <w:tab w:val="clear" w:pos="3515"/>
        </w:tabs>
        <w:ind w:left="1247" w:firstLine="624"/>
        <w:rPr>
          <w:color w:val="000000"/>
          <w:lang w:val="es-ES"/>
        </w:rPr>
      </w:pPr>
      <w:bookmarkStart w:id="29" w:name="bookmark_46"/>
      <w:r w:rsidRPr="006D42BA">
        <w:rPr>
          <w:lang w:val="es-ES"/>
        </w:rPr>
        <w:t xml:space="preserve">Las cualificaciones pertinentes de la organización y los examinadores para realizar exámenes institucionales en el plano mundial; </w:t>
      </w:r>
      <w:bookmarkEnd w:id="29"/>
    </w:p>
    <w:p w14:paraId="44B3E0C7" w14:textId="1AD82AA8" w:rsidR="00342945" w:rsidRPr="006D42BA" w:rsidRDefault="003874FC" w:rsidP="00EC0665">
      <w:pPr>
        <w:pStyle w:val="Normalnumber"/>
        <w:numPr>
          <w:ilvl w:val="0"/>
          <w:numId w:val="10"/>
        </w:numPr>
        <w:tabs>
          <w:tab w:val="clear" w:pos="1247"/>
          <w:tab w:val="clear" w:pos="1814"/>
          <w:tab w:val="clear" w:pos="2381"/>
          <w:tab w:val="clear" w:pos="2948"/>
          <w:tab w:val="clear" w:pos="3515"/>
        </w:tabs>
        <w:ind w:left="1247" w:firstLine="624"/>
        <w:rPr>
          <w:color w:val="000000"/>
          <w:lang w:val="es-ES"/>
        </w:rPr>
      </w:pPr>
      <w:bookmarkStart w:id="30" w:name="bookmark_47"/>
      <w:r w:rsidRPr="006D42BA">
        <w:rPr>
          <w:lang w:val="es-ES"/>
        </w:rPr>
        <w:t>Historial demostrado de la organización y los examinadores de trabajo con las interfaces científico</w:t>
      </w:r>
      <w:r w:rsidR="00EF4516" w:rsidRPr="006D42BA">
        <w:rPr>
          <w:lang w:val="es-ES"/>
        </w:rPr>
        <w:noBreakHyphen/>
      </w:r>
      <w:r w:rsidRPr="006D42BA">
        <w:rPr>
          <w:lang w:val="es-ES"/>
        </w:rPr>
        <w:t xml:space="preserve">normativas y el conocimiento de las responsabilidades y las funciones de un proceso de evaluación ambiental mundial en general y de la Plataforma en particular. </w:t>
      </w:r>
      <w:bookmarkEnd w:id="30"/>
    </w:p>
    <w:p w14:paraId="43C2FCC6" w14:textId="0C5B4E2D" w:rsidR="00342945" w:rsidRPr="006D42BA" w:rsidRDefault="003874FC" w:rsidP="00D54905">
      <w:pPr>
        <w:pStyle w:val="Normalnumber"/>
        <w:tabs>
          <w:tab w:val="clear" w:pos="567"/>
          <w:tab w:val="clear" w:pos="1247"/>
          <w:tab w:val="clear" w:pos="1814"/>
          <w:tab w:val="clear" w:pos="2381"/>
          <w:tab w:val="clear" w:pos="2948"/>
          <w:tab w:val="clear" w:pos="3515"/>
        </w:tabs>
        <w:rPr>
          <w:color w:val="000000"/>
          <w:lang w:val="es-ES"/>
        </w:rPr>
      </w:pPr>
      <w:bookmarkStart w:id="31" w:name="bookmark_48"/>
      <w:r w:rsidRPr="006D42BA">
        <w:rPr>
          <w:lang w:val="es-ES"/>
        </w:rPr>
        <w:t xml:space="preserve">En respuesta al llamamiento, la Mesa y el Grupo Multidisciplinario de Expertos también seleccionarán, sobre la base de esos criterios, una organización profesional externa. La Secretaría, de consuno con la Mesa, revisará las propuestas y, en caso de que ninguna de ellas cumpla los criterios ni se ajuste a los recursos financieros disponibles, la Mesa podrá optar por contratar un oficial administrativo ajeno a la Secretaría para que se encargue de coordinar el examen. </w:t>
      </w:r>
      <w:bookmarkEnd w:id="31"/>
    </w:p>
    <w:p w14:paraId="2A680089" w14:textId="2B585A65" w:rsidR="00342945" w:rsidRPr="006D42BA" w:rsidRDefault="003874FC" w:rsidP="00D54905">
      <w:pPr>
        <w:pStyle w:val="Normalnumber"/>
        <w:tabs>
          <w:tab w:val="clear" w:pos="567"/>
          <w:tab w:val="clear" w:pos="1247"/>
          <w:tab w:val="clear" w:pos="1814"/>
          <w:tab w:val="clear" w:pos="2381"/>
          <w:tab w:val="clear" w:pos="2948"/>
          <w:tab w:val="clear" w:pos="3515"/>
        </w:tabs>
        <w:rPr>
          <w:lang w:val="es-ES"/>
        </w:rPr>
      </w:pPr>
      <w:bookmarkStart w:id="32" w:name="bookmark_49"/>
      <w:r w:rsidRPr="006D42BA">
        <w:rPr>
          <w:lang w:val="es-ES"/>
        </w:rPr>
        <w:t>A raíz de una decisión adoptada por l</w:t>
      </w:r>
      <w:r w:rsidR="001D6B91" w:rsidRPr="006D42BA">
        <w:rPr>
          <w:lang w:val="es-ES"/>
        </w:rPr>
        <w:t>a Mesa en su décima reunión, no</w:t>
      </w:r>
      <w:r w:rsidRPr="006D42BA">
        <w:rPr>
          <w:lang w:val="es-ES"/>
        </w:rPr>
        <w:t xml:space="preserve"> se utilizarán recursos del Fondo Fiduciario para sufragar ning</w:t>
      </w:r>
      <w:r w:rsidR="001D6B91" w:rsidRPr="006D42BA">
        <w:rPr>
          <w:lang w:val="es-ES"/>
        </w:rPr>
        <w:t>ún gasto relacionado con el exa</w:t>
      </w:r>
      <w:r w:rsidRPr="006D42BA">
        <w:rPr>
          <w:lang w:val="es-ES"/>
        </w:rPr>
        <w:t xml:space="preserve">men externo, a la espera de que el Plenario vuelva a examinar el presupuesto revisado para 2018 que fue aprobado en el quinto período de sesiones. Más concretamente, no se han utilizado recursos del Fondo Fiduciario para apoyar la participación de los miembros del grupo de examen en el sexto período de sesiones del Plenario y la Secretaría no ha concertado acuerdos contractuales con una organización profesional externa. En el mandato del </w:t>
      </w:r>
      <w:r w:rsidR="00C4132D" w:rsidRPr="006D42BA">
        <w:rPr>
          <w:lang w:val="es-ES"/>
        </w:rPr>
        <w:t>examen (</w:t>
      </w:r>
      <w:r w:rsidR="0025693F" w:rsidRPr="006D42BA">
        <w:rPr>
          <w:lang w:val="es-ES"/>
        </w:rPr>
        <w:t>decisión </w:t>
      </w:r>
      <w:r w:rsidRPr="006D42BA">
        <w:rPr>
          <w:lang w:val="es-ES"/>
        </w:rPr>
        <w:t>IPBES</w:t>
      </w:r>
      <w:r w:rsidR="0025693F" w:rsidRPr="006D42BA">
        <w:rPr>
          <w:lang w:val="es-ES"/>
        </w:rPr>
        <w:noBreakHyphen/>
      </w:r>
      <w:r w:rsidRPr="006D42BA">
        <w:rPr>
          <w:lang w:val="es-ES"/>
        </w:rPr>
        <w:t>5/2, anexo) se enumeran las necesidades presupuestarias siguientes:</w:t>
      </w:r>
      <w:bookmarkEnd w:id="32"/>
    </w:p>
    <w:tbl>
      <w:tblPr>
        <w:tblW w:w="0" w:type="auto"/>
        <w:tblInd w:w="1384" w:type="dxa"/>
        <w:tblLayout w:type="fixed"/>
        <w:tblLook w:val="04A0" w:firstRow="1" w:lastRow="0" w:firstColumn="1" w:lastColumn="0" w:noHBand="0" w:noVBand="1"/>
      </w:tblPr>
      <w:tblGrid>
        <w:gridCol w:w="6379"/>
        <w:gridCol w:w="1843"/>
      </w:tblGrid>
      <w:tr w:rsidR="00342945" w:rsidRPr="006D42BA" w14:paraId="62E66DE2" w14:textId="77777777" w:rsidTr="006D42BA">
        <w:tc>
          <w:tcPr>
            <w:tcW w:w="6379" w:type="dxa"/>
            <w:tcBorders>
              <w:top w:val="single" w:sz="4" w:space="0" w:color="auto"/>
              <w:bottom w:val="single" w:sz="12" w:space="0" w:color="auto"/>
            </w:tcBorders>
            <w:shd w:val="clear" w:color="auto" w:fill="auto"/>
          </w:tcPr>
          <w:p w14:paraId="72E961FB" w14:textId="77777777" w:rsidR="00342945" w:rsidRPr="006D42BA" w:rsidRDefault="003874FC">
            <w:pPr>
              <w:spacing w:before="40" w:after="40"/>
              <w:rPr>
                <w:i/>
                <w:sz w:val="18"/>
                <w:szCs w:val="18"/>
                <w:lang w:val="es-ES"/>
              </w:rPr>
            </w:pPr>
            <w:bookmarkStart w:id="33" w:name="bookmark_50"/>
            <w:r w:rsidRPr="006D42BA">
              <w:rPr>
                <w:i/>
                <w:iCs/>
                <w:sz w:val="18"/>
                <w:szCs w:val="18"/>
                <w:lang w:val="es-ES"/>
              </w:rPr>
              <w:t>Partida</w:t>
            </w:r>
            <w:bookmarkEnd w:id="33"/>
          </w:p>
        </w:tc>
        <w:tc>
          <w:tcPr>
            <w:tcW w:w="1843" w:type="dxa"/>
            <w:tcBorders>
              <w:top w:val="single" w:sz="4" w:space="0" w:color="auto"/>
              <w:bottom w:val="single" w:sz="12" w:space="0" w:color="auto"/>
            </w:tcBorders>
            <w:shd w:val="clear" w:color="auto" w:fill="auto"/>
          </w:tcPr>
          <w:p w14:paraId="7E60CEB2" w14:textId="77777777" w:rsidR="00342945" w:rsidRPr="006D42BA" w:rsidRDefault="003874FC">
            <w:pPr>
              <w:spacing w:before="40" w:after="40"/>
              <w:jc w:val="right"/>
              <w:rPr>
                <w:i/>
                <w:sz w:val="18"/>
                <w:szCs w:val="18"/>
                <w:lang w:val="es-ES"/>
              </w:rPr>
            </w:pPr>
            <w:bookmarkStart w:id="34" w:name="bookmark_51"/>
            <w:r w:rsidRPr="006D42BA">
              <w:rPr>
                <w:i/>
                <w:iCs/>
                <w:sz w:val="18"/>
                <w:szCs w:val="18"/>
                <w:lang w:val="es-ES"/>
              </w:rPr>
              <w:t>Costo (en dólares de los EE.UU.)</w:t>
            </w:r>
            <w:bookmarkEnd w:id="34"/>
          </w:p>
        </w:tc>
      </w:tr>
      <w:tr w:rsidR="00342945" w:rsidRPr="006D42BA" w14:paraId="72B3EB0D" w14:textId="77777777" w:rsidTr="006D42BA">
        <w:trPr>
          <w:trHeight w:val="34"/>
        </w:trPr>
        <w:tc>
          <w:tcPr>
            <w:tcW w:w="6379" w:type="dxa"/>
            <w:shd w:val="clear" w:color="auto" w:fill="auto"/>
          </w:tcPr>
          <w:p w14:paraId="3D12749B" w14:textId="4171272E" w:rsidR="00342945" w:rsidRPr="006D42BA" w:rsidRDefault="003874FC">
            <w:pPr>
              <w:spacing w:before="40" w:after="40"/>
              <w:rPr>
                <w:b/>
                <w:sz w:val="18"/>
                <w:szCs w:val="18"/>
                <w:lang w:val="es-ES"/>
              </w:rPr>
            </w:pPr>
            <w:bookmarkStart w:id="35" w:name="bookmark_52"/>
            <w:r w:rsidRPr="006D42BA">
              <w:rPr>
                <w:sz w:val="18"/>
                <w:szCs w:val="18"/>
                <w:lang w:val="es-ES"/>
              </w:rPr>
              <w:t xml:space="preserve">Apoyo administrativo </w:t>
            </w:r>
            <w:bookmarkEnd w:id="35"/>
          </w:p>
        </w:tc>
        <w:tc>
          <w:tcPr>
            <w:tcW w:w="1843" w:type="dxa"/>
            <w:shd w:val="clear" w:color="auto" w:fill="auto"/>
          </w:tcPr>
          <w:p w14:paraId="081041AB" w14:textId="2CF8EEDF" w:rsidR="00342945" w:rsidRPr="006D42BA" w:rsidRDefault="003874FC">
            <w:pPr>
              <w:spacing w:before="40" w:after="40"/>
              <w:jc w:val="right"/>
              <w:rPr>
                <w:b/>
                <w:snapToGrid w:val="0"/>
                <w:sz w:val="18"/>
                <w:szCs w:val="18"/>
                <w:u w:val="single"/>
                <w:lang w:val="es-ES"/>
              </w:rPr>
            </w:pPr>
            <w:bookmarkStart w:id="36" w:name="bookmark_53"/>
            <w:r w:rsidRPr="006D42BA">
              <w:rPr>
                <w:sz w:val="18"/>
                <w:szCs w:val="18"/>
                <w:lang w:val="es-ES"/>
              </w:rPr>
              <w:t>63 160</w:t>
            </w:r>
            <w:bookmarkEnd w:id="36"/>
          </w:p>
        </w:tc>
      </w:tr>
      <w:tr w:rsidR="00342945" w:rsidRPr="006D42BA" w14:paraId="2DB447A9" w14:textId="77777777" w:rsidTr="006D42BA">
        <w:tc>
          <w:tcPr>
            <w:tcW w:w="6379" w:type="dxa"/>
            <w:shd w:val="clear" w:color="auto" w:fill="auto"/>
          </w:tcPr>
          <w:p w14:paraId="7B4D38D2" w14:textId="006B63D2" w:rsidR="00342945" w:rsidRPr="006D42BA" w:rsidRDefault="003874FC">
            <w:pPr>
              <w:widowControl w:val="0"/>
              <w:tabs>
                <w:tab w:val="left" w:pos="6480"/>
                <w:tab w:val="left" w:pos="7200"/>
              </w:tabs>
              <w:spacing w:before="40" w:after="40"/>
              <w:rPr>
                <w:b/>
                <w:sz w:val="18"/>
                <w:szCs w:val="18"/>
                <w:lang w:val="es-ES"/>
              </w:rPr>
            </w:pPr>
            <w:bookmarkStart w:id="37" w:name="bookmark_54"/>
            <w:r w:rsidRPr="006D42BA">
              <w:rPr>
                <w:sz w:val="18"/>
                <w:szCs w:val="18"/>
                <w:lang w:val="es-ES"/>
              </w:rPr>
              <w:t>Apoyo a los viajes y dietas de 10 personas que asistirían al sexto período de sesiones del Plenario</w:t>
            </w:r>
            <w:bookmarkEnd w:id="37"/>
          </w:p>
        </w:tc>
        <w:tc>
          <w:tcPr>
            <w:tcW w:w="1843" w:type="dxa"/>
            <w:shd w:val="clear" w:color="auto" w:fill="auto"/>
          </w:tcPr>
          <w:p w14:paraId="5C89CE18" w14:textId="043E7104" w:rsidR="00342945" w:rsidRPr="006D42BA" w:rsidRDefault="003874FC">
            <w:pPr>
              <w:widowControl w:val="0"/>
              <w:tabs>
                <w:tab w:val="left" w:pos="6480"/>
                <w:tab w:val="left" w:pos="7200"/>
              </w:tabs>
              <w:spacing w:before="40" w:after="40"/>
              <w:jc w:val="right"/>
              <w:rPr>
                <w:b/>
                <w:snapToGrid w:val="0"/>
                <w:sz w:val="18"/>
                <w:szCs w:val="18"/>
                <w:u w:val="single"/>
                <w:lang w:val="es-ES"/>
              </w:rPr>
            </w:pPr>
            <w:bookmarkStart w:id="38" w:name="bookmark_55"/>
            <w:r w:rsidRPr="006D42BA">
              <w:rPr>
                <w:sz w:val="18"/>
                <w:szCs w:val="18"/>
                <w:lang w:val="es-ES"/>
              </w:rPr>
              <w:t>37 500</w:t>
            </w:r>
            <w:bookmarkEnd w:id="38"/>
          </w:p>
        </w:tc>
      </w:tr>
      <w:tr w:rsidR="00342945" w:rsidRPr="006D42BA" w14:paraId="6DAB9C08" w14:textId="77777777" w:rsidTr="006D42BA">
        <w:trPr>
          <w:trHeight w:val="461"/>
        </w:trPr>
        <w:tc>
          <w:tcPr>
            <w:tcW w:w="6379" w:type="dxa"/>
            <w:shd w:val="clear" w:color="auto" w:fill="auto"/>
          </w:tcPr>
          <w:p w14:paraId="782DE92B" w14:textId="51A5DB1B" w:rsidR="00342945" w:rsidRPr="006D42BA" w:rsidRDefault="003874FC">
            <w:pPr>
              <w:widowControl w:val="0"/>
              <w:tabs>
                <w:tab w:val="left" w:pos="6480"/>
                <w:tab w:val="left" w:pos="7200"/>
              </w:tabs>
              <w:spacing w:before="40" w:after="40"/>
              <w:rPr>
                <w:i/>
                <w:sz w:val="18"/>
                <w:szCs w:val="18"/>
                <w:lang w:val="es-ES"/>
              </w:rPr>
            </w:pPr>
            <w:bookmarkStart w:id="39" w:name="bookmark_56"/>
            <w:r w:rsidRPr="006D42BA">
              <w:rPr>
                <w:sz w:val="18"/>
                <w:szCs w:val="18"/>
                <w:lang w:val="es-ES"/>
              </w:rPr>
              <w:t>Apoyo a los viajes y dietas de 10 pe</w:t>
            </w:r>
            <w:r w:rsidR="00023F97" w:rsidRPr="006D42BA">
              <w:rPr>
                <w:sz w:val="18"/>
                <w:szCs w:val="18"/>
                <w:lang w:val="es-ES"/>
              </w:rPr>
              <w:t>rsonas que asistirían a la</w:t>
            </w:r>
            <w:r w:rsidR="001D6B91" w:rsidRPr="006D42BA">
              <w:rPr>
                <w:sz w:val="18"/>
                <w:szCs w:val="18"/>
                <w:lang w:val="es-ES"/>
              </w:rPr>
              <w:t> 11ª reunión</w:t>
            </w:r>
            <w:r w:rsidRPr="006D42BA">
              <w:rPr>
                <w:sz w:val="18"/>
                <w:szCs w:val="18"/>
                <w:lang w:val="es-ES"/>
              </w:rPr>
              <w:t xml:space="preserve"> del Grupo Multidi</w:t>
            </w:r>
            <w:r w:rsidR="001D6B91" w:rsidRPr="006D42BA">
              <w:rPr>
                <w:sz w:val="18"/>
                <w:szCs w:val="18"/>
                <w:lang w:val="es-ES"/>
              </w:rPr>
              <w:t>sciplinario de Expertos y de la </w:t>
            </w:r>
            <w:r w:rsidRPr="006D42BA">
              <w:rPr>
                <w:sz w:val="18"/>
                <w:szCs w:val="18"/>
                <w:lang w:val="es-ES"/>
              </w:rPr>
              <w:t xml:space="preserve">Mesa </w:t>
            </w:r>
            <w:bookmarkEnd w:id="39"/>
          </w:p>
        </w:tc>
        <w:tc>
          <w:tcPr>
            <w:tcW w:w="1843" w:type="dxa"/>
            <w:shd w:val="clear" w:color="auto" w:fill="auto"/>
          </w:tcPr>
          <w:p w14:paraId="14572177" w14:textId="7CAE00EF" w:rsidR="00342945" w:rsidRPr="006D42BA" w:rsidRDefault="003874FC">
            <w:pPr>
              <w:widowControl w:val="0"/>
              <w:tabs>
                <w:tab w:val="left" w:pos="6480"/>
                <w:tab w:val="left" w:pos="7200"/>
              </w:tabs>
              <w:spacing w:before="40" w:after="40"/>
              <w:jc w:val="right"/>
              <w:rPr>
                <w:b/>
                <w:snapToGrid w:val="0"/>
                <w:sz w:val="18"/>
                <w:szCs w:val="18"/>
                <w:u w:val="single"/>
                <w:lang w:val="es-ES"/>
              </w:rPr>
            </w:pPr>
            <w:bookmarkStart w:id="40" w:name="bookmark_57"/>
            <w:r w:rsidRPr="006D42BA">
              <w:rPr>
                <w:sz w:val="18"/>
                <w:szCs w:val="18"/>
                <w:lang w:val="es-ES"/>
              </w:rPr>
              <w:t>37 500</w:t>
            </w:r>
            <w:bookmarkEnd w:id="40"/>
          </w:p>
        </w:tc>
      </w:tr>
      <w:tr w:rsidR="00342945" w:rsidRPr="006D42BA" w14:paraId="02009CA4" w14:textId="77777777" w:rsidTr="006D42BA">
        <w:trPr>
          <w:trHeight w:val="542"/>
        </w:trPr>
        <w:tc>
          <w:tcPr>
            <w:tcW w:w="6379" w:type="dxa"/>
            <w:shd w:val="clear" w:color="auto" w:fill="auto"/>
          </w:tcPr>
          <w:p w14:paraId="6B8DDBE2" w14:textId="6753DD46" w:rsidR="00342945" w:rsidRPr="006D42BA" w:rsidRDefault="003874FC" w:rsidP="005E4E7C">
            <w:pPr>
              <w:widowControl w:val="0"/>
              <w:tabs>
                <w:tab w:val="left" w:pos="6480"/>
                <w:tab w:val="left" w:pos="7200"/>
              </w:tabs>
              <w:spacing w:before="40" w:after="40"/>
              <w:rPr>
                <w:i/>
                <w:sz w:val="18"/>
                <w:szCs w:val="18"/>
                <w:lang w:val="es-ES"/>
              </w:rPr>
            </w:pPr>
            <w:bookmarkStart w:id="41" w:name="bookmark_58"/>
            <w:r w:rsidRPr="006D42BA">
              <w:rPr>
                <w:sz w:val="18"/>
                <w:szCs w:val="18"/>
                <w:lang w:val="es-ES"/>
              </w:rPr>
              <w:t>Apoyo a los viajes y dietas de 1</w:t>
            </w:r>
            <w:r w:rsidR="001D6B91" w:rsidRPr="006D42BA">
              <w:rPr>
                <w:sz w:val="18"/>
                <w:szCs w:val="18"/>
                <w:lang w:val="es-ES"/>
              </w:rPr>
              <w:t>0 personas que asistirían a la</w:t>
            </w:r>
            <w:r w:rsidR="00023F97" w:rsidRPr="006D42BA">
              <w:rPr>
                <w:sz w:val="18"/>
                <w:szCs w:val="18"/>
                <w:lang w:val="es-ES"/>
              </w:rPr>
              <w:t> </w:t>
            </w:r>
            <w:r w:rsidRPr="006D42BA">
              <w:rPr>
                <w:sz w:val="18"/>
                <w:szCs w:val="18"/>
                <w:lang w:val="es-ES"/>
              </w:rPr>
              <w:t>12</w:t>
            </w:r>
            <w:r w:rsidR="00F3650E" w:rsidRPr="006D42BA">
              <w:rPr>
                <w:sz w:val="18"/>
                <w:szCs w:val="18"/>
                <w:lang w:val="es-ES"/>
              </w:rPr>
              <w:t>ª</w:t>
            </w:r>
            <w:r w:rsidR="001D6B91" w:rsidRPr="006D42BA">
              <w:rPr>
                <w:sz w:val="18"/>
                <w:szCs w:val="18"/>
                <w:lang w:val="es-ES"/>
              </w:rPr>
              <w:t> </w:t>
            </w:r>
            <w:r w:rsidRPr="006D42BA">
              <w:rPr>
                <w:sz w:val="18"/>
                <w:szCs w:val="18"/>
                <w:lang w:val="es-ES"/>
              </w:rPr>
              <w:t>reuni</w:t>
            </w:r>
            <w:r w:rsidR="00F3650E" w:rsidRPr="006D42BA">
              <w:rPr>
                <w:sz w:val="18"/>
                <w:szCs w:val="18"/>
                <w:lang w:val="es-ES"/>
              </w:rPr>
              <w:t>ón</w:t>
            </w:r>
            <w:r w:rsidRPr="006D42BA">
              <w:rPr>
                <w:sz w:val="18"/>
                <w:szCs w:val="18"/>
                <w:lang w:val="es-ES"/>
              </w:rPr>
              <w:t xml:space="preserve"> del Grupo Multidisciplinario de Expertos y de la Mesa </w:t>
            </w:r>
            <w:bookmarkEnd w:id="41"/>
          </w:p>
        </w:tc>
        <w:tc>
          <w:tcPr>
            <w:tcW w:w="1843" w:type="dxa"/>
            <w:shd w:val="clear" w:color="auto" w:fill="auto"/>
          </w:tcPr>
          <w:p w14:paraId="3C396C68" w14:textId="66144F7C" w:rsidR="00342945" w:rsidRPr="006D42BA" w:rsidRDefault="003874FC">
            <w:pPr>
              <w:widowControl w:val="0"/>
              <w:tabs>
                <w:tab w:val="left" w:pos="6480"/>
                <w:tab w:val="left" w:pos="7200"/>
              </w:tabs>
              <w:spacing w:before="40" w:after="40"/>
              <w:jc w:val="right"/>
              <w:rPr>
                <w:b/>
                <w:snapToGrid w:val="0"/>
                <w:sz w:val="18"/>
                <w:szCs w:val="18"/>
                <w:u w:val="single"/>
                <w:lang w:val="es-ES"/>
              </w:rPr>
            </w:pPr>
            <w:bookmarkStart w:id="42" w:name="bookmark_59"/>
            <w:r w:rsidRPr="006D42BA">
              <w:rPr>
                <w:sz w:val="18"/>
                <w:szCs w:val="18"/>
                <w:lang w:val="es-ES"/>
              </w:rPr>
              <w:t>37 500</w:t>
            </w:r>
            <w:bookmarkEnd w:id="42"/>
          </w:p>
        </w:tc>
      </w:tr>
      <w:tr w:rsidR="00342945" w:rsidRPr="006D42BA" w14:paraId="3AB33C28" w14:textId="77777777" w:rsidTr="006D42BA">
        <w:trPr>
          <w:trHeight w:val="452"/>
        </w:trPr>
        <w:tc>
          <w:tcPr>
            <w:tcW w:w="6379" w:type="dxa"/>
            <w:shd w:val="clear" w:color="auto" w:fill="auto"/>
          </w:tcPr>
          <w:p w14:paraId="6C85DE4C" w14:textId="36D3A063" w:rsidR="00342945" w:rsidRPr="006D42BA" w:rsidRDefault="003874FC">
            <w:pPr>
              <w:widowControl w:val="0"/>
              <w:tabs>
                <w:tab w:val="left" w:pos="6480"/>
                <w:tab w:val="left" w:pos="7200"/>
              </w:tabs>
              <w:spacing w:before="40" w:after="40"/>
              <w:rPr>
                <w:i/>
                <w:sz w:val="18"/>
                <w:szCs w:val="18"/>
                <w:lang w:val="es-ES"/>
              </w:rPr>
            </w:pPr>
            <w:bookmarkStart w:id="43" w:name="bookmark_60"/>
            <w:r w:rsidRPr="006D42BA">
              <w:rPr>
                <w:sz w:val="18"/>
                <w:szCs w:val="18"/>
                <w:lang w:val="es-ES"/>
              </w:rPr>
              <w:t>Apoyo a los viajes y dietas de dos examinadores que asistirán al séptimo período de sesiones del Plenario</w:t>
            </w:r>
            <w:bookmarkEnd w:id="43"/>
          </w:p>
        </w:tc>
        <w:tc>
          <w:tcPr>
            <w:tcW w:w="1843" w:type="dxa"/>
            <w:shd w:val="clear" w:color="auto" w:fill="auto"/>
          </w:tcPr>
          <w:p w14:paraId="66ADF595" w14:textId="361BAA70" w:rsidR="00342945" w:rsidRPr="006D42BA" w:rsidRDefault="003874FC">
            <w:pPr>
              <w:widowControl w:val="0"/>
              <w:tabs>
                <w:tab w:val="left" w:pos="6480"/>
                <w:tab w:val="left" w:pos="7200"/>
              </w:tabs>
              <w:spacing w:before="40" w:after="40"/>
              <w:jc w:val="right"/>
              <w:rPr>
                <w:b/>
                <w:snapToGrid w:val="0"/>
                <w:sz w:val="18"/>
                <w:szCs w:val="18"/>
                <w:u w:val="single"/>
                <w:lang w:val="es-ES"/>
              </w:rPr>
            </w:pPr>
            <w:bookmarkStart w:id="44" w:name="bookmark_61"/>
            <w:r w:rsidRPr="006D42BA">
              <w:rPr>
                <w:sz w:val="18"/>
                <w:szCs w:val="18"/>
                <w:lang w:val="es-ES"/>
              </w:rPr>
              <w:t>7 500</w:t>
            </w:r>
            <w:bookmarkEnd w:id="44"/>
          </w:p>
        </w:tc>
      </w:tr>
      <w:tr w:rsidR="00342945" w:rsidRPr="006D42BA" w14:paraId="133E0A22" w14:textId="77777777" w:rsidTr="006D42BA">
        <w:trPr>
          <w:trHeight w:val="400"/>
        </w:trPr>
        <w:tc>
          <w:tcPr>
            <w:tcW w:w="6379" w:type="dxa"/>
            <w:tcBorders>
              <w:bottom w:val="single" w:sz="4" w:space="0" w:color="auto"/>
            </w:tcBorders>
            <w:shd w:val="clear" w:color="auto" w:fill="auto"/>
          </w:tcPr>
          <w:p w14:paraId="09179B02" w14:textId="1548CD77" w:rsidR="00342945" w:rsidRPr="006D42BA" w:rsidRDefault="003874FC">
            <w:pPr>
              <w:widowControl w:val="0"/>
              <w:tabs>
                <w:tab w:val="left" w:pos="6480"/>
                <w:tab w:val="left" w:pos="7200"/>
              </w:tabs>
              <w:spacing w:before="40" w:after="40"/>
              <w:rPr>
                <w:sz w:val="18"/>
                <w:szCs w:val="18"/>
                <w:lang w:val="es-ES"/>
              </w:rPr>
            </w:pPr>
            <w:bookmarkStart w:id="45" w:name="bookmark_62"/>
            <w:r w:rsidRPr="006D42BA">
              <w:rPr>
                <w:sz w:val="18"/>
                <w:szCs w:val="18"/>
                <w:lang w:val="es-ES"/>
              </w:rPr>
              <w:t>Honorarios de los examinadores</w:t>
            </w:r>
            <w:bookmarkEnd w:id="45"/>
          </w:p>
        </w:tc>
        <w:tc>
          <w:tcPr>
            <w:tcW w:w="1843" w:type="dxa"/>
            <w:tcBorders>
              <w:bottom w:val="single" w:sz="4" w:space="0" w:color="auto"/>
            </w:tcBorders>
            <w:shd w:val="clear" w:color="auto" w:fill="auto"/>
          </w:tcPr>
          <w:p w14:paraId="69A25259" w14:textId="66D74414" w:rsidR="00342945" w:rsidRPr="006D42BA" w:rsidRDefault="003874FC">
            <w:pPr>
              <w:widowControl w:val="0"/>
              <w:tabs>
                <w:tab w:val="left" w:pos="6480"/>
                <w:tab w:val="left" w:pos="7200"/>
              </w:tabs>
              <w:spacing w:before="40" w:after="40"/>
              <w:jc w:val="right"/>
              <w:rPr>
                <w:b/>
                <w:snapToGrid w:val="0"/>
                <w:sz w:val="18"/>
                <w:szCs w:val="18"/>
                <w:u w:val="single"/>
                <w:lang w:val="es-ES"/>
              </w:rPr>
            </w:pPr>
            <w:bookmarkStart w:id="46" w:name="bookmark_63"/>
            <w:r w:rsidRPr="006D42BA">
              <w:rPr>
                <w:sz w:val="18"/>
                <w:szCs w:val="18"/>
                <w:lang w:val="es-ES"/>
              </w:rPr>
              <w:t>No se incluyen</w:t>
            </w:r>
            <w:bookmarkEnd w:id="46"/>
          </w:p>
        </w:tc>
      </w:tr>
      <w:tr w:rsidR="00342945" w:rsidRPr="006D42BA" w14:paraId="229839A7" w14:textId="77777777" w:rsidTr="006D42BA">
        <w:trPr>
          <w:trHeight w:val="64"/>
        </w:trPr>
        <w:tc>
          <w:tcPr>
            <w:tcW w:w="6379" w:type="dxa"/>
            <w:tcBorders>
              <w:top w:val="single" w:sz="4" w:space="0" w:color="auto"/>
              <w:bottom w:val="single" w:sz="12" w:space="0" w:color="auto"/>
            </w:tcBorders>
            <w:shd w:val="clear" w:color="auto" w:fill="auto"/>
          </w:tcPr>
          <w:p w14:paraId="4E17801C" w14:textId="3485BC5C" w:rsidR="00342945" w:rsidRPr="006D42BA" w:rsidRDefault="003874FC">
            <w:pPr>
              <w:widowControl w:val="0"/>
              <w:tabs>
                <w:tab w:val="left" w:pos="6480"/>
                <w:tab w:val="left" w:pos="7200"/>
              </w:tabs>
              <w:spacing w:before="40" w:after="40"/>
              <w:rPr>
                <w:b/>
                <w:sz w:val="18"/>
                <w:szCs w:val="18"/>
                <w:lang w:val="es-ES"/>
              </w:rPr>
            </w:pPr>
            <w:bookmarkStart w:id="47" w:name="bookmark_64"/>
            <w:r w:rsidRPr="006D42BA">
              <w:rPr>
                <w:b/>
                <w:sz w:val="18"/>
                <w:szCs w:val="18"/>
                <w:lang w:val="es-ES"/>
              </w:rPr>
              <w:t>Total</w:t>
            </w:r>
            <w:bookmarkEnd w:id="47"/>
          </w:p>
        </w:tc>
        <w:tc>
          <w:tcPr>
            <w:tcW w:w="1843" w:type="dxa"/>
            <w:tcBorders>
              <w:top w:val="single" w:sz="4" w:space="0" w:color="auto"/>
              <w:bottom w:val="single" w:sz="12" w:space="0" w:color="auto"/>
            </w:tcBorders>
            <w:shd w:val="clear" w:color="auto" w:fill="auto"/>
          </w:tcPr>
          <w:p w14:paraId="769A9021" w14:textId="20AC5E17" w:rsidR="00342945" w:rsidRPr="006D42BA" w:rsidRDefault="003874FC">
            <w:pPr>
              <w:widowControl w:val="0"/>
              <w:tabs>
                <w:tab w:val="left" w:pos="6480"/>
                <w:tab w:val="left" w:pos="7200"/>
              </w:tabs>
              <w:spacing w:before="40" w:after="40"/>
              <w:jc w:val="right"/>
              <w:rPr>
                <w:b/>
                <w:snapToGrid w:val="0"/>
                <w:sz w:val="18"/>
                <w:szCs w:val="18"/>
                <w:u w:val="single"/>
                <w:lang w:val="es-ES"/>
              </w:rPr>
            </w:pPr>
            <w:bookmarkStart w:id="48" w:name="bookmark_65"/>
            <w:r w:rsidRPr="006D42BA">
              <w:rPr>
                <w:b/>
                <w:sz w:val="18"/>
                <w:szCs w:val="18"/>
                <w:lang w:val="es-ES"/>
              </w:rPr>
              <w:t>183 160</w:t>
            </w:r>
            <w:bookmarkEnd w:id="48"/>
          </w:p>
        </w:tc>
      </w:tr>
    </w:tbl>
    <w:p w14:paraId="279077D7" w14:textId="2FEBC2CC" w:rsidR="00342945" w:rsidRPr="006D42BA" w:rsidRDefault="003874FC" w:rsidP="00D54905">
      <w:pPr>
        <w:pStyle w:val="Normalnumber"/>
        <w:tabs>
          <w:tab w:val="clear" w:pos="567"/>
          <w:tab w:val="clear" w:pos="1247"/>
          <w:tab w:val="clear" w:pos="1814"/>
          <w:tab w:val="clear" w:pos="2381"/>
          <w:tab w:val="clear" w:pos="2948"/>
          <w:tab w:val="clear" w:pos="3515"/>
        </w:tabs>
        <w:spacing w:before="120"/>
        <w:rPr>
          <w:lang w:val="es-ES"/>
        </w:rPr>
      </w:pPr>
      <w:bookmarkStart w:id="49" w:name="bookmark_66"/>
      <w:r w:rsidRPr="006D42BA">
        <w:rPr>
          <w:lang w:val="es-ES"/>
        </w:rPr>
        <w:t>La información sobre los resultados de los procesos de selección se distribuirá e</w:t>
      </w:r>
      <w:r w:rsidR="00D54905" w:rsidRPr="006D42BA">
        <w:rPr>
          <w:lang w:val="es-ES"/>
        </w:rPr>
        <w:t xml:space="preserve">n el documento de antecedentes </w:t>
      </w:r>
      <w:r w:rsidRPr="006D42BA">
        <w:rPr>
          <w:lang w:val="es-ES"/>
        </w:rPr>
        <w:t xml:space="preserve">IPBES/6/INF/33. </w:t>
      </w:r>
      <w:bookmarkEnd w:id="49"/>
    </w:p>
    <w:p w14:paraId="177E0C6F" w14:textId="290FF17C" w:rsidR="00342945" w:rsidRPr="006D42BA" w:rsidRDefault="00A4051F">
      <w:pPr>
        <w:pStyle w:val="CH1"/>
        <w:rPr>
          <w:lang w:val="es-ES"/>
        </w:rPr>
      </w:pPr>
      <w:bookmarkStart w:id="50" w:name="bookmark_67"/>
      <w:r w:rsidRPr="006D42BA">
        <w:rPr>
          <w:lang w:val="es-ES"/>
        </w:rPr>
        <w:lastRenderedPageBreak/>
        <w:tab/>
      </w:r>
      <w:r w:rsidR="003874FC" w:rsidRPr="006D42BA">
        <w:rPr>
          <w:lang w:val="es-ES"/>
        </w:rPr>
        <w:t>III.</w:t>
      </w:r>
      <w:r w:rsidR="003874FC" w:rsidRPr="006D42BA">
        <w:rPr>
          <w:lang w:val="es-ES"/>
        </w:rPr>
        <w:tab/>
      </w:r>
      <w:r w:rsidR="003874FC" w:rsidRPr="006D42BA">
        <w:rPr>
          <w:bCs/>
          <w:lang w:val="es-ES"/>
        </w:rPr>
        <w:t>Medida que se propone</w:t>
      </w:r>
      <w:bookmarkEnd w:id="50"/>
    </w:p>
    <w:p w14:paraId="59AFAC8E" w14:textId="01973102" w:rsidR="00342945" w:rsidRPr="006D42BA" w:rsidRDefault="003874FC" w:rsidP="00D54905">
      <w:pPr>
        <w:pStyle w:val="Normalnumber"/>
        <w:numPr>
          <w:ilvl w:val="0"/>
          <w:numId w:val="9"/>
        </w:numPr>
        <w:tabs>
          <w:tab w:val="clear" w:pos="567"/>
          <w:tab w:val="clear" w:pos="1247"/>
          <w:tab w:val="clear" w:pos="1814"/>
          <w:tab w:val="clear" w:pos="2381"/>
          <w:tab w:val="clear" w:pos="2948"/>
          <w:tab w:val="clear" w:pos="3515"/>
        </w:tabs>
        <w:rPr>
          <w:lang w:val="es-ES"/>
        </w:rPr>
      </w:pPr>
      <w:bookmarkStart w:id="51" w:name="bookmark_68"/>
      <w:r w:rsidRPr="006D42BA">
        <w:rPr>
          <w:lang w:val="es-ES"/>
        </w:rPr>
        <w:t xml:space="preserve">El Plenario tal vez desee: </w:t>
      </w:r>
      <w:bookmarkEnd w:id="51"/>
    </w:p>
    <w:p w14:paraId="39E99F05" w14:textId="51CFAFDF" w:rsidR="00342945" w:rsidRPr="006D42BA" w:rsidRDefault="003874FC" w:rsidP="003C2ACE">
      <w:pPr>
        <w:pStyle w:val="Normalnumber"/>
        <w:numPr>
          <w:ilvl w:val="0"/>
          <w:numId w:val="0"/>
        </w:numPr>
        <w:tabs>
          <w:tab w:val="clear" w:pos="1247"/>
          <w:tab w:val="clear" w:pos="1814"/>
          <w:tab w:val="clear" w:pos="2381"/>
          <w:tab w:val="clear" w:pos="2948"/>
          <w:tab w:val="clear" w:pos="3515"/>
        </w:tabs>
        <w:ind w:left="1247"/>
        <w:rPr>
          <w:lang w:val="es-ES"/>
        </w:rPr>
      </w:pPr>
      <w:bookmarkStart w:id="52" w:name="bookmark_69"/>
      <w:r w:rsidRPr="006D42BA">
        <w:rPr>
          <w:lang w:val="es-ES"/>
        </w:rPr>
        <w:t>Tomar nota con reconocimiento del informe preparado por el equipo de examen interno, la selección de un grupo de examen encargado de llevar a cabo el examen y los progresos realizados en la selección de una organización profesional externa que se encargue de coordinar el examen</w:t>
      </w:r>
      <w:r w:rsidRPr="006D42BA">
        <w:rPr>
          <w:rStyle w:val="FootnoteReference"/>
          <w:lang w:val="es-ES"/>
        </w:rPr>
        <w:footnoteReference w:id="3"/>
      </w:r>
      <w:r w:rsidRPr="006D42BA">
        <w:rPr>
          <w:lang w:val="es-ES"/>
        </w:rPr>
        <w:t>.</w:t>
      </w:r>
      <w:bookmarkEnd w:id="52"/>
    </w:p>
    <w:p w14:paraId="11225126" w14:textId="77777777" w:rsidR="00342945" w:rsidRPr="006D42BA" w:rsidRDefault="003874FC">
      <w:pPr>
        <w:rPr>
          <w:rFonts w:eastAsia="Times New Roman"/>
          <w:b/>
          <w:bCs/>
          <w:sz w:val="28"/>
          <w:szCs w:val="22"/>
          <w:lang w:val="es-ES"/>
        </w:rPr>
      </w:pPr>
      <w:r w:rsidRPr="006D42BA">
        <w:rPr>
          <w:lang w:val="es-ES"/>
        </w:rPr>
        <w:br w:type="page"/>
      </w:r>
    </w:p>
    <w:p w14:paraId="6C524466" w14:textId="7040B7B2" w:rsidR="00342945" w:rsidRPr="006D42BA" w:rsidRDefault="003874FC">
      <w:pPr>
        <w:pStyle w:val="ZZAnxheader"/>
        <w:rPr>
          <w:lang w:val="es-ES"/>
        </w:rPr>
      </w:pPr>
      <w:bookmarkStart w:id="54" w:name="bookmark_71"/>
      <w:r w:rsidRPr="006D42BA">
        <w:rPr>
          <w:lang w:val="es-ES"/>
        </w:rPr>
        <w:lastRenderedPageBreak/>
        <w:t>Anexo</w:t>
      </w:r>
      <w:bookmarkEnd w:id="54"/>
    </w:p>
    <w:p w14:paraId="313D2673" w14:textId="77777777" w:rsidR="00342945" w:rsidRPr="006D42BA" w:rsidRDefault="003874FC">
      <w:pPr>
        <w:pStyle w:val="ZZAnxtitle"/>
        <w:tabs>
          <w:tab w:val="left" w:pos="4082"/>
        </w:tabs>
        <w:rPr>
          <w:lang w:val="es-ES"/>
        </w:rPr>
      </w:pPr>
      <w:bookmarkStart w:id="55" w:name="bookmark_72"/>
      <w:r w:rsidRPr="006D42BA">
        <w:rPr>
          <w:lang w:val="es-ES"/>
        </w:rPr>
        <w:t>Resumen: principales resultados del examen interno</w:t>
      </w:r>
      <w:bookmarkEnd w:id="55"/>
    </w:p>
    <w:p w14:paraId="11F8E318" w14:textId="4A51F31A" w:rsidR="00342945" w:rsidRPr="006D42BA" w:rsidRDefault="00A4051F">
      <w:pPr>
        <w:pStyle w:val="CH1"/>
        <w:rPr>
          <w:lang w:val="es-ES"/>
        </w:rPr>
      </w:pPr>
      <w:bookmarkStart w:id="56" w:name="bookmark_73"/>
      <w:r w:rsidRPr="006D42BA">
        <w:rPr>
          <w:lang w:val="es-ES"/>
        </w:rPr>
        <w:tab/>
      </w:r>
      <w:r w:rsidR="003874FC" w:rsidRPr="006D42BA">
        <w:rPr>
          <w:lang w:val="es-ES"/>
        </w:rPr>
        <w:t>I.</w:t>
      </w:r>
      <w:r w:rsidR="003874FC" w:rsidRPr="006D42BA">
        <w:rPr>
          <w:lang w:val="es-ES"/>
        </w:rPr>
        <w:tab/>
      </w:r>
      <w:r w:rsidR="003874FC" w:rsidRPr="006D42BA">
        <w:rPr>
          <w:bCs/>
          <w:lang w:val="es-ES"/>
        </w:rPr>
        <w:t>Conclusión general</w:t>
      </w:r>
      <w:bookmarkEnd w:id="56"/>
    </w:p>
    <w:p w14:paraId="142CD6FB" w14:textId="1F2EEEFC"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57" w:name="bookmark_74"/>
      <w:r w:rsidRPr="006D42BA">
        <w:rPr>
          <w:lang w:val="es-ES"/>
        </w:rPr>
        <w:t>El examen intern</w:t>
      </w:r>
      <w:r w:rsidR="00BA51AA" w:rsidRPr="006D42BA">
        <w:rPr>
          <w:lang w:val="es-ES"/>
        </w:rPr>
        <w:t>o llevó a cabo un análisis</w:t>
      </w:r>
      <w:r w:rsidRPr="006D42BA">
        <w:rPr>
          <w:lang w:val="es-ES"/>
        </w:rPr>
        <w:t xml:space="preserve"> de la IPBES de conformidad con el mandato del examen en lo que respecta a su eficacia y eficiencia en función de sus objetivos actuales, y principios operativos, sus cuatro funciones y los procesos administrativos y científicos para implementar el programa de trabajo, la eficiencia de la ejecución del programa de trabajo y las estructuras de apoyo establecidas, los procedimientos para la preparación de los p</w:t>
      </w:r>
      <w:r w:rsidR="003E78A0" w:rsidRPr="006D42BA">
        <w:rPr>
          <w:lang w:val="es-ES"/>
        </w:rPr>
        <w:t xml:space="preserve">roductos previstos de la IPBES </w:t>
      </w:r>
      <w:r w:rsidRPr="006D42BA">
        <w:rPr>
          <w:lang w:val="es-ES"/>
        </w:rPr>
        <w:t xml:space="preserve">y de otras decisiones pertinentes de su Plenario. </w:t>
      </w:r>
      <w:bookmarkEnd w:id="57"/>
    </w:p>
    <w:p w14:paraId="174004B2" w14:textId="15679BE6"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58" w:name="bookmark_75"/>
      <w:r w:rsidRPr="006D42BA">
        <w:rPr>
          <w:lang w:val="es-ES"/>
        </w:rPr>
        <w:t>E</w:t>
      </w:r>
      <w:r w:rsidR="00E93C34" w:rsidRPr="006D42BA">
        <w:rPr>
          <w:lang w:val="es-ES"/>
        </w:rPr>
        <w:t>n e</w:t>
      </w:r>
      <w:r w:rsidRPr="006D42BA">
        <w:rPr>
          <w:lang w:val="es-ES"/>
        </w:rPr>
        <w:t>l examen interno se llegó a la conclusión de que, en general, la IPBES está funcionando adecuadamente con una calificación medi</w:t>
      </w:r>
      <w:r w:rsidR="00C70EE6" w:rsidRPr="006D42BA">
        <w:rPr>
          <w:lang w:val="es-ES"/>
        </w:rPr>
        <w:t>a general de</w:t>
      </w:r>
      <w:r w:rsidR="00586701" w:rsidRPr="006D42BA">
        <w:rPr>
          <w:lang w:val="es-ES"/>
        </w:rPr>
        <w:t xml:space="preserve"> entre</w:t>
      </w:r>
      <w:r w:rsidR="005E4E7C" w:rsidRPr="006D42BA">
        <w:rPr>
          <w:lang w:val="es-ES"/>
        </w:rPr>
        <w:t xml:space="preserve"> 3.</w:t>
      </w:r>
      <w:r w:rsidR="00C70EE6" w:rsidRPr="006D42BA">
        <w:rPr>
          <w:lang w:val="es-ES"/>
        </w:rPr>
        <w:t xml:space="preserve">5 </w:t>
      </w:r>
      <w:r w:rsidR="00586701" w:rsidRPr="006D42BA">
        <w:rPr>
          <w:lang w:val="es-ES"/>
        </w:rPr>
        <w:t>y</w:t>
      </w:r>
      <w:r w:rsidR="00C70EE6" w:rsidRPr="006D42BA">
        <w:rPr>
          <w:lang w:val="es-ES"/>
        </w:rPr>
        <w:t xml:space="preserve"> 5 (véase el gráfico</w:t>
      </w:r>
      <w:r w:rsidRPr="006D42BA">
        <w:rPr>
          <w:lang w:val="es-ES"/>
        </w:rPr>
        <w:t xml:space="preserve"> 1), aunque se podría mejorar en algunas esferas. </w:t>
      </w:r>
      <w:bookmarkEnd w:id="58"/>
    </w:p>
    <w:p w14:paraId="7A7CC1FE" w14:textId="509DBE16" w:rsidR="00342945" w:rsidRPr="006D42BA" w:rsidRDefault="00C70EE6">
      <w:pPr>
        <w:pStyle w:val="Titletable"/>
        <w:rPr>
          <w:b w:val="0"/>
          <w:lang w:val="es-ES"/>
        </w:rPr>
      </w:pPr>
      <w:bookmarkStart w:id="59" w:name="bookmark_76"/>
      <w:r w:rsidRPr="006D42BA">
        <w:rPr>
          <w:b w:val="0"/>
          <w:lang w:val="es-ES"/>
        </w:rPr>
        <w:t>Gráfico</w:t>
      </w:r>
      <w:r w:rsidR="003874FC" w:rsidRPr="006D42BA">
        <w:rPr>
          <w:b w:val="0"/>
          <w:lang w:val="es-ES"/>
        </w:rPr>
        <w:t xml:space="preserve"> 1</w:t>
      </w:r>
      <w:bookmarkEnd w:id="59"/>
    </w:p>
    <w:p w14:paraId="7DA733D3" w14:textId="03CA6388" w:rsidR="00342945" w:rsidRPr="006D42BA" w:rsidRDefault="003874FC">
      <w:pPr>
        <w:pStyle w:val="Titletable"/>
        <w:rPr>
          <w:lang w:val="es-ES"/>
        </w:rPr>
      </w:pPr>
      <w:bookmarkStart w:id="60" w:name="bookmark_77"/>
      <w:r w:rsidRPr="006D42BA">
        <w:rPr>
          <w:lang w:val="es-ES"/>
        </w:rPr>
        <w:t>Porcentaje medio de las respuestas recibidas en todas las preguntas para cada una de las calificaciones, entre 1 y 5</w:t>
      </w:r>
      <w:bookmarkEnd w:id="60"/>
    </w:p>
    <w:p w14:paraId="0E00EC45" w14:textId="239972B6" w:rsidR="00342945" w:rsidRPr="006D42BA" w:rsidRDefault="003874FC">
      <w:pPr>
        <w:pStyle w:val="Normalnumber"/>
        <w:numPr>
          <w:ilvl w:val="0"/>
          <w:numId w:val="0"/>
        </w:numPr>
        <w:ind w:left="1247"/>
        <w:rPr>
          <w:lang w:val="es-ES"/>
        </w:rPr>
      </w:pPr>
      <w:r w:rsidRPr="006D42BA">
        <w:rPr>
          <w:noProof/>
          <w:lang w:val="es-ES" w:eastAsia="es-ES"/>
        </w:rPr>
        <w:drawing>
          <wp:inline distT="0" distB="0" distL="0" distR="0" wp14:anchorId="5B9F52EF" wp14:editId="0B8D35D9">
            <wp:extent cx="5381625" cy="3724275"/>
            <wp:effectExtent l="0" t="0" r="9525" b="9525"/>
            <wp:docPr id="1" name="Chart 1">
              <a:extLst xmlns:a="http://schemas.openxmlformats.org/drawingml/2006/main">
                <a:ext uri="{FF2B5EF4-FFF2-40B4-BE49-F238E27FC236}">
                  <a16:creationId xmlns:a16="http://schemas.microsoft.com/office/drawing/2014/main" id="{CC2DE6BC-C26A-40BC-AD77-25D97AB1AB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086E1EF" w14:textId="6AD19655"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61" w:name="bookmark_78"/>
      <w:r w:rsidRPr="006D42BA">
        <w:rPr>
          <w:lang w:val="es-ES"/>
        </w:rPr>
        <w:t xml:space="preserve">Se observan solo diferencias menores en las calificaciones generales entre las cinco categorías de encuestados: los miembros de los órganos subsidiarios de la IPBES (49 respuestas) y de la Secretaría y los coordinadores nacionales o expertos de la IPBES que forman parte de los equipos de tareas y grupos de expertos de la IPBES (38 respuestas; véase </w:t>
      </w:r>
      <w:r w:rsidR="00C70EE6" w:rsidRPr="006D42BA">
        <w:rPr>
          <w:lang w:val="es-ES"/>
        </w:rPr>
        <w:t>el gráfico</w:t>
      </w:r>
      <w:r w:rsidRPr="006D42BA">
        <w:rPr>
          <w:lang w:val="es-ES"/>
        </w:rPr>
        <w:t xml:space="preserve"> 2)</w:t>
      </w:r>
      <w:bookmarkEnd w:id="61"/>
      <w:r w:rsidR="00C70EE6" w:rsidRPr="006D42BA">
        <w:rPr>
          <w:lang w:val="es-ES"/>
        </w:rPr>
        <w:t>.</w:t>
      </w:r>
    </w:p>
    <w:p w14:paraId="3F84D227" w14:textId="65C188B4" w:rsidR="00342945" w:rsidRPr="006D42BA" w:rsidRDefault="00C70EE6">
      <w:pPr>
        <w:pStyle w:val="Titletable"/>
        <w:rPr>
          <w:b w:val="0"/>
          <w:lang w:val="es-ES"/>
        </w:rPr>
      </w:pPr>
      <w:bookmarkStart w:id="62" w:name="bookmark_79"/>
      <w:r w:rsidRPr="006D42BA">
        <w:rPr>
          <w:b w:val="0"/>
          <w:lang w:val="es-ES"/>
        </w:rPr>
        <w:lastRenderedPageBreak/>
        <w:t>Gráfico</w:t>
      </w:r>
      <w:r w:rsidR="003874FC" w:rsidRPr="006D42BA">
        <w:rPr>
          <w:b w:val="0"/>
          <w:lang w:val="es-ES"/>
        </w:rPr>
        <w:t xml:space="preserve"> 2</w:t>
      </w:r>
      <w:bookmarkEnd w:id="62"/>
    </w:p>
    <w:p w14:paraId="2A796128" w14:textId="684C2DC0" w:rsidR="00342945" w:rsidRPr="006D42BA" w:rsidRDefault="003874FC">
      <w:pPr>
        <w:pStyle w:val="Titletable"/>
        <w:rPr>
          <w:lang w:val="es-ES"/>
        </w:rPr>
      </w:pPr>
      <w:bookmarkStart w:id="63" w:name="bookmark_80"/>
      <w:r w:rsidRPr="006D42BA">
        <w:rPr>
          <w:lang w:val="es-ES"/>
        </w:rPr>
        <w:t>Promedio de respuestas a todas las preguntas formuladas por cada categoría de encuestados: miembros de la Mesa, Grupo Multidisciplinario de Expertos, Secretaría, incluidas las dependencias de apoyo técnico, centros nacion</w:t>
      </w:r>
      <w:r w:rsidR="00F40E2A" w:rsidRPr="006D42BA">
        <w:rPr>
          <w:lang w:val="es-ES"/>
        </w:rPr>
        <w:t>ales de coordinación de la IPBES</w:t>
      </w:r>
      <w:r w:rsidRPr="006D42BA">
        <w:rPr>
          <w:lang w:val="es-ES"/>
        </w:rPr>
        <w:t xml:space="preserve"> y algunos expertos (copresidentes de grupos de tareas y grupos de expertos y autores encargados de la coordinación de las evaluaciones)</w:t>
      </w:r>
      <w:bookmarkEnd w:id="63"/>
    </w:p>
    <w:tbl>
      <w:tblPr>
        <w:tblStyle w:val="TableGrid"/>
        <w:tblW w:w="0" w:type="auto"/>
        <w:tblInd w:w="1247" w:type="dxa"/>
        <w:tblLook w:val="04A0" w:firstRow="1" w:lastRow="0" w:firstColumn="1" w:lastColumn="0" w:noHBand="0" w:noVBand="1"/>
      </w:tblPr>
      <w:tblGrid>
        <w:gridCol w:w="8466"/>
      </w:tblGrid>
      <w:tr w:rsidR="006D42BA" w14:paraId="4B929A40" w14:textId="77777777" w:rsidTr="006D42BA">
        <w:tc>
          <w:tcPr>
            <w:tcW w:w="9637" w:type="dxa"/>
          </w:tcPr>
          <w:p w14:paraId="2E7B4F01" w14:textId="041D5E45" w:rsidR="006D42BA" w:rsidRDefault="009C496C" w:rsidP="005F639A">
            <w:pPr>
              <w:pStyle w:val="Normalnumber"/>
              <w:keepNext/>
              <w:keepLines/>
              <w:numPr>
                <w:ilvl w:val="0"/>
                <w:numId w:val="0"/>
              </w:numPr>
              <w:spacing w:before="120"/>
              <w:rPr>
                <w:lang w:val="es-ES"/>
              </w:rPr>
            </w:pPr>
            <w:r>
              <w:rPr>
                <w:noProof/>
                <w:lang w:val="es-ES" w:eastAsia="es-ES"/>
              </w:rPr>
              <w:drawing>
                <wp:inline distT="0" distB="0" distL="0" distR="0" wp14:anchorId="75B61F15" wp14:editId="440D752D">
                  <wp:extent cx="5378291" cy="330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6 10 FIGURE 2.png"/>
                          <pic:cNvPicPr/>
                        </pic:nvPicPr>
                        <pic:blipFill>
                          <a:blip r:embed="rId21">
                            <a:extLst>
                              <a:ext uri="{28A0092B-C50C-407E-A947-70E740481C1C}">
                                <a14:useLocalDpi xmlns:a14="http://schemas.microsoft.com/office/drawing/2010/main" val="0"/>
                              </a:ext>
                            </a:extLst>
                          </a:blip>
                          <a:stretch>
                            <a:fillRect/>
                          </a:stretch>
                        </pic:blipFill>
                        <pic:spPr>
                          <a:xfrm>
                            <a:off x="0" y="0"/>
                            <a:ext cx="5378697" cy="3302249"/>
                          </a:xfrm>
                          <a:prstGeom prst="rect">
                            <a:avLst/>
                          </a:prstGeom>
                        </pic:spPr>
                      </pic:pic>
                    </a:graphicData>
                  </a:graphic>
                </wp:inline>
              </w:drawing>
            </w:r>
          </w:p>
        </w:tc>
      </w:tr>
    </w:tbl>
    <w:p w14:paraId="312AE0E8" w14:textId="36F82C49" w:rsidR="00342945" w:rsidRPr="006D42BA" w:rsidRDefault="00C4132D">
      <w:pPr>
        <w:pStyle w:val="CH1"/>
        <w:rPr>
          <w:lang w:val="es-ES"/>
        </w:rPr>
      </w:pPr>
      <w:bookmarkStart w:id="64" w:name="bookmark_81"/>
      <w:r w:rsidRPr="006D42BA">
        <w:rPr>
          <w:lang w:val="es-ES"/>
        </w:rPr>
        <w:tab/>
      </w:r>
      <w:r w:rsidR="003874FC" w:rsidRPr="006D42BA">
        <w:rPr>
          <w:lang w:val="es-ES"/>
        </w:rPr>
        <w:t>II.</w:t>
      </w:r>
      <w:r w:rsidR="003874FC" w:rsidRPr="006D42BA">
        <w:rPr>
          <w:lang w:val="es-ES"/>
        </w:rPr>
        <w:tab/>
      </w:r>
      <w:r w:rsidR="003874FC" w:rsidRPr="006D42BA">
        <w:rPr>
          <w:bCs/>
          <w:lang w:val="es-ES"/>
        </w:rPr>
        <w:t>Ejecución del programa de trabajo 2014</w:t>
      </w:r>
      <w:r w:rsidR="0075552A" w:rsidRPr="006D42BA">
        <w:rPr>
          <w:bCs/>
          <w:lang w:val="es-ES"/>
        </w:rPr>
        <w:noBreakHyphen/>
      </w:r>
      <w:r w:rsidR="003874FC" w:rsidRPr="006D42BA">
        <w:rPr>
          <w:bCs/>
          <w:lang w:val="es-ES"/>
        </w:rPr>
        <w:t>2018</w:t>
      </w:r>
      <w:bookmarkEnd w:id="64"/>
    </w:p>
    <w:p w14:paraId="5502F248" w14:textId="65E102A9"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65" w:name="bookmark_82"/>
      <w:r w:rsidRPr="006D42BA">
        <w:rPr>
          <w:b/>
          <w:bCs/>
          <w:lang w:val="es-ES"/>
        </w:rPr>
        <w:t>Se considera que los procesos de análisis inicial para las evaluaciones arrojaron buenos resultados, con la excepción de la evaluación del uso sostenible de las especies silvestres, respecto de la cual se consideró inapropiado hacer un análisis inicial de una cuestión tan compleja utilizando medios a distancia.</w:t>
      </w:r>
      <w:r w:rsidRPr="006D42BA">
        <w:rPr>
          <w:lang w:val="es-ES"/>
        </w:rPr>
        <w:t xml:space="preserve"> En los procesos de análisis inicial debería participar un mayor número de exp</w:t>
      </w:r>
      <w:r w:rsidR="003E78A0" w:rsidRPr="006D42BA">
        <w:rPr>
          <w:lang w:val="es-ES"/>
        </w:rPr>
        <w:t xml:space="preserve">ertos en cuestiones normativas </w:t>
      </w:r>
      <w:r w:rsidRPr="006D42BA">
        <w:rPr>
          <w:lang w:val="es-ES"/>
        </w:rPr>
        <w:t xml:space="preserve">para garantizar la pertinencia de las evaluaciones para los encargados de la formulación de políticas. </w:t>
      </w:r>
      <w:r w:rsidRPr="006D42BA">
        <w:rPr>
          <w:b/>
          <w:lang w:val="es-ES"/>
        </w:rPr>
        <w:t>Los resúmenes para los responsables de la formulación de políticas de las evaluaciones de la polinización y las hipótesis y los modelos fueron bien recibidos</w:t>
      </w:r>
      <w:r w:rsidRPr="006D42BA">
        <w:rPr>
          <w:lang w:val="es-ES"/>
        </w:rPr>
        <w:t xml:space="preserve"> y se espera que en el futuro los resúmenes para los responsables</w:t>
      </w:r>
      <w:r w:rsidR="003E78A0" w:rsidRPr="006D42BA">
        <w:rPr>
          <w:lang w:val="es-ES"/>
        </w:rPr>
        <w:t xml:space="preserve"> de formular políticas sean de </w:t>
      </w:r>
      <w:r w:rsidRPr="006D42BA">
        <w:rPr>
          <w:lang w:val="es-ES"/>
        </w:rPr>
        <w:t xml:space="preserve">igual o menor longitud. </w:t>
      </w:r>
      <w:r w:rsidRPr="006D42BA">
        <w:rPr>
          <w:b/>
          <w:bCs/>
          <w:lang w:val="es-ES"/>
        </w:rPr>
        <w:t>En general,</w:t>
      </w:r>
      <w:r w:rsidR="00A4051F" w:rsidRPr="006D42BA">
        <w:rPr>
          <w:b/>
          <w:bCs/>
          <w:lang w:val="es-ES"/>
        </w:rPr>
        <w:t xml:space="preserve"> </w:t>
      </w:r>
      <w:r w:rsidRPr="006D42BA">
        <w:rPr>
          <w:b/>
          <w:bCs/>
          <w:lang w:val="es-ES"/>
        </w:rPr>
        <w:t>se considera que los comités de gestión de las evaluaciones realizadas hasta el momento han cumplido su función.</w:t>
      </w:r>
      <w:r w:rsidRPr="006D42BA">
        <w:rPr>
          <w:lang w:val="es-ES"/>
        </w:rPr>
        <w:t xml:space="preserve"> </w:t>
      </w:r>
      <w:bookmarkEnd w:id="65"/>
    </w:p>
    <w:p w14:paraId="6D15915D" w14:textId="379642B6" w:rsidR="00342945" w:rsidRPr="006D42BA" w:rsidRDefault="003E78A0"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66" w:name="bookmark_83"/>
      <w:r w:rsidRPr="006D42BA">
        <w:rPr>
          <w:b/>
          <w:bCs/>
          <w:lang w:val="es-ES"/>
        </w:rPr>
        <w:t xml:space="preserve">Para que la IPBES pueda lograr </w:t>
      </w:r>
      <w:r w:rsidR="003874FC" w:rsidRPr="006D42BA">
        <w:rPr>
          <w:b/>
          <w:bCs/>
          <w:lang w:val="es-ES"/>
        </w:rPr>
        <w:t>mejoras en ámbitos tales como su enfoque interdisciplinario y multidisciplinario, la igualdad entre los géneros y una representación y participación regionales equilibradas en su estructura y labor</w:t>
      </w:r>
      <w:r w:rsidR="003874FC" w:rsidRPr="006D42BA">
        <w:rPr>
          <w:lang w:val="es-ES"/>
        </w:rPr>
        <w:t xml:space="preserve">, la presentación de candidaturas de expertos por parte de los Gobiernos y las organizaciones debería incluir un mayor número de expertos con formación en ciencias sociales y humanidades, formulación de políticas, mujeres expertas, expertos en conocimientos indígenas y locales y expertos de Europa Oriental y África. </w:t>
      </w:r>
      <w:bookmarkEnd w:id="66"/>
    </w:p>
    <w:p w14:paraId="6F769B7D" w14:textId="112E5E2E"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67" w:name="bookmark_84"/>
      <w:r w:rsidRPr="006D42BA">
        <w:rPr>
          <w:b/>
          <w:bCs/>
          <w:lang w:val="es-ES"/>
        </w:rPr>
        <w:t>La independencia científica, la credibilidad, la pertinencia y la legitimidad de las evaluaciones de la IPBES se beneficiaría de un aumento de las aportaciones y observaciones en el proceso de examen por homólogos, en particular de los Gobiernos.</w:t>
      </w:r>
      <w:r w:rsidRPr="006D42BA">
        <w:rPr>
          <w:lang w:val="es-ES"/>
        </w:rPr>
        <w:t xml:space="preserve"> Las reuniones de diálogo regional con los coordinadores nacionales de la IPBES, que se organizaron en el marco del plan renovable de creación de capacidad en el contexto de la tercera reunión de autores de la evaluación de la degradación y restauración de la tierra y las evaluaciones regionales, fueron bien recibidas y también podrían tomarse en consideración en futuros procesos de evaluación como medio de ayudar a los Gobiernos a proporcionar información y formular observaciones.</w:t>
      </w:r>
      <w:bookmarkEnd w:id="67"/>
    </w:p>
    <w:p w14:paraId="1ADCFB69" w14:textId="77777777" w:rsidR="00A4051F"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68" w:name="bookmark_85"/>
      <w:r w:rsidRPr="006D42BA">
        <w:rPr>
          <w:lang w:val="es-ES"/>
        </w:rPr>
        <w:t xml:space="preserve">A diferencia de la función de evaluación, que se llevó a cabo sobre la base de un conjunto de procedimientos acordados, la ejecución de las funciones de creación de capacidad, generación de conocimientos e instrumentos y metodologías de apoyo normativo, como el establecimiento de vínculos </w:t>
      </w:r>
      <w:r w:rsidRPr="006D42BA">
        <w:rPr>
          <w:bCs/>
          <w:lang w:val="es-ES"/>
        </w:rPr>
        <w:t>con</w:t>
      </w:r>
      <w:r w:rsidRPr="006D42BA">
        <w:rPr>
          <w:lang w:val="es-ES"/>
        </w:rPr>
        <w:t xml:space="preserve"> otras iniciativas y organizaciones, requirió el establecimiento de una base institucional y </w:t>
      </w:r>
      <w:r w:rsidRPr="006D42BA">
        <w:rPr>
          <w:lang w:val="es-ES"/>
        </w:rPr>
        <w:lastRenderedPageBreak/>
        <w:t xml:space="preserve">de procedimiento. Como consecuencia de ello, la aplicación de estas funciones ha sido más lenta por lo general, pero ha mejorado recientemente gracias a los procedimientos pertinentes que se están poniendo en práctica. </w:t>
      </w:r>
      <w:bookmarkStart w:id="69" w:name="bookmark_86"/>
      <w:bookmarkEnd w:id="68"/>
    </w:p>
    <w:p w14:paraId="602232A6" w14:textId="3F82B8A2"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r w:rsidRPr="006D42BA">
        <w:rPr>
          <w:b/>
          <w:lang w:val="es-ES"/>
        </w:rPr>
        <w:t xml:space="preserve">La utilidad del catálogo de instrumentos de apoyo normativo, que incluye los catálogos para las evaluaciones, se consideró, en promedio, </w:t>
      </w:r>
      <w:r w:rsidR="00A4051F" w:rsidRPr="006D42BA">
        <w:rPr>
          <w:b/>
          <w:lang w:val="es-ES"/>
        </w:rPr>
        <w:t>adecuada</w:t>
      </w:r>
      <w:r w:rsidRPr="006D42BA">
        <w:rPr>
          <w:lang w:val="es-ES"/>
        </w:rPr>
        <w:t>. Sin embargo, el catálogo está en una etapa inicial de desarrollo, y no resulta posible en este momento realizar una evaluación concluyente de su utilidad. Además, lo limitado de los recursos asignados para apoyar la ejecución de este producto previsto impidió lograr mayores progresos. La ejecución de esta función de la IPBES no se logra únicamente mediante la elaboración del catálogo de instrumentos de apoyo normativo, sino también a través de la función de evaluación, en particular la evaluación metodológica de hipótesis y modelos y la elaboración de la guía preliminar sobre valores y la labor conexa.</w:t>
      </w:r>
      <w:bookmarkEnd w:id="69"/>
    </w:p>
    <w:p w14:paraId="1AFDFA40" w14:textId="5F5A744C"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70" w:name="bookmark_87"/>
      <w:r w:rsidRPr="006D42BA">
        <w:rPr>
          <w:lang w:val="es-ES"/>
        </w:rPr>
        <w:t xml:space="preserve">En su quinto período de sesiones, el Plenario acogió con beneplácito el plan renovable de creación de </w:t>
      </w:r>
      <w:r w:rsidRPr="006D42BA">
        <w:rPr>
          <w:bCs/>
          <w:lang w:val="es-ES"/>
        </w:rPr>
        <w:t>capacidad</w:t>
      </w:r>
      <w:r w:rsidRPr="006D42BA">
        <w:rPr>
          <w:lang w:val="es-ES"/>
        </w:rPr>
        <w:t xml:space="preserve"> que desde entonces se ha utilizado como orie</w:t>
      </w:r>
      <w:r w:rsidR="00206BF4" w:rsidRPr="006D42BA">
        <w:rPr>
          <w:lang w:val="es-ES"/>
        </w:rPr>
        <w:t>ntación para las actividades de </w:t>
      </w:r>
      <w:r w:rsidRPr="006D42BA">
        <w:rPr>
          <w:lang w:val="es-ES"/>
        </w:rPr>
        <w:t xml:space="preserve">creación de capacidad. </w:t>
      </w:r>
      <w:r w:rsidRPr="006D42BA">
        <w:rPr>
          <w:b/>
          <w:bCs/>
          <w:lang w:val="es-ES"/>
        </w:rPr>
        <w:t>El programa de becas ha tenido buena acogida.</w:t>
      </w:r>
      <w:r w:rsidRPr="006D42BA">
        <w:rPr>
          <w:lang w:val="es-ES"/>
        </w:rPr>
        <w:t xml:space="preserve"> </w:t>
      </w:r>
      <w:r w:rsidRPr="006D42BA">
        <w:rPr>
          <w:b/>
          <w:lang w:val="es-ES"/>
        </w:rPr>
        <w:t>E</w:t>
      </w:r>
      <w:r w:rsidR="00A4051F" w:rsidRPr="006D42BA">
        <w:rPr>
          <w:b/>
          <w:lang w:val="es-ES"/>
        </w:rPr>
        <w:t>l</w:t>
      </w:r>
      <w:r w:rsidR="00206BF4" w:rsidRPr="006D42BA">
        <w:rPr>
          <w:b/>
          <w:lang w:val="es-ES"/>
        </w:rPr>
        <w:t xml:space="preserve"> desempeño del foro de </w:t>
      </w:r>
      <w:r w:rsidRPr="006D42BA">
        <w:rPr>
          <w:b/>
          <w:lang w:val="es-ES"/>
        </w:rPr>
        <w:t>creación de capacidad recib</w:t>
      </w:r>
      <w:r w:rsidR="006C1478" w:rsidRPr="006D42BA">
        <w:rPr>
          <w:b/>
          <w:lang w:val="es-ES"/>
        </w:rPr>
        <w:t>ió una calificación general de “</w:t>
      </w:r>
      <w:r w:rsidR="00A4051F" w:rsidRPr="006D42BA">
        <w:rPr>
          <w:b/>
          <w:lang w:val="es-ES"/>
        </w:rPr>
        <w:t>adecuado</w:t>
      </w:r>
      <w:r w:rsidR="006C1478" w:rsidRPr="006D42BA">
        <w:rPr>
          <w:b/>
          <w:lang w:val="es-ES"/>
        </w:rPr>
        <w:t>”</w:t>
      </w:r>
      <w:r w:rsidRPr="006D42BA">
        <w:rPr>
          <w:b/>
          <w:lang w:val="es-ES"/>
        </w:rPr>
        <w:t>,</w:t>
      </w:r>
      <w:r w:rsidR="00206BF4" w:rsidRPr="006D42BA">
        <w:rPr>
          <w:lang w:val="es-ES"/>
        </w:rPr>
        <w:t xml:space="preserve"> pero quizás habría que </w:t>
      </w:r>
      <w:r w:rsidRPr="006D42BA">
        <w:rPr>
          <w:lang w:val="es-ES"/>
        </w:rPr>
        <w:t xml:space="preserve">perfeccionar su estructura. Las reuniones de diálogo regional fueron bien </w:t>
      </w:r>
      <w:r w:rsidR="00C4132D" w:rsidRPr="006D42BA">
        <w:rPr>
          <w:lang w:val="es-ES"/>
        </w:rPr>
        <w:t>acogidas;</w:t>
      </w:r>
      <w:r w:rsidRPr="006D42BA">
        <w:rPr>
          <w:lang w:val="es-ES"/>
        </w:rPr>
        <w:t xml:space="preserve"> su desempeño podría mejorarse aún más si se celebrasen en las etapas inicia</w:t>
      </w:r>
      <w:r w:rsidR="00206BF4" w:rsidRPr="006D42BA">
        <w:rPr>
          <w:lang w:val="es-ES"/>
        </w:rPr>
        <w:t>les del proceso de examen entre </w:t>
      </w:r>
      <w:r w:rsidRPr="006D42BA">
        <w:rPr>
          <w:lang w:val="es-ES"/>
        </w:rPr>
        <w:t xml:space="preserve">homólogos. </w:t>
      </w:r>
      <w:bookmarkEnd w:id="70"/>
    </w:p>
    <w:p w14:paraId="1C762AF7" w14:textId="7C07B070"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71" w:name="bookmark_88"/>
      <w:r w:rsidRPr="006D42BA">
        <w:rPr>
          <w:b/>
          <w:lang w:val="es-ES"/>
        </w:rPr>
        <w:t>En general los aspectos de la labor en materia de conocimientos y</w:t>
      </w:r>
      <w:r w:rsidR="006C1478" w:rsidRPr="006D42BA">
        <w:rPr>
          <w:b/>
          <w:lang w:val="es-ES"/>
        </w:rPr>
        <w:t xml:space="preserve"> datos se consideraron “</w:t>
      </w:r>
      <w:r w:rsidR="00A4051F" w:rsidRPr="006D42BA">
        <w:rPr>
          <w:b/>
          <w:lang w:val="es-ES"/>
        </w:rPr>
        <w:t>adecuados</w:t>
      </w:r>
      <w:r w:rsidR="006C1478" w:rsidRPr="006D42BA">
        <w:rPr>
          <w:b/>
          <w:lang w:val="es-ES"/>
        </w:rPr>
        <w:t>”</w:t>
      </w:r>
      <w:r w:rsidRPr="006D42BA">
        <w:rPr>
          <w:b/>
          <w:lang w:val="es-ES"/>
        </w:rPr>
        <w:t>.</w:t>
      </w:r>
      <w:r w:rsidRPr="006D42BA">
        <w:rPr>
          <w:lang w:val="es-ES"/>
        </w:rPr>
        <w:t xml:space="preserve"> La labor que hace posible el desempeño de esta función debería mejorarse en el futuro. En </w:t>
      </w:r>
      <w:r w:rsidRPr="006D42BA">
        <w:rPr>
          <w:bCs/>
          <w:lang w:val="es-ES"/>
        </w:rPr>
        <w:t>cuanto</w:t>
      </w:r>
      <w:r w:rsidRPr="006D42BA">
        <w:rPr>
          <w:lang w:val="es-ES"/>
        </w:rPr>
        <w:t xml:space="preserve"> a la </w:t>
      </w:r>
      <w:proofErr w:type="spellStart"/>
      <w:r w:rsidRPr="006D42BA">
        <w:rPr>
          <w:lang w:val="es-ES"/>
        </w:rPr>
        <w:t>catalización</w:t>
      </w:r>
      <w:proofErr w:type="spellEnd"/>
      <w:r w:rsidRPr="006D42BA">
        <w:rPr>
          <w:lang w:val="es-ES"/>
        </w:rPr>
        <w:t xml:space="preserve"> de la generación de nuevos conocimientos, solo se han realizado algunas actividades hasta la fecha, si bien se están determinando las lagunas en los conocimientos a la luz de las evaluaciones. </w:t>
      </w:r>
      <w:bookmarkEnd w:id="71"/>
    </w:p>
    <w:p w14:paraId="7C5B04AB" w14:textId="1D6E692B"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72" w:name="bookmark_89"/>
      <w:r w:rsidRPr="006D42BA">
        <w:rPr>
          <w:b/>
          <w:lang w:val="es-ES"/>
        </w:rPr>
        <w:t xml:space="preserve">Los aspectos de la labor relativa a reconocer, respetar y abordar adecuadamente los conocimientos </w:t>
      </w:r>
      <w:r w:rsidRPr="006D42BA">
        <w:rPr>
          <w:b/>
          <w:bCs/>
          <w:lang w:val="es-ES"/>
        </w:rPr>
        <w:t>indígenas</w:t>
      </w:r>
      <w:r w:rsidRPr="006D42BA">
        <w:rPr>
          <w:b/>
          <w:lang w:val="es-ES"/>
        </w:rPr>
        <w:t xml:space="preserve"> y locales recibier</w:t>
      </w:r>
      <w:r w:rsidR="006C1478" w:rsidRPr="006D42BA">
        <w:rPr>
          <w:b/>
          <w:lang w:val="es-ES"/>
        </w:rPr>
        <w:t>on una calificación general de “bien”</w:t>
      </w:r>
      <w:r w:rsidRPr="006D42BA">
        <w:rPr>
          <w:b/>
          <w:lang w:val="es-ES"/>
        </w:rPr>
        <w:t xml:space="preserve"> o e</w:t>
      </w:r>
      <w:r w:rsidR="006C1478" w:rsidRPr="006D42BA">
        <w:rPr>
          <w:b/>
          <w:lang w:val="es-ES"/>
        </w:rPr>
        <w:t>ntre “adecuada” y “bien”</w:t>
      </w:r>
      <w:r w:rsidR="00A4051F" w:rsidRPr="006D42BA">
        <w:rPr>
          <w:lang w:val="es-ES"/>
        </w:rPr>
        <w:t xml:space="preserve">. </w:t>
      </w:r>
      <w:r w:rsidRPr="006D42BA">
        <w:rPr>
          <w:lang w:val="es-ES"/>
        </w:rPr>
        <w:t>Se consideró que esa labor había avanzado en gran medida gracias a la aprobación por el Plenario en su quinto período de sesiones del enfoque para reconocer y utilizar los conocimientos indígenas y locales. Se prevé que su aplicación, en particular mediante el mecanismo de participación, promueva aún más esta labor en el futuro. Debería aumentarse la participación de los depositarios de conocimientos indígenas y locales en las actividades de la IPBES.</w:t>
      </w:r>
      <w:bookmarkEnd w:id="72"/>
    </w:p>
    <w:p w14:paraId="4ACF0423" w14:textId="440C6CBC"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73" w:name="bookmark_90"/>
      <w:r w:rsidRPr="006D42BA">
        <w:rPr>
          <w:b/>
          <w:lang w:val="es-ES"/>
        </w:rPr>
        <w:t xml:space="preserve">Las sinergias entre las cuatro funciones de la IPBES se considera una esfera en la que se deberían </w:t>
      </w:r>
      <w:r w:rsidRPr="006D42BA">
        <w:rPr>
          <w:b/>
          <w:bCs/>
          <w:lang w:val="es-ES"/>
        </w:rPr>
        <w:t>realizar</w:t>
      </w:r>
      <w:r w:rsidRPr="006D42BA">
        <w:rPr>
          <w:b/>
          <w:lang w:val="es-ES"/>
        </w:rPr>
        <w:t xml:space="preserve"> mejoras. </w:t>
      </w:r>
      <w:r w:rsidRPr="006D42BA">
        <w:rPr>
          <w:b/>
          <w:bCs/>
          <w:lang w:val="es-ES"/>
        </w:rPr>
        <w:t>La asignación del presupuesto entre los diversos productos prev</w:t>
      </w:r>
      <w:r w:rsidR="006C1478" w:rsidRPr="006D42BA">
        <w:rPr>
          <w:b/>
          <w:bCs/>
          <w:lang w:val="es-ES"/>
        </w:rPr>
        <w:t>istos de la IPBES se consideró “adecuada”</w:t>
      </w:r>
      <w:r w:rsidRPr="006D42BA">
        <w:rPr>
          <w:b/>
          <w:bCs/>
          <w:lang w:val="es-ES"/>
        </w:rPr>
        <w:t>.</w:t>
      </w:r>
      <w:r w:rsidRPr="006D42BA">
        <w:rPr>
          <w:lang w:val="es-ES"/>
        </w:rPr>
        <w:t xml:space="preserve"> Las sinergias y el equilibrio entre las cuatro funciones son una consideración importante para la elaboración del segundo programa de trabajo.</w:t>
      </w:r>
      <w:bookmarkEnd w:id="73"/>
    </w:p>
    <w:p w14:paraId="02DEA1D6" w14:textId="3A354CAC" w:rsidR="00342945" w:rsidRPr="006D42BA" w:rsidRDefault="00A4051F">
      <w:pPr>
        <w:pStyle w:val="CH1"/>
        <w:spacing w:after="160"/>
        <w:rPr>
          <w:lang w:val="es-ES"/>
        </w:rPr>
      </w:pPr>
      <w:bookmarkStart w:id="74" w:name="bookmark_91"/>
      <w:r w:rsidRPr="006D42BA">
        <w:rPr>
          <w:lang w:val="es-ES"/>
        </w:rPr>
        <w:tab/>
      </w:r>
      <w:r w:rsidR="003874FC" w:rsidRPr="006D42BA">
        <w:rPr>
          <w:lang w:val="es-ES"/>
        </w:rPr>
        <w:t>III.</w:t>
      </w:r>
      <w:r w:rsidR="003874FC" w:rsidRPr="006D42BA">
        <w:rPr>
          <w:lang w:val="es-ES"/>
        </w:rPr>
        <w:tab/>
      </w:r>
      <w:r w:rsidR="003874FC" w:rsidRPr="006D42BA">
        <w:rPr>
          <w:bCs/>
          <w:lang w:val="es-ES"/>
        </w:rPr>
        <w:t>Funcionamiento del Plenario, la Mesa, el Grupo Multidisciplinario de Expertos y la Secretaría, incl</w:t>
      </w:r>
      <w:r w:rsidR="006C1478" w:rsidRPr="006D42BA">
        <w:rPr>
          <w:bCs/>
          <w:lang w:val="es-ES"/>
        </w:rPr>
        <w:t>uidas las dependencias de apoyo </w:t>
      </w:r>
      <w:r w:rsidR="003874FC" w:rsidRPr="006D42BA">
        <w:rPr>
          <w:bCs/>
          <w:lang w:val="es-ES"/>
        </w:rPr>
        <w:t>técnico</w:t>
      </w:r>
      <w:bookmarkEnd w:id="74"/>
    </w:p>
    <w:p w14:paraId="31F35088" w14:textId="2DD38A66"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b/>
          <w:lang w:val="es-ES"/>
        </w:rPr>
      </w:pPr>
      <w:bookmarkStart w:id="75" w:name="bookmark_92"/>
      <w:r w:rsidRPr="006D42BA">
        <w:rPr>
          <w:b/>
          <w:lang w:val="es-ES"/>
        </w:rPr>
        <w:t xml:space="preserve">Se consideró que los períodos de sesiones del Plenario habían contado con buena organización y se habían celebrado de manera eficaz, con información y documentación apropiadas, y que las decisiones del Plenario habían sido </w:t>
      </w:r>
      <w:r w:rsidR="00C4132D" w:rsidRPr="006D42BA">
        <w:rPr>
          <w:b/>
          <w:lang w:val="es-ES"/>
        </w:rPr>
        <w:t>implementadas eficazmente</w:t>
      </w:r>
      <w:r w:rsidRPr="006D42BA">
        <w:rPr>
          <w:b/>
          <w:lang w:val="es-ES"/>
        </w:rPr>
        <w:t xml:space="preserve"> por la Secretaría, la Mesa y el Grupo Multidisciplinario de Expertos. </w:t>
      </w:r>
      <w:r w:rsidRPr="006D42BA">
        <w:rPr>
          <w:b/>
          <w:bCs/>
          <w:lang w:val="es-ES"/>
        </w:rPr>
        <w:t>Podría mejorarse el asesoramiento al Plenario acerca de la coordinación entre la IPBES y otras instituciones.</w:t>
      </w:r>
      <w:r w:rsidRPr="006D42BA">
        <w:rPr>
          <w:b/>
          <w:lang w:val="es-ES"/>
        </w:rPr>
        <w:t xml:space="preserve"> </w:t>
      </w:r>
      <w:bookmarkEnd w:id="75"/>
    </w:p>
    <w:p w14:paraId="5E653751" w14:textId="0D80F8C2"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b/>
          <w:lang w:val="es-ES"/>
        </w:rPr>
      </w:pPr>
      <w:bookmarkStart w:id="76" w:name="bookmark_93"/>
      <w:r w:rsidRPr="006D42BA">
        <w:rPr>
          <w:b/>
          <w:bCs/>
          <w:lang w:val="es-ES"/>
        </w:rPr>
        <w:t xml:space="preserve">La Mesa ha cumplido eficazmente su mandato en la ejecución de las funciones administrativas de la IPBES, </w:t>
      </w:r>
      <w:r w:rsidRPr="006D42BA">
        <w:rPr>
          <w:b/>
          <w:lang w:val="es-ES"/>
        </w:rPr>
        <w:t>aunque</w:t>
      </w:r>
      <w:r w:rsidRPr="006D42BA">
        <w:rPr>
          <w:b/>
          <w:bCs/>
          <w:lang w:val="es-ES"/>
        </w:rPr>
        <w:t xml:space="preserve"> podría mejorar su función en lo que respecta a la identificación de </w:t>
      </w:r>
      <w:r w:rsidRPr="006D42BA">
        <w:rPr>
          <w:b/>
          <w:lang w:val="es-ES"/>
        </w:rPr>
        <w:t>donantes</w:t>
      </w:r>
      <w:r w:rsidRPr="006D42BA">
        <w:rPr>
          <w:b/>
          <w:bCs/>
          <w:lang w:val="es-ES"/>
        </w:rPr>
        <w:t xml:space="preserve"> y la preparación de acuerdos de asociación para la ejecución de las actividades de la IPBES.</w:t>
      </w:r>
      <w:r w:rsidRPr="006D42BA">
        <w:rPr>
          <w:lang w:val="es-ES"/>
        </w:rPr>
        <w:t xml:space="preserve"> </w:t>
      </w:r>
      <w:r w:rsidRPr="006D42BA">
        <w:rPr>
          <w:b/>
          <w:bCs/>
          <w:lang w:val="es-ES"/>
        </w:rPr>
        <w:t xml:space="preserve">Los miembros de la Mesa </w:t>
      </w:r>
      <w:r w:rsidR="00995F09" w:rsidRPr="006D42BA">
        <w:rPr>
          <w:b/>
          <w:bCs/>
          <w:lang w:val="es-ES"/>
        </w:rPr>
        <w:t xml:space="preserve">han </w:t>
      </w:r>
      <w:r w:rsidRPr="006D42BA">
        <w:rPr>
          <w:b/>
          <w:bCs/>
          <w:lang w:val="es-ES"/>
        </w:rPr>
        <w:t xml:space="preserve">desempeñado sus funciones con eficacia en lo que se refiere a </w:t>
      </w:r>
      <w:r w:rsidR="003E78A0" w:rsidRPr="006D42BA">
        <w:rPr>
          <w:b/>
          <w:bCs/>
          <w:lang w:val="es-ES"/>
        </w:rPr>
        <w:t xml:space="preserve">presidir </w:t>
      </w:r>
      <w:r w:rsidRPr="006D42BA">
        <w:rPr>
          <w:b/>
          <w:bCs/>
          <w:lang w:val="es-ES"/>
        </w:rPr>
        <w:t>los equipos de tareas, grupos de expertos y comités de gestión de la evaluación y aportar contribuciones a la labor de esos grupos.</w:t>
      </w:r>
      <w:r w:rsidRPr="006D42BA">
        <w:rPr>
          <w:lang w:val="es-ES"/>
        </w:rPr>
        <w:t xml:space="preserve"> </w:t>
      </w:r>
      <w:r w:rsidR="00E93C34" w:rsidRPr="006D42BA">
        <w:rPr>
          <w:b/>
          <w:bCs/>
          <w:lang w:val="es-ES"/>
        </w:rPr>
        <w:t>Los</w:t>
      </w:r>
      <w:r w:rsidR="00206BF4" w:rsidRPr="006D42BA">
        <w:rPr>
          <w:b/>
          <w:bCs/>
          <w:lang w:val="es-ES"/>
        </w:rPr>
        <w:t xml:space="preserve"> miembros de la </w:t>
      </w:r>
      <w:r w:rsidR="00C4132D" w:rsidRPr="006D42BA">
        <w:rPr>
          <w:b/>
          <w:bCs/>
          <w:lang w:val="es-ES"/>
        </w:rPr>
        <w:t>IPBES y</w:t>
      </w:r>
      <w:r w:rsidRPr="006D42BA">
        <w:rPr>
          <w:b/>
          <w:bCs/>
          <w:lang w:val="es-ES"/>
        </w:rPr>
        <w:t xml:space="preserve"> los grupos regionales </w:t>
      </w:r>
      <w:r w:rsidR="00E93C34" w:rsidRPr="006D42BA">
        <w:rPr>
          <w:b/>
          <w:bCs/>
          <w:lang w:val="es-ES"/>
        </w:rPr>
        <w:t xml:space="preserve">han recibido </w:t>
      </w:r>
      <w:r w:rsidRPr="006D42BA">
        <w:rPr>
          <w:b/>
          <w:bCs/>
          <w:lang w:val="es-ES"/>
        </w:rPr>
        <w:t>apoyo suficiente de sus respectivos miembros de la Mesa</w:t>
      </w:r>
      <w:r w:rsidR="00E93C34" w:rsidRPr="006D42BA">
        <w:rPr>
          <w:b/>
          <w:bCs/>
          <w:lang w:val="es-ES"/>
        </w:rPr>
        <w:t xml:space="preserve"> en distinto grado.</w:t>
      </w:r>
      <w:bookmarkEnd w:id="76"/>
    </w:p>
    <w:p w14:paraId="6C07FAF6" w14:textId="27D3D1BE"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77" w:name="bookmark_94"/>
      <w:r w:rsidRPr="006D42BA">
        <w:rPr>
          <w:b/>
          <w:bCs/>
          <w:lang w:val="es-ES"/>
        </w:rPr>
        <w:t xml:space="preserve">El Grupo Multidisciplinario de Expertos ha cumplido eficazmente su mandato en lo que se refiere a la ejecución de las funciones científicas de la IPBES, aunque podría mejorar su función de atraer la participación de la comunidad científica y otros depositarios de </w:t>
      </w:r>
      <w:r w:rsidRPr="006D42BA">
        <w:rPr>
          <w:b/>
          <w:lang w:val="es-ES"/>
        </w:rPr>
        <w:t>conocimientos</w:t>
      </w:r>
      <w:r w:rsidRPr="006D42BA">
        <w:rPr>
          <w:b/>
          <w:bCs/>
          <w:lang w:val="es-ES"/>
        </w:rPr>
        <w:t xml:space="preserve"> en el programa de trabajo.</w:t>
      </w:r>
      <w:r w:rsidRPr="006D42BA">
        <w:rPr>
          <w:lang w:val="es-ES"/>
        </w:rPr>
        <w:t xml:space="preserve"> </w:t>
      </w:r>
      <w:r w:rsidRPr="006D42BA">
        <w:rPr>
          <w:b/>
          <w:bCs/>
          <w:lang w:val="es-ES"/>
        </w:rPr>
        <w:t>Los miembros del Grupo Multidiscip</w:t>
      </w:r>
      <w:r w:rsidR="003E78A0" w:rsidRPr="006D42BA">
        <w:rPr>
          <w:b/>
          <w:bCs/>
          <w:lang w:val="es-ES"/>
        </w:rPr>
        <w:t>linario de Expertos han cumplido</w:t>
      </w:r>
      <w:r w:rsidRPr="006D42BA">
        <w:rPr>
          <w:b/>
          <w:bCs/>
          <w:lang w:val="es-ES"/>
        </w:rPr>
        <w:t xml:space="preserve"> de manera efectiva sus funciones de presidir los equipos de tareas y los grupos de expertos y aportarles contribuciones.</w:t>
      </w:r>
      <w:r w:rsidRPr="006D42BA">
        <w:rPr>
          <w:lang w:val="es-ES"/>
        </w:rPr>
        <w:t xml:space="preserve"> La estrecha interacción entre la Mesa y el Grupo </w:t>
      </w:r>
      <w:r w:rsidRPr="006D42BA">
        <w:rPr>
          <w:lang w:val="es-ES"/>
        </w:rPr>
        <w:lastRenderedPageBreak/>
        <w:t>Multidisciplinario de Expertos redundó en beneficio de ambos órganos y debería continuar en el futuro.</w:t>
      </w:r>
      <w:bookmarkEnd w:id="77"/>
    </w:p>
    <w:p w14:paraId="093395B9" w14:textId="42452DC7"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78" w:name="bookmark_95"/>
      <w:r w:rsidRPr="006D42BA">
        <w:rPr>
          <w:lang w:val="es-ES"/>
        </w:rPr>
        <w:t xml:space="preserve">La Secretaría ha desplegado una labor muy eficaz, sobre todo si se tiene en cuenta que durante mucho tiempo no ha contado con personal suficiente. </w:t>
      </w:r>
      <w:r w:rsidRPr="006D42BA">
        <w:rPr>
          <w:b/>
          <w:lang w:val="es-ES"/>
        </w:rPr>
        <w:t xml:space="preserve">Ha velado por lograr una buena documentación y por la </w:t>
      </w:r>
      <w:r w:rsidR="00C4132D" w:rsidRPr="006D42BA">
        <w:rPr>
          <w:b/>
          <w:lang w:val="es-ES"/>
        </w:rPr>
        <w:t>eficaz</w:t>
      </w:r>
      <w:r w:rsidRPr="006D42BA">
        <w:rPr>
          <w:b/>
          <w:lang w:val="es-ES"/>
        </w:rPr>
        <w:t xml:space="preserve"> organización de los períodos de sesiones del Plenario y sus órganos subsidiarios, se ha mostrado receptiva a las solicitudes del Plenario y las de los coordinadores nacionales entre períodos de sesiones, también ha proporcionado buen apoyo para la ejecución del programa de trabajo</w:t>
      </w:r>
      <w:r w:rsidRPr="006D42BA">
        <w:rPr>
          <w:lang w:val="es-ES"/>
        </w:rPr>
        <w:t xml:space="preserve">. La eficacia de las dependencias de apoyo técnico ha sido variable; algunas han tenido un buen desempeño mientras que otras han mejorado su desempeño a lo largo del primer programa de trabajo. </w:t>
      </w:r>
      <w:r w:rsidRPr="006D42BA">
        <w:rPr>
          <w:b/>
          <w:lang w:val="es-ES"/>
        </w:rPr>
        <w:t>La idoneidad del tamaño, la composición y la estructura de la Secretaría, incluidas sus dependencias</w:t>
      </w:r>
      <w:r w:rsidR="00C4132D" w:rsidRPr="006D42BA">
        <w:rPr>
          <w:b/>
          <w:lang w:val="es-ES"/>
        </w:rPr>
        <w:t xml:space="preserve"> de apoyo técnico, se consideró “</w:t>
      </w:r>
      <w:r w:rsidRPr="006D42BA">
        <w:rPr>
          <w:b/>
          <w:lang w:val="es-ES"/>
        </w:rPr>
        <w:t>adecua</w:t>
      </w:r>
      <w:r w:rsidR="00A4051F" w:rsidRPr="006D42BA">
        <w:rPr>
          <w:b/>
          <w:lang w:val="es-ES"/>
        </w:rPr>
        <w:t>da</w:t>
      </w:r>
      <w:r w:rsidR="00C4132D" w:rsidRPr="006D42BA">
        <w:rPr>
          <w:b/>
          <w:lang w:val="es-ES"/>
        </w:rPr>
        <w:t>”</w:t>
      </w:r>
      <w:r w:rsidR="00A4051F" w:rsidRPr="006D42BA">
        <w:rPr>
          <w:b/>
          <w:lang w:val="es-ES"/>
        </w:rPr>
        <w:t>;</w:t>
      </w:r>
      <w:r w:rsidRPr="006D42BA">
        <w:rPr>
          <w:b/>
          <w:lang w:val="es-ES"/>
        </w:rPr>
        <w:t xml:space="preserve"> </w:t>
      </w:r>
      <w:r w:rsidRPr="006D42BA">
        <w:rPr>
          <w:lang w:val="es-ES"/>
        </w:rPr>
        <w:t xml:space="preserve">para el segundo programa de trabajo, es importante adecuar el tamaño del programa de trabajo a la disponibilidad de recursos suficientes en la Secretaría. </w:t>
      </w:r>
      <w:bookmarkEnd w:id="78"/>
    </w:p>
    <w:p w14:paraId="1B03927B" w14:textId="359682A6" w:rsidR="00342945" w:rsidRPr="006D42BA" w:rsidRDefault="00A4051F">
      <w:pPr>
        <w:pStyle w:val="CH1"/>
        <w:rPr>
          <w:lang w:val="es-ES"/>
        </w:rPr>
      </w:pPr>
      <w:bookmarkStart w:id="79" w:name="bookmark_96"/>
      <w:r w:rsidRPr="006D42BA">
        <w:rPr>
          <w:lang w:val="es-ES"/>
        </w:rPr>
        <w:tab/>
      </w:r>
      <w:r w:rsidR="003874FC" w:rsidRPr="006D42BA">
        <w:rPr>
          <w:lang w:val="es-ES"/>
        </w:rPr>
        <w:t>IV.</w:t>
      </w:r>
      <w:r w:rsidR="003874FC" w:rsidRPr="006D42BA">
        <w:rPr>
          <w:lang w:val="es-ES"/>
        </w:rPr>
        <w:tab/>
      </w:r>
      <w:r w:rsidR="003874FC" w:rsidRPr="006D42BA">
        <w:rPr>
          <w:bCs/>
          <w:lang w:val="es-ES"/>
        </w:rPr>
        <w:t>Funciones de los equipos de tareas y los grupos de expertos</w:t>
      </w:r>
      <w:bookmarkEnd w:id="79"/>
    </w:p>
    <w:p w14:paraId="73173BF7" w14:textId="634A93D7"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80" w:name="bookmark_97"/>
      <w:r w:rsidRPr="006D42BA">
        <w:rPr>
          <w:b/>
          <w:lang w:val="es-ES"/>
        </w:rPr>
        <w:t>Se consideró que la interacción entre los equipos de tareas, grupos de expertos y evaluaciones debería mejorar. El grupo de tareas sobre creación de capacidad y los grupos de expertos sobre hipótesis y modelos y valores han funcionado bien. La labor de otros grupos de expertos fue ca</w:t>
      </w:r>
      <w:r w:rsidR="006C1478" w:rsidRPr="006D42BA">
        <w:rPr>
          <w:b/>
          <w:lang w:val="es-ES"/>
        </w:rPr>
        <w:t>lificada de “adecuada”</w:t>
      </w:r>
      <w:r w:rsidRPr="006D42BA">
        <w:rPr>
          <w:b/>
          <w:lang w:val="es-ES"/>
        </w:rPr>
        <w:t xml:space="preserve">. </w:t>
      </w:r>
      <w:r w:rsidRPr="006D42BA">
        <w:rPr>
          <w:lang w:val="es-ES"/>
        </w:rPr>
        <w:t xml:space="preserve">Si bien la generación de los conjuntos de indicadores ha sido importante, el tiempo que ha tomado elaborarlos ha hecho que estos resulten menos útiles para las evaluaciones regionales y la evaluación de la degradación y restauración de la tierra. </w:t>
      </w:r>
      <w:bookmarkEnd w:id="80"/>
    </w:p>
    <w:p w14:paraId="5D647747" w14:textId="2AD79EBF" w:rsidR="00342945" w:rsidRPr="006D42BA" w:rsidRDefault="00A4051F">
      <w:pPr>
        <w:pStyle w:val="CH1"/>
        <w:rPr>
          <w:lang w:val="es-ES"/>
        </w:rPr>
      </w:pPr>
      <w:bookmarkStart w:id="81" w:name="bookmark_98"/>
      <w:r w:rsidRPr="006D42BA">
        <w:rPr>
          <w:lang w:val="es-ES"/>
        </w:rPr>
        <w:tab/>
      </w:r>
      <w:r w:rsidR="003874FC" w:rsidRPr="006D42BA">
        <w:rPr>
          <w:lang w:val="es-ES"/>
        </w:rPr>
        <w:t>V.</w:t>
      </w:r>
      <w:r w:rsidR="003874FC" w:rsidRPr="006D42BA">
        <w:rPr>
          <w:lang w:val="es-ES"/>
        </w:rPr>
        <w:tab/>
      </w:r>
      <w:r w:rsidR="003874FC" w:rsidRPr="006D42BA">
        <w:rPr>
          <w:bCs/>
          <w:lang w:val="es-ES"/>
        </w:rPr>
        <w:t>Asociaciones, participación de los interesados y comunicación</w:t>
      </w:r>
      <w:bookmarkEnd w:id="81"/>
    </w:p>
    <w:p w14:paraId="7240C511" w14:textId="1F272FF6" w:rsidR="00342945" w:rsidRPr="006D42BA" w:rsidRDefault="003874FC" w:rsidP="00D54905">
      <w:pPr>
        <w:pStyle w:val="Normalnumber"/>
        <w:numPr>
          <w:ilvl w:val="0"/>
          <w:numId w:val="8"/>
        </w:numPr>
        <w:tabs>
          <w:tab w:val="clear" w:pos="567"/>
          <w:tab w:val="clear" w:pos="1247"/>
          <w:tab w:val="clear" w:pos="1814"/>
          <w:tab w:val="clear" w:pos="2381"/>
          <w:tab w:val="clear" w:pos="2948"/>
          <w:tab w:val="clear" w:pos="3515"/>
        </w:tabs>
        <w:rPr>
          <w:lang w:val="es-ES"/>
        </w:rPr>
      </w:pPr>
      <w:bookmarkStart w:id="82" w:name="bookmark_99"/>
      <w:r w:rsidRPr="006D42BA">
        <w:rPr>
          <w:lang w:val="es-ES"/>
        </w:rPr>
        <w:t>Se consideró que la colaboración con los asocia</w:t>
      </w:r>
      <w:r w:rsidR="00AB25B5" w:rsidRPr="006D42BA">
        <w:rPr>
          <w:lang w:val="es-ES"/>
        </w:rPr>
        <w:t>dos del sistema de las Naciones </w:t>
      </w:r>
      <w:r w:rsidRPr="006D42BA">
        <w:rPr>
          <w:lang w:val="es-ES"/>
        </w:rPr>
        <w:t xml:space="preserve">Unidas y con otras organizaciones, iniciativas y redes pertinentes ha progresado pero que, </w:t>
      </w:r>
      <w:r w:rsidRPr="006D42BA">
        <w:rPr>
          <w:b/>
          <w:lang w:val="es-ES"/>
        </w:rPr>
        <w:t>en general, es una esfera en la que se debe mejorar.</w:t>
      </w:r>
      <w:r w:rsidRPr="006D42BA">
        <w:rPr>
          <w:lang w:val="es-ES"/>
        </w:rPr>
        <w:t xml:space="preserve"> </w:t>
      </w:r>
      <w:r w:rsidRPr="006D42BA">
        <w:rPr>
          <w:b/>
          <w:lang w:val="es-ES"/>
        </w:rPr>
        <w:t>Se ha de fortalecer la participación de los interesados, la divulgación y la comunicación,</w:t>
      </w:r>
      <w:r w:rsidRPr="006D42BA">
        <w:rPr>
          <w:lang w:val="es-ES"/>
        </w:rPr>
        <w:t xml:space="preserve"> aunque se reconoce que gracias a las contrataciones recientes se han reforzado significativamente las actividades de comunicación y divulgación. La visibilidad de la IPBES debe extenderse más allá de los ministerios de medio ambiente.</w:t>
      </w:r>
      <w:bookmarkEnd w:id="82"/>
    </w:p>
    <w:p w14:paraId="39D51B0E" w14:textId="2A5777E5" w:rsidR="00342945" w:rsidRPr="006D42BA" w:rsidRDefault="00A4051F">
      <w:pPr>
        <w:pStyle w:val="CH1"/>
        <w:rPr>
          <w:lang w:val="es-ES"/>
        </w:rPr>
      </w:pPr>
      <w:bookmarkStart w:id="83" w:name="bookmark_100"/>
      <w:r w:rsidRPr="006D42BA">
        <w:rPr>
          <w:lang w:val="es-ES"/>
        </w:rPr>
        <w:tab/>
      </w:r>
      <w:r w:rsidR="003874FC" w:rsidRPr="006D42BA">
        <w:rPr>
          <w:lang w:val="es-ES"/>
        </w:rPr>
        <w:t>VI.</w:t>
      </w:r>
      <w:r w:rsidR="003874FC" w:rsidRPr="006D42BA">
        <w:rPr>
          <w:lang w:val="es-ES"/>
        </w:rPr>
        <w:tab/>
      </w:r>
      <w:r w:rsidR="003874FC" w:rsidRPr="006D42BA">
        <w:rPr>
          <w:bCs/>
          <w:lang w:val="es-ES"/>
        </w:rPr>
        <w:t>Eficacia de la gestión presupuestaria y las normas fiscales</w:t>
      </w:r>
      <w:bookmarkEnd w:id="83"/>
    </w:p>
    <w:p w14:paraId="60038A5F" w14:textId="65A99F18" w:rsidR="00342945" w:rsidRPr="006D42BA" w:rsidRDefault="003874FC" w:rsidP="002D5834">
      <w:pPr>
        <w:pStyle w:val="Normalnumber"/>
        <w:numPr>
          <w:ilvl w:val="0"/>
          <w:numId w:val="8"/>
        </w:numPr>
        <w:tabs>
          <w:tab w:val="clear" w:pos="567"/>
          <w:tab w:val="clear" w:pos="1247"/>
          <w:tab w:val="clear" w:pos="1814"/>
          <w:tab w:val="clear" w:pos="2381"/>
          <w:tab w:val="clear" w:pos="2948"/>
          <w:tab w:val="clear" w:pos="3515"/>
        </w:tabs>
        <w:rPr>
          <w:lang w:val="es-ES"/>
        </w:rPr>
      </w:pPr>
      <w:bookmarkStart w:id="84" w:name="bookmark_101"/>
      <w:r w:rsidRPr="006D42BA">
        <w:rPr>
          <w:b/>
          <w:bCs/>
          <w:lang w:val="es-ES"/>
        </w:rPr>
        <w:t>Habida cuenta de las restricciones presupuestarias, se reconoció la necesidad de intensificar las actividades de recaudación de fondos.</w:t>
      </w:r>
      <w:r w:rsidRPr="006D42BA">
        <w:rPr>
          <w:lang w:val="es-ES"/>
        </w:rPr>
        <w:t xml:space="preserve"> </w:t>
      </w:r>
      <w:r w:rsidRPr="006D42BA">
        <w:rPr>
          <w:b/>
          <w:bCs/>
          <w:lang w:val="es-ES"/>
        </w:rPr>
        <w:t>Se considera que se han respetado las normas financieras y que los documentos presupuestarios presentados al Plenario son adecuados.</w:t>
      </w:r>
      <w:r w:rsidRPr="006D42BA">
        <w:rPr>
          <w:lang w:val="es-ES"/>
        </w:rPr>
        <w:t xml:space="preserve"> Se han recibido </w:t>
      </w:r>
      <w:r w:rsidR="0092146D" w:rsidRPr="006D42BA">
        <w:rPr>
          <w:lang w:val="es-ES"/>
        </w:rPr>
        <w:t>importantes</w:t>
      </w:r>
      <w:r w:rsidRPr="006D42BA">
        <w:rPr>
          <w:lang w:val="es-ES"/>
        </w:rPr>
        <w:t xml:space="preserve"> contribuciones en especie, lo que ha aliviado las presiones sobre el Fondo Fiduciario de la IPBES.</w:t>
      </w:r>
      <w:bookmarkEnd w:id="8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9"/>
        <w:gridCol w:w="2009"/>
        <w:gridCol w:w="2009"/>
        <w:gridCol w:w="2009"/>
        <w:gridCol w:w="2010"/>
      </w:tblGrid>
      <w:tr w:rsidR="00342945" w:rsidRPr="006D42BA" w14:paraId="00F18B19" w14:textId="77777777">
        <w:tc>
          <w:tcPr>
            <w:tcW w:w="2009" w:type="dxa"/>
          </w:tcPr>
          <w:p w14:paraId="24F50740" w14:textId="77777777" w:rsidR="00342945" w:rsidRPr="006D42BA" w:rsidRDefault="00342945">
            <w:pPr>
              <w:pStyle w:val="Normal-pool"/>
              <w:spacing w:before="520"/>
              <w:rPr>
                <w:lang w:val="es-ES"/>
              </w:rPr>
            </w:pPr>
          </w:p>
        </w:tc>
        <w:tc>
          <w:tcPr>
            <w:tcW w:w="2009" w:type="dxa"/>
          </w:tcPr>
          <w:p w14:paraId="6723FA97" w14:textId="77777777" w:rsidR="00342945" w:rsidRPr="006D42BA" w:rsidRDefault="00342945">
            <w:pPr>
              <w:pStyle w:val="Normal-pool"/>
              <w:spacing w:before="520"/>
              <w:rPr>
                <w:lang w:val="es-ES"/>
              </w:rPr>
            </w:pPr>
          </w:p>
        </w:tc>
        <w:tc>
          <w:tcPr>
            <w:tcW w:w="2009" w:type="dxa"/>
            <w:tcBorders>
              <w:bottom w:val="single" w:sz="4" w:space="0" w:color="auto"/>
            </w:tcBorders>
          </w:tcPr>
          <w:p w14:paraId="6A51529D" w14:textId="77777777" w:rsidR="00342945" w:rsidRPr="006D42BA" w:rsidRDefault="00342945">
            <w:pPr>
              <w:pStyle w:val="Normal-pool"/>
              <w:spacing w:before="520"/>
              <w:rPr>
                <w:lang w:val="es-ES"/>
              </w:rPr>
            </w:pPr>
          </w:p>
        </w:tc>
        <w:tc>
          <w:tcPr>
            <w:tcW w:w="2009" w:type="dxa"/>
          </w:tcPr>
          <w:p w14:paraId="4CDB301E" w14:textId="77777777" w:rsidR="00342945" w:rsidRPr="006D42BA" w:rsidRDefault="00342945">
            <w:pPr>
              <w:pStyle w:val="Normal-pool"/>
              <w:spacing w:before="520"/>
              <w:rPr>
                <w:lang w:val="es-ES"/>
              </w:rPr>
            </w:pPr>
          </w:p>
        </w:tc>
        <w:tc>
          <w:tcPr>
            <w:tcW w:w="2010" w:type="dxa"/>
          </w:tcPr>
          <w:p w14:paraId="0FD1DBFF" w14:textId="77777777" w:rsidR="00342945" w:rsidRPr="006D42BA" w:rsidRDefault="00342945">
            <w:pPr>
              <w:pStyle w:val="Normal-pool"/>
              <w:spacing w:before="520"/>
              <w:rPr>
                <w:lang w:val="es-ES"/>
              </w:rPr>
            </w:pPr>
          </w:p>
        </w:tc>
      </w:tr>
    </w:tbl>
    <w:p w14:paraId="02E03AE7" w14:textId="77777777" w:rsidR="00342945" w:rsidRPr="006D42BA" w:rsidRDefault="00342945">
      <w:pPr>
        <w:pStyle w:val="Normal-pool"/>
        <w:rPr>
          <w:lang w:val="es-ES"/>
        </w:rPr>
      </w:pPr>
    </w:p>
    <w:sectPr w:rsidR="00342945" w:rsidRPr="006D42BA" w:rsidSect="00D54905">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447DB" w14:textId="77777777" w:rsidR="005F7CC2" w:rsidRDefault="005F7CC2">
      <w:r>
        <w:separator/>
      </w:r>
    </w:p>
    <w:p w14:paraId="3835969E" w14:textId="77777777" w:rsidR="005F7CC2" w:rsidRDefault="005F7CC2"/>
  </w:endnote>
  <w:endnote w:type="continuationSeparator" w:id="0">
    <w:p w14:paraId="7E9A8DD0" w14:textId="77777777" w:rsidR="005F7CC2" w:rsidRDefault="005F7CC2">
      <w:r>
        <w:continuationSeparator/>
      </w:r>
    </w:p>
    <w:p w14:paraId="0A3F5CAD" w14:textId="77777777" w:rsidR="005F7CC2" w:rsidRDefault="005F7CC2"/>
  </w:endnote>
  <w:endnote w:type="continuationNotice" w:id="1">
    <w:p w14:paraId="2B899272" w14:textId="77777777" w:rsidR="005F7CC2" w:rsidRDefault="005F7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ED9E" w14:textId="61A08E8D" w:rsidR="00342945" w:rsidRDefault="003874FC">
    <w:pPr>
      <w:pStyle w:val="Footer"/>
    </w:pPr>
    <w:r>
      <w:rPr>
        <w:rStyle w:val="PageNumber"/>
      </w:rPr>
      <w:fldChar w:fldCharType="begin"/>
    </w:r>
    <w:r>
      <w:rPr>
        <w:rStyle w:val="PageNumber"/>
      </w:rPr>
      <w:instrText xml:space="preserve"> PAGE </w:instrText>
    </w:r>
    <w:r>
      <w:rPr>
        <w:rStyle w:val="PageNumber"/>
      </w:rPr>
      <w:fldChar w:fldCharType="separate"/>
    </w:r>
    <w:r w:rsidR="0060028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8E402" w14:textId="25D38A5D" w:rsidR="00342945" w:rsidRDefault="003874FC">
    <w:pPr>
      <w:pStyle w:val="Footer"/>
      <w:jc w:val="right"/>
    </w:pPr>
    <w:r>
      <w:rPr>
        <w:rStyle w:val="PageNumber"/>
      </w:rPr>
      <w:fldChar w:fldCharType="begin"/>
    </w:r>
    <w:r>
      <w:rPr>
        <w:rStyle w:val="PageNumber"/>
      </w:rPr>
      <w:instrText xml:space="preserve"> PAGE </w:instrText>
    </w:r>
    <w:r>
      <w:rPr>
        <w:rStyle w:val="PageNumber"/>
      </w:rPr>
      <w:fldChar w:fldCharType="separate"/>
    </w:r>
    <w:r w:rsidR="00600282">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6B00" w14:textId="5E7D6032" w:rsidR="00342945" w:rsidRPr="00CA1C2B" w:rsidRDefault="00911281">
    <w:pPr>
      <w:pStyle w:val="Footer"/>
      <w:rPr>
        <w:sz w:val="20"/>
      </w:rPr>
    </w:pPr>
    <w:bookmarkStart w:id="87" w:name="headerBookmark_12"/>
    <w:r w:rsidRPr="00CA1C2B">
      <w:rPr>
        <w:sz w:val="20"/>
        <w:lang w:val="es-ES"/>
      </w:rPr>
      <w:t>K1709171</w:t>
    </w:r>
    <w:r w:rsidR="008613BD" w:rsidRPr="00CA1C2B">
      <w:rPr>
        <w:sz w:val="20"/>
        <w:lang w:val="es-ES"/>
      </w:rPr>
      <w:tab/>
    </w:r>
    <w:r w:rsidR="001C6720">
      <w:rPr>
        <w:sz w:val="20"/>
        <w:lang w:val="es-ES"/>
      </w:rPr>
      <w:t>0202</w:t>
    </w:r>
    <w:r w:rsidR="003874FC" w:rsidRPr="00CA1C2B">
      <w:rPr>
        <w:sz w:val="20"/>
        <w:lang w:val="es-ES"/>
      </w:rPr>
      <w:t>18</w:t>
    </w:r>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B9BC9" w14:textId="77777777" w:rsidR="005F7CC2" w:rsidRDefault="005F7CC2">
      <w:pPr>
        <w:spacing w:before="60"/>
        <w:ind w:left="624"/>
      </w:pPr>
      <w:r>
        <w:separator/>
      </w:r>
    </w:p>
  </w:footnote>
  <w:footnote w:type="continuationSeparator" w:id="0">
    <w:p w14:paraId="5EBBE598" w14:textId="77777777" w:rsidR="005F7CC2" w:rsidRDefault="005F7CC2">
      <w:r>
        <w:continuationSeparator/>
      </w:r>
    </w:p>
    <w:p w14:paraId="6963D4AE" w14:textId="77777777" w:rsidR="005F7CC2" w:rsidRDefault="005F7CC2"/>
  </w:footnote>
  <w:footnote w:type="continuationNotice" w:id="1">
    <w:p w14:paraId="5F1B07D3" w14:textId="77777777" w:rsidR="005F7CC2" w:rsidRDefault="005F7CC2"/>
  </w:footnote>
  <w:footnote w:id="2">
    <w:p w14:paraId="458E1BD1" w14:textId="77777777" w:rsidR="00342945" w:rsidRDefault="003874FC">
      <w:pPr>
        <w:pStyle w:val="FootnoteText"/>
        <w:tabs>
          <w:tab w:val="clear" w:pos="1247"/>
          <w:tab w:val="clear" w:pos="1814"/>
          <w:tab w:val="clear" w:pos="2381"/>
          <w:tab w:val="clear" w:pos="2948"/>
          <w:tab w:val="clear" w:pos="3515"/>
          <w:tab w:val="left" w:pos="624"/>
        </w:tabs>
        <w:ind w:left="1253"/>
        <w:rPr>
          <w:szCs w:val="18"/>
        </w:rPr>
      </w:pPr>
      <w:bookmarkStart w:id="6" w:name="footnoteBookmark_23"/>
      <w:r>
        <w:rPr>
          <w:lang w:val="es-ES"/>
        </w:rPr>
        <w:t>* IPBES/6/1.</w:t>
      </w:r>
      <w:bookmarkEnd w:id="6"/>
    </w:p>
  </w:footnote>
  <w:footnote w:id="3">
    <w:p w14:paraId="1345EF87" w14:textId="18F0415C" w:rsidR="00342945" w:rsidRPr="006D42BA" w:rsidRDefault="003874FC">
      <w:pPr>
        <w:pStyle w:val="FootnoteText"/>
        <w:rPr>
          <w:szCs w:val="18"/>
        </w:rPr>
      </w:pPr>
      <w:r w:rsidRPr="006D42BA">
        <w:rPr>
          <w:rStyle w:val="FootnoteReference"/>
          <w:sz w:val="18"/>
          <w:lang w:val="es-ES"/>
        </w:rPr>
        <w:footnoteRef/>
      </w:r>
      <w:bookmarkStart w:id="53" w:name="footnoteBookmark_70"/>
      <w:r w:rsidRPr="006D42BA">
        <w:rPr>
          <w:szCs w:val="18"/>
          <w:lang w:val="es-ES"/>
        </w:rPr>
        <w:t xml:space="preserve"> IPBES/6/10.</w:t>
      </w:r>
      <w:bookmarkEnd w:id="5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E05E" w14:textId="5DE36BD2" w:rsidR="00342945" w:rsidRDefault="003874FC">
    <w:pPr>
      <w:pStyle w:val="Header"/>
      <w:rPr>
        <w:szCs w:val="18"/>
      </w:rPr>
    </w:pPr>
    <w:bookmarkStart w:id="85" w:name="headerBookmark_11"/>
    <w:r>
      <w:rPr>
        <w:szCs w:val="18"/>
      </w:rPr>
      <w:t>IPBES/</w:t>
    </w:r>
    <w:r>
      <w:rPr>
        <w:szCs w:val="18"/>
        <w:lang w:eastAsia="ja-JP"/>
      </w:rPr>
      <w:t>6/10</w:t>
    </w:r>
    <w:bookmarkEnd w:id="8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B036" w14:textId="78AC31F3" w:rsidR="00342945" w:rsidRDefault="003874FC">
    <w:pPr>
      <w:pStyle w:val="Header"/>
      <w:jc w:val="right"/>
      <w:rPr>
        <w:szCs w:val="18"/>
      </w:rPr>
    </w:pPr>
    <w:bookmarkStart w:id="86" w:name="headerBookmark_10"/>
    <w:r>
      <w:rPr>
        <w:szCs w:val="18"/>
      </w:rPr>
      <w:t>IPBES/</w:t>
    </w:r>
    <w:r>
      <w:rPr>
        <w:szCs w:val="18"/>
        <w:lang w:eastAsia="ja-JP"/>
      </w:rPr>
      <w:t>6/10</w:t>
    </w:r>
    <w:bookmarkEnd w:id="8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C703" w14:textId="3759902B" w:rsidR="00342945" w:rsidRDefault="0034294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4A74"/>
    <w:multiLevelType w:val="hybridMultilevel"/>
    <w:tmpl w:val="01D6DB32"/>
    <w:lvl w:ilvl="0" w:tplc="77EE5E32">
      <w:start w:val="1"/>
      <w:numFmt w:val="lowerLetter"/>
      <w:lvlText w:val="%1)"/>
      <w:lvlJc w:val="left"/>
      <w:pPr>
        <w:ind w:left="2174" w:hanging="360"/>
      </w:pPr>
      <w:rPr>
        <w:rFonts w:hint="default"/>
        <w:color w:val="auto"/>
      </w:rPr>
    </w:lvl>
    <w:lvl w:ilvl="1" w:tplc="040A0019" w:tentative="1">
      <w:start w:val="1"/>
      <w:numFmt w:val="lowerLetter"/>
      <w:lvlText w:val="%2."/>
      <w:lvlJc w:val="left"/>
      <w:pPr>
        <w:ind w:left="2894" w:hanging="360"/>
      </w:pPr>
    </w:lvl>
    <w:lvl w:ilvl="2" w:tplc="040A001B" w:tentative="1">
      <w:start w:val="1"/>
      <w:numFmt w:val="lowerRoman"/>
      <w:lvlText w:val="%3."/>
      <w:lvlJc w:val="right"/>
      <w:pPr>
        <w:ind w:left="3614" w:hanging="180"/>
      </w:pPr>
    </w:lvl>
    <w:lvl w:ilvl="3" w:tplc="040A000F" w:tentative="1">
      <w:start w:val="1"/>
      <w:numFmt w:val="decimal"/>
      <w:lvlText w:val="%4."/>
      <w:lvlJc w:val="left"/>
      <w:pPr>
        <w:ind w:left="4334" w:hanging="360"/>
      </w:pPr>
    </w:lvl>
    <w:lvl w:ilvl="4" w:tplc="040A0019" w:tentative="1">
      <w:start w:val="1"/>
      <w:numFmt w:val="lowerLetter"/>
      <w:lvlText w:val="%5."/>
      <w:lvlJc w:val="left"/>
      <w:pPr>
        <w:ind w:left="5054" w:hanging="360"/>
      </w:pPr>
    </w:lvl>
    <w:lvl w:ilvl="5" w:tplc="040A001B" w:tentative="1">
      <w:start w:val="1"/>
      <w:numFmt w:val="lowerRoman"/>
      <w:lvlText w:val="%6."/>
      <w:lvlJc w:val="right"/>
      <w:pPr>
        <w:ind w:left="5774" w:hanging="180"/>
      </w:pPr>
    </w:lvl>
    <w:lvl w:ilvl="6" w:tplc="040A000F" w:tentative="1">
      <w:start w:val="1"/>
      <w:numFmt w:val="decimal"/>
      <w:lvlText w:val="%7."/>
      <w:lvlJc w:val="left"/>
      <w:pPr>
        <w:ind w:left="6494" w:hanging="360"/>
      </w:pPr>
    </w:lvl>
    <w:lvl w:ilvl="7" w:tplc="040A0019" w:tentative="1">
      <w:start w:val="1"/>
      <w:numFmt w:val="lowerLetter"/>
      <w:lvlText w:val="%8."/>
      <w:lvlJc w:val="left"/>
      <w:pPr>
        <w:ind w:left="7214" w:hanging="360"/>
      </w:pPr>
    </w:lvl>
    <w:lvl w:ilvl="8" w:tplc="040A001B" w:tentative="1">
      <w:start w:val="1"/>
      <w:numFmt w:val="lowerRoman"/>
      <w:lvlText w:val="%9."/>
      <w:lvlJc w:val="right"/>
      <w:pPr>
        <w:ind w:left="7934" w:hanging="180"/>
      </w:pPr>
    </w:lvl>
  </w:abstractNum>
  <w:abstractNum w:abstractNumId="1" w15:restartNumberingAfterBreak="0">
    <w:nsid w:val="171113A7"/>
    <w:multiLevelType w:val="multilevel"/>
    <w:tmpl w:val="48241D10"/>
    <w:numStyleLink w:val="Normallist"/>
  </w:abstractNum>
  <w:abstractNum w:abstractNumId="2"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3"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4" w15:restartNumberingAfterBreak="0">
    <w:nsid w:val="36E47EE8"/>
    <w:multiLevelType w:val="hybridMultilevel"/>
    <w:tmpl w:val="16729768"/>
    <w:lvl w:ilvl="0" w:tplc="04090015">
      <w:start w:val="1"/>
      <w:numFmt w:val="upperLetter"/>
      <w:lvlText w:val="%1."/>
      <w:lvlJc w:val="left"/>
      <w:pPr>
        <w:ind w:left="1976" w:hanging="360"/>
      </w:pPr>
    </w:lvl>
    <w:lvl w:ilvl="1" w:tplc="1206E210">
      <w:start w:val="1"/>
      <w:numFmt w:val="upperLetter"/>
      <w:pStyle w:val="Heading2"/>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5"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6" w15:restartNumberingAfterBreak="0">
    <w:nsid w:val="558B7316"/>
    <w:multiLevelType w:val="hybridMultilevel"/>
    <w:tmpl w:val="0B646E8C"/>
    <w:lvl w:ilvl="0" w:tplc="29482764">
      <w:start w:val="1"/>
      <w:numFmt w:val="upperRoman"/>
      <w:pStyle w:val="Heading1"/>
      <w:lvlText w:val="%1."/>
      <w:lvlJc w:val="right"/>
      <w:pPr>
        <w:ind w:left="1344" w:hanging="360"/>
      </w:pPr>
    </w:lvl>
    <w:lvl w:ilvl="1" w:tplc="7CB24C92">
      <w:start w:val="1"/>
      <w:numFmt w:val="upperLetter"/>
      <w:lvlText w:val="%2."/>
      <w:lvlJc w:val="left"/>
      <w:pPr>
        <w:ind w:left="2334" w:hanging="630"/>
      </w:pPr>
      <w:rPr>
        <w:rFonts w:hint="default"/>
      </w:r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7"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
    <w:abstractNumId w:val="6"/>
  </w:num>
  <w:num w:numId="6">
    <w:abstractNumId w:val="4"/>
  </w:num>
  <w:num w:numId="7">
    <w:abstractNumId w:val="7"/>
  </w:num>
  <w:num w:numId="8">
    <w:abstractNumId w:val="1"/>
    <w:lvlOverride w:ilvl="0">
      <w:startOverride w:val="1"/>
      <w:lvl w:ilvl="0">
        <w:start w:val="1"/>
        <w:numFmt w:val="decimal"/>
        <w:pStyle w:val="Normalnumber"/>
        <w:lvlText w:val="%1."/>
        <w:lvlJc w:val="left"/>
        <w:pPr>
          <w:tabs>
            <w:tab w:val="num" w:pos="567"/>
          </w:tabs>
          <w:ind w:left="1247" w:firstLine="0"/>
        </w:pPr>
        <w:rPr>
          <w:rFonts w:hint="default"/>
          <w:b w:val="0"/>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9">
    <w:abstractNumId w:val="1"/>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
    <w:abstractNumId w:val="0"/>
  </w:num>
  <w:num w:numId="11">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2">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3">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4">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5">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6">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7">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8">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9">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0">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1">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2">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3">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4">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5">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6">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7">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8">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29">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0">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1">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2">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3">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4">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5">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6">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7">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8">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9">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0">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1">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2">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3">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4">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5">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6">
    <w:abstractNumId w:val="1"/>
    <w:lvlOverride w:ilvl="0">
      <w:lvl w:ilvl="0">
        <w:start w:val="1"/>
        <w:numFmt w:val="decimal"/>
        <w:pStyle w:val="Normalnumber"/>
        <w:lvlText w:val="%1."/>
        <w:lvlJc w:val="left"/>
        <w:pPr>
          <w:tabs>
            <w:tab w:val="num" w:pos="567"/>
          </w:tabs>
          <w:ind w:left="1247" w:firstLine="0"/>
        </w:pPr>
        <w:rPr>
          <w:rFonts w:hint="default"/>
          <w:b w:val="0"/>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1"/>
  <w:activeWritingStyle w:appName="MSWord" w:lang="en-US" w:vendorID="64" w:dllVersion="0" w:nlCheck="1" w:checkStyle="1"/>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1"/>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comments="0" w:insDel="0" w:formatting="0" w:inkAnnotations="0"/>
  <w:defaultTabStop w:val="624"/>
  <w:hyphenationZone w:val="425"/>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B"/>
    <w:rsid w:val="00000289"/>
    <w:rsid w:val="000022EE"/>
    <w:rsid w:val="00003059"/>
    <w:rsid w:val="000149E6"/>
    <w:rsid w:val="00023E32"/>
    <w:rsid w:val="00023F97"/>
    <w:rsid w:val="000247B0"/>
    <w:rsid w:val="00026997"/>
    <w:rsid w:val="00032DB5"/>
    <w:rsid w:val="00033E0B"/>
    <w:rsid w:val="00035EDE"/>
    <w:rsid w:val="00041E36"/>
    <w:rsid w:val="00043A55"/>
    <w:rsid w:val="000440BA"/>
    <w:rsid w:val="00045080"/>
    <w:rsid w:val="000458EE"/>
    <w:rsid w:val="0004779A"/>
    <w:rsid w:val="000509B4"/>
    <w:rsid w:val="00055BA7"/>
    <w:rsid w:val="00062885"/>
    <w:rsid w:val="00064C34"/>
    <w:rsid w:val="00070F3B"/>
    <w:rsid w:val="00071886"/>
    <w:rsid w:val="00072509"/>
    <w:rsid w:val="000742BC"/>
    <w:rsid w:val="0007684B"/>
    <w:rsid w:val="00081E43"/>
    <w:rsid w:val="00082A0C"/>
    <w:rsid w:val="000917E8"/>
    <w:rsid w:val="00094221"/>
    <w:rsid w:val="0009640C"/>
    <w:rsid w:val="000A4790"/>
    <w:rsid w:val="000B1C30"/>
    <w:rsid w:val="000B59B2"/>
    <w:rsid w:val="000B6B8F"/>
    <w:rsid w:val="000C665C"/>
    <w:rsid w:val="000D33C0"/>
    <w:rsid w:val="000D523B"/>
    <w:rsid w:val="000E067F"/>
    <w:rsid w:val="000E13EF"/>
    <w:rsid w:val="000E53DF"/>
    <w:rsid w:val="000F3B6C"/>
    <w:rsid w:val="00100602"/>
    <w:rsid w:val="00102111"/>
    <w:rsid w:val="0011336B"/>
    <w:rsid w:val="001159BB"/>
    <w:rsid w:val="001202E3"/>
    <w:rsid w:val="00121708"/>
    <w:rsid w:val="0012562E"/>
    <w:rsid w:val="0013059D"/>
    <w:rsid w:val="0013398F"/>
    <w:rsid w:val="0013648B"/>
    <w:rsid w:val="00137580"/>
    <w:rsid w:val="00141A55"/>
    <w:rsid w:val="00151424"/>
    <w:rsid w:val="001554A3"/>
    <w:rsid w:val="00156281"/>
    <w:rsid w:val="0016362C"/>
    <w:rsid w:val="00166FFD"/>
    <w:rsid w:val="001673CF"/>
    <w:rsid w:val="00170D4D"/>
    <w:rsid w:val="00175165"/>
    <w:rsid w:val="001811FA"/>
    <w:rsid w:val="00181BC9"/>
    <w:rsid w:val="00181EC8"/>
    <w:rsid w:val="00182AEE"/>
    <w:rsid w:val="00183EEE"/>
    <w:rsid w:val="00184349"/>
    <w:rsid w:val="00187A5D"/>
    <w:rsid w:val="00192269"/>
    <w:rsid w:val="0019268D"/>
    <w:rsid w:val="001A64B7"/>
    <w:rsid w:val="001B08F0"/>
    <w:rsid w:val="001B1617"/>
    <w:rsid w:val="001B3588"/>
    <w:rsid w:val="001B40EE"/>
    <w:rsid w:val="001C6720"/>
    <w:rsid w:val="001C74C3"/>
    <w:rsid w:val="001D3874"/>
    <w:rsid w:val="001D4810"/>
    <w:rsid w:val="001D66EC"/>
    <w:rsid w:val="001D6B91"/>
    <w:rsid w:val="001D7E75"/>
    <w:rsid w:val="001E26C3"/>
    <w:rsid w:val="001E28D0"/>
    <w:rsid w:val="001E56D2"/>
    <w:rsid w:val="001E7D56"/>
    <w:rsid w:val="001F034F"/>
    <w:rsid w:val="001F75DE"/>
    <w:rsid w:val="001F765B"/>
    <w:rsid w:val="00200D58"/>
    <w:rsid w:val="002013BE"/>
    <w:rsid w:val="002041A0"/>
    <w:rsid w:val="002063A4"/>
    <w:rsid w:val="00206BF4"/>
    <w:rsid w:val="0021145B"/>
    <w:rsid w:val="00215826"/>
    <w:rsid w:val="00221AE7"/>
    <w:rsid w:val="002231FA"/>
    <w:rsid w:val="00223CBF"/>
    <w:rsid w:val="00234B58"/>
    <w:rsid w:val="002463AF"/>
    <w:rsid w:val="002464B8"/>
    <w:rsid w:val="00247707"/>
    <w:rsid w:val="00250609"/>
    <w:rsid w:val="00250F52"/>
    <w:rsid w:val="00253901"/>
    <w:rsid w:val="00254264"/>
    <w:rsid w:val="002545F6"/>
    <w:rsid w:val="0025693F"/>
    <w:rsid w:val="002620CD"/>
    <w:rsid w:val="002726CF"/>
    <w:rsid w:val="002732DC"/>
    <w:rsid w:val="002757F7"/>
    <w:rsid w:val="002773E9"/>
    <w:rsid w:val="00286740"/>
    <w:rsid w:val="00287E60"/>
    <w:rsid w:val="00291B5D"/>
    <w:rsid w:val="002929D8"/>
    <w:rsid w:val="002A0E0D"/>
    <w:rsid w:val="002A237D"/>
    <w:rsid w:val="002A4C53"/>
    <w:rsid w:val="002A564F"/>
    <w:rsid w:val="002A6A11"/>
    <w:rsid w:val="002B035E"/>
    <w:rsid w:val="002B0737"/>
    <w:rsid w:val="002B56EA"/>
    <w:rsid w:val="002C145D"/>
    <w:rsid w:val="002C2C3E"/>
    <w:rsid w:val="002C3453"/>
    <w:rsid w:val="002C533E"/>
    <w:rsid w:val="002C7132"/>
    <w:rsid w:val="002D027F"/>
    <w:rsid w:val="002D146C"/>
    <w:rsid w:val="002D3489"/>
    <w:rsid w:val="002D3D4C"/>
    <w:rsid w:val="002D5834"/>
    <w:rsid w:val="002D68E9"/>
    <w:rsid w:val="002D7B60"/>
    <w:rsid w:val="002E0A87"/>
    <w:rsid w:val="002E0D90"/>
    <w:rsid w:val="002E3EA7"/>
    <w:rsid w:val="002E66F9"/>
    <w:rsid w:val="002F176E"/>
    <w:rsid w:val="002F1F0E"/>
    <w:rsid w:val="002F2495"/>
    <w:rsid w:val="002F312A"/>
    <w:rsid w:val="002F4761"/>
    <w:rsid w:val="002F5B0F"/>
    <w:rsid w:val="002F6E0C"/>
    <w:rsid w:val="003029A1"/>
    <w:rsid w:val="003056C1"/>
    <w:rsid w:val="00306B12"/>
    <w:rsid w:val="003124FF"/>
    <w:rsid w:val="0031413F"/>
    <w:rsid w:val="00316338"/>
    <w:rsid w:val="00320BDB"/>
    <w:rsid w:val="003212A9"/>
    <w:rsid w:val="003364FF"/>
    <w:rsid w:val="00336901"/>
    <w:rsid w:val="00337F63"/>
    <w:rsid w:val="00341F94"/>
    <w:rsid w:val="00342061"/>
    <w:rsid w:val="00342945"/>
    <w:rsid w:val="003446B5"/>
    <w:rsid w:val="0034548C"/>
    <w:rsid w:val="00350017"/>
    <w:rsid w:val="003503B6"/>
    <w:rsid w:val="00352F00"/>
    <w:rsid w:val="00355EA9"/>
    <w:rsid w:val="00362A17"/>
    <w:rsid w:val="00377EB9"/>
    <w:rsid w:val="00385963"/>
    <w:rsid w:val="003874FC"/>
    <w:rsid w:val="00387932"/>
    <w:rsid w:val="00394E92"/>
    <w:rsid w:val="00396257"/>
    <w:rsid w:val="00397909"/>
    <w:rsid w:val="00397EB8"/>
    <w:rsid w:val="003A4FD0"/>
    <w:rsid w:val="003A69D1"/>
    <w:rsid w:val="003A6EF9"/>
    <w:rsid w:val="003B0C0D"/>
    <w:rsid w:val="003B1545"/>
    <w:rsid w:val="003B32FC"/>
    <w:rsid w:val="003B41D2"/>
    <w:rsid w:val="003B57B7"/>
    <w:rsid w:val="003B72EF"/>
    <w:rsid w:val="003B7A70"/>
    <w:rsid w:val="003C2ACE"/>
    <w:rsid w:val="003C409D"/>
    <w:rsid w:val="003C4EFB"/>
    <w:rsid w:val="003C670D"/>
    <w:rsid w:val="003D2B36"/>
    <w:rsid w:val="003E05E6"/>
    <w:rsid w:val="003E09A0"/>
    <w:rsid w:val="003E395B"/>
    <w:rsid w:val="003E5FEA"/>
    <w:rsid w:val="003E7728"/>
    <w:rsid w:val="003E78A0"/>
    <w:rsid w:val="003F0E85"/>
    <w:rsid w:val="00400EFD"/>
    <w:rsid w:val="00404648"/>
    <w:rsid w:val="00404965"/>
    <w:rsid w:val="00410C55"/>
    <w:rsid w:val="0041187F"/>
    <w:rsid w:val="00417725"/>
    <w:rsid w:val="00425C06"/>
    <w:rsid w:val="00437F26"/>
    <w:rsid w:val="00446EF6"/>
    <w:rsid w:val="00447EF3"/>
    <w:rsid w:val="00450542"/>
    <w:rsid w:val="004510AC"/>
    <w:rsid w:val="00454769"/>
    <w:rsid w:val="00456B79"/>
    <w:rsid w:val="00462285"/>
    <w:rsid w:val="0046429E"/>
    <w:rsid w:val="00466991"/>
    <w:rsid w:val="0047064C"/>
    <w:rsid w:val="00471DFA"/>
    <w:rsid w:val="00475F50"/>
    <w:rsid w:val="00476C56"/>
    <w:rsid w:val="00480742"/>
    <w:rsid w:val="004827F3"/>
    <w:rsid w:val="00483D89"/>
    <w:rsid w:val="00493E19"/>
    <w:rsid w:val="00494455"/>
    <w:rsid w:val="00495289"/>
    <w:rsid w:val="00496EFB"/>
    <w:rsid w:val="004A079E"/>
    <w:rsid w:val="004A1438"/>
    <w:rsid w:val="004A36DE"/>
    <w:rsid w:val="004A4744"/>
    <w:rsid w:val="004B1F4A"/>
    <w:rsid w:val="004B5666"/>
    <w:rsid w:val="004C5C96"/>
    <w:rsid w:val="004D06A4"/>
    <w:rsid w:val="004D6638"/>
    <w:rsid w:val="004E1BBB"/>
    <w:rsid w:val="004E6336"/>
    <w:rsid w:val="004F1A81"/>
    <w:rsid w:val="004F2D0E"/>
    <w:rsid w:val="0050619E"/>
    <w:rsid w:val="00507F32"/>
    <w:rsid w:val="00512808"/>
    <w:rsid w:val="0051335F"/>
    <w:rsid w:val="005160EC"/>
    <w:rsid w:val="005218D9"/>
    <w:rsid w:val="005269C4"/>
    <w:rsid w:val="005341C5"/>
    <w:rsid w:val="0053431C"/>
    <w:rsid w:val="00535BDA"/>
    <w:rsid w:val="00536186"/>
    <w:rsid w:val="00537EC1"/>
    <w:rsid w:val="00543454"/>
    <w:rsid w:val="00544198"/>
    <w:rsid w:val="005453ED"/>
    <w:rsid w:val="00547FE1"/>
    <w:rsid w:val="0055008F"/>
    <w:rsid w:val="00550273"/>
    <w:rsid w:val="00550DF7"/>
    <w:rsid w:val="005628E3"/>
    <w:rsid w:val="00565DCE"/>
    <w:rsid w:val="0057037E"/>
    <w:rsid w:val="00571ED8"/>
    <w:rsid w:val="00572430"/>
    <w:rsid w:val="0057315F"/>
    <w:rsid w:val="00573200"/>
    <w:rsid w:val="00574792"/>
    <w:rsid w:val="00574E0C"/>
    <w:rsid w:val="00574E93"/>
    <w:rsid w:val="005750B4"/>
    <w:rsid w:val="00584B14"/>
    <w:rsid w:val="005858AD"/>
    <w:rsid w:val="0058611F"/>
    <w:rsid w:val="00586701"/>
    <w:rsid w:val="0058768E"/>
    <w:rsid w:val="0059580D"/>
    <w:rsid w:val="005A0602"/>
    <w:rsid w:val="005A1B2D"/>
    <w:rsid w:val="005A59FE"/>
    <w:rsid w:val="005B0DDF"/>
    <w:rsid w:val="005B584B"/>
    <w:rsid w:val="005C00D1"/>
    <w:rsid w:val="005C481F"/>
    <w:rsid w:val="005C6047"/>
    <w:rsid w:val="005C67C8"/>
    <w:rsid w:val="005D0249"/>
    <w:rsid w:val="005D36D1"/>
    <w:rsid w:val="005D4E57"/>
    <w:rsid w:val="005E4E7C"/>
    <w:rsid w:val="005F05FD"/>
    <w:rsid w:val="005F100C"/>
    <w:rsid w:val="005F1648"/>
    <w:rsid w:val="005F639A"/>
    <w:rsid w:val="005F7986"/>
    <w:rsid w:val="005F7B75"/>
    <w:rsid w:val="005F7CC2"/>
    <w:rsid w:val="00600282"/>
    <w:rsid w:val="00604768"/>
    <w:rsid w:val="00607ABA"/>
    <w:rsid w:val="0061054B"/>
    <w:rsid w:val="006119BC"/>
    <w:rsid w:val="0061660A"/>
    <w:rsid w:val="00620F1E"/>
    <w:rsid w:val="00621F9B"/>
    <w:rsid w:val="0062234C"/>
    <w:rsid w:val="006231AF"/>
    <w:rsid w:val="00623998"/>
    <w:rsid w:val="006252F5"/>
    <w:rsid w:val="006303B4"/>
    <w:rsid w:val="006370DB"/>
    <w:rsid w:val="00637CE4"/>
    <w:rsid w:val="00641396"/>
    <w:rsid w:val="00641703"/>
    <w:rsid w:val="006421CF"/>
    <w:rsid w:val="006431A6"/>
    <w:rsid w:val="006459F6"/>
    <w:rsid w:val="006474E9"/>
    <w:rsid w:val="006501AD"/>
    <w:rsid w:val="0065086E"/>
    <w:rsid w:val="00651BFA"/>
    <w:rsid w:val="00667141"/>
    <w:rsid w:val="00673954"/>
    <w:rsid w:val="006757FC"/>
    <w:rsid w:val="00680C84"/>
    <w:rsid w:val="006848C8"/>
    <w:rsid w:val="00686FD9"/>
    <w:rsid w:val="00692E2A"/>
    <w:rsid w:val="006968D2"/>
    <w:rsid w:val="006A6838"/>
    <w:rsid w:val="006A76F2"/>
    <w:rsid w:val="006B14B5"/>
    <w:rsid w:val="006B23FC"/>
    <w:rsid w:val="006B2B6C"/>
    <w:rsid w:val="006C1478"/>
    <w:rsid w:val="006C3C12"/>
    <w:rsid w:val="006C740F"/>
    <w:rsid w:val="006D3683"/>
    <w:rsid w:val="006D42BA"/>
    <w:rsid w:val="006D7EFB"/>
    <w:rsid w:val="006E2D3B"/>
    <w:rsid w:val="006E3441"/>
    <w:rsid w:val="006E6722"/>
    <w:rsid w:val="006E7563"/>
    <w:rsid w:val="006F5B20"/>
    <w:rsid w:val="006F7C94"/>
    <w:rsid w:val="00700A0F"/>
    <w:rsid w:val="007027B9"/>
    <w:rsid w:val="00705F05"/>
    <w:rsid w:val="00714C5E"/>
    <w:rsid w:val="00715E88"/>
    <w:rsid w:val="00722341"/>
    <w:rsid w:val="00723B64"/>
    <w:rsid w:val="0072504C"/>
    <w:rsid w:val="0073025E"/>
    <w:rsid w:val="00734CAA"/>
    <w:rsid w:val="00745F24"/>
    <w:rsid w:val="00746D9D"/>
    <w:rsid w:val="007532F9"/>
    <w:rsid w:val="00754B14"/>
    <w:rsid w:val="0075552A"/>
    <w:rsid w:val="00757581"/>
    <w:rsid w:val="00757CA2"/>
    <w:rsid w:val="0076107C"/>
    <w:rsid w:val="0077008E"/>
    <w:rsid w:val="00772F40"/>
    <w:rsid w:val="007737A8"/>
    <w:rsid w:val="0079062B"/>
    <w:rsid w:val="007964D9"/>
    <w:rsid w:val="007A0685"/>
    <w:rsid w:val="007A5746"/>
    <w:rsid w:val="007A5C12"/>
    <w:rsid w:val="007B3217"/>
    <w:rsid w:val="007C2541"/>
    <w:rsid w:val="007D5D6C"/>
    <w:rsid w:val="007D7245"/>
    <w:rsid w:val="007E003F"/>
    <w:rsid w:val="007E520A"/>
    <w:rsid w:val="007F154E"/>
    <w:rsid w:val="007F170C"/>
    <w:rsid w:val="007F215A"/>
    <w:rsid w:val="007F445A"/>
    <w:rsid w:val="007F72D1"/>
    <w:rsid w:val="008019EB"/>
    <w:rsid w:val="00804B9B"/>
    <w:rsid w:val="00805E39"/>
    <w:rsid w:val="008141B7"/>
    <w:rsid w:val="00815D26"/>
    <w:rsid w:val="00830E26"/>
    <w:rsid w:val="0083580A"/>
    <w:rsid w:val="008400EB"/>
    <w:rsid w:val="008429B3"/>
    <w:rsid w:val="00843576"/>
    <w:rsid w:val="00843B64"/>
    <w:rsid w:val="00853640"/>
    <w:rsid w:val="00854EB8"/>
    <w:rsid w:val="008556AE"/>
    <w:rsid w:val="008613BD"/>
    <w:rsid w:val="0086242F"/>
    <w:rsid w:val="00867BFF"/>
    <w:rsid w:val="00871513"/>
    <w:rsid w:val="008739BA"/>
    <w:rsid w:val="00880504"/>
    <w:rsid w:val="00883559"/>
    <w:rsid w:val="0088480A"/>
    <w:rsid w:val="00891B46"/>
    <w:rsid w:val="008926EC"/>
    <w:rsid w:val="00892B3A"/>
    <w:rsid w:val="008947F5"/>
    <w:rsid w:val="008957DD"/>
    <w:rsid w:val="00897D98"/>
    <w:rsid w:val="008A1781"/>
    <w:rsid w:val="008A2426"/>
    <w:rsid w:val="008A3DE0"/>
    <w:rsid w:val="008A6562"/>
    <w:rsid w:val="008A6DF2"/>
    <w:rsid w:val="008B6614"/>
    <w:rsid w:val="008B79B4"/>
    <w:rsid w:val="008C005A"/>
    <w:rsid w:val="008C56E6"/>
    <w:rsid w:val="008C6727"/>
    <w:rsid w:val="008D0E23"/>
    <w:rsid w:val="008D37C3"/>
    <w:rsid w:val="008D6361"/>
    <w:rsid w:val="008D65A4"/>
    <w:rsid w:val="008D6BA0"/>
    <w:rsid w:val="008D7C99"/>
    <w:rsid w:val="008E0AD6"/>
    <w:rsid w:val="008E0FCB"/>
    <w:rsid w:val="008E523E"/>
    <w:rsid w:val="008F1ECC"/>
    <w:rsid w:val="008F5894"/>
    <w:rsid w:val="008F7B79"/>
    <w:rsid w:val="00901521"/>
    <w:rsid w:val="00911281"/>
    <w:rsid w:val="00911AB0"/>
    <w:rsid w:val="00914084"/>
    <w:rsid w:val="0092146D"/>
    <w:rsid w:val="0092178C"/>
    <w:rsid w:val="00940DCC"/>
    <w:rsid w:val="0094179A"/>
    <w:rsid w:val="00942E83"/>
    <w:rsid w:val="00943BDB"/>
    <w:rsid w:val="0094459E"/>
    <w:rsid w:val="00944DBC"/>
    <w:rsid w:val="00950977"/>
    <w:rsid w:val="00951A7B"/>
    <w:rsid w:val="00952E29"/>
    <w:rsid w:val="0095574F"/>
    <w:rsid w:val="009564A6"/>
    <w:rsid w:val="0096123C"/>
    <w:rsid w:val="00961709"/>
    <w:rsid w:val="00962B5E"/>
    <w:rsid w:val="00963208"/>
    <w:rsid w:val="00966754"/>
    <w:rsid w:val="00970E74"/>
    <w:rsid w:val="00975552"/>
    <w:rsid w:val="0098071E"/>
    <w:rsid w:val="00983EE2"/>
    <w:rsid w:val="0098413D"/>
    <w:rsid w:val="00986F26"/>
    <w:rsid w:val="0098795B"/>
    <w:rsid w:val="00992D72"/>
    <w:rsid w:val="00995F09"/>
    <w:rsid w:val="009A2923"/>
    <w:rsid w:val="009A4ACC"/>
    <w:rsid w:val="009A6528"/>
    <w:rsid w:val="009B4A0F"/>
    <w:rsid w:val="009B78F6"/>
    <w:rsid w:val="009C1324"/>
    <w:rsid w:val="009C2890"/>
    <w:rsid w:val="009C2F37"/>
    <w:rsid w:val="009C496C"/>
    <w:rsid w:val="009C6D94"/>
    <w:rsid w:val="009C725F"/>
    <w:rsid w:val="009D0B63"/>
    <w:rsid w:val="009D3F3B"/>
    <w:rsid w:val="009D59AB"/>
    <w:rsid w:val="009E6DF7"/>
    <w:rsid w:val="00A1348D"/>
    <w:rsid w:val="00A14A1D"/>
    <w:rsid w:val="00A17BA5"/>
    <w:rsid w:val="00A232EE"/>
    <w:rsid w:val="00A25358"/>
    <w:rsid w:val="00A4051F"/>
    <w:rsid w:val="00A41B84"/>
    <w:rsid w:val="00A42891"/>
    <w:rsid w:val="00A44411"/>
    <w:rsid w:val="00A469FA"/>
    <w:rsid w:val="00A55740"/>
    <w:rsid w:val="00A55B01"/>
    <w:rsid w:val="00A55ED2"/>
    <w:rsid w:val="00A56B5B"/>
    <w:rsid w:val="00A64EE6"/>
    <w:rsid w:val="00A657DD"/>
    <w:rsid w:val="00A659F9"/>
    <w:rsid w:val="00A666A6"/>
    <w:rsid w:val="00A6689A"/>
    <w:rsid w:val="00A676CB"/>
    <w:rsid w:val="00A7486A"/>
    <w:rsid w:val="00A80611"/>
    <w:rsid w:val="00A81CD8"/>
    <w:rsid w:val="00A861C0"/>
    <w:rsid w:val="00A90C6B"/>
    <w:rsid w:val="00A91A56"/>
    <w:rsid w:val="00A92AB4"/>
    <w:rsid w:val="00A93A1D"/>
    <w:rsid w:val="00A9783E"/>
    <w:rsid w:val="00AA0568"/>
    <w:rsid w:val="00AA31A3"/>
    <w:rsid w:val="00AA3A0E"/>
    <w:rsid w:val="00AA4E66"/>
    <w:rsid w:val="00AB25B5"/>
    <w:rsid w:val="00AB2918"/>
    <w:rsid w:val="00AB5340"/>
    <w:rsid w:val="00AC5270"/>
    <w:rsid w:val="00AC7790"/>
    <w:rsid w:val="00AC7C96"/>
    <w:rsid w:val="00AD07F8"/>
    <w:rsid w:val="00AD3BAC"/>
    <w:rsid w:val="00AD6913"/>
    <w:rsid w:val="00AD7C9B"/>
    <w:rsid w:val="00AE237D"/>
    <w:rsid w:val="00AE5B98"/>
    <w:rsid w:val="00AE78E0"/>
    <w:rsid w:val="00AE7DFE"/>
    <w:rsid w:val="00AF1164"/>
    <w:rsid w:val="00AF34B1"/>
    <w:rsid w:val="00AF6CCF"/>
    <w:rsid w:val="00AF7249"/>
    <w:rsid w:val="00AF7C07"/>
    <w:rsid w:val="00B02DB7"/>
    <w:rsid w:val="00B04D46"/>
    <w:rsid w:val="00B063E8"/>
    <w:rsid w:val="00B13586"/>
    <w:rsid w:val="00B17933"/>
    <w:rsid w:val="00B20FAE"/>
    <w:rsid w:val="00B22A15"/>
    <w:rsid w:val="00B25B1B"/>
    <w:rsid w:val="00B275BB"/>
    <w:rsid w:val="00B34BBF"/>
    <w:rsid w:val="00B405B7"/>
    <w:rsid w:val="00B4262C"/>
    <w:rsid w:val="00B46490"/>
    <w:rsid w:val="00B609AE"/>
    <w:rsid w:val="00B66901"/>
    <w:rsid w:val="00B675BC"/>
    <w:rsid w:val="00B71E6D"/>
    <w:rsid w:val="00B72070"/>
    <w:rsid w:val="00B771A3"/>
    <w:rsid w:val="00B779E1"/>
    <w:rsid w:val="00B82774"/>
    <w:rsid w:val="00B84371"/>
    <w:rsid w:val="00B84486"/>
    <w:rsid w:val="00B85A41"/>
    <w:rsid w:val="00B87967"/>
    <w:rsid w:val="00B96BF7"/>
    <w:rsid w:val="00BA1A67"/>
    <w:rsid w:val="00BA2D85"/>
    <w:rsid w:val="00BA2DD4"/>
    <w:rsid w:val="00BA51AA"/>
    <w:rsid w:val="00BB15DE"/>
    <w:rsid w:val="00BB28A6"/>
    <w:rsid w:val="00BB44A6"/>
    <w:rsid w:val="00BB5833"/>
    <w:rsid w:val="00BB7851"/>
    <w:rsid w:val="00BB7D04"/>
    <w:rsid w:val="00BB7F92"/>
    <w:rsid w:val="00BC093D"/>
    <w:rsid w:val="00BD1287"/>
    <w:rsid w:val="00BE18BF"/>
    <w:rsid w:val="00BE2356"/>
    <w:rsid w:val="00BE4664"/>
    <w:rsid w:val="00BF1300"/>
    <w:rsid w:val="00BF3DE7"/>
    <w:rsid w:val="00BF41EA"/>
    <w:rsid w:val="00BF7A7C"/>
    <w:rsid w:val="00BF7E4E"/>
    <w:rsid w:val="00C0058D"/>
    <w:rsid w:val="00C02585"/>
    <w:rsid w:val="00C16DA2"/>
    <w:rsid w:val="00C30C63"/>
    <w:rsid w:val="00C3419C"/>
    <w:rsid w:val="00C41236"/>
    <w:rsid w:val="00C4132D"/>
    <w:rsid w:val="00C460B5"/>
    <w:rsid w:val="00C47B77"/>
    <w:rsid w:val="00C50649"/>
    <w:rsid w:val="00C50C11"/>
    <w:rsid w:val="00C51F45"/>
    <w:rsid w:val="00C549DA"/>
    <w:rsid w:val="00C558DA"/>
    <w:rsid w:val="00C55AF0"/>
    <w:rsid w:val="00C57664"/>
    <w:rsid w:val="00C644FB"/>
    <w:rsid w:val="00C67678"/>
    <w:rsid w:val="00C70EE6"/>
    <w:rsid w:val="00C725DC"/>
    <w:rsid w:val="00C84759"/>
    <w:rsid w:val="00C90FDD"/>
    <w:rsid w:val="00C93203"/>
    <w:rsid w:val="00C93A3A"/>
    <w:rsid w:val="00C956B3"/>
    <w:rsid w:val="00C95831"/>
    <w:rsid w:val="00C961BB"/>
    <w:rsid w:val="00CA1C2B"/>
    <w:rsid w:val="00CA2CB5"/>
    <w:rsid w:val="00CA3FEB"/>
    <w:rsid w:val="00CA5494"/>
    <w:rsid w:val="00CA6C7F"/>
    <w:rsid w:val="00CB1404"/>
    <w:rsid w:val="00CB5521"/>
    <w:rsid w:val="00CC10A6"/>
    <w:rsid w:val="00CC2354"/>
    <w:rsid w:val="00CD2A97"/>
    <w:rsid w:val="00CD2BA6"/>
    <w:rsid w:val="00CD3D68"/>
    <w:rsid w:val="00CD7044"/>
    <w:rsid w:val="00CE2264"/>
    <w:rsid w:val="00CE229D"/>
    <w:rsid w:val="00CE2A2D"/>
    <w:rsid w:val="00CE524C"/>
    <w:rsid w:val="00CE5FCF"/>
    <w:rsid w:val="00CF141F"/>
    <w:rsid w:val="00CF1A24"/>
    <w:rsid w:val="00CF4777"/>
    <w:rsid w:val="00CF7C54"/>
    <w:rsid w:val="00D02075"/>
    <w:rsid w:val="00D023AA"/>
    <w:rsid w:val="00D1203C"/>
    <w:rsid w:val="00D1252B"/>
    <w:rsid w:val="00D12B2C"/>
    <w:rsid w:val="00D15118"/>
    <w:rsid w:val="00D169AF"/>
    <w:rsid w:val="00D22513"/>
    <w:rsid w:val="00D25249"/>
    <w:rsid w:val="00D25F71"/>
    <w:rsid w:val="00D34988"/>
    <w:rsid w:val="00D44172"/>
    <w:rsid w:val="00D46C05"/>
    <w:rsid w:val="00D5047E"/>
    <w:rsid w:val="00D50E8C"/>
    <w:rsid w:val="00D539B7"/>
    <w:rsid w:val="00D54905"/>
    <w:rsid w:val="00D62076"/>
    <w:rsid w:val="00D63B8C"/>
    <w:rsid w:val="00D71D25"/>
    <w:rsid w:val="00D72AE3"/>
    <w:rsid w:val="00D739CC"/>
    <w:rsid w:val="00D76614"/>
    <w:rsid w:val="00D8093D"/>
    <w:rsid w:val="00D80A9A"/>
    <w:rsid w:val="00D8108C"/>
    <w:rsid w:val="00D82D20"/>
    <w:rsid w:val="00D8418A"/>
    <w:rsid w:val="00D842AE"/>
    <w:rsid w:val="00D85BD1"/>
    <w:rsid w:val="00D9211C"/>
    <w:rsid w:val="00D92DE0"/>
    <w:rsid w:val="00D93A0F"/>
    <w:rsid w:val="00D956AE"/>
    <w:rsid w:val="00D96369"/>
    <w:rsid w:val="00D97F1C"/>
    <w:rsid w:val="00DA1BCA"/>
    <w:rsid w:val="00DA400B"/>
    <w:rsid w:val="00DA527D"/>
    <w:rsid w:val="00DA7368"/>
    <w:rsid w:val="00DB1194"/>
    <w:rsid w:val="00DB2A9F"/>
    <w:rsid w:val="00DC0B8D"/>
    <w:rsid w:val="00DC1277"/>
    <w:rsid w:val="00DC357C"/>
    <w:rsid w:val="00DC46FF"/>
    <w:rsid w:val="00DC53CD"/>
    <w:rsid w:val="00DC6F6D"/>
    <w:rsid w:val="00DD1207"/>
    <w:rsid w:val="00DD1A4F"/>
    <w:rsid w:val="00DD226E"/>
    <w:rsid w:val="00DD2A04"/>
    <w:rsid w:val="00DD7C2C"/>
    <w:rsid w:val="00DE3AA8"/>
    <w:rsid w:val="00DE7A06"/>
    <w:rsid w:val="00DF284D"/>
    <w:rsid w:val="00DF33F6"/>
    <w:rsid w:val="00DF59F6"/>
    <w:rsid w:val="00E01CC6"/>
    <w:rsid w:val="00E03F3B"/>
    <w:rsid w:val="00E04301"/>
    <w:rsid w:val="00E06389"/>
    <w:rsid w:val="00E06797"/>
    <w:rsid w:val="00E07216"/>
    <w:rsid w:val="00E10FB7"/>
    <w:rsid w:val="00E110C8"/>
    <w:rsid w:val="00E1511C"/>
    <w:rsid w:val="00E1683E"/>
    <w:rsid w:val="00E17BD4"/>
    <w:rsid w:val="00E215B0"/>
    <w:rsid w:val="00E21C83"/>
    <w:rsid w:val="00E2657C"/>
    <w:rsid w:val="00E302D9"/>
    <w:rsid w:val="00E31C4A"/>
    <w:rsid w:val="00E41FB3"/>
    <w:rsid w:val="00E4304E"/>
    <w:rsid w:val="00E4438D"/>
    <w:rsid w:val="00E45435"/>
    <w:rsid w:val="00E4612E"/>
    <w:rsid w:val="00E46D9A"/>
    <w:rsid w:val="00E47CC4"/>
    <w:rsid w:val="00E529FB"/>
    <w:rsid w:val="00E5481D"/>
    <w:rsid w:val="00E565FF"/>
    <w:rsid w:val="00E56947"/>
    <w:rsid w:val="00E579BD"/>
    <w:rsid w:val="00E6052D"/>
    <w:rsid w:val="00E61362"/>
    <w:rsid w:val="00E65388"/>
    <w:rsid w:val="00E674AC"/>
    <w:rsid w:val="00E730F5"/>
    <w:rsid w:val="00E76253"/>
    <w:rsid w:val="00E81947"/>
    <w:rsid w:val="00E85B7D"/>
    <w:rsid w:val="00E862F2"/>
    <w:rsid w:val="00E9121B"/>
    <w:rsid w:val="00E92B5F"/>
    <w:rsid w:val="00E93C34"/>
    <w:rsid w:val="00EA0B53"/>
    <w:rsid w:val="00EA0F3E"/>
    <w:rsid w:val="00EA1C2C"/>
    <w:rsid w:val="00EA39E5"/>
    <w:rsid w:val="00EA5E5C"/>
    <w:rsid w:val="00EB1B8B"/>
    <w:rsid w:val="00EB1CC0"/>
    <w:rsid w:val="00EC0665"/>
    <w:rsid w:val="00EC0F91"/>
    <w:rsid w:val="00EC3219"/>
    <w:rsid w:val="00EC388E"/>
    <w:rsid w:val="00EC42AC"/>
    <w:rsid w:val="00EC5A46"/>
    <w:rsid w:val="00EC63E2"/>
    <w:rsid w:val="00EC6548"/>
    <w:rsid w:val="00ED75BF"/>
    <w:rsid w:val="00EE17B3"/>
    <w:rsid w:val="00EE1A7F"/>
    <w:rsid w:val="00EF22B3"/>
    <w:rsid w:val="00EF2844"/>
    <w:rsid w:val="00EF4516"/>
    <w:rsid w:val="00F044F7"/>
    <w:rsid w:val="00F064C1"/>
    <w:rsid w:val="00F113DA"/>
    <w:rsid w:val="00F12540"/>
    <w:rsid w:val="00F17586"/>
    <w:rsid w:val="00F22D44"/>
    <w:rsid w:val="00F32F67"/>
    <w:rsid w:val="00F3650E"/>
    <w:rsid w:val="00F366DE"/>
    <w:rsid w:val="00F37DC8"/>
    <w:rsid w:val="00F40E2A"/>
    <w:rsid w:val="00F41127"/>
    <w:rsid w:val="00F42017"/>
    <w:rsid w:val="00F47CD5"/>
    <w:rsid w:val="00F5341A"/>
    <w:rsid w:val="00F62CB1"/>
    <w:rsid w:val="00F63428"/>
    <w:rsid w:val="00F650C3"/>
    <w:rsid w:val="00F701AE"/>
    <w:rsid w:val="00F71407"/>
    <w:rsid w:val="00F716AD"/>
    <w:rsid w:val="00F8091E"/>
    <w:rsid w:val="00F83F10"/>
    <w:rsid w:val="00F8577F"/>
    <w:rsid w:val="00F8615C"/>
    <w:rsid w:val="00F86FDB"/>
    <w:rsid w:val="00F9516F"/>
    <w:rsid w:val="00F9521B"/>
    <w:rsid w:val="00FA13F7"/>
    <w:rsid w:val="00FA380A"/>
    <w:rsid w:val="00FA50B9"/>
    <w:rsid w:val="00FA7174"/>
    <w:rsid w:val="00FB254A"/>
    <w:rsid w:val="00FB5770"/>
    <w:rsid w:val="00FB6C90"/>
    <w:rsid w:val="00FC3299"/>
    <w:rsid w:val="00FC47C2"/>
    <w:rsid w:val="00FC6422"/>
    <w:rsid w:val="00FD3EE8"/>
    <w:rsid w:val="00FD534F"/>
    <w:rsid w:val="00FD5860"/>
    <w:rsid w:val="00FE352D"/>
    <w:rsid w:val="00FE7D62"/>
    <w:rsid w:val="00FF11E9"/>
    <w:rsid w:val="00FF2F85"/>
    <w:rsid w:val="00FF5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C4B93B"/>
  <w15:docId w15:val="{7923B9DC-BF5D-4D8B-933E-D80D0356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455"/>
    <w:rPr>
      <w:rFonts w:eastAsia="MS Mincho"/>
      <w:lang w:val="en-GB"/>
    </w:rPr>
  </w:style>
  <w:style w:type="paragraph" w:styleId="Heading1">
    <w:name w:val="heading 1"/>
    <w:basedOn w:val="Normal"/>
    <w:next w:val="Normalnumber"/>
    <w:qFormat/>
    <w:rsid w:val="00062885"/>
    <w:pPr>
      <w:keepNext/>
      <w:numPr>
        <w:numId w:val="5"/>
      </w:numPr>
      <w:tabs>
        <w:tab w:val="left" w:pos="1247"/>
        <w:tab w:val="left" w:pos="1814"/>
      </w:tabs>
      <w:spacing w:before="240" w:after="120"/>
      <w:ind w:hanging="534"/>
      <w:outlineLvl w:val="0"/>
    </w:pPr>
    <w:rPr>
      <w:b/>
      <w:sz w:val="28"/>
    </w:rPr>
  </w:style>
  <w:style w:type="paragraph" w:styleId="Heading2">
    <w:name w:val="heading 2"/>
    <w:basedOn w:val="Normal"/>
    <w:next w:val="Normalnumber"/>
    <w:link w:val="Heading2Char"/>
    <w:qFormat/>
    <w:rsid w:val="003124FF"/>
    <w:pPr>
      <w:keepNext/>
      <w:numPr>
        <w:ilvl w:val="1"/>
        <w:numId w:val="6"/>
      </w:numPr>
      <w:spacing w:before="240" w:after="120"/>
      <w:ind w:left="1276" w:hanging="556"/>
      <w:outlineLvl w:val="1"/>
    </w:pPr>
    <w:rPr>
      <w:b/>
      <w:sz w:val="24"/>
      <w:szCs w:val="24"/>
    </w:rPr>
  </w:style>
  <w:style w:type="paragraph" w:styleId="Heading3">
    <w:name w:val="heading 3"/>
    <w:basedOn w:val="Normal"/>
    <w:next w:val="Normalnumber"/>
    <w:link w:val="Heading3Char"/>
    <w:autoRedefine/>
    <w:qFormat/>
    <w:rsid w:val="00EA0B53"/>
    <w:pPr>
      <w:spacing w:after="120"/>
      <w:ind w:left="1304" w:hanging="680"/>
      <w:outlineLvl w:val="2"/>
    </w:pPr>
    <w:rPr>
      <w:b/>
    </w:rPr>
  </w:style>
  <w:style w:type="paragraph" w:styleId="Heading4">
    <w:name w:val="heading 4"/>
    <w:basedOn w:val="Heading3"/>
    <w:next w:val="Normalnumber"/>
    <w:rsid w:val="00AA4E66"/>
    <w:pPr>
      <w:keepNext/>
      <w:outlineLvl w:val="3"/>
    </w:pPr>
  </w:style>
  <w:style w:type="paragraph" w:styleId="Heading5">
    <w:name w:val="heading 5"/>
    <w:basedOn w:val="Normal"/>
    <w:next w:val="Normal"/>
    <w:rsid w:val="00AA4E66"/>
    <w:pPr>
      <w:keepNext/>
      <w:outlineLvl w:val="4"/>
    </w:pPr>
    <w:rPr>
      <w:rFonts w:ascii="Univers" w:hAnsi="Univers"/>
      <w:b/>
      <w:sz w:val="24"/>
    </w:rPr>
  </w:style>
  <w:style w:type="paragraph" w:styleId="Heading6">
    <w:name w:val="heading 6"/>
    <w:basedOn w:val="Normal"/>
    <w:next w:val="Normal"/>
    <w:rsid w:val="00AA4E66"/>
    <w:pPr>
      <w:keepNext/>
      <w:ind w:left="578"/>
      <w:outlineLvl w:val="5"/>
    </w:pPr>
    <w:rPr>
      <w:b/>
      <w:bCs/>
      <w:sz w:val="24"/>
    </w:rPr>
  </w:style>
  <w:style w:type="paragraph" w:styleId="Heading7">
    <w:name w:val="heading 7"/>
    <w:basedOn w:val="Normal"/>
    <w:next w:val="Normal"/>
    <w:rsid w:val="00AA4E66"/>
    <w:pPr>
      <w:keepNext/>
      <w:widowControl w:val="0"/>
      <w:jc w:val="center"/>
      <w:outlineLvl w:val="6"/>
    </w:pPr>
    <w:rPr>
      <w:snapToGrid w:val="0"/>
      <w:u w:val="single"/>
      <w:lang w:val="en-US"/>
    </w:rPr>
  </w:style>
  <w:style w:type="paragraph" w:styleId="Heading8">
    <w:name w:val="heading 8"/>
    <w:basedOn w:val="Normal"/>
    <w:next w:val="Normal"/>
    <w:rsid w:val="00AA4E66"/>
    <w:pPr>
      <w:keepNext/>
      <w:widowControl w:val="0"/>
      <w:numPr>
        <w:numId w:val="1"/>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rsid w:val="00AA4E66"/>
    <w:pPr>
      <w:keepNext/>
      <w:widowControl w:val="0"/>
      <w:numPr>
        <w:numId w:val="2"/>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A4E66"/>
    <w:rPr>
      <w:rFonts w:ascii="Times New Roman" w:hAnsi="Times New Roman"/>
      <w:b/>
      <w:sz w:val="18"/>
    </w:rPr>
  </w:style>
  <w:style w:type="table" w:customStyle="1" w:styleId="Tabledocright">
    <w:name w:val="Table_doc_right"/>
    <w:basedOn w:val="TableNormal"/>
    <w:rsid w:val="00AA4E6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AA4E66"/>
    <w:pPr>
      <w:ind w:left="1000"/>
    </w:pPr>
    <w:rPr>
      <w:sz w:val="18"/>
      <w:szCs w:val="18"/>
    </w:rPr>
  </w:style>
  <w:style w:type="paragraph" w:styleId="TOC7">
    <w:name w:val="toc 7"/>
    <w:basedOn w:val="Normal"/>
    <w:next w:val="Normal"/>
    <w:autoRedefine/>
    <w:semiHidden/>
    <w:rsid w:val="00AA4E66"/>
    <w:pPr>
      <w:ind w:left="1200"/>
    </w:pPr>
    <w:rPr>
      <w:sz w:val="18"/>
      <w:szCs w:val="18"/>
    </w:rPr>
  </w:style>
  <w:style w:type="paragraph" w:styleId="TOC8">
    <w:name w:val="toc 8"/>
    <w:basedOn w:val="Normal"/>
    <w:next w:val="Normal"/>
    <w:autoRedefine/>
    <w:semiHidden/>
    <w:rsid w:val="00AA4E66"/>
    <w:pPr>
      <w:ind w:left="1400"/>
    </w:pPr>
    <w:rPr>
      <w:sz w:val="18"/>
      <w:szCs w:val="18"/>
    </w:rPr>
  </w:style>
  <w:style w:type="paragraph" w:styleId="TOC9">
    <w:name w:val="toc 9"/>
    <w:basedOn w:val="Normal"/>
    <w:next w:val="Normal"/>
    <w:autoRedefine/>
    <w:semiHidden/>
    <w:rsid w:val="00AA4E66"/>
    <w:pPr>
      <w:ind w:left="1600"/>
    </w:pPr>
    <w:rPr>
      <w:sz w:val="18"/>
      <w:szCs w:val="18"/>
    </w:rPr>
  </w:style>
  <w:style w:type="paragraph" w:customStyle="1" w:styleId="Titlefigure">
    <w:name w:val="Title_figure"/>
    <w:basedOn w:val="Titletable"/>
    <w:next w:val="NormalNonumber"/>
    <w:rsid w:val="00AA4E66"/>
    <w:rPr>
      <w:bCs w:val="0"/>
    </w:rPr>
  </w:style>
  <w:style w:type="paragraph" w:styleId="TableofFigures">
    <w:name w:val="table of figures"/>
    <w:basedOn w:val="Normal"/>
    <w:next w:val="Normal"/>
    <w:autoRedefine/>
    <w:semiHidden/>
    <w:rsid w:val="00AA4E66"/>
    <w:pPr>
      <w:ind w:left="1814" w:hanging="567"/>
    </w:pPr>
  </w:style>
  <w:style w:type="paragraph" w:customStyle="1" w:styleId="CH1">
    <w:name w:val="CH1"/>
    <w:basedOn w:val="Normal-pool"/>
    <w:next w:val="CH2"/>
    <w:qFormat/>
    <w:rsid w:val="00AA4E66"/>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4A36DE"/>
    <w:pPr>
      <w:keepNext/>
      <w:keepLines/>
      <w:tabs>
        <w:tab w:val="right" w:pos="624"/>
        <w:tab w:val="right" w:pos="851"/>
      </w:tabs>
      <w:suppressAutoHyphens/>
      <w:spacing w:before="120" w:after="120"/>
      <w:ind w:left="1871" w:right="284" w:hanging="611"/>
    </w:pPr>
    <w:rPr>
      <w:rFonts w:eastAsia="Gulim"/>
      <w:b/>
      <w:sz w:val="24"/>
      <w:szCs w:val="24"/>
      <w:lang w:eastAsia="ko-KR"/>
    </w:rPr>
  </w:style>
  <w:style w:type="paragraph" w:customStyle="1" w:styleId="CH3">
    <w:name w:val="CH3"/>
    <w:basedOn w:val="Normal-pool"/>
    <w:next w:val="Normalnumber"/>
    <w:rsid w:val="00AA4E66"/>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AA4E66"/>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AA4E6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semiHidden/>
    <w:rsid w:val="00AA4E66"/>
    <w:pPr>
      <w:keepNext/>
      <w:keepLines/>
      <w:tabs>
        <w:tab w:val="right" w:pos="851"/>
      </w:tabs>
      <w:suppressAutoHyphens/>
      <w:spacing w:after="120"/>
      <w:ind w:left="1247" w:right="284" w:hanging="1247"/>
    </w:pPr>
    <w:rPr>
      <w:b/>
    </w:rPr>
  </w:style>
  <w:style w:type="paragraph" w:styleId="NormalIndent">
    <w:name w:val="Normal Indent"/>
    <w:basedOn w:val="Normal"/>
    <w:semiHidden/>
    <w:rsid w:val="00AA4E66"/>
    <w:pPr>
      <w:ind w:left="1247"/>
    </w:pPr>
  </w:style>
  <w:style w:type="paragraph" w:customStyle="1" w:styleId="Normal-pool">
    <w:name w:val="Normal-pool"/>
    <w:link w:val="Normal-poolChar"/>
    <w:qFormat/>
    <w:rsid w:val="001D4810"/>
    <w:pPr>
      <w:tabs>
        <w:tab w:val="left" w:pos="1247"/>
        <w:tab w:val="left" w:pos="1814"/>
        <w:tab w:val="left" w:pos="2381"/>
        <w:tab w:val="left" w:pos="2948"/>
        <w:tab w:val="left" w:pos="3515"/>
      </w:tabs>
    </w:pPr>
    <w:rPr>
      <w:lang w:val="en-GB"/>
    </w:rPr>
  </w:style>
  <w:style w:type="character" w:customStyle="1" w:styleId="NormalnumberChar">
    <w:name w:val="Normal_number Char"/>
    <w:link w:val="Normalnumber"/>
    <w:rsid w:val="00494455"/>
    <w:rPr>
      <w:lang w:val="en-GB"/>
    </w:rPr>
  </w:style>
  <w:style w:type="paragraph" w:customStyle="1" w:styleId="a">
    <w:name w:val="바탕글"/>
    <w:basedOn w:val="Normal"/>
    <w:rsid w:val="00494455"/>
    <w:pPr>
      <w:snapToGrid w:val="0"/>
      <w:spacing w:line="384" w:lineRule="auto"/>
      <w:jc w:val="both"/>
    </w:pPr>
    <w:rPr>
      <w:rFonts w:ascii="Batang" w:eastAsia="Batang" w:hAnsi="Batang" w:cs="Gulim"/>
      <w:color w:val="000000"/>
      <w:lang w:val="en-US" w:eastAsia="ko-KR"/>
    </w:rPr>
  </w:style>
  <w:style w:type="table" w:styleId="TableGrid">
    <w:name w:val="Table Grid"/>
    <w:basedOn w:val="TableNormal"/>
    <w:uiPriority w:val="59"/>
    <w:rsid w:val="00B8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3124FF"/>
    <w:rPr>
      <w:rFonts w:eastAsia="MS Mincho"/>
      <w:b/>
      <w:sz w:val="24"/>
      <w:szCs w:val="24"/>
      <w:lang w:val="en-GB"/>
    </w:rPr>
  </w:style>
  <w:style w:type="character" w:styleId="FootnoteReference">
    <w:name w:val="footnote reference"/>
    <w:aliases w:val="16 Point,Superscript 6 Point,number,SUPERS,Footnote Reference Superscript"/>
    <w:uiPriority w:val="99"/>
    <w:rsid w:val="00AA4E66"/>
    <w:rPr>
      <w:rFonts w:ascii="Times New Roman" w:hAnsi="Times New Roman"/>
      <w:color w:val="auto"/>
      <w:sz w:val="20"/>
      <w:szCs w:val="18"/>
      <w:vertAlign w:val="superscript"/>
    </w:rPr>
  </w:style>
  <w:style w:type="paragraph" w:styleId="FootnoteText">
    <w:name w:val="footnote text"/>
    <w:basedOn w:val="Normal-pool"/>
    <w:semiHidden/>
    <w:rsid w:val="00AA4E66"/>
    <w:pPr>
      <w:spacing w:before="20" w:after="40"/>
      <w:ind w:left="1247"/>
    </w:pPr>
    <w:rPr>
      <w:sz w:val="18"/>
    </w:rPr>
  </w:style>
  <w:style w:type="paragraph" w:customStyle="1" w:styleId="ColorfulList-Accent11">
    <w:name w:val="Colorful List - Accent 11"/>
    <w:basedOn w:val="Normal"/>
    <w:uiPriority w:val="34"/>
    <w:rsid w:val="00BC093D"/>
    <w:pPr>
      <w:tabs>
        <w:tab w:val="left" w:pos="1247"/>
        <w:tab w:val="left" w:pos="1814"/>
        <w:tab w:val="left" w:pos="2381"/>
        <w:tab w:val="left" w:pos="2948"/>
        <w:tab w:val="left" w:pos="3515"/>
      </w:tabs>
      <w:ind w:left="720"/>
    </w:pPr>
    <w:rPr>
      <w:rFonts w:eastAsia="Times New Roman"/>
    </w:rPr>
  </w:style>
  <w:style w:type="paragraph" w:styleId="EndnoteText">
    <w:name w:val="endnote text"/>
    <w:basedOn w:val="Normal"/>
    <w:link w:val="EndnoteTextChar"/>
    <w:semiHidden/>
    <w:rsid w:val="00BC093D"/>
    <w:pPr>
      <w:tabs>
        <w:tab w:val="left" w:pos="1247"/>
        <w:tab w:val="left" w:pos="1814"/>
        <w:tab w:val="left" w:pos="2381"/>
        <w:tab w:val="left" w:pos="2948"/>
        <w:tab w:val="left" w:pos="3515"/>
      </w:tabs>
    </w:pPr>
    <w:rPr>
      <w:rFonts w:eastAsia="Times New Roman"/>
    </w:rPr>
  </w:style>
  <w:style w:type="character" w:customStyle="1" w:styleId="EndnoteTextChar">
    <w:name w:val="Endnote Text Char"/>
    <w:link w:val="EndnoteText"/>
    <w:locked/>
    <w:rsid w:val="00BC093D"/>
    <w:rPr>
      <w:lang w:val="en-GB" w:eastAsia="en-US" w:bidi="ar-SA"/>
    </w:rPr>
  </w:style>
  <w:style w:type="character" w:customStyle="1" w:styleId="docs-bold">
    <w:name w:val="docs-bold"/>
    <w:rsid w:val="00BC093D"/>
    <w:rPr>
      <w:rFonts w:cs="Times New Roman"/>
    </w:rPr>
  </w:style>
  <w:style w:type="character" w:customStyle="1" w:styleId="Normal-poolChar">
    <w:name w:val="Normal-pool Char"/>
    <w:link w:val="Normal-pool"/>
    <w:rsid w:val="00D71D25"/>
    <w:rPr>
      <w:lang w:val="en-GB" w:eastAsia="en-US" w:bidi="ar-SA"/>
    </w:rPr>
  </w:style>
  <w:style w:type="character" w:customStyle="1" w:styleId="CH2Char">
    <w:name w:val="CH2 Char"/>
    <w:link w:val="CH2"/>
    <w:rsid w:val="004A36DE"/>
    <w:rPr>
      <w:rFonts w:eastAsia="Gulim"/>
      <w:b/>
      <w:sz w:val="24"/>
      <w:szCs w:val="24"/>
      <w:lang w:val="en-GB" w:eastAsia="ko-KR"/>
    </w:rPr>
  </w:style>
  <w:style w:type="character" w:styleId="FollowedHyperlink">
    <w:name w:val="FollowedHyperlink"/>
    <w:rsid w:val="003503B6"/>
    <w:rPr>
      <w:color w:val="800080"/>
      <w:u w:val="single"/>
    </w:rPr>
  </w:style>
  <w:style w:type="paragraph" w:styleId="BalloonText">
    <w:name w:val="Balloon Text"/>
    <w:basedOn w:val="Normal"/>
    <w:link w:val="BalloonTextChar"/>
    <w:rsid w:val="001673CF"/>
    <w:rPr>
      <w:rFonts w:ascii="Tahoma" w:hAnsi="Tahoma" w:cs="Tahoma"/>
      <w:sz w:val="16"/>
      <w:szCs w:val="16"/>
    </w:rPr>
  </w:style>
  <w:style w:type="character" w:customStyle="1" w:styleId="BalloonTextChar">
    <w:name w:val="Balloon Text Char"/>
    <w:link w:val="BalloonText"/>
    <w:rsid w:val="001673CF"/>
    <w:rPr>
      <w:rFonts w:ascii="Tahoma" w:eastAsia="MS Mincho" w:hAnsi="Tahoma" w:cs="Tahoma"/>
      <w:sz w:val="16"/>
      <w:szCs w:val="16"/>
      <w:lang w:val="en-GB"/>
    </w:rPr>
  </w:style>
  <w:style w:type="character" w:styleId="CommentReference">
    <w:name w:val="annotation reference"/>
    <w:rsid w:val="001673CF"/>
    <w:rPr>
      <w:sz w:val="16"/>
      <w:szCs w:val="16"/>
    </w:rPr>
  </w:style>
  <w:style w:type="paragraph" w:styleId="CommentText">
    <w:name w:val="annotation text"/>
    <w:basedOn w:val="Normal"/>
    <w:link w:val="CommentTextChar"/>
    <w:rsid w:val="001673CF"/>
  </w:style>
  <w:style w:type="character" w:customStyle="1" w:styleId="CommentTextChar">
    <w:name w:val="Comment Text Char"/>
    <w:link w:val="CommentText"/>
    <w:rsid w:val="001673CF"/>
    <w:rPr>
      <w:rFonts w:eastAsia="MS Mincho"/>
      <w:lang w:val="en-GB"/>
    </w:rPr>
  </w:style>
  <w:style w:type="paragraph" w:styleId="CommentSubject">
    <w:name w:val="annotation subject"/>
    <w:basedOn w:val="CommentText"/>
    <w:next w:val="CommentText"/>
    <w:link w:val="CommentSubjectChar"/>
    <w:rsid w:val="001673CF"/>
    <w:rPr>
      <w:b/>
      <w:bCs/>
    </w:rPr>
  </w:style>
  <w:style w:type="character" w:customStyle="1" w:styleId="CommentSubjectChar">
    <w:name w:val="Comment Subject Char"/>
    <w:link w:val="CommentSubject"/>
    <w:rsid w:val="001673CF"/>
    <w:rPr>
      <w:rFonts w:eastAsia="MS Mincho"/>
      <w:b/>
      <w:bCs/>
      <w:lang w:val="en-GB"/>
    </w:rPr>
  </w:style>
  <w:style w:type="paragraph" w:customStyle="1" w:styleId="SingleTxt">
    <w:name w:val="__Single Txt"/>
    <w:basedOn w:val="Normal"/>
    <w:rsid w:val="00F4112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rPr>
  </w:style>
  <w:style w:type="paragraph" w:customStyle="1" w:styleId="H1">
    <w:name w:val="_ H_1"/>
    <w:basedOn w:val="Normal"/>
    <w:next w:val="SingleTxt"/>
    <w:rsid w:val="00F4112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Times New Roman"/>
      <w:b/>
      <w:spacing w:val="4"/>
      <w:w w:val="103"/>
      <w:kern w:val="14"/>
      <w:sz w:val="24"/>
    </w:rPr>
  </w:style>
  <w:style w:type="paragraph" w:customStyle="1" w:styleId="HCh">
    <w:name w:val="_ H _Ch"/>
    <w:basedOn w:val="H1"/>
    <w:next w:val="SingleTxt"/>
    <w:rsid w:val="0004779A"/>
    <w:pPr>
      <w:spacing w:line="300" w:lineRule="exact"/>
      <w:ind w:left="0" w:right="0" w:firstLine="0"/>
    </w:pPr>
    <w:rPr>
      <w:spacing w:val="-2"/>
      <w:sz w:val="28"/>
    </w:rPr>
  </w:style>
  <w:style w:type="paragraph" w:customStyle="1" w:styleId="HM">
    <w:name w:val="_ H __M"/>
    <w:basedOn w:val="HCh"/>
    <w:next w:val="Normal"/>
    <w:rsid w:val="0004779A"/>
    <w:pPr>
      <w:spacing w:line="360" w:lineRule="exact"/>
    </w:pPr>
    <w:rPr>
      <w:spacing w:val="-3"/>
      <w:w w:val="99"/>
      <w:sz w:val="34"/>
    </w:rPr>
  </w:style>
  <w:style w:type="paragraph" w:customStyle="1" w:styleId="H23">
    <w:name w:val="_ H_2/3"/>
    <w:basedOn w:val="H1"/>
    <w:next w:val="Normal"/>
    <w:rsid w:val="0004779A"/>
    <w:pPr>
      <w:spacing w:line="240" w:lineRule="exact"/>
      <w:outlineLvl w:val="1"/>
    </w:pPr>
    <w:rPr>
      <w:spacing w:val="2"/>
      <w:sz w:val="20"/>
    </w:rPr>
  </w:style>
  <w:style w:type="paragraph" w:customStyle="1" w:styleId="H4">
    <w:name w:val="_ H_4"/>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eastAsia="Times New Roman"/>
      <w:i/>
      <w:spacing w:val="3"/>
      <w:w w:val="103"/>
      <w:kern w:val="14"/>
    </w:rPr>
  </w:style>
  <w:style w:type="paragraph" w:customStyle="1" w:styleId="H56">
    <w:name w:val="_ H_5/6"/>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4"/>
    </w:pPr>
    <w:rPr>
      <w:rFonts w:eastAsia="Times New Roman"/>
      <w:spacing w:val="4"/>
      <w:w w:val="103"/>
      <w:kern w:val="14"/>
    </w:rPr>
  </w:style>
  <w:style w:type="paragraph" w:customStyle="1" w:styleId="DualTxt">
    <w:name w:val="__Dual Txt"/>
    <w:basedOn w:val="Normal"/>
    <w:rsid w:val="0004779A"/>
    <w:pPr>
      <w:tabs>
        <w:tab w:val="left" w:pos="480"/>
        <w:tab w:val="left" w:pos="960"/>
        <w:tab w:val="left" w:pos="1440"/>
        <w:tab w:val="left" w:pos="1915"/>
        <w:tab w:val="left" w:pos="2405"/>
        <w:tab w:val="left" w:pos="2880"/>
        <w:tab w:val="left" w:pos="3355"/>
      </w:tabs>
      <w:suppressAutoHyphens/>
      <w:spacing w:after="120" w:line="240" w:lineRule="exact"/>
      <w:jc w:val="both"/>
    </w:pPr>
    <w:rPr>
      <w:rFonts w:eastAsia="Times New Roman"/>
      <w:spacing w:val="4"/>
      <w:w w:val="103"/>
      <w:kern w:val="14"/>
    </w:rPr>
  </w:style>
  <w:style w:type="paragraph" w:customStyle="1" w:styleId="SM">
    <w:name w:val="__S_M"/>
    <w:basedOn w:val="Normal"/>
    <w:next w:val="Normal"/>
    <w:rsid w:val="0004779A"/>
    <w:pPr>
      <w:keepNext/>
      <w:keepLines/>
      <w:tabs>
        <w:tab w:val="right" w:leader="dot" w:pos="360"/>
      </w:tabs>
      <w:suppressAutoHyphens/>
      <w:spacing w:line="390" w:lineRule="exact"/>
      <w:ind w:left="1267" w:right="1267"/>
      <w:outlineLvl w:val="0"/>
    </w:pPr>
    <w:rPr>
      <w:rFonts w:eastAsia="Times New Roman"/>
      <w:b/>
      <w:spacing w:val="-4"/>
      <w:w w:val="98"/>
      <w:kern w:val="14"/>
      <w:sz w:val="40"/>
    </w:rPr>
  </w:style>
  <w:style w:type="paragraph" w:customStyle="1" w:styleId="SL">
    <w:name w:val="__S_L"/>
    <w:basedOn w:val="SM"/>
    <w:next w:val="Normal"/>
    <w:rsid w:val="0004779A"/>
    <w:pPr>
      <w:spacing w:line="540" w:lineRule="exact"/>
    </w:pPr>
    <w:rPr>
      <w:spacing w:val="-8"/>
      <w:w w:val="96"/>
      <w:sz w:val="57"/>
    </w:rPr>
  </w:style>
  <w:style w:type="paragraph" w:customStyle="1" w:styleId="SS">
    <w:name w:val="__S_S"/>
    <w:basedOn w:val="HCh"/>
    <w:next w:val="Normal"/>
    <w:rsid w:val="0004779A"/>
    <w:pPr>
      <w:ind w:left="1267" w:right="1267"/>
    </w:pPr>
  </w:style>
  <w:style w:type="character" w:styleId="EndnoteReference">
    <w:name w:val="endnote reference"/>
    <w:rsid w:val="0004779A"/>
    <w:rPr>
      <w:spacing w:val="-5"/>
      <w:w w:val="130"/>
      <w:position w:val="-4"/>
      <w:vertAlign w:val="superscript"/>
    </w:rPr>
  </w:style>
  <w:style w:type="character" w:styleId="LineNumber">
    <w:name w:val="line number"/>
    <w:rsid w:val="0004779A"/>
    <w:rPr>
      <w:sz w:val="14"/>
    </w:rPr>
  </w:style>
  <w:style w:type="paragraph" w:customStyle="1" w:styleId="Small">
    <w:name w:val="Small"/>
    <w:basedOn w:val="Normal"/>
    <w:next w:val="Normal"/>
    <w:rsid w:val="0004779A"/>
    <w:pPr>
      <w:tabs>
        <w:tab w:val="right" w:pos="9965"/>
      </w:tabs>
      <w:suppressAutoHyphens/>
      <w:spacing w:line="210" w:lineRule="exact"/>
    </w:pPr>
    <w:rPr>
      <w:rFonts w:eastAsia="Times New Roman"/>
      <w:spacing w:val="5"/>
      <w:w w:val="104"/>
      <w:kern w:val="14"/>
      <w:sz w:val="17"/>
    </w:rPr>
  </w:style>
  <w:style w:type="paragraph" w:customStyle="1" w:styleId="SmallX">
    <w:name w:val="SmallX"/>
    <w:basedOn w:val="Small"/>
    <w:next w:val="Normal"/>
    <w:rsid w:val="0004779A"/>
    <w:pPr>
      <w:spacing w:line="180" w:lineRule="exact"/>
      <w:jc w:val="right"/>
    </w:pPr>
    <w:rPr>
      <w:spacing w:val="6"/>
      <w:w w:val="106"/>
      <w:sz w:val="14"/>
    </w:rPr>
  </w:style>
  <w:style w:type="paragraph" w:customStyle="1" w:styleId="XLarge">
    <w:name w:val="XLarge"/>
    <w:basedOn w:val="HM"/>
    <w:rsid w:val="0004779A"/>
    <w:pPr>
      <w:spacing w:line="390" w:lineRule="exact"/>
    </w:pPr>
    <w:rPr>
      <w:spacing w:val="-4"/>
      <w:w w:val="98"/>
      <w:sz w:val="40"/>
    </w:rPr>
  </w:style>
  <w:style w:type="character" w:customStyle="1" w:styleId="HeaderChar">
    <w:name w:val="Header Char"/>
    <w:link w:val="Header"/>
    <w:uiPriority w:val="99"/>
    <w:rsid w:val="0004779A"/>
    <w:rPr>
      <w:b/>
      <w:sz w:val="18"/>
      <w:lang w:eastAsia="en-US"/>
    </w:rPr>
  </w:style>
  <w:style w:type="paragraph" w:customStyle="1" w:styleId="ColorfulShading-Accent11">
    <w:name w:val="Colorful Shading - Accent 11"/>
    <w:hidden/>
    <w:rsid w:val="0004779A"/>
    <w:rPr>
      <w:sz w:val="24"/>
      <w:szCs w:val="24"/>
    </w:rPr>
  </w:style>
  <w:style w:type="paragraph" w:customStyle="1" w:styleId="Default">
    <w:name w:val="Default"/>
    <w:rsid w:val="0004779A"/>
    <w:pPr>
      <w:autoSpaceDE w:val="0"/>
      <w:autoSpaceDN w:val="0"/>
      <w:adjustRightInd w:val="0"/>
    </w:pPr>
    <w:rPr>
      <w:rFonts w:ascii="Calibri" w:hAnsi="Calibri" w:cs="Calibri"/>
      <w:color w:val="000000"/>
      <w:sz w:val="24"/>
      <w:szCs w:val="24"/>
    </w:rPr>
  </w:style>
  <w:style w:type="paragraph" w:customStyle="1" w:styleId="ColorfulShading-Accent31">
    <w:name w:val="Colorful Shading - Accent 31"/>
    <w:basedOn w:val="Normal"/>
    <w:uiPriority w:val="34"/>
    <w:rsid w:val="0004779A"/>
    <w:pPr>
      <w:suppressAutoHyphens/>
      <w:spacing w:line="240" w:lineRule="exact"/>
      <w:ind w:left="720"/>
      <w:contextualSpacing/>
    </w:pPr>
    <w:rPr>
      <w:rFonts w:eastAsia="Times New Roman"/>
      <w:spacing w:val="4"/>
      <w:w w:val="103"/>
      <w:kern w:val="14"/>
    </w:rPr>
  </w:style>
  <w:style w:type="paragraph" w:customStyle="1" w:styleId="DarkList-Accent31">
    <w:name w:val="Dark List - Accent 31"/>
    <w:hidden/>
    <w:uiPriority w:val="99"/>
    <w:semiHidden/>
    <w:rsid w:val="0004779A"/>
    <w:rPr>
      <w:spacing w:val="4"/>
      <w:w w:val="103"/>
      <w:kern w:val="14"/>
      <w:lang w:val="en-GB"/>
    </w:rPr>
  </w:style>
  <w:style w:type="character" w:customStyle="1" w:styleId="Heading3Char">
    <w:name w:val="Heading 3 Char"/>
    <w:link w:val="Heading3"/>
    <w:rsid w:val="0004779A"/>
    <w:rPr>
      <w:rFonts w:eastAsia="MS Mincho"/>
      <w:b/>
      <w:lang w:eastAsia="en-US"/>
    </w:rPr>
  </w:style>
  <w:style w:type="character" w:customStyle="1" w:styleId="FooterChar">
    <w:name w:val="Footer Char"/>
    <w:link w:val="Footer"/>
    <w:uiPriority w:val="99"/>
    <w:rsid w:val="00943BDB"/>
    <w:rPr>
      <w:sz w:val="18"/>
      <w:lang w:eastAsia="en-US"/>
    </w:rPr>
  </w:style>
  <w:style w:type="paragraph" w:customStyle="1" w:styleId="Level1">
    <w:name w:val="Level1"/>
    <w:basedOn w:val="Normal"/>
    <w:rsid w:val="000E53DF"/>
    <w:pPr>
      <w:tabs>
        <w:tab w:val="left" w:pos="578"/>
        <w:tab w:val="left" w:pos="1157"/>
      </w:tabs>
      <w:suppressAutoHyphens/>
      <w:spacing w:after="240"/>
    </w:pPr>
  </w:style>
  <w:style w:type="paragraph" w:styleId="Title">
    <w:name w:val="Title"/>
    <w:basedOn w:val="BBTitle"/>
    <w:next w:val="Normal"/>
    <w:link w:val="TitleChar"/>
    <w:qFormat/>
    <w:rsid w:val="00062885"/>
    <w:rPr>
      <w:lang w:val="en-US"/>
    </w:rPr>
  </w:style>
  <w:style w:type="character" w:customStyle="1" w:styleId="TitleChar">
    <w:name w:val="Title Char"/>
    <w:link w:val="Title"/>
    <w:rsid w:val="00062885"/>
    <w:rPr>
      <w:b/>
      <w:sz w:val="28"/>
      <w:szCs w:val="28"/>
    </w:rPr>
  </w:style>
  <w:style w:type="table" w:customStyle="1" w:styleId="AATable">
    <w:name w:val="AA_Table"/>
    <w:basedOn w:val="TableNormal"/>
    <w:rsid w:val="00AA4E6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beforeLines="0" w:before="120" w:beforeAutospacing="0" w:afterLines="0" w:after="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240" w:afterAutospacing="0"/>
        <w:ind w:rightChars="0" w:right="0"/>
      </w:pPr>
      <w:rPr>
        <w:rFonts w:ascii="Times New Roman" w:hAnsi="Times New Roman"/>
      </w:rPr>
    </w:tblStylePr>
  </w:style>
  <w:style w:type="paragraph" w:customStyle="1" w:styleId="AgendaItemTitle">
    <w:name w:val="AgendaItem_Title"/>
    <w:basedOn w:val="Normal-pool"/>
    <w:qFormat/>
    <w:rsid w:val="00AA4E66"/>
    <w:pPr>
      <w:keepNext/>
      <w:keepLines/>
      <w:suppressAutoHyphens/>
      <w:ind w:right="3402"/>
    </w:pPr>
    <w:rPr>
      <w:b/>
    </w:rPr>
  </w:style>
  <w:style w:type="paragraph" w:customStyle="1" w:styleId="AATitle2">
    <w:name w:val="AA_Title2"/>
    <w:basedOn w:val="AgendaItemTitle"/>
    <w:rsid w:val="00AA4E66"/>
    <w:pPr>
      <w:spacing w:before="120" w:after="120"/>
      <w:ind w:right="1701"/>
    </w:pPr>
  </w:style>
  <w:style w:type="paragraph" w:customStyle="1" w:styleId="BBTitle">
    <w:name w:val="BB_Title"/>
    <w:basedOn w:val="Normal-pool"/>
    <w:rsid w:val="00AA4E66"/>
    <w:pPr>
      <w:keepNext/>
      <w:keepLines/>
      <w:suppressAutoHyphens/>
      <w:spacing w:before="320" w:after="240"/>
      <w:ind w:left="1247" w:right="567"/>
    </w:pPr>
    <w:rPr>
      <w:b/>
      <w:sz w:val="28"/>
      <w:szCs w:val="28"/>
    </w:rPr>
  </w:style>
  <w:style w:type="paragraph" w:styleId="Footer">
    <w:name w:val="footer"/>
    <w:basedOn w:val="Normal-pool"/>
    <w:link w:val="FooterChar"/>
    <w:uiPriority w:val="99"/>
    <w:rsid w:val="00AA4E66"/>
    <w:pPr>
      <w:tabs>
        <w:tab w:val="center" w:pos="4320"/>
        <w:tab w:val="right" w:pos="8640"/>
      </w:tabs>
      <w:spacing w:before="60" w:after="120"/>
    </w:pPr>
    <w:rPr>
      <w:sz w:val="18"/>
    </w:rPr>
  </w:style>
  <w:style w:type="paragraph" w:styleId="Header">
    <w:name w:val="header"/>
    <w:basedOn w:val="Normal-pool"/>
    <w:link w:val="HeaderChar"/>
    <w:uiPriority w:val="99"/>
    <w:rsid w:val="00AA4E66"/>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AA4E66"/>
    <w:rPr>
      <w:rFonts w:ascii="Times New Roman" w:hAnsi="Times New Roman"/>
      <w:color w:val="auto"/>
      <w:sz w:val="20"/>
      <w:szCs w:val="20"/>
      <w:u w:val="none"/>
      <w:lang w:val="fr-FR"/>
    </w:rPr>
  </w:style>
  <w:style w:type="numbering" w:customStyle="1" w:styleId="Normallist">
    <w:name w:val="Normal_list"/>
    <w:basedOn w:val="NoList"/>
    <w:rsid w:val="00AA4E66"/>
    <w:pPr>
      <w:numPr>
        <w:numId w:val="3"/>
      </w:numPr>
    </w:pPr>
  </w:style>
  <w:style w:type="paragraph" w:customStyle="1" w:styleId="NormalNonumber">
    <w:name w:val="Normal_No_number"/>
    <w:basedOn w:val="Normal-pool"/>
    <w:rsid w:val="00AA4E66"/>
    <w:pPr>
      <w:spacing w:after="120"/>
      <w:ind w:left="1247"/>
    </w:pPr>
  </w:style>
  <w:style w:type="paragraph" w:customStyle="1" w:styleId="Normalnumber">
    <w:name w:val="Normal_number"/>
    <w:basedOn w:val="Normal-pool"/>
    <w:link w:val="NormalnumberChar"/>
    <w:qFormat/>
    <w:rsid w:val="00AA4E66"/>
    <w:pPr>
      <w:numPr>
        <w:numId w:val="4"/>
      </w:numPr>
      <w:spacing w:after="120"/>
    </w:pPr>
  </w:style>
  <w:style w:type="paragraph" w:customStyle="1" w:styleId="Titletable">
    <w:name w:val="Title_table"/>
    <w:basedOn w:val="Normal-pool"/>
    <w:next w:val="NormalNonumber"/>
    <w:rsid w:val="00AA4E66"/>
    <w:pPr>
      <w:keepNext/>
      <w:keepLines/>
      <w:suppressAutoHyphens/>
      <w:spacing w:after="60"/>
      <w:ind w:left="1247"/>
    </w:pPr>
    <w:rPr>
      <w:b/>
      <w:bCs/>
    </w:rPr>
  </w:style>
  <w:style w:type="paragraph" w:styleId="TOC1">
    <w:name w:val="toc 1"/>
    <w:basedOn w:val="Normal-pool"/>
    <w:next w:val="Normal-pool"/>
    <w:uiPriority w:val="39"/>
    <w:rsid w:val="00AA4E66"/>
    <w:pPr>
      <w:tabs>
        <w:tab w:val="clear" w:pos="2381"/>
        <w:tab w:val="clear" w:pos="2948"/>
        <w:tab w:val="clear" w:pos="3515"/>
        <w:tab w:val="right" w:leader="dot" w:pos="9486"/>
      </w:tabs>
      <w:spacing w:before="240"/>
      <w:ind w:left="1814" w:hanging="567"/>
    </w:pPr>
    <w:rPr>
      <w:bCs/>
    </w:rPr>
  </w:style>
  <w:style w:type="paragraph" w:styleId="TOC2">
    <w:name w:val="toc 2"/>
    <w:basedOn w:val="Normal-pool"/>
    <w:next w:val="Normal-pool"/>
    <w:uiPriority w:val="39"/>
    <w:rsid w:val="00AA4E66"/>
    <w:pPr>
      <w:tabs>
        <w:tab w:val="clear" w:pos="1814"/>
        <w:tab w:val="clear" w:pos="2948"/>
        <w:tab w:val="clear" w:pos="3515"/>
        <w:tab w:val="right" w:leader="dot" w:pos="9486"/>
      </w:tabs>
      <w:ind w:left="2381" w:hanging="567"/>
    </w:pPr>
  </w:style>
  <w:style w:type="paragraph" w:styleId="TOC3">
    <w:name w:val="toc 3"/>
    <w:basedOn w:val="Normal-pool"/>
    <w:next w:val="Normal-pool"/>
    <w:uiPriority w:val="39"/>
    <w:rsid w:val="00AA4E66"/>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AA4E66"/>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AA4E66"/>
    <w:pPr>
      <w:ind w:left="800"/>
    </w:pPr>
    <w:rPr>
      <w:sz w:val="18"/>
      <w:szCs w:val="18"/>
    </w:rPr>
  </w:style>
  <w:style w:type="paragraph" w:customStyle="1" w:styleId="AnnexTitle">
    <w:name w:val="Annex Title"/>
    <w:basedOn w:val="Normal-pool"/>
    <w:qFormat/>
    <w:rsid w:val="0058611F"/>
    <w:pPr>
      <w:pageBreakBefore/>
    </w:pPr>
    <w:rPr>
      <w:b/>
      <w:bCs/>
      <w:sz w:val="28"/>
      <w:szCs w:val="22"/>
    </w:rPr>
  </w:style>
  <w:style w:type="paragraph" w:customStyle="1" w:styleId="ZZAnxtitle">
    <w:name w:val="ZZ_Anx_title"/>
    <w:basedOn w:val="Normal-pool"/>
    <w:rsid w:val="00AA4E66"/>
    <w:pPr>
      <w:spacing w:before="360" w:after="120"/>
      <w:ind w:left="1247"/>
    </w:pPr>
    <w:rPr>
      <w:b/>
      <w:bCs/>
      <w:sz w:val="28"/>
      <w:szCs w:val="26"/>
    </w:rPr>
  </w:style>
  <w:style w:type="paragraph" w:customStyle="1" w:styleId="AnnexNumbered">
    <w:name w:val="Annex Numbered"/>
    <w:basedOn w:val="AnnexTitle"/>
    <w:qFormat/>
    <w:rsid w:val="004A36DE"/>
    <w:pPr>
      <w:numPr>
        <w:numId w:val="7"/>
      </w:numPr>
    </w:pPr>
    <w:rPr>
      <w:rFonts w:eastAsia="Calibri"/>
      <w:w w:val="103"/>
    </w:rPr>
  </w:style>
  <w:style w:type="paragraph" w:customStyle="1" w:styleId="NormalPlain">
    <w:name w:val="Normal_Plain"/>
    <w:basedOn w:val="Normal"/>
    <w:qFormat/>
    <w:rsid w:val="004A36DE"/>
    <w:pPr>
      <w:ind w:left="1260"/>
    </w:pPr>
    <w:rPr>
      <w:lang w:eastAsia="ko-KR"/>
    </w:rPr>
  </w:style>
  <w:style w:type="paragraph" w:customStyle="1" w:styleId="AATitle">
    <w:name w:val="AA_Title"/>
    <w:basedOn w:val="Normal"/>
    <w:rsid w:val="00EC6548"/>
    <w:pPr>
      <w:keepNext/>
      <w:keepLines/>
      <w:tabs>
        <w:tab w:val="left" w:pos="1247"/>
        <w:tab w:val="left" w:pos="1814"/>
        <w:tab w:val="left" w:pos="2381"/>
        <w:tab w:val="left" w:pos="2948"/>
        <w:tab w:val="left" w:pos="3515"/>
        <w:tab w:val="left" w:pos="4082"/>
      </w:tabs>
      <w:suppressAutoHyphens/>
      <w:ind w:right="5103"/>
    </w:pPr>
    <w:rPr>
      <w:rFonts w:eastAsia="Times New Roman"/>
      <w:b/>
    </w:rPr>
  </w:style>
  <w:style w:type="character" w:styleId="BookTitle">
    <w:name w:val="Book Title"/>
    <w:basedOn w:val="DefaultParagraphFont"/>
    <w:uiPriority w:val="33"/>
    <w:qFormat/>
    <w:rsid w:val="00F63428"/>
    <w:rPr>
      <w:b/>
      <w:bCs/>
      <w:smallCaps/>
      <w:spacing w:val="5"/>
    </w:rPr>
  </w:style>
  <w:style w:type="paragraph" w:customStyle="1" w:styleId="ZZAnxheader">
    <w:name w:val="ZZ_Anx_header"/>
    <w:basedOn w:val="Normal"/>
    <w:rsid w:val="00F63428"/>
    <w:pPr>
      <w:tabs>
        <w:tab w:val="left" w:pos="1247"/>
        <w:tab w:val="left" w:pos="1814"/>
        <w:tab w:val="left" w:pos="2381"/>
        <w:tab w:val="left" w:pos="2948"/>
        <w:tab w:val="left" w:pos="3515"/>
        <w:tab w:val="left" w:pos="4082"/>
      </w:tabs>
    </w:pPr>
    <w:rPr>
      <w:rFonts w:eastAsia="Times New Roman"/>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043991124">
      <w:bodyDiv w:val="1"/>
      <w:marLeft w:val="0"/>
      <w:marRight w:val="0"/>
      <w:marTop w:val="0"/>
      <w:marBottom w:val="0"/>
      <w:divBdr>
        <w:top w:val="none" w:sz="0" w:space="0" w:color="auto"/>
        <w:left w:val="none" w:sz="0" w:space="0" w:color="auto"/>
        <w:bottom w:val="none" w:sz="0" w:space="0" w:color="auto"/>
        <w:right w:val="none" w:sz="0" w:space="0" w:color="auto"/>
      </w:divBdr>
      <w:divsChild>
        <w:div w:id="1711374009">
          <w:marLeft w:val="0"/>
          <w:marRight w:val="0"/>
          <w:marTop w:val="0"/>
          <w:marBottom w:val="0"/>
          <w:divBdr>
            <w:top w:val="none" w:sz="0" w:space="0" w:color="auto"/>
            <w:left w:val="none" w:sz="0" w:space="0" w:color="auto"/>
            <w:bottom w:val="none" w:sz="0" w:space="0" w:color="auto"/>
            <w:right w:val="none" w:sz="0" w:space="0" w:color="auto"/>
          </w:divBdr>
          <w:divsChild>
            <w:div w:id="449012098">
              <w:marLeft w:val="0"/>
              <w:marRight w:val="0"/>
              <w:marTop w:val="0"/>
              <w:marBottom w:val="0"/>
              <w:divBdr>
                <w:top w:val="none" w:sz="0" w:space="0" w:color="auto"/>
                <w:left w:val="none" w:sz="0" w:space="0" w:color="auto"/>
                <w:bottom w:val="none" w:sz="0" w:space="0" w:color="auto"/>
                <w:right w:val="none" w:sz="0" w:space="0" w:color="auto"/>
              </w:divBdr>
              <w:divsChild>
                <w:div w:id="15392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19055820">
      <w:bodyDiv w:val="1"/>
      <w:marLeft w:val="0"/>
      <w:marRight w:val="0"/>
      <w:marTop w:val="0"/>
      <w:marBottom w:val="0"/>
      <w:divBdr>
        <w:top w:val="none" w:sz="0" w:space="0" w:color="auto"/>
        <w:left w:val="none" w:sz="0" w:space="0" w:color="auto"/>
        <w:bottom w:val="none" w:sz="0" w:space="0" w:color="auto"/>
        <w:right w:val="none" w:sz="0" w:space="0" w:color="auto"/>
      </w:divBdr>
      <w:divsChild>
        <w:div w:id="325129359">
          <w:marLeft w:val="0"/>
          <w:marRight w:val="0"/>
          <w:marTop w:val="0"/>
          <w:marBottom w:val="0"/>
          <w:divBdr>
            <w:top w:val="none" w:sz="0" w:space="0" w:color="auto"/>
            <w:left w:val="none" w:sz="0" w:space="0" w:color="auto"/>
            <w:bottom w:val="none" w:sz="0" w:space="0" w:color="auto"/>
            <w:right w:val="none" w:sz="0" w:space="0" w:color="auto"/>
          </w:divBdr>
          <w:divsChild>
            <w:div w:id="960460909">
              <w:marLeft w:val="0"/>
              <w:marRight w:val="0"/>
              <w:marTop w:val="0"/>
              <w:marBottom w:val="0"/>
              <w:divBdr>
                <w:top w:val="none" w:sz="0" w:space="0" w:color="auto"/>
                <w:left w:val="none" w:sz="0" w:space="0" w:color="auto"/>
                <w:bottom w:val="none" w:sz="0" w:space="0" w:color="auto"/>
                <w:right w:val="none" w:sz="0" w:space="0" w:color="auto"/>
              </w:divBdr>
              <w:divsChild>
                <w:div w:id="21172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7988">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574504322">
      <w:bodyDiv w:val="1"/>
      <w:marLeft w:val="0"/>
      <w:marRight w:val="0"/>
      <w:marTop w:val="0"/>
      <w:marBottom w:val="0"/>
      <w:divBdr>
        <w:top w:val="none" w:sz="0" w:space="0" w:color="auto"/>
        <w:left w:val="none" w:sz="0" w:space="0" w:color="auto"/>
        <w:bottom w:val="none" w:sz="0" w:space="0" w:color="auto"/>
        <w:right w:val="none" w:sz="0" w:space="0" w:color="auto"/>
      </w:divBdr>
    </w:div>
    <w:div w:id="18704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omare\Downloads\Template_Working_Documents.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undp-my.sharepoint.com/personal/benedict_aboki_omare_ipbes_net/Documents/IPBES/4e.%20Effectivness/Internal%20Review/Results/Statistical_Analysis_2017112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[Statistical_Analysis_20171120.xlsx]Response Dist!PivotTable3</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'Response Dist'!$B$3</c:f>
              <c:strCache>
                <c:ptCount val="1"/>
                <c:pt idx="0">
                  <c:v>Total</c:v>
                </c:pt>
              </c:strCache>
            </c:strRef>
          </c:tx>
          <c:spPr>
            <a:solidFill>
              <a:schemeClr val="accent1"/>
            </a:solidFill>
            <a:ln>
              <a:noFill/>
            </a:ln>
            <a:effectLst/>
          </c:spPr>
          <c:invertIfNegative val="0"/>
          <c:cat>
            <c:strRef>
              <c:f>'Response Dist'!$A$4:$A$9</c:f>
              <c:strCache>
                <c:ptCount val="5"/>
                <c:pt idx="0">
                  <c:v>1</c:v>
                </c:pt>
                <c:pt idx="1">
                  <c:v>2</c:v>
                </c:pt>
                <c:pt idx="2">
                  <c:v>3</c:v>
                </c:pt>
                <c:pt idx="3">
                  <c:v>4</c:v>
                </c:pt>
                <c:pt idx="4">
                  <c:v>5</c:v>
                </c:pt>
              </c:strCache>
            </c:strRef>
          </c:cat>
          <c:val>
            <c:numRef>
              <c:f>'Response Dist'!$B$4:$B$9</c:f>
              <c:numCache>
                <c:formatCode>0%</c:formatCode>
                <c:ptCount val="5"/>
                <c:pt idx="0">
                  <c:v>2.3788700367325499E-2</c:v>
                </c:pt>
                <c:pt idx="1">
                  <c:v>9.6029386041630194E-2</c:v>
                </c:pt>
                <c:pt idx="2">
                  <c:v>0.31624978135385701</c:v>
                </c:pt>
                <c:pt idx="3">
                  <c:v>0.444813713486094</c:v>
                </c:pt>
                <c:pt idx="4">
                  <c:v>0.119118418751093</c:v>
                </c:pt>
              </c:numCache>
            </c:numRef>
          </c:val>
          <c:extLst>
            <c:ext xmlns:c16="http://schemas.microsoft.com/office/drawing/2014/chart" uri="{C3380CC4-5D6E-409C-BE32-E72D297353CC}">
              <c16:uniqueId val="{00000000-DC87-44BB-BEF4-4E3B644CF3B8}"/>
            </c:ext>
          </c:extLst>
        </c:ser>
        <c:dLbls>
          <c:showLegendKey val="0"/>
          <c:showVal val="0"/>
          <c:showCatName val="0"/>
          <c:showSerName val="0"/>
          <c:showPercent val="0"/>
          <c:showBubbleSize val="0"/>
        </c:dLbls>
        <c:gapWidth val="219"/>
        <c:overlap val="-27"/>
        <c:axId val="264004352"/>
        <c:axId val="264006656"/>
      </c:barChart>
      <c:catAx>
        <c:axId val="26400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006656"/>
        <c:crosses val="autoZero"/>
        <c:auto val="1"/>
        <c:lblAlgn val="ctr"/>
        <c:lblOffset val="100"/>
        <c:noMultiLvlLbl val="0"/>
      </c:catAx>
      <c:valAx>
        <c:axId val="264006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00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4f199e1-8ff6-4421-800c-b60412eeab13">Template</Document_x0020_Status>
    <Job_x0020_Number xmlns="d4f199e1-8ff6-4421-800c-b60412eeab13">tbd</Job_x0020_Number>
    <Document_x0020_Language_x0028_s_x0029_ xmlns="d4f199e1-8ff6-4421-800c-b60412eeab13">English</Document_x0020_Language_x0028_s_x0029_>
    <Document_x0020_Name_ xmlns="9a8f22b8-05ea-4936-a963-5334b0fbdd5f">46</Document_x0020_Nam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7B97D03965E4AAF48B8518C3B9D8C" ma:contentTypeVersion="52" ma:contentTypeDescription="Create a new document." ma:contentTypeScope="" ma:versionID="380abe7deed374b9ee5f9ae76b9369fa">
  <xsd:schema xmlns:xsd="http://www.w3.org/2001/XMLSchema" xmlns:xs="http://www.w3.org/2001/XMLSchema" xmlns:p="http://schemas.microsoft.com/office/2006/metadata/properties" xmlns:ns2="9a8f22b8-05ea-4936-a963-5334b0fbdd5f" xmlns:ns3="d4f199e1-8ff6-4421-800c-b60412eeab13" xmlns:ns4="699a0643-be3a-4930-aa07-4f5905529aa4" targetNamespace="http://schemas.microsoft.com/office/2006/metadata/properties" ma:root="true" ma:fieldsID="9280ef94f79a0566b74145095909fcab" ns2:_="" ns3:_="" ns4:_="">
    <xsd:import namespace="9a8f22b8-05ea-4936-a963-5334b0fbdd5f"/>
    <xsd:import namespace="d4f199e1-8ff6-4421-800c-b60412eeab13"/>
    <xsd:import namespace="699a0643-be3a-4930-aa07-4f5905529aa4"/>
    <xsd:element name="properties">
      <xsd:complexType>
        <xsd:sequence>
          <xsd:element name="documentManagement">
            <xsd:complexType>
              <xsd:all>
                <xsd:element ref="ns2:Document_x0020_Name_" minOccurs="0"/>
                <xsd:element ref="ns3:Document_x0020_Status" minOccurs="0"/>
                <xsd:element ref="ns3:Document_x0020_Language_x0028_s_x0029_" minOccurs="0"/>
                <xsd:element ref="ns3:Job_x0020_Number" minOccurs="0"/>
                <xsd:element ref="ns4:SharedWithUsers" minOccurs="0"/>
                <xsd:element ref="ns4:SharedWithDetails" minOccurs="0"/>
                <xsd:element ref="ns2:Document_x0020_Name_x003a_Document_x0020_Type" minOccurs="0"/>
                <xsd:element ref="ns2:Document_x0020_Name_x003a_Document_x0020_Edit_x0020_Type" minOccurs="0"/>
                <xsd:element ref="ns2:Document_x0020_Name_x003a_Distribution" minOccurs="0"/>
                <xsd:element ref="ns2:Document_x0020_Name_x003a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22b8-05ea-4936-a963-5334b0fbdd5f" elementFormDefault="qualified">
    <xsd:import namespace="http://schemas.microsoft.com/office/2006/documentManagement/types"/>
    <xsd:import namespace="http://schemas.microsoft.com/office/infopath/2007/PartnerControls"/>
    <xsd:element name="Document_x0020_Name_" ma:index="1" nillable="true" ma:displayName="Document Name" ma:indexed="true" ma:list="{4ec6360f-f2a9-4a0b-b5e8-01156924b145}" ma:internalName="Document_x0020_Name_" ma:readOnly="false" ma:showField="Title">
      <xsd:simpleType>
        <xsd:restriction base="dms:Lookup"/>
      </xsd:simpleType>
    </xsd:element>
    <xsd:element name="Document_x0020_Name_x003a_Document_x0020_Type" ma:index="10" nillable="true" ma:displayName="Document Name:Document Type" ma:list="{4ec6360f-f2a9-4a0b-b5e8-01156924b145}" ma:internalName="Document_x0020_Name_x003a_Document_x0020_Type" ma:readOnly="true" ma:showField="Document_x0020_Type_" ma:web="cdcbdaca-403c-4042-b44a-1c4b9866e4b7">
      <xsd:simpleType>
        <xsd:restriction base="dms:Lookup"/>
      </xsd:simpleType>
    </xsd:element>
    <xsd:element name="Document_x0020_Name_x003a_Document_x0020_Edit_x0020_Type" ma:index="11" nillable="true" ma:displayName="Document Name:Document Edit Type" ma:list="{4ec6360f-f2a9-4a0b-b5e8-01156924b145}" ma:internalName="Document_x0020_Name_x003a_Document_x0020_Edit_x0020_Type" ma:readOnly="true" ma:showField="m20d" ma:web="cdcbdaca-403c-4042-b44a-1c4b9866e4b7">
      <xsd:simpleType>
        <xsd:restriction base="dms:Lookup"/>
      </xsd:simpleType>
    </xsd:element>
    <xsd:element name="Document_x0020_Name_x003a_Distribution" ma:index="12" nillable="true" ma:displayName="Document Name:Distribution" ma:list="{4ec6360f-f2a9-4a0b-b5e8-01156924b145}" ma:internalName="Document_x0020_Name_x003a_Distribution" ma:readOnly="true" ma:showField="Distribution_" ma:web="cdcbdaca-403c-4042-b44a-1c4b9866e4b7">
      <xsd:simpleType>
        <xsd:restriction base="dms:Lookup"/>
      </xsd:simpleType>
    </xsd:element>
    <xsd:element name="Document_x0020_Name_x003a_DocumentID" ma:index="13" nillable="true" ma:displayName="Document Name:DocumentID" ma:list="{4ec6360f-f2a9-4a0b-b5e8-01156924b145}" ma:internalName="Document_x0020_Name_x003a_DocumentID" ma:readOnly="true" ma:showField="DocumentID" ma:web="cdcbdaca-403c-4042-b44a-1c4b9866e4b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4f199e1-8ff6-4421-800c-b60412eeab13" elementFormDefault="qualified">
    <xsd:import namespace="http://schemas.microsoft.com/office/2006/documentManagement/types"/>
    <xsd:import namespace="http://schemas.microsoft.com/office/infopath/2007/PartnerControls"/>
    <xsd:element name="Document_x0020_Status" ma:index="3" nillable="true" ma:displayName="Document Status" ma:description="Status of the document(Draft or Final)" ma:format="RadioButtons" ma:internalName="Document_x0020_Status">
      <xsd:simpleType>
        <xsd:restriction base="dms:Choice">
          <xsd:enumeration value="Template"/>
          <xsd:enumeration value="Draft"/>
          <xsd:enumeration value="Advance"/>
          <xsd:enumeration value="Final"/>
        </xsd:restriction>
      </xsd:simpleType>
    </xsd:element>
    <xsd:element name="Document_x0020_Language_x0028_s_x0029_" ma:index="4" nillable="true" ma:displayName="Document Language(s)" ma:description="Six official UN languages (Arabic, Chinese, English, French, Russian, Spanish)" ma:format="Dropdown" ma:indexed="true" ma:internalName="Document_x0020_Language_x0028_s_x0029_">
      <xsd:simpleType>
        <xsd:restriction base="dms:Choice">
          <xsd:enumeration value="Arabic"/>
          <xsd:enumeration value="Chinese"/>
          <xsd:enumeration value="English"/>
          <xsd:enumeration value="French"/>
          <xsd:enumeration value="Russian"/>
          <xsd:enumeration value="Spanish"/>
        </xsd:restriction>
      </xsd:simpleType>
    </xsd:element>
    <xsd:element name="Job_x0020_Number" ma:index="5" nillable="true" ma:displayName="Job Number" ma:description="The job number is assigned by  Documents Control and it includes the year, month and serial number." ma:internalName="Job_x0020_Number">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99a0643-be3a-4930-aa07-4f5905529a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4155-8A34-439C-AEA2-F3593154AC87}">
  <ds:schemaRefs>
    <ds:schemaRef ds:uri="http://schemas.microsoft.com/sharepoint/v3/contenttype/forms"/>
  </ds:schemaRefs>
</ds:datastoreItem>
</file>

<file path=customXml/itemProps2.xml><?xml version="1.0" encoding="utf-8"?>
<ds:datastoreItem xmlns:ds="http://schemas.openxmlformats.org/officeDocument/2006/customXml" ds:itemID="{89D485A7-04E5-4A45-B2D4-6199A8D3862F}">
  <ds:schemaRefs>
    <ds:schemaRef ds:uri="http://schemas.microsoft.com/office/2006/documentManagement/types"/>
    <ds:schemaRef ds:uri="d4f199e1-8ff6-4421-800c-b60412eeab13"/>
    <ds:schemaRef ds:uri="9a8f22b8-05ea-4936-a963-5334b0fbdd5f"/>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699a0643-be3a-4930-aa07-4f5905529aa4"/>
  </ds:schemaRefs>
</ds:datastoreItem>
</file>

<file path=customXml/itemProps3.xml><?xml version="1.0" encoding="utf-8"?>
<ds:datastoreItem xmlns:ds="http://schemas.openxmlformats.org/officeDocument/2006/customXml" ds:itemID="{7DD06B7D-BDA7-4D2A-9400-98F38FBC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22b8-05ea-4936-a963-5334b0fbdd5f"/>
    <ds:schemaRef ds:uri="d4f199e1-8ff6-4421-800c-b60412eeab13"/>
    <ds:schemaRef ds:uri="699a0643-be3a-4930-aa07-4f5905529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C175E-5BFD-4888-AE1D-5B36E3825B99}">
  <ds:schemaRefs>
    <ds:schemaRef ds:uri="http://schemas.openxmlformats.org/officeDocument/2006/bibliography"/>
  </ds:schemaRefs>
</ds:datastoreItem>
</file>

<file path=customXml/itemProps5.xml><?xml version="1.0" encoding="utf-8"?>
<ds:datastoreItem xmlns:ds="http://schemas.openxmlformats.org/officeDocument/2006/customXml" ds:itemID="{42694DC9-3697-428A-9511-387F10C3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Template_Working_Documents</Template>
  <TotalTime>0</TotalTime>
  <Pages>8</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Benedict Aboki Omare</dc:creator>
  <cp:lastModifiedBy>Sarah Banda-Genchev ( IPBES Secretariat )</cp:lastModifiedBy>
  <cp:revision>2</cp:revision>
  <cp:lastPrinted>2018-02-02T09:01:00Z</cp:lastPrinted>
  <dcterms:created xsi:type="dcterms:W3CDTF">2018-02-05T14:23:00Z</dcterms:created>
  <dcterms:modified xsi:type="dcterms:W3CDTF">2018-02-05T14:23:00Z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0x010100BA17B97D03965E4AAF48B8518C3B9D8C</vt:lpwstr>
  </property>
  <property fmtid="{D5CDD505-2E9C-101B-9397-08002B2CF9AE}" pid="3" name="Document distribution">
    <vt:lpwstr>General</vt:lpwstr>
  </property>
  <property fmtid="{D5CDD505-2E9C-101B-9397-08002B2CF9AE}" pid="4" name="wk4t">
    <vt:lpwstr>IPBES/4/14 - Nomination and selection process and proposals received for members of the Bureau</vt:lpwstr>
  </property>
  <property fmtid="{D5CDD505-2E9C-101B-9397-08002B2CF9AE}" pid="5" name="Document ID">
    <vt:lpwstr>IPBES/4/x</vt:lpwstr>
  </property>
  <property fmtid="{D5CDD505-2E9C-101B-9397-08002B2CF9AE}" pid="6" name="Document Symbol">
    <vt:lpwstr>Working (/.x)</vt:lpwstr>
  </property>
  <property fmtid="{D5CDD505-2E9C-101B-9397-08002B2CF9AE}" pid="7" name="TranslatedWith">
    <vt:lpwstr>Mercury</vt:lpwstr>
  </property>
  <property fmtid="{D5CDD505-2E9C-101B-9397-08002B2CF9AE}" pid="8" name="GeneratedBy">
    <vt:lpwstr>gladys.tarrau.castellanos</vt:lpwstr>
  </property>
  <property fmtid="{D5CDD505-2E9C-101B-9397-08002B2CF9AE}" pid="9" name="GeneratedDate">
    <vt:lpwstr>1/23/2018 2:57:05 PM</vt:lpwstr>
  </property>
  <property fmtid="{D5CDD505-2E9C-101B-9397-08002B2CF9AE}" pid="10" name="OriginalDocID">
    <vt:lpwstr>48cf9fc9-d882-41c2-9389-a86c8529e76a</vt:lpwstr>
  </property>
</Properties>
</file>