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right"/>
        <w:tblLayout w:type="fixed"/>
        <w:tblLook w:val="0000" w:firstRow="0" w:lastRow="0" w:firstColumn="0" w:lastColumn="0" w:noHBand="0" w:noVBand="0"/>
      </w:tblPr>
      <w:tblGrid>
        <w:gridCol w:w="1512"/>
        <w:gridCol w:w="482"/>
        <w:gridCol w:w="504"/>
        <w:gridCol w:w="847"/>
        <w:gridCol w:w="987"/>
        <w:gridCol w:w="2574"/>
        <w:gridCol w:w="288"/>
        <w:gridCol w:w="2445"/>
      </w:tblGrid>
      <w:tr w:rsidR="001D1A57" w:rsidRPr="006E4E6C" w14:paraId="78CF3B81" w14:textId="77777777" w:rsidTr="003E0294">
        <w:trPr>
          <w:cantSplit/>
          <w:trHeight w:val="432"/>
          <w:jc w:val="right"/>
        </w:trPr>
        <w:tc>
          <w:tcPr>
            <w:tcW w:w="1489" w:type="dxa"/>
          </w:tcPr>
          <w:p w14:paraId="182F6D18" w14:textId="77777777" w:rsidR="001D1A57" w:rsidRPr="006E4E6C" w:rsidRDefault="001D1A57" w:rsidP="005B33B4">
            <w:pPr>
              <w:pStyle w:val="Normal-pool"/>
              <w:rPr>
                <w:sz w:val="27"/>
                <w:szCs w:val="27"/>
                <w:lang w:val="fr-FR"/>
              </w:rPr>
            </w:pPr>
            <w:bookmarkStart w:id="0" w:name="_GoBack"/>
            <w:bookmarkEnd w:id="0"/>
            <w:r w:rsidRPr="006E4E6C">
              <w:rPr>
                <w:rFonts w:ascii="Arial" w:hAnsi="Arial" w:cs="Arial"/>
                <w:b/>
                <w:sz w:val="27"/>
                <w:szCs w:val="27"/>
                <w:lang w:val="fr-FR"/>
              </w:rPr>
              <w:t>NATIONS UNIES</w:t>
            </w:r>
          </w:p>
        </w:tc>
        <w:tc>
          <w:tcPr>
            <w:tcW w:w="972" w:type="dxa"/>
            <w:gridSpan w:val="2"/>
            <w:tcBorders>
              <w:left w:val="nil"/>
            </w:tcBorders>
            <w:vAlign w:val="center"/>
          </w:tcPr>
          <w:p w14:paraId="6E78FF91" w14:textId="77777777" w:rsidR="001D1A57" w:rsidRPr="006E4E6C" w:rsidRDefault="001D1A57" w:rsidP="005B33B4">
            <w:pPr>
              <w:pStyle w:val="Normal-pool"/>
              <w:rPr>
                <w:lang w:val="fr-FR"/>
              </w:rPr>
            </w:pPr>
            <w:r w:rsidRPr="006E4E6C">
              <w:rPr>
                <w:noProof/>
                <w:lang w:val="en-US"/>
              </w:rPr>
              <w:drawing>
                <wp:inline distT="0" distB="0" distL="0" distR="0" wp14:anchorId="0B3FF72B" wp14:editId="2FF9F66D">
                  <wp:extent cx="537932" cy="468923"/>
                  <wp:effectExtent l="0" t="0" r="0" b="7620"/>
                  <wp:docPr id="29" name="Picture 29" descr="Description: Description: !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5429" cy="475458"/>
                          </a:xfrm>
                          <a:prstGeom prst="rect">
                            <a:avLst/>
                          </a:prstGeom>
                          <a:noFill/>
                          <a:ln>
                            <a:noFill/>
                          </a:ln>
                        </pic:spPr>
                      </pic:pic>
                    </a:graphicData>
                  </a:graphic>
                </wp:inline>
              </w:drawing>
            </w:r>
          </w:p>
        </w:tc>
        <w:tc>
          <w:tcPr>
            <w:tcW w:w="835" w:type="dxa"/>
            <w:tcBorders>
              <w:left w:val="nil"/>
            </w:tcBorders>
            <w:vAlign w:val="center"/>
          </w:tcPr>
          <w:p w14:paraId="32F15350" w14:textId="77777777" w:rsidR="001D1A57" w:rsidRPr="006E4E6C" w:rsidRDefault="001D1A57" w:rsidP="005B33B4">
            <w:pPr>
              <w:pStyle w:val="Normal-pool"/>
              <w:spacing w:before="160"/>
              <w:rPr>
                <w:lang w:val="fr-FR"/>
              </w:rPr>
            </w:pPr>
            <w:r w:rsidRPr="006E4E6C">
              <w:rPr>
                <w:noProof/>
                <w:lang w:val="en-US"/>
              </w:rPr>
              <w:drawing>
                <wp:inline distT="0" distB="0" distL="0" distR="0" wp14:anchorId="236F8A38" wp14:editId="091638ED">
                  <wp:extent cx="362710" cy="4788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NUE-3.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2710" cy="478800"/>
                          </a:xfrm>
                          <a:prstGeom prst="rect">
                            <a:avLst/>
                          </a:prstGeom>
                        </pic:spPr>
                      </pic:pic>
                    </a:graphicData>
                  </a:graphic>
                </wp:inline>
              </w:drawing>
            </w:r>
          </w:p>
        </w:tc>
        <w:tc>
          <w:tcPr>
            <w:tcW w:w="972" w:type="dxa"/>
            <w:tcBorders>
              <w:left w:val="nil"/>
            </w:tcBorders>
            <w:vAlign w:val="center"/>
          </w:tcPr>
          <w:p w14:paraId="6F1604CB" w14:textId="77777777" w:rsidR="001D1A57" w:rsidRPr="006E4E6C" w:rsidRDefault="001D1A57" w:rsidP="005B33B4">
            <w:pPr>
              <w:pStyle w:val="Normal-pool"/>
              <w:rPr>
                <w:lang w:val="fr-FR"/>
              </w:rPr>
            </w:pPr>
            <w:r w:rsidRPr="006E4E6C">
              <w:rPr>
                <w:noProof/>
                <w:lang w:val="en-US"/>
              </w:rPr>
              <w:drawing>
                <wp:inline distT="0" distB="0" distL="0" distR="0" wp14:anchorId="34928084" wp14:editId="73590611">
                  <wp:extent cx="574431" cy="475392"/>
                  <wp:effectExtent l="0" t="0" r="0" b="1270"/>
                  <wp:docPr id="31" name="Picture 70" descr="E:\Logos\UNESCO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E:\Logos\UNESCO (black).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513" cy="474632"/>
                          </a:xfrm>
                          <a:prstGeom prst="rect">
                            <a:avLst/>
                          </a:prstGeom>
                          <a:noFill/>
                          <a:ln>
                            <a:noFill/>
                          </a:ln>
                        </pic:spPr>
                      </pic:pic>
                    </a:graphicData>
                  </a:graphic>
                </wp:inline>
              </w:drawing>
            </w:r>
          </w:p>
        </w:tc>
        <w:tc>
          <w:tcPr>
            <w:tcW w:w="2536" w:type="dxa"/>
            <w:tcBorders>
              <w:left w:val="nil"/>
            </w:tcBorders>
            <w:vAlign w:val="center"/>
          </w:tcPr>
          <w:p w14:paraId="3AC2CCB1" w14:textId="77777777" w:rsidR="001D1A57" w:rsidRPr="006E4E6C" w:rsidRDefault="001D1A57" w:rsidP="005B33B4">
            <w:pPr>
              <w:pStyle w:val="Normal-pool"/>
              <w:rPr>
                <w:lang w:val="fr-FR"/>
              </w:rPr>
            </w:pPr>
            <w:r>
              <w:rPr>
                <w:noProof/>
                <w:lang w:val="en-US"/>
              </w:rPr>
              <w:drawing>
                <wp:inline distT="0" distB="0" distL="0" distR="0" wp14:anchorId="394AAA45" wp14:editId="0072E8B8">
                  <wp:extent cx="1485900" cy="354965"/>
                  <wp:effectExtent l="0" t="0" r="0" b="6985"/>
                  <wp:docPr id="32" name="Picture 6" descr="FA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O-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0" cy="354965"/>
                          </a:xfrm>
                          <a:prstGeom prst="rect">
                            <a:avLst/>
                          </a:prstGeom>
                          <a:noFill/>
                          <a:ln>
                            <a:noFill/>
                          </a:ln>
                        </pic:spPr>
                      </pic:pic>
                    </a:graphicData>
                  </a:graphic>
                </wp:inline>
              </w:drawing>
            </w:r>
          </w:p>
        </w:tc>
        <w:tc>
          <w:tcPr>
            <w:tcW w:w="2693" w:type="dxa"/>
            <w:gridSpan w:val="2"/>
            <w:tcBorders>
              <w:left w:val="nil"/>
            </w:tcBorders>
          </w:tcPr>
          <w:p w14:paraId="5E338056" w14:textId="77777777" w:rsidR="001D1A57" w:rsidRPr="006E4E6C" w:rsidRDefault="001D1A57" w:rsidP="005B33B4">
            <w:pPr>
              <w:pStyle w:val="Normal-pool"/>
              <w:tabs>
                <w:tab w:val="clear" w:pos="2381"/>
              </w:tabs>
              <w:ind w:right="-108"/>
              <w:jc w:val="right"/>
              <w:rPr>
                <w:rFonts w:ascii="Arial" w:hAnsi="Arial" w:cs="Arial"/>
                <w:b/>
                <w:sz w:val="64"/>
                <w:szCs w:val="64"/>
                <w:lang w:val="fr-FR"/>
              </w:rPr>
            </w:pPr>
            <w:r w:rsidRPr="006E4E6C">
              <w:rPr>
                <w:noProof/>
                <w:lang w:val="en-US"/>
              </w:rPr>
              <w:drawing>
                <wp:inline distT="0" distB="0" distL="0" distR="0" wp14:anchorId="5356918A" wp14:editId="3B1A4BE7">
                  <wp:extent cx="304428" cy="635635"/>
                  <wp:effectExtent l="0" t="0" r="635" b="0"/>
                  <wp:docPr id="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NUD.gif"/>
                          <pic:cNvPicPr/>
                        </pic:nvPicPr>
                        <pic:blipFill>
                          <a:blip r:embed="rId12">
                            <a:extLst>
                              <a:ext uri="{BEBA8EAE-BF5A-486C-A8C5-ECC9F3942E4B}">
                                <a14:imgProps xmlns:a14="http://schemas.microsoft.com/office/drawing/2010/main">
                                  <a14:imgLayer r:embed="rId13">
                                    <a14:imgEffect>
                                      <a14:sharpenSoften amount="10000"/>
                                    </a14:imgEffect>
                                    <a14:imgEffect>
                                      <a14:brightnessContrast bright="12000" contrast="21000"/>
                                    </a14:imgEffect>
                                  </a14:imgLayer>
                                </a14:imgProps>
                              </a:ext>
                              <a:ext uri="{28A0092B-C50C-407E-A947-70E740481C1C}">
                                <a14:useLocalDpi xmlns:a14="http://schemas.microsoft.com/office/drawing/2010/main" val="0"/>
                              </a:ext>
                            </a:extLst>
                          </a:blip>
                          <a:stretch>
                            <a:fillRect/>
                          </a:stretch>
                        </pic:blipFill>
                        <pic:spPr>
                          <a:xfrm>
                            <a:off x="0" y="0"/>
                            <a:ext cx="304428" cy="635635"/>
                          </a:xfrm>
                          <a:prstGeom prst="rect">
                            <a:avLst/>
                          </a:prstGeom>
                        </pic:spPr>
                      </pic:pic>
                    </a:graphicData>
                  </a:graphic>
                </wp:inline>
              </w:drawing>
            </w:r>
            <w:r>
              <w:rPr>
                <w:lang w:val="fr-FR"/>
              </w:rPr>
              <w:tab/>
            </w:r>
            <w:r w:rsidRPr="006E4E6C">
              <w:rPr>
                <w:rFonts w:ascii="Arial" w:hAnsi="Arial" w:cs="Arial"/>
                <w:b/>
                <w:sz w:val="64"/>
                <w:szCs w:val="64"/>
                <w:lang w:val="fr-FR"/>
              </w:rPr>
              <w:t>BES</w:t>
            </w:r>
          </w:p>
        </w:tc>
      </w:tr>
      <w:tr w:rsidR="001D1A57" w:rsidRPr="006E4E6C" w14:paraId="2B4D5EFC" w14:textId="77777777" w:rsidTr="005B33B4">
        <w:trPr>
          <w:cantSplit/>
          <w:trHeight w:val="282"/>
          <w:jc w:val="right"/>
        </w:trPr>
        <w:tc>
          <w:tcPr>
            <w:tcW w:w="1489" w:type="dxa"/>
            <w:tcBorders>
              <w:bottom w:val="single" w:sz="2" w:space="0" w:color="auto"/>
            </w:tcBorders>
          </w:tcPr>
          <w:p w14:paraId="412AC304" w14:textId="77777777" w:rsidR="001D1A57" w:rsidRPr="006E4E6C" w:rsidRDefault="001D1A57" w:rsidP="005B33B4">
            <w:pPr>
              <w:rPr>
                <w:noProof/>
              </w:rPr>
            </w:pPr>
          </w:p>
        </w:tc>
        <w:tc>
          <w:tcPr>
            <w:tcW w:w="5599" w:type="dxa"/>
            <w:gridSpan w:val="6"/>
            <w:tcBorders>
              <w:bottom w:val="single" w:sz="2" w:space="0" w:color="auto"/>
            </w:tcBorders>
          </w:tcPr>
          <w:p w14:paraId="208853BC" w14:textId="77777777" w:rsidR="001D1A57" w:rsidRPr="006E4E6C" w:rsidRDefault="001D1A57" w:rsidP="005B33B4">
            <w:pPr>
              <w:rPr>
                <w:b/>
                <w:sz w:val="24"/>
                <w:szCs w:val="24"/>
              </w:rPr>
            </w:pPr>
          </w:p>
        </w:tc>
        <w:tc>
          <w:tcPr>
            <w:tcW w:w="2409" w:type="dxa"/>
            <w:tcBorders>
              <w:bottom w:val="single" w:sz="2" w:space="0" w:color="auto"/>
            </w:tcBorders>
          </w:tcPr>
          <w:p w14:paraId="290120A0" w14:textId="04F62C98" w:rsidR="001D1A57" w:rsidRPr="006E4E6C" w:rsidRDefault="001D1A57" w:rsidP="005B33B4">
            <w:pPr>
              <w:pStyle w:val="Normal-pool"/>
              <w:rPr>
                <w:lang w:val="fr-FR"/>
              </w:rPr>
            </w:pPr>
            <w:r w:rsidRPr="006E4E6C">
              <w:rPr>
                <w:b/>
                <w:sz w:val="24"/>
                <w:szCs w:val="24"/>
                <w:lang w:val="fr-FR"/>
              </w:rPr>
              <w:t>IPBES</w:t>
            </w:r>
            <w:r>
              <w:rPr>
                <w:lang w:val="fr-FR"/>
              </w:rPr>
              <w:t>/6/8</w:t>
            </w:r>
          </w:p>
        </w:tc>
      </w:tr>
      <w:tr w:rsidR="001D1A57" w:rsidRPr="002B3DAB" w14:paraId="2E4286DF" w14:textId="77777777" w:rsidTr="005B33B4">
        <w:trPr>
          <w:cantSplit/>
          <w:trHeight w:val="1433"/>
          <w:jc w:val="right"/>
        </w:trPr>
        <w:tc>
          <w:tcPr>
            <w:tcW w:w="1964" w:type="dxa"/>
            <w:gridSpan w:val="2"/>
            <w:tcBorders>
              <w:top w:val="single" w:sz="2" w:space="0" w:color="auto"/>
              <w:bottom w:val="single" w:sz="24" w:space="0" w:color="auto"/>
            </w:tcBorders>
          </w:tcPr>
          <w:p w14:paraId="5241C09D" w14:textId="77777777" w:rsidR="001D1A57" w:rsidRPr="006E4E6C" w:rsidRDefault="001D1A57" w:rsidP="005B33B4">
            <w:pPr>
              <w:spacing w:before="240" w:after="240"/>
              <w:rPr>
                <w:rFonts w:ascii="Arial" w:hAnsi="Arial" w:cs="Arial"/>
                <w:b/>
                <w:sz w:val="28"/>
                <w:szCs w:val="28"/>
              </w:rPr>
            </w:pPr>
            <w:r w:rsidRPr="006E4E6C">
              <w:rPr>
                <w:rFonts w:ascii="Arial" w:hAnsi="Arial" w:cs="Arial"/>
                <w:b/>
                <w:noProof/>
                <w:sz w:val="28"/>
                <w:szCs w:val="28"/>
                <w:lang w:val="en-US"/>
              </w:rPr>
              <w:drawing>
                <wp:inline distT="0" distB="0" distL="0" distR="0" wp14:anchorId="7ADEAA04" wp14:editId="4B2D5822">
                  <wp:extent cx="1111406" cy="519379"/>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BES Logo MONO 2015-0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11408" cy="519380"/>
                          </a:xfrm>
                          <a:prstGeom prst="rect">
                            <a:avLst/>
                          </a:prstGeom>
                        </pic:spPr>
                      </pic:pic>
                    </a:graphicData>
                  </a:graphic>
                </wp:inline>
              </w:drawing>
            </w:r>
          </w:p>
        </w:tc>
        <w:tc>
          <w:tcPr>
            <w:tcW w:w="5124" w:type="dxa"/>
            <w:gridSpan w:val="5"/>
            <w:tcBorders>
              <w:top w:val="single" w:sz="2" w:space="0" w:color="auto"/>
              <w:bottom w:val="single" w:sz="24" w:space="0" w:color="auto"/>
            </w:tcBorders>
          </w:tcPr>
          <w:p w14:paraId="3F87236C" w14:textId="77777777" w:rsidR="001D1A57" w:rsidRPr="006E4E6C" w:rsidRDefault="00104F1F" w:rsidP="005B33B4">
            <w:pPr>
              <w:pStyle w:val="Normal-pool"/>
              <w:spacing w:before="120" w:after="240"/>
              <w:rPr>
                <w:lang w:val="fr-FR"/>
              </w:rPr>
            </w:pPr>
            <w:hyperlink r:id="rId15" w:tgtFrame="_blank" w:history="1">
              <w:r w:rsidR="001D1A57" w:rsidRPr="006E4E6C">
                <w:rPr>
                  <w:rFonts w:ascii="Arial" w:hAnsi="Arial" w:cs="Arial"/>
                  <w:b/>
                  <w:sz w:val="28"/>
                  <w:szCs w:val="28"/>
                  <w:lang w:val="fr-FR"/>
                </w:rPr>
                <w:t>Plateforme intergouvernementale scientifique et politique sur la biodiversité et les services écosystémiques</w:t>
              </w:r>
            </w:hyperlink>
          </w:p>
        </w:tc>
        <w:tc>
          <w:tcPr>
            <w:tcW w:w="2409" w:type="dxa"/>
            <w:tcBorders>
              <w:top w:val="single" w:sz="2" w:space="0" w:color="auto"/>
              <w:bottom w:val="single" w:sz="24" w:space="0" w:color="auto"/>
            </w:tcBorders>
          </w:tcPr>
          <w:p w14:paraId="3E66BEA6" w14:textId="1A7A8379" w:rsidR="001D1A57" w:rsidRPr="006E4E6C" w:rsidRDefault="001D1A57" w:rsidP="005B33B4">
            <w:pPr>
              <w:pStyle w:val="Normal-pool"/>
              <w:spacing w:before="120"/>
              <w:rPr>
                <w:lang w:val="fr-FR"/>
              </w:rPr>
            </w:pPr>
            <w:r w:rsidRPr="006E4E6C">
              <w:rPr>
                <w:lang w:val="fr-FR"/>
              </w:rPr>
              <w:t xml:space="preserve">Distr. générale </w:t>
            </w:r>
            <w:r w:rsidRPr="006E4E6C">
              <w:rPr>
                <w:lang w:val="fr-FR"/>
              </w:rPr>
              <w:br/>
            </w:r>
            <w:r>
              <w:rPr>
                <w:lang w:val="fr-FR"/>
              </w:rPr>
              <w:t>4</w:t>
            </w:r>
            <w:r w:rsidRPr="006E4E6C">
              <w:rPr>
                <w:lang w:val="fr-FR"/>
              </w:rPr>
              <w:t> décembre 2017</w:t>
            </w:r>
          </w:p>
          <w:p w14:paraId="06ACCD09" w14:textId="77777777" w:rsidR="001D1A57" w:rsidRPr="006E4E6C" w:rsidRDefault="001D1A57" w:rsidP="005B33B4">
            <w:pPr>
              <w:pStyle w:val="Normal-pool"/>
              <w:spacing w:before="120"/>
              <w:rPr>
                <w:lang w:val="fr-FR"/>
              </w:rPr>
            </w:pPr>
            <w:r w:rsidRPr="006E4E6C">
              <w:rPr>
                <w:lang w:val="fr-FR"/>
              </w:rPr>
              <w:t xml:space="preserve">Français </w:t>
            </w:r>
            <w:r w:rsidRPr="006E4E6C">
              <w:rPr>
                <w:lang w:val="fr-FR"/>
              </w:rPr>
              <w:br/>
              <w:t>Original : anglais</w:t>
            </w:r>
          </w:p>
        </w:tc>
      </w:tr>
    </w:tbl>
    <w:p w14:paraId="493CE01E" w14:textId="77777777" w:rsidR="001D1A57" w:rsidRPr="006E4E6C" w:rsidRDefault="001D1A57" w:rsidP="0072230B">
      <w:pPr>
        <w:pStyle w:val="AATitle"/>
        <w:ind w:left="180" w:right="4160"/>
      </w:pPr>
      <w:r w:rsidRPr="006E4E6C">
        <w:t xml:space="preserve">Plénière de la Plateforme intergouvernementale </w:t>
      </w:r>
      <w:r>
        <w:br/>
      </w:r>
      <w:r w:rsidRPr="006E4E6C">
        <w:t xml:space="preserve">scientifique et politique sur la biodiversité </w:t>
      </w:r>
      <w:r w:rsidRPr="006E4E6C">
        <w:br/>
        <w:t>et les services écosystémiques</w:t>
      </w:r>
    </w:p>
    <w:p w14:paraId="3F6EC733" w14:textId="77777777" w:rsidR="001D1A57" w:rsidRPr="006E4E6C" w:rsidRDefault="001D1A57" w:rsidP="0072230B">
      <w:pPr>
        <w:pStyle w:val="AATitle"/>
        <w:ind w:left="180" w:right="4160"/>
      </w:pPr>
      <w:r w:rsidRPr="006E4E6C">
        <w:t>Sixième session</w:t>
      </w:r>
    </w:p>
    <w:p w14:paraId="17DCC360" w14:textId="77777777" w:rsidR="001D1A57" w:rsidRPr="006E4E6C" w:rsidRDefault="001D1A57" w:rsidP="0072230B">
      <w:pPr>
        <w:pStyle w:val="AATitle"/>
        <w:ind w:left="180" w:right="4160"/>
      </w:pPr>
      <w:r w:rsidRPr="006E4E6C">
        <w:rPr>
          <w:b w:val="0"/>
          <w:lang w:eastAsia="ja-JP"/>
        </w:rPr>
        <w:t>Medellin (Colombie), 18-24 mars 2018</w:t>
      </w:r>
    </w:p>
    <w:p w14:paraId="4DD5DF6D" w14:textId="528D56AB" w:rsidR="00075479" w:rsidRPr="00B33A11" w:rsidRDefault="001D1A57" w:rsidP="0072230B">
      <w:pPr>
        <w:pStyle w:val="AATitle"/>
        <w:ind w:left="180" w:right="4677"/>
        <w:rPr>
          <w:b w:val="0"/>
        </w:rPr>
      </w:pPr>
      <w:r>
        <w:rPr>
          <w:b w:val="0"/>
        </w:rPr>
        <w:t>Point </w:t>
      </w:r>
      <w:r w:rsidR="00075479" w:rsidRPr="00B33A11">
        <w:rPr>
          <w:b w:val="0"/>
        </w:rPr>
        <w:t>8 de l</w:t>
      </w:r>
      <w:r w:rsidR="00B33A11">
        <w:rPr>
          <w:b w:val="0"/>
        </w:rPr>
        <w:t>’</w:t>
      </w:r>
      <w:r w:rsidR="00075479" w:rsidRPr="00B33A11">
        <w:rPr>
          <w:b w:val="0"/>
        </w:rPr>
        <w:t>ordre du jour provisoire</w:t>
      </w:r>
      <w:r w:rsidR="00075479" w:rsidRPr="00B33A11">
        <w:rPr>
          <w:rStyle w:val="FootnoteReference"/>
          <w:b w:val="0"/>
          <w:vertAlign w:val="baseline"/>
          <w:lang w:val="fr-FR"/>
        </w:rPr>
        <w:footnoteReference w:customMarkFollows="1" w:id="1"/>
        <w:t>*</w:t>
      </w:r>
    </w:p>
    <w:p w14:paraId="428BA866" w14:textId="1C73D415" w:rsidR="00075479" w:rsidRPr="005161DF" w:rsidRDefault="001F4CF9" w:rsidP="0072230B">
      <w:pPr>
        <w:pStyle w:val="AATitle2"/>
        <w:spacing w:before="60"/>
        <w:ind w:left="180" w:right="4392"/>
        <w:rPr>
          <w:lang w:val="fr-FR"/>
        </w:rPr>
      </w:pPr>
      <w:r>
        <w:rPr>
          <w:lang w:val="fr-FR"/>
        </w:rPr>
        <w:t>Évaluations en attente </w:t>
      </w:r>
      <w:r w:rsidR="001D1A57">
        <w:rPr>
          <w:lang w:val="fr-FR"/>
        </w:rPr>
        <w:t>: évaluation thématique de </w:t>
      </w:r>
      <w:r w:rsidR="00075479">
        <w:rPr>
          <w:lang w:val="fr-FR"/>
        </w:rPr>
        <w:t>l</w:t>
      </w:r>
      <w:r w:rsidR="00B33A11">
        <w:rPr>
          <w:lang w:val="fr-FR"/>
        </w:rPr>
        <w:t>’</w:t>
      </w:r>
      <w:r w:rsidR="00075479">
        <w:rPr>
          <w:lang w:val="fr-FR"/>
        </w:rPr>
        <w:t xml:space="preserve">usage </w:t>
      </w:r>
      <w:r w:rsidR="00075479" w:rsidRPr="00B33A11">
        <w:t>durable</w:t>
      </w:r>
      <w:r w:rsidR="00075479">
        <w:rPr>
          <w:lang w:val="fr-FR"/>
        </w:rPr>
        <w:t xml:space="preserve"> des espèces sauvages</w:t>
      </w:r>
      <w:r w:rsidR="00E609AF">
        <w:rPr>
          <w:lang w:val="fr-FR"/>
        </w:rPr>
        <w:t> </w:t>
      </w:r>
      <w:r w:rsidR="00075479">
        <w:rPr>
          <w:lang w:val="fr-FR"/>
        </w:rPr>
        <w:t>; évaluation méthodologique des diverses conceptualisations des</w:t>
      </w:r>
      <w:r w:rsidR="00DD1AB5">
        <w:rPr>
          <w:lang w:val="fr-FR"/>
        </w:rPr>
        <w:t> </w:t>
      </w:r>
      <w:r w:rsidR="00075479">
        <w:rPr>
          <w:lang w:val="fr-FR"/>
        </w:rPr>
        <w:t>multiples valeurs de la</w:t>
      </w:r>
      <w:r w:rsidR="001846D0">
        <w:rPr>
          <w:lang w:val="fr-FR"/>
        </w:rPr>
        <w:t> </w:t>
      </w:r>
      <w:r w:rsidR="00075479">
        <w:rPr>
          <w:lang w:val="fr-FR"/>
        </w:rPr>
        <w:t>nature et de ses bienfaits</w:t>
      </w:r>
      <w:r w:rsidR="00E609AF">
        <w:rPr>
          <w:lang w:val="fr-FR"/>
        </w:rPr>
        <w:t> </w:t>
      </w:r>
      <w:r w:rsidR="00075479">
        <w:rPr>
          <w:lang w:val="fr-FR"/>
        </w:rPr>
        <w:t>; et</w:t>
      </w:r>
      <w:r w:rsidR="00DD1AB5">
        <w:rPr>
          <w:lang w:val="fr-FR"/>
        </w:rPr>
        <w:t> </w:t>
      </w:r>
      <w:r w:rsidR="00075479">
        <w:rPr>
          <w:lang w:val="fr-FR"/>
        </w:rPr>
        <w:t>évaluation thématique des</w:t>
      </w:r>
      <w:r w:rsidR="001846D0">
        <w:rPr>
          <w:lang w:val="fr-FR"/>
        </w:rPr>
        <w:t> </w:t>
      </w:r>
      <w:r w:rsidR="00075479">
        <w:rPr>
          <w:lang w:val="fr-FR"/>
        </w:rPr>
        <w:t>espèces exotiques envahissantes</w:t>
      </w:r>
    </w:p>
    <w:p w14:paraId="02C81E4F" w14:textId="74794093" w:rsidR="00075479" w:rsidRPr="00BD55EA" w:rsidRDefault="00075479" w:rsidP="00E609AF">
      <w:pPr>
        <w:pStyle w:val="BBTitle"/>
        <w:ind w:right="-1"/>
        <w:rPr>
          <w:lang w:val="fr-FR"/>
        </w:rPr>
      </w:pPr>
      <w:r w:rsidRPr="00BD55EA">
        <w:rPr>
          <w:lang w:val="fr-FR"/>
        </w:rPr>
        <w:t>Évaluations en attente</w:t>
      </w:r>
      <w:r w:rsidR="00DD1AB5">
        <w:rPr>
          <w:lang w:val="fr-FR"/>
        </w:rPr>
        <w:t> </w:t>
      </w:r>
      <w:r w:rsidRPr="00BD55EA">
        <w:rPr>
          <w:lang w:val="fr-FR"/>
        </w:rPr>
        <w:t>: évaluation thématique de l</w:t>
      </w:r>
      <w:r w:rsidR="00B33A11">
        <w:rPr>
          <w:lang w:val="fr-FR"/>
        </w:rPr>
        <w:t>’</w:t>
      </w:r>
      <w:r w:rsidR="00E609AF">
        <w:rPr>
          <w:lang w:val="fr-FR"/>
        </w:rPr>
        <w:t>usage durable des </w:t>
      </w:r>
      <w:r w:rsidRPr="00BD55EA">
        <w:rPr>
          <w:lang w:val="fr-FR"/>
        </w:rPr>
        <w:t>espèces sauvages</w:t>
      </w:r>
      <w:r w:rsidR="00E609AF">
        <w:rPr>
          <w:lang w:val="fr-FR"/>
        </w:rPr>
        <w:t> ; évaluation méthodologique des </w:t>
      </w:r>
      <w:r w:rsidRPr="00BD55EA">
        <w:rPr>
          <w:lang w:val="fr-FR"/>
        </w:rPr>
        <w:t xml:space="preserve">diverses </w:t>
      </w:r>
      <w:r w:rsidRPr="00EA2955">
        <w:t>conceptualisations</w:t>
      </w:r>
      <w:r w:rsidR="00E609AF">
        <w:rPr>
          <w:lang w:val="fr-FR"/>
        </w:rPr>
        <w:t xml:space="preserve"> des multiples valeurs de la </w:t>
      </w:r>
      <w:r w:rsidRPr="00BD55EA">
        <w:rPr>
          <w:lang w:val="fr-FR"/>
        </w:rPr>
        <w:t xml:space="preserve">nature </w:t>
      </w:r>
      <w:r w:rsidR="00682C15">
        <w:rPr>
          <w:lang w:val="fr-FR"/>
        </w:rPr>
        <w:br/>
      </w:r>
      <w:r w:rsidRPr="00BD55EA">
        <w:rPr>
          <w:lang w:val="fr-FR"/>
        </w:rPr>
        <w:t>et</w:t>
      </w:r>
      <w:r w:rsidR="00DD1AB5">
        <w:rPr>
          <w:lang w:val="fr-FR"/>
        </w:rPr>
        <w:t> </w:t>
      </w:r>
      <w:r w:rsidR="00E609AF">
        <w:rPr>
          <w:lang w:val="fr-FR"/>
        </w:rPr>
        <w:t>de ses </w:t>
      </w:r>
      <w:r w:rsidRPr="00BD55EA">
        <w:rPr>
          <w:lang w:val="fr-FR"/>
        </w:rPr>
        <w:t>bienfaits</w:t>
      </w:r>
      <w:r w:rsidR="00E609AF">
        <w:rPr>
          <w:lang w:val="fr-FR"/>
        </w:rPr>
        <w:t> ; et évaluation thématique des espèces exotiques </w:t>
      </w:r>
      <w:r w:rsidRPr="00BD55EA">
        <w:rPr>
          <w:lang w:val="fr-FR"/>
        </w:rPr>
        <w:t>envahissantes</w:t>
      </w:r>
    </w:p>
    <w:p w14:paraId="523F7A97" w14:textId="7070F415" w:rsidR="00075479" w:rsidRPr="00BD55EA" w:rsidRDefault="00075479" w:rsidP="00B33A11">
      <w:pPr>
        <w:pStyle w:val="CH2"/>
      </w:pPr>
      <w:r w:rsidRPr="00BD55EA">
        <w:rPr>
          <w:lang w:val="fr-FR"/>
        </w:rPr>
        <w:tab/>
      </w:r>
      <w:r w:rsidRPr="00BD55EA">
        <w:rPr>
          <w:lang w:val="fr-FR"/>
        </w:rPr>
        <w:tab/>
        <w:t>Note du secrétariat</w:t>
      </w:r>
    </w:p>
    <w:p w14:paraId="684ECE0B" w14:textId="50686806" w:rsidR="00075479" w:rsidRPr="00E67769" w:rsidRDefault="00B33A11" w:rsidP="00B33A11">
      <w:pPr>
        <w:pStyle w:val="CH1"/>
      </w:pPr>
      <w:r>
        <w:tab/>
      </w:r>
      <w:r>
        <w:tab/>
      </w:r>
      <w:r w:rsidR="00075479" w:rsidRPr="00E67769">
        <w:t>Introduction</w:t>
      </w:r>
    </w:p>
    <w:p w14:paraId="32436F03" w14:textId="32832408" w:rsidR="00075479" w:rsidRPr="00BD55EA" w:rsidRDefault="001D1A57" w:rsidP="00B33A11">
      <w:pPr>
        <w:pStyle w:val="Normalnumber"/>
        <w:rPr>
          <w:lang w:val="fr-FR"/>
        </w:rPr>
      </w:pPr>
      <w:r>
        <w:rPr>
          <w:lang w:val="fr-FR"/>
        </w:rPr>
        <w:t>Dans sa décision </w:t>
      </w:r>
      <w:r w:rsidR="00075479" w:rsidRPr="00BD55EA">
        <w:rPr>
          <w:lang w:val="fr-FR"/>
        </w:rPr>
        <w:t>IPBES-4/1, la Plénière de la Plateforme intergouvernementale scientifique et politique sur la biodiversité et l</w:t>
      </w:r>
      <w:r w:rsidR="005161DF" w:rsidRPr="00BD55EA">
        <w:rPr>
          <w:lang w:val="fr-FR"/>
        </w:rPr>
        <w:t>es services écosystémiques (la « </w:t>
      </w:r>
      <w:r w:rsidR="00075479" w:rsidRPr="00BD55EA">
        <w:rPr>
          <w:lang w:val="fr-FR"/>
        </w:rPr>
        <w:t>Plateforme</w:t>
      </w:r>
      <w:r w:rsidR="005161DF" w:rsidRPr="00BD55EA">
        <w:rPr>
          <w:lang w:val="fr-FR"/>
        </w:rPr>
        <w:t> »</w:t>
      </w:r>
      <w:r w:rsidR="00075479" w:rsidRPr="00BD55EA">
        <w:rPr>
          <w:lang w:val="fr-FR"/>
        </w:rPr>
        <w:t>) a approuvé le rapport de cadrage concernant le produit</w:t>
      </w:r>
      <w:r>
        <w:rPr>
          <w:lang w:val="fr-FR"/>
        </w:rPr>
        <w:t> </w:t>
      </w:r>
      <w:r w:rsidR="00075479" w:rsidRPr="00BD55EA">
        <w:rPr>
          <w:lang w:val="fr-FR"/>
        </w:rPr>
        <w:t>3</w:t>
      </w:r>
      <w:r>
        <w:rPr>
          <w:lang w:val="fr-FR"/>
        </w:rPr>
        <w:t> </w:t>
      </w:r>
      <w:r w:rsidR="00075479" w:rsidRPr="00BD55EA">
        <w:rPr>
          <w:lang w:val="fr-FR"/>
        </w:rPr>
        <w:t>b)</w:t>
      </w:r>
      <w:r>
        <w:rPr>
          <w:lang w:val="fr-FR"/>
        </w:rPr>
        <w:t> </w:t>
      </w:r>
      <w:r w:rsidR="00075479" w:rsidRPr="00BD55EA">
        <w:rPr>
          <w:lang w:val="fr-FR"/>
        </w:rPr>
        <w:t>ii) pour une évaluation thématique des espèces exotiques envahissantes et de la lutte contre leur prolifération (reproduit dans le document IPBES/6/INF/10), ainsi que la version révisée du rapport d</w:t>
      </w:r>
      <w:r>
        <w:rPr>
          <w:lang w:val="fr-FR"/>
        </w:rPr>
        <w:t>e cadrage concernant le produit 3 </w:t>
      </w:r>
      <w:r w:rsidR="00075479" w:rsidRPr="00BD55EA">
        <w:rPr>
          <w:lang w:val="fr-FR"/>
        </w:rPr>
        <w:t>d) pour une évaluation méthodologique sur les diverses conceptualisations des multiples valeurs de la nature et de ses bienfaits pour les êtres humains (reproduit d</w:t>
      </w:r>
      <w:r w:rsidR="005161DF" w:rsidRPr="00BD55EA">
        <w:rPr>
          <w:lang w:val="fr-FR"/>
        </w:rPr>
        <w:t>ans le document IPBES/6/INF/9).</w:t>
      </w:r>
    </w:p>
    <w:p w14:paraId="600698F5" w14:textId="1B679BE4" w:rsidR="00075479" w:rsidRPr="00BD55EA" w:rsidRDefault="001D1A57" w:rsidP="00DD1AB5">
      <w:pPr>
        <w:pStyle w:val="Normalnumber"/>
        <w:rPr>
          <w:lang w:val="fr-FR"/>
        </w:rPr>
      </w:pPr>
      <w:r>
        <w:rPr>
          <w:lang w:val="fr-FR"/>
        </w:rPr>
        <w:t>Dans sa décision </w:t>
      </w:r>
      <w:r w:rsidR="00075479" w:rsidRPr="00BD55EA">
        <w:rPr>
          <w:lang w:val="fr-FR"/>
        </w:rPr>
        <w:t>IPBES-5/1, la Plénière a approuvé le rapport de cad</w:t>
      </w:r>
      <w:r w:rsidR="005161DF" w:rsidRPr="00BD55EA">
        <w:rPr>
          <w:lang w:val="fr-FR"/>
        </w:rPr>
        <w:t>rage concernant le</w:t>
      </w:r>
      <w:r w:rsidR="00DD1AB5">
        <w:rPr>
          <w:lang w:val="fr-FR"/>
        </w:rPr>
        <w:t> </w:t>
      </w:r>
      <w:r w:rsidR="005161DF" w:rsidRPr="00BD55EA">
        <w:rPr>
          <w:lang w:val="fr-FR"/>
        </w:rPr>
        <w:t>produit 3 b) </w:t>
      </w:r>
      <w:r w:rsidR="00075479" w:rsidRPr="00BD55EA">
        <w:rPr>
          <w:lang w:val="fr-FR"/>
        </w:rPr>
        <w:t>iii) pour une évaluation thématique de l</w:t>
      </w:r>
      <w:r w:rsidR="00B33A11">
        <w:rPr>
          <w:lang w:val="fr-FR"/>
        </w:rPr>
        <w:t>’</w:t>
      </w:r>
      <w:r w:rsidR="00075479" w:rsidRPr="00BD55EA">
        <w:rPr>
          <w:lang w:val="fr-FR"/>
        </w:rPr>
        <w:t>usage durable des espèces sauvages (reproduit dans le document IPBES/6/INF/</w:t>
      </w:r>
      <w:r w:rsidR="00976053">
        <w:rPr>
          <w:lang w:val="fr-FR"/>
        </w:rPr>
        <w:t>8</w:t>
      </w:r>
      <w:r w:rsidR="00075479" w:rsidRPr="00BD55EA">
        <w:rPr>
          <w:lang w:val="fr-FR"/>
        </w:rPr>
        <w:t xml:space="preserve">). Dans la même décision, elle a </w:t>
      </w:r>
      <w:r w:rsidR="00E67769">
        <w:rPr>
          <w:lang w:val="fr-FR"/>
        </w:rPr>
        <w:t xml:space="preserve">également </w:t>
      </w:r>
      <w:r w:rsidR="00075479" w:rsidRPr="00BD55EA">
        <w:rPr>
          <w:lang w:val="fr-FR"/>
        </w:rPr>
        <w:t>prié le Groupe d</w:t>
      </w:r>
      <w:r w:rsidR="00B33A11">
        <w:rPr>
          <w:lang w:val="fr-FR"/>
        </w:rPr>
        <w:t>’</w:t>
      </w:r>
      <w:r w:rsidR="00075479" w:rsidRPr="00BD55EA">
        <w:rPr>
          <w:lang w:val="fr-FR"/>
        </w:rPr>
        <w:t xml:space="preserve">experts multidisciplinaire, </w:t>
      </w:r>
      <w:r w:rsidR="00E67769">
        <w:rPr>
          <w:lang w:val="fr-FR"/>
        </w:rPr>
        <w:t xml:space="preserve">agissant </w:t>
      </w:r>
      <w:r w:rsidR="00075479" w:rsidRPr="00BD55EA">
        <w:rPr>
          <w:lang w:val="fr-FR"/>
        </w:rPr>
        <w:t xml:space="preserve">en consultation avec le Bureau, </w:t>
      </w:r>
      <w:r w:rsidR="00E67769">
        <w:rPr>
          <w:lang w:val="fr-FR"/>
        </w:rPr>
        <w:t>de déterminer s</w:t>
      </w:r>
      <w:r w:rsidR="00B33A11">
        <w:rPr>
          <w:lang w:val="fr-FR"/>
        </w:rPr>
        <w:t>’</w:t>
      </w:r>
      <w:r w:rsidR="00E67769">
        <w:rPr>
          <w:lang w:val="fr-FR"/>
        </w:rPr>
        <w:t xml:space="preserve">il fallait </w:t>
      </w:r>
      <w:r w:rsidR="00075479" w:rsidRPr="00BD55EA">
        <w:rPr>
          <w:lang w:val="fr-FR"/>
        </w:rPr>
        <w:t>apporter des</w:t>
      </w:r>
      <w:r w:rsidR="00DD1AB5">
        <w:rPr>
          <w:lang w:val="fr-FR"/>
        </w:rPr>
        <w:t> </w:t>
      </w:r>
      <w:r w:rsidR="00075479" w:rsidRPr="00BD55EA">
        <w:rPr>
          <w:lang w:val="fr-FR"/>
        </w:rPr>
        <w:t>modifications aux documents de cadrage déjà approuvés sur la base des principales conclusions scientifiques d</w:t>
      </w:r>
      <w:r w:rsidR="00B33A11">
        <w:rPr>
          <w:lang w:val="fr-FR"/>
        </w:rPr>
        <w:t>’</w:t>
      </w:r>
      <w:r w:rsidR="00075479" w:rsidRPr="00BD55EA">
        <w:rPr>
          <w:lang w:val="fr-FR"/>
        </w:rPr>
        <w:t>autres évaluations de la Plateforme et de</w:t>
      </w:r>
      <w:r w:rsidR="00E67769">
        <w:rPr>
          <w:lang w:val="fr-FR"/>
        </w:rPr>
        <w:t xml:space="preserve"> lui</w:t>
      </w:r>
      <w:r w:rsidR="00075479" w:rsidRPr="00BD55EA">
        <w:rPr>
          <w:lang w:val="fr-FR"/>
        </w:rPr>
        <w:t xml:space="preserve"> faire rapport </w:t>
      </w:r>
      <w:r w:rsidR="00E67769">
        <w:rPr>
          <w:lang w:val="fr-FR"/>
        </w:rPr>
        <w:t>au cas où</w:t>
      </w:r>
      <w:r w:rsidR="00075479" w:rsidRPr="00BD55EA">
        <w:rPr>
          <w:lang w:val="fr-FR"/>
        </w:rPr>
        <w:t xml:space="preserve"> des modifications importantes </w:t>
      </w:r>
      <w:r w:rsidR="00E67769">
        <w:rPr>
          <w:lang w:val="fr-FR"/>
        </w:rPr>
        <w:t xml:space="preserve">seraient </w:t>
      </w:r>
      <w:r w:rsidR="00075479" w:rsidRPr="00BD55EA">
        <w:rPr>
          <w:lang w:val="fr-FR"/>
        </w:rPr>
        <w:t>nécessaires.</w:t>
      </w:r>
      <w:bookmarkStart w:id="1" w:name="_Hlk499657637"/>
      <w:bookmarkEnd w:id="1"/>
    </w:p>
    <w:p w14:paraId="7826EB28" w14:textId="473BDAE3" w:rsidR="00075479" w:rsidRPr="00BD55EA" w:rsidRDefault="00075479" w:rsidP="00DD1AB5">
      <w:pPr>
        <w:pStyle w:val="Normalnumber"/>
        <w:rPr>
          <w:lang w:val="fr-FR"/>
        </w:rPr>
      </w:pPr>
      <w:r w:rsidRPr="00BD55EA">
        <w:rPr>
          <w:lang w:val="fr-FR"/>
        </w:rPr>
        <w:t>Par ailleurs,</w:t>
      </w:r>
      <w:r w:rsidR="001D1A57">
        <w:rPr>
          <w:lang w:val="fr-FR"/>
        </w:rPr>
        <w:t xml:space="preserve"> au paragraphe 5 de sa décision </w:t>
      </w:r>
      <w:r w:rsidRPr="00BD55EA">
        <w:rPr>
          <w:lang w:val="fr-FR"/>
        </w:rPr>
        <w:t>IPBES-5/6, qui porte sur les dispositifs financiers et budgétaires, la Plénière a décidé de se pencher à sa sixième session, sous réserve de la disponibilité de fonds suffisants, sur les trois évaluations visées aux paragraphes 1 et 2 ci-dessus, auxquelle</w:t>
      </w:r>
      <w:r w:rsidR="003E44AB" w:rsidRPr="00BD55EA">
        <w:rPr>
          <w:lang w:val="fr-FR"/>
        </w:rPr>
        <w:t>s il est renvoyé sous le terme « </w:t>
      </w:r>
      <w:r w:rsidRPr="00BD55EA">
        <w:rPr>
          <w:lang w:val="fr-FR"/>
        </w:rPr>
        <w:t>évaluations en att</w:t>
      </w:r>
      <w:r w:rsidR="005161DF" w:rsidRPr="00BD55EA">
        <w:rPr>
          <w:lang w:val="fr-FR"/>
        </w:rPr>
        <w:t>ente</w:t>
      </w:r>
      <w:r w:rsidR="003E44AB" w:rsidRPr="00BD55EA">
        <w:rPr>
          <w:lang w:val="fr-FR"/>
        </w:rPr>
        <w:t> »</w:t>
      </w:r>
      <w:r w:rsidR="005161DF" w:rsidRPr="00BD55EA">
        <w:rPr>
          <w:lang w:val="fr-FR"/>
        </w:rPr>
        <w:t xml:space="preserve"> dans le présent document.</w:t>
      </w:r>
    </w:p>
    <w:p w14:paraId="08185CEA" w14:textId="78748253" w:rsidR="00075479" w:rsidRPr="00BD55EA" w:rsidRDefault="00075479" w:rsidP="00DD1AB5">
      <w:pPr>
        <w:pStyle w:val="Normalnumber"/>
        <w:rPr>
          <w:lang w:val="fr-FR"/>
        </w:rPr>
      </w:pPr>
      <w:r w:rsidRPr="00BD55EA">
        <w:rPr>
          <w:lang w:val="fr-FR"/>
        </w:rPr>
        <w:t>Conformé</w:t>
      </w:r>
      <w:r w:rsidR="00682C15">
        <w:rPr>
          <w:lang w:val="fr-FR"/>
        </w:rPr>
        <w:t>ment à ces décisions, la partie </w:t>
      </w:r>
      <w:r w:rsidRPr="00BD55EA">
        <w:rPr>
          <w:lang w:val="fr-FR"/>
        </w:rPr>
        <w:t>A de la section</w:t>
      </w:r>
      <w:r w:rsidR="00682C15">
        <w:rPr>
          <w:lang w:val="fr-FR"/>
        </w:rPr>
        <w:t> </w:t>
      </w:r>
      <w:r w:rsidRPr="00BD55EA">
        <w:rPr>
          <w:lang w:val="fr-FR"/>
        </w:rPr>
        <w:t>I de la présente note contient des propositions formulées par le Groupe d</w:t>
      </w:r>
      <w:r w:rsidR="00B33A11">
        <w:rPr>
          <w:lang w:val="fr-FR"/>
        </w:rPr>
        <w:t>’</w:t>
      </w:r>
      <w:r w:rsidRPr="00BD55EA">
        <w:rPr>
          <w:lang w:val="fr-FR"/>
        </w:rPr>
        <w:t xml:space="preserve">experts multidisciplinaire et le Bureau concernant la nécessité </w:t>
      </w:r>
      <w:r w:rsidRPr="00BD55EA">
        <w:rPr>
          <w:lang w:val="fr-FR"/>
        </w:rPr>
        <w:lastRenderedPageBreak/>
        <w:t>d</w:t>
      </w:r>
      <w:r w:rsidR="00B33A11">
        <w:rPr>
          <w:lang w:val="fr-FR"/>
        </w:rPr>
        <w:t>’</w:t>
      </w:r>
      <w:r w:rsidRPr="00BD55EA">
        <w:rPr>
          <w:lang w:val="fr-FR"/>
        </w:rPr>
        <w:t>apporter des modifications aux documents de cadrage des trois évaluations en attente déjà approuvés sur la base des principales conclusions scientifiques d</w:t>
      </w:r>
      <w:r w:rsidR="00B33A11">
        <w:rPr>
          <w:lang w:val="fr-FR"/>
        </w:rPr>
        <w:t>’</w:t>
      </w:r>
      <w:r w:rsidRPr="00BD55EA">
        <w:rPr>
          <w:lang w:val="fr-FR"/>
        </w:rPr>
        <w:t>autres évaluations de la Plateforme. La partie</w:t>
      </w:r>
      <w:r w:rsidR="00DD1AB5">
        <w:rPr>
          <w:lang w:val="fr-FR"/>
        </w:rPr>
        <w:t> </w:t>
      </w:r>
      <w:r w:rsidRPr="00BD55EA">
        <w:rPr>
          <w:lang w:val="fr-FR"/>
        </w:rPr>
        <w:t>B propose plusieurs modifications de l</w:t>
      </w:r>
      <w:r w:rsidR="00B33A11">
        <w:rPr>
          <w:lang w:val="fr-FR"/>
        </w:rPr>
        <w:t>’</w:t>
      </w:r>
      <w:r w:rsidRPr="00BD55EA">
        <w:rPr>
          <w:lang w:val="fr-FR"/>
        </w:rPr>
        <w:t>approche méthodologique présentée dans les trois rapports de cadrage, qui ont des incidences sur le coût de chaque évaluation. Une estimation révisée du coût global de chacune des trois évaluations en attente figure dans l</w:t>
      </w:r>
      <w:r w:rsidR="00B33A11">
        <w:rPr>
          <w:lang w:val="fr-FR"/>
        </w:rPr>
        <w:t>’</w:t>
      </w:r>
      <w:r w:rsidRPr="00BD55EA">
        <w:rPr>
          <w:lang w:val="fr-FR"/>
        </w:rPr>
        <w:t>annexe de la présente note.</w:t>
      </w:r>
    </w:p>
    <w:p w14:paraId="29B12865" w14:textId="5E6D9687" w:rsidR="00075479" w:rsidRPr="00BD55EA" w:rsidRDefault="00075479" w:rsidP="00DD1AB5">
      <w:pPr>
        <w:pStyle w:val="Normalnumber"/>
        <w:rPr>
          <w:lang w:val="fr-FR"/>
        </w:rPr>
      </w:pPr>
      <w:r w:rsidRPr="00BD55EA">
        <w:rPr>
          <w:lang w:val="fr-FR"/>
        </w:rPr>
        <w:t>La sect</w:t>
      </w:r>
      <w:r w:rsidR="001D1A57">
        <w:rPr>
          <w:lang w:val="fr-FR"/>
        </w:rPr>
        <w:t>ion </w:t>
      </w:r>
      <w:r w:rsidRPr="00BD55EA">
        <w:rPr>
          <w:lang w:val="fr-FR"/>
        </w:rPr>
        <w:t>II contient d</w:t>
      </w:r>
      <w:r w:rsidR="00B33A11">
        <w:rPr>
          <w:lang w:val="fr-FR"/>
        </w:rPr>
        <w:t>’</w:t>
      </w:r>
      <w:r w:rsidRPr="00BD55EA">
        <w:rPr>
          <w:lang w:val="fr-FR"/>
        </w:rPr>
        <w:t xml:space="preserve">autres </w:t>
      </w:r>
      <w:r w:rsidR="00FF0E41">
        <w:rPr>
          <w:lang w:val="fr-FR"/>
        </w:rPr>
        <w:t>propositions</w:t>
      </w:r>
      <w:r w:rsidRPr="00BD55EA">
        <w:rPr>
          <w:lang w:val="fr-FR"/>
        </w:rPr>
        <w:t xml:space="preserve"> du Groupe d</w:t>
      </w:r>
      <w:r w:rsidR="00B33A11">
        <w:rPr>
          <w:lang w:val="fr-FR"/>
        </w:rPr>
        <w:t>’</w:t>
      </w:r>
      <w:r w:rsidRPr="00BD55EA">
        <w:rPr>
          <w:lang w:val="fr-FR"/>
        </w:rPr>
        <w:t>experts multidisciplinaire et du Bureau quant au calendrier de lancement de</w:t>
      </w:r>
      <w:r w:rsidR="005161DF" w:rsidRPr="00BD55EA">
        <w:rPr>
          <w:lang w:val="fr-FR"/>
        </w:rPr>
        <w:t>s trois évaluations en attente.</w:t>
      </w:r>
    </w:p>
    <w:p w14:paraId="0C6764B0" w14:textId="79EB1C2F" w:rsidR="00075479" w:rsidRPr="00BD55EA" w:rsidRDefault="001D1A57" w:rsidP="00DD1AB5">
      <w:pPr>
        <w:pStyle w:val="Normalnumber"/>
        <w:rPr>
          <w:lang w:val="fr-FR"/>
        </w:rPr>
      </w:pPr>
      <w:r>
        <w:rPr>
          <w:lang w:val="fr-FR"/>
        </w:rPr>
        <w:t>La section </w:t>
      </w:r>
      <w:r w:rsidR="00075479" w:rsidRPr="00BD55EA">
        <w:rPr>
          <w:lang w:val="fr-FR"/>
        </w:rPr>
        <w:t>III indique les mesures que la Plénière pourrait souhaiter prendre.</w:t>
      </w:r>
    </w:p>
    <w:p w14:paraId="758E7E0A" w14:textId="383EF050" w:rsidR="00075479" w:rsidRPr="00BD55EA" w:rsidRDefault="00B33A11" w:rsidP="00B33A11">
      <w:pPr>
        <w:pStyle w:val="CH1"/>
        <w:rPr>
          <w:rFonts w:eastAsia="MS Mincho"/>
        </w:rPr>
      </w:pPr>
      <w:bookmarkStart w:id="2" w:name="_Hlk499658600"/>
      <w:r>
        <w:rPr>
          <w:lang w:val="fr-FR"/>
        </w:rPr>
        <w:tab/>
        <w:t>I.</w:t>
      </w:r>
      <w:r>
        <w:rPr>
          <w:lang w:val="fr-FR"/>
        </w:rPr>
        <w:tab/>
      </w:r>
      <w:r w:rsidR="00075479" w:rsidRPr="00BD55EA">
        <w:rPr>
          <w:lang w:val="fr-FR"/>
        </w:rPr>
        <w:t>Rapports de cadrage</w:t>
      </w:r>
    </w:p>
    <w:p w14:paraId="7686381F" w14:textId="166AD969" w:rsidR="00075479" w:rsidRPr="00BD55EA" w:rsidRDefault="00075479" w:rsidP="00DD1AB5">
      <w:pPr>
        <w:pStyle w:val="Normalnumber"/>
        <w:rPr>
          <w:lang w:val="fr-FR"/>
        </w:rPr>
      </w:pPr>
      <w:r w:rsidRPr="00BD55EA">
        <w:rPr>
          <w:lang w:val="fr-FR"/>
        </w:rPr>
        <w:t xml:space="preserve">La Plénière leur ayant demandé </w:t>
      </w:r>
      <w:r w:rsidR="00FF0E41">
        <w:rPr>
          <w:lang w:val="fr-FR"/>
        </w:rPr>
        <w:t>de déterminer s</w:t>
      </w:r>
      <w:r w:rsidR="00B33A11">
        <w:rPr>
          <w:lang w:val="fr-FR"/>
        </w:rPr>
        <w:t>’</w:t>
      </w:r>
      <w:r w:rsidR="00FF0E41">
        <w:rPr>
          <w:lang w:val="fr-FR"/>
        </w:rPr>
        <w:t xml:space="preserve">il fallait </w:t>
      </w:r>
      <w:r w:rsidRPr="00BD55EA">
        <w:rPr>
          <w:lang w:val="fr-FR"/>
        </w:rPr>
        <w:t>apporter des modifications aux</w:t>
      </w:r>
      <w:r w:rsidR="00DD1AB5">
        <w:rPr>
          <w:lang w:val="fr-FR"/>
        </w:rPr>
        <w:t> </w:t>
      </w:r>
      <w:r w:rsidRPr="00BD55EA">
        <w:rPr>
          <w:lang w:val="fr-FR"/>
        </w:rPr>
        <w:t>trois</w:t>
      </w:r>
      <w:r w:rsidR="00DD1AB5">
        <w:rPr>
          <w:lang w:val="fr-FR"/>
        </w:rPr>
        <w:t> </w:t>
      </w:r>
      <w:r w:rsidRPr="00BD55EA">
        <w:rPr>
          <w:lang w:val="fr-FR"/>
        </w:rPr>
        <w:t xml:space="preserve">rapports de cadrage à </w:t>
      </w:r>
      <w:r w:rsidR="00E609AF">
        <w:rPr>
          <w:lang w:val="fr-FR"/>
        </w:rPr>
        <w:t>leur dixième réunion en octobre </w:t>
      </w:r>
      <w:r w:rsidRPr="00BD55EA">
        <w:rPr>
          <w:lang w:val="fr-FR"/>
        </w:rPr>
        <w:t>2017, le Groupe d</w:t>
      </w:r>
      <w:r w:rsidR="00B33A11">
        <w:rPr>
          <w:lang w:val="fr-FR"/>
        </w:rPr>
        <w:t>’</w:t>
      </w:r>
      <w:r w:rsidRPr="00BD55EA">
        <w:rPr>
          <w:lang w:val="fr-FR"/>
        </w:rPr>
        <w:t>experts multidisciplinaire et le Bureau ont fait les recommandations ci-après, qui sont énoncées dans les</w:t>
      </w:r>
      <w:r w:rsidR="00DD1AB5">
        <w:rPr>
          <w:lang w:val="fr-FR"/>
        </w:rPr>
        <w:t> </w:t>
      </w:r>
      <w:r w:rsidR="001D1A57">
        <w:rPr>
          <w:lang w:val="fr-FR"/>
        </w:rPr>
        <w:t>parties </w:t>
      </w:r>
      <w:r w:rsidRPr="00BD55EA">
        <w:rPr>
          <w:lang w:val="fr-FR"/>
        </w:rPr>
        <w:t>A et B ci-dessous.</w:t>
      </w:r>
    </w:p>
    <w:p w14:paraId="1623EC15" w14:textId="36A09633" w:rsidR="00075479" w:rsidRPr="00BD55EA" w:rsidRDefault="00B33A11" w:rsidP="00B33A11">
      <w:pPr>
        <w:pStyle w:val="CH2"/>
        <w:ind w:left="0" w:firstLine="0"/>
        <w:rPr>
          <w:rFonts w:eastAsia="MS Mincho"/>
        </w:rPr>
      </w:pPr>
      <w:bookmarkStart w:id="3" w:name="_Hlk499884919"/>
      <w:r>
        <w:rPr>
          <w:lang w:val="fr-FR"/>
        </w:rPr>
        <w:tab/>
        <w:t>A.</w:t>
      </w:r>
      <w:r>
        <w:rPr>
          <w:lang w:val="fr-FR"/>
        </w:rPr>
        <w:tab/>
      </w:r>
      <w:r w:rsidR="00075479" w:rsidRPr="00BD55EA">
        <w:rPr>
          <w:lang w:val="fr-FR"/>
        </w:rPr>
        <w:t>Objectif général</w:t>
      </w:r>
      <w:bookmarkEnd w:id="2"/>
    </w:p>
    <w:p w14:paraId="7B24ADFA" w14:textId="6AD0A3A2" w:rsidR="00075479" w:rsidRPr="00BD55EA" w:rsidRDefault="00075479" w:rsidP="00DD1AB5">
      <w:pPr>
        <w:pStyle w:val="Normalnumber"/>
        <w:rPr>
          <w:lang w:val="fr-FR"/>
        </w:rPr>
      </w:pPr>
      <w:bookmarkStart w:id="4" w:name="_Hlk499885067"/>
      <w:bookmarkEnd w:id="3"/>
      <w:r w:rsidRPr="00BD55EA">
        <w:rPr>
          <w:lang w:val="fr-FR"/>
        </w:rPr>
        <w:t>S</w:t>
      </w:r>
      <w:r w:rsidR="00B33A11">
        <w:rPr>
          <w:lang w:val="fr-FR"/>
        </w:rPr>
        <w:t>’</w:t>
      </w:r>
      <w:r w:rsidRPr="00BD55EA">
        <w:rPr>
          <w:lang w:val="fr-FR"/>
        </w:rPr>
        <w:t>agissant de l</w:t>
      </w:r>
      <w:r w:rsidR="00B33A11">
        <w:rPr>
          <w:lang w:val="fr-FR"/>
        </w:rPr>
        <w:t>’</w:t>
      </w:r>
      <w:r w:rsidRPr="00BD55EA">
        <w:rPr>
          <w:lang w:val="fr-FR"/>
        </w:rPr>
        <w:t>objectif général des trois évaluations en attente, le Groupe d</w:t>
      </w:r>
      <w:r w:rsidR="00B33A11">
        <w:rPr>
          <w:lang w:val="fr-FR"/>
        </w:rPr>
        <w:t>’</w:t>
      </w:r>
      <w:r w:rsidRPr="00BD55EA">
        <w:rPr>
          <w:lang w:val="fr-FR"/>
        </w:rPr>
        <w:t>experts multidisciplinaire a conclu qu</w:t>
      </w:r>
      <w:r w:rsidR="00B33A11">
        <w:rPr>
          <w:lang w:val="fr-FR"/>
        </w:rPr>
        <w:t>’</w:t>
      </w:r>
      <w:r w:rsidRPr="00BD55EA">
        <w:rPr>
          <w:lang w:val="fr-FR"/>
        </w:rPr>
        <w:t>aucune modification n</w:t>
      </w:r>
      <w:r w:rsidR="00B33A11">
        <w:rPr>
          <w:lang w:val="fr-FR"/>
        </w:rPr>
        <w:t>’</w:t>
      </w:r>
      <w:r w:rsidRPr="00BD55EA">
        <w:rPr>
          <w:lang w:val="fr-FR"/>
        </w:rPr>
        <w:t>était nécessaire sur la base des principales conclusions scientifiques d</w:t>
      </w:r>
      <w:r w:rsidR="00B33A11">
        <w:rPr>
          <w:lang w:val="fr-FR"/>
        </w:rPr>
        <w:t>’</w:t>
      </w:r>
      <w:r w:rsidRPr="00BD55EA">
        <w:rPr>
          <w:lang w:val="fr-FR"/>
        </w:rPr>
        <w:t>autres évaluations de la Plateforme.</w:t>
      </w:r>
      <w:bookmarkStart w:id="5" w:name="_Hlk499885341"/>
      <w:bookmarkEnd w:id="5"/>
    </w:p>
    <w:bookmarkEnd w:id="4"/>
    <w:p w14:paraId="4933538B" w14:textId="538E5738" w:rsidR="00075479" w:rsidRPr="00BD55EA" w:rsidRDefault="00B33A11" w:rsidP="00B33A11">
      <w:pPr>
        <w:pStyle w:val="CH2"/>
        <w:rPr>
          <w:rFonts w:eastAsia="MS Mincho"/>
          <w:b w:val="0"/>
          <w:lang w:val="fr-FR"/>
        </w:rPr>
      </w:pPr>
      <w:r>
        <w:rPr>
          <w:lang w:val="fr-FR"/>
        </w:rPr>
        <w:tab/>
        <w:t>B.</w:t>
      </w:r>
      <w:r>
        <w:rPr>
          <w:lang w:val="fr-FR"/>
        </w:rPr>
        <w:tab/>
      </w:r>
      <w:r w:rsidR="00887131" w:rsidRPr="00BD55EA">
        <w:rPr>
          <w:lang w:val="fr-FR"/>
        </w:rPr>
        <w:t>Approche méthodologique et estimation des coûts</w:t>
      </w:r>
    </w:p>
    <w:p w14:paraId="5118E1EC" w14:textId="2D790E99" w:rsidR="00075479" w:rsidRPr="00BD55EA" w:rsidRDefault="00075479" w:rsidP="00DD1AB5">
      <w:pPr>
        <w:pStyle w:val="Normalnumber"/>
        <w:rPr>
          <w:lang w:val="fr-FR"/>
        </w:rPr>
      </w:pPr>
      <w:r w:rsidRPr="00BD55EA">
        <w:rPr>
          <w:lang w:val="fr-FR"/>
        </w:rPr>
        <w:t>Se fondant sur les enseignements tirés des évaluations en cours et terminées et sur les</w:t>
      </w:r>
      <w:r w:rsidR="00DD1AB5">
        <w:rPr>
          <w:lang w:val="fr-FR"/>
        </w:rPr>
        <w:t> </w:t>
      </w:r>
      <w:r w:rsidRPr="00BD55EA">
        <w:rPr>
          <w:lang w:val="fr-FR"/>
        </w:rPr>
        <w:t>conclusions de l</w:t>
      </w:r>
      <w:r w:rsidR="00B33A11">
        <w:rPr>
          <w:lang w:val="fr-FR"/>
        </w:rPr>
        <w:t>’</w:t>
      </w:r>
      <w:r w:rsidRPr="00BD55EA">
        <w:rPr>
          <w:lang w:val="fr-FR"/>
        </w:rPr>
        <w:t>examen interne de la Plateforme (IPBES/6/INF/32), le Groupe d</w:t>
      </w:r>
      <w:r w:rsidR="00B33A11">
        <w:rPr>
          <w:lang w:val="fr-FR"/>
        </w:rPr>
        <w:t>’</w:t>
      </w:r>
      <w:r w:rsidRPr="00BD55EA">
        <w:rPr>
          <w:lang w:val="fr-FR"/>
        </w:rPr>
        <w:t>experts multidisciplinaire et le Bureau proposent d</w:t>
      </w:r>
      <w:r w:rsidR="00B33A11">
        <w:rPr>
          <w:lang w:val="fr-FR"/>
        </w:rPr>
        <w:t>’</w:t>
      </w:r>
      <w:r w:rsidRPr="00BD55EA">
        <w:rPr>
          <w:lang w:val="fr-FR"/>
        </w:rPr>
        <w:t>apporter les modifications suivantes à l</w:t>
      </w:r>
      <w:r w:rsidR="00B33A11">
        <w:rPr>
          <w:lang w:val="fr-FR"/>
        </w:rPr>
        <w:t>’</w:t>
      </w:r>
      <w:r w:rsidRPr="00BD55EA">
        <w:rPr>
          <w:lang w:val="fr-FR"/>
        </w:rPr>
        <w:t xml:space="preserve">approche méthodologique présentée dans les rapports de cadrage, ce qui ferait passer le coût total </w:t>
      </w:r>
      <w:r w:rsidR="00776757">
        <w:rPr>
          <w:lang w:val="fr-FR"/>
        </w:rPr>
        <w:t>par</w:t>
      </w:r>
      <w:r w:rsidRPr="00BD55EA">
        <w:rPr>
          <w:lang w:val="fr-FR"/>
        </w:rPr>
        <w:t xml:space="preserve"> évaluation</w:t>
      </w:r>
      <w:r w:rsidR="005161DF" w:rsidRPr="00BD55EA">
        <w:rPr>
          <w:lang w:val="fr-FR"/>
        </w:rPr>
        <w:t xml:space="preserve"> de 997</w:t>
      </w:r>
      <w:r w:rsidR="00DD1AB5">
        <w:rPr>
          <w:lang w:val="fr-FR"/>
        </w:rPr>
        <w:t> </w:t>
      </w:r>
      <w:r w:rsidR="005161DF" w:rsidRPr="00BD55EA">
        <w:rPr>
          <w:lang w:val="fr-FR"/>
        </w:rPr>
        <w:t>000 à 1</w:t>
      </w:r>
      <w:r w:rsidR="00DD1AB5">
        <w:rPr>
          <w:lang w:val="fr-FR"/>
        </w:rPr>
        <w:t> </w:t>
      </w:r>
      <w:r w:rsidR="005161DF" w:rsidRPr="00BD55EA">
        <w:rPr>
          <w:lang w:val="fr-FR"/>
        </w:rPr>
        <w:t>445</w:t>
      </w:r>
      <w:r w:rsidR="00DD1AB5">
        <w:rPr>
          <w:lang w:val="fr-FR"/>
        </w:rPr>
        <w:t> </w:t>
      </w:r>
      <w:r w:rsidR="001D1A57">
        <w:rPr>
          <w:lang w:val="fr-FR"/>
        </w:rPr>
        <w:t>000 </w:t>
      </w:r>
      <w:r w:rsidR="005161DF" w:rsidRPr="00BD55EA">
        <w:rPr>
          <w:lang w:val="fr-FR"/>
        </w:rPr>
        <w:t>dollars </w:t>
      </w:r>
      <w:r w:rsidRPr="00BD55EA">
        <w:rPr>
          <w:lang w:val="fr-FR"/>
        </w:rPr>
        <w:t>:</w:t>
      </w:r>
    </w:p>
    <w:p w14:paraId="42A00030" w14:textId="447D6F65" w:rsidR="00075479" w:rsidRPr="00BD55EA" w:rsidRDefault="00E609AF" w:rsidP="005B5000">
      <w:pPr>
        <w:pStyle w:val="Normalnumber"/>
        <w:numPr>
          <w:ilvl w:val="1"/>
          <w:numId w:val="1"/>
        </w:numPr>
        <w:rPr>
          <w:lang w:val="fr-FR"/>
        </w:rPr>
      </w:pPr>
      <w:r>
        <w:rPr>
          <w:lang w:val="fr-FR"/>
        </w:rPr>
        <w:t>Faire passer de 6 à </w:t>
      </w:r>
      <w:r w:rsidR="00075479" w:rsidRPr="00BD55EA">
        <w:rPr>
          <w:lang w:val="fr-FR"/>
        </w:rPr>
        <w:t>8 le nombre d</w:t>
      </w:r>
      <w:r w:rsidR="00B33A11">
        <w:rPr>
          <w:lang w:val="fr-FR"/>
        </w:rPr>
        <w:t>’</w:t>
      </w:r>
      <w:r w:rsidR="00075479" w:rsidRPr="00BD55EA">
        <w:rPr>
          <w:lang w:val="fr-FR"/>
        </w:rPr>
        <w:t>auteurs principau</w:t>
      </w:r>
      <w:r>
        <w:rPr>
          <w:lang w:val="fr-FR"/>
        </w:rPr>
        <w:t>x par chapitre, portant ainsi à 12 </w:t>
      </w:r>
      <w:r w:rsidR="00075479" w:rsidRPr="00BD55EA">
        <w:rPr>
          <w:lang w:val="fr-FR"/>
        </w:rPr>
        <w:t>le</w:t>
      </w:r>
      <w:r w:rsidR="00DD1AB5">
        <w:rPr>
          <w:lang w:val="fr-FR"/>
        </w:rPr>
        <w:t> </w:t>
      </w:r>
      <w:r w:rsidR="00075479" w:rsidRPr="00BD55EA">
        <w:rPr>
          <w:lang w:val="fr-FR"/>
        </w:rPr>
        <w:t>nombre total d</w:t>
      </w:r>
      <w:r w:rsidR="00B33A11">
        <w:rPr>
          <w:lang w:val="fr-FR"/>
        </w:rPr>
        <w:t>’</w:t>
      </w:r>
      <w:r>
        <w:rPr>
          <w:lang w:val="fr-FR"/>
        </w:rPr>
        <w:t>experts par chapitre (8 auteurs principaux, 2 </w:t>
      </w:r>
      <w:r w:rsidR="00075479" w:rsidRPr="00BD55EA">
        <w:rPr>
          <w:lang w:val="fr-FR"/>
        </w:rPr>
        <w:t>auteurs</w:t>
      </w:r>
      <w:r w:rsidR="00776757">
        <w:rPr>
          <w:lang w:val="fr-FR"/>
        </w:rPr>
        <w:noBreakHyphen/>
      </w:r>
      <w:r w:rsidR="005161DF" w:rsidRPr="00BD55EA">
        <w:rPr>
          <w:lang w:val="fr-FR"/>
        </w:rPr>
        <w:t>coordonnateurs principaux et</w:t>
      </w:r>
      <w:r w:rsidR="00DD1AB5">
        <w:rPr>
          <w:lang w:val="fr-FR"/>
        </w:rPr>
        <w:t> </w:t>
      </w:r>
      <w:r w:rsidR="005161DF" w:rsidRPr="00BD55EA">
        <w:rPr>
          <w:lang w:val="fr-FR"/>
        </w:rPr>
        <w:t>2 </w:t>
      </w:r>
      <w:r w:rsidR="00075479" w:rsidRPr="00BD55EA">
        <w:rPr>
          <w:lang w:val="fr-FR"/>
        </w:rPr>
        <w:t>éditeurs-</w:t>
      </w:r>
      <w:r w:rsidR="00776757">
        <w:rPr>
          <w:lang w:val="fr-FR"/>
        </w:rPr>
        <w:t>réviseurs). Le nombre d</w:t>
      </w:r>
      <w:r w:rsidR="00B33A11">
        <w:rPr>
          <w:lang w:val="fr-FR"/>
        </w:rPr>
        <w:t>’</w:t>
      </w:r>
      <w:r w:rsidR="00776757">
        <w:rPr>
          <w:lang w:val="fr-FR"/>
        </w:rPr>
        <w:t>auteurs</w:t>
      </w:r>
      <w:r w:rsidR="00776757">
        <w:rPr>
          <w:lang w:val="fr-FR"/>
        </w:rPr>
        <w:noBreakHyphen/>
      </w:r>
      <w:r w:rsidR="00075479" w:rsidRPr="00BD55EA">
        <w:rPr>
          <w:lang w:val="fr-FR"/>
        </w:rPr>
        <w:t>coordonnateurs principaux et d</w:t>
      </w:r>
      <w:r w:rsidR="00B33A11">
        <w:rPr>
          <w:lang w:val="fr-FR"/>
        </w:rPr>
        <w:t>’</w:t>
      </w:r>
      <w:r w:rsidR="00075479" w:rsidRPr="00BD55EA">
        <w:rPr>
          <w:lang w:val="fr-FR"/>
        </w:rPr>
        <w:t>éditeurs-réviseurs par</w:t>
      </w:r>
      <w:r w:rsidR="00DD1AB5">
        <w:rPr>
          <w:lang w:val="fr-FR"/>
        </w:rPr>
        <w:t> </w:t>
      </w:r>
      <w:r w:rsidR="00075479" w:rsidRPr="00BD55EA">
        <w:rPr>
          <w:lang w:val="fr-FR"/>
        </w:rPr>
        <w:t xml:space="preserve">chapitre resterait le même. Cette </w:t>
      </w:r>
      <w:r w:rsidR="00776757">
        <w:rPr>
          <w:lang w:val="fr-FR"/>
        </w:rPr>
        <w:t>mesure</w:t>
      </w:r>
      <w:r w:rsidR="00075479" w:rsidRPr="00BD55EA">
        <w:rPr>
          <w:lang w:val="fr-FR"/>
        </w:rPr>
        <w:t xml:space="preserve"> permettrait d</w:t>
      </w:r>
      <w:r w:rsidR="00B33A11">
        <w:rPr>
          <w:lang w:val="fr-FR"/>
        </w:rPr>
        <w:t>’</w:t>
      </w:r>
      <w:r w:rsidR="00075479" w:rsidRPr="00BD55EA">
        <w:rPr>
          <w:lang w:val="fr-FR"/>
        </w:rPr>
        <w:t xml:space="preserve">assurer que des compétences et des vues différentes soient représentées dans chaque chapitre </w:t>
      </w:r>
      <w:r w:rsidR="00776757">
        <w:rPr>
          <w:lang w:val="fr-FR"/>
        </w:rPr>
        <w:t xml:space="preserve">et </w:t>
      </w:r>
      <w:r w:rsidR="00075479" w:rsidRPr="00BD55EA">
        <w:rPr>
          <w:lang w:val="fr-FR"/>
        </w:rPr>
        <w:t>de mieux répartir la charge de travail entre les experts. Le nombre d</w:t>
      </w:r>
      <w:r w:rsidR="00B33A11">
        <w:rPr>
          <w:lang w:val="fr-FR"/>
        </w:rPr>
        <w:t>’</w:t>
      </w:r>
      <w:r w:rsidR="00075479" w:rsidRPr="00BD55EA">
        <w:rPr>
          <w:lang w:val="fr-FR"/>
        </w:rPr>
        <w:t xml:space="preserve">auteurs principaux serait ainsi le même que </w:t>
      </w:r>
      <w:r w:rsidR="00776757">
        <w:rPr>
          <w:lang w:val="fr-FR"/>
        </w:rPr>
        <w:t>pour</w:t>
      </w:r>
      <w:r w:rsidR="00075479" w:rsidRPr="00BD55EA">
        <w:rPr>
          <w:lang w:val="fr-FR"/>
        </w:rPr>
        <w:t xml:space="preserve"> l</w:t>
      </w:r>
      <w:r w:rsidR="00B33A11">
        <w:rPr>
          <w:lang w:val="fr-FR"/>
        </w:rPr>
        <w:t>’</w:t>
      </w:r>
      <w:r w:rsidR="00075479" w:rsidRPr="00BD55EA">
        <w:rPr>
          <w:lang w:val="fr-FR"/>
        </w:rPr>
        <w:t>évaluation de la dégradation et de la restauration des terres</w:t>
      </w:r>
      <w:r w:rsidR="005161DF" w:rsidRPr="00BD55EA">
        <w:rPr>
          <w:lang w:val="fr-FR"/>
        </w:rPr>
        <w:t> </w:t>
      </w:r>
      <w:r w:rsidR="00075479" w:rsidRPr="00BD55EA">
        <w:rPr>
          <w:lang w:val="fr-FR"/>
        </w:rPr>
        <w:t>;</w:t>
      </w:r>
    </w:p>
    <w:p w14:paraId="0F340908" w14:textId="1B36443A" w:rsidR="00075479" w:rsidRPr="00BD55EA" w:rsidRDefault="00075479" w:rsidP="005B5000">
      <w:pPr>
        <w:pStyle w:val="Normalnumber"/>
        <w:numPr>
          <w:ilvl w:val="1"/>
          <w:numId w:val="1"/>
        </w:numPr>
        <w:rPr>
          <w:lang w:val="fr-FR"/>
        </w:rPr>
      </w:pPr>
      <w:r w:rsidRPr="00BD55EA">
        <w:rPr>
          <w:lang w:val="fr-FR"/>
        </w:rPr>
        <w:t>Autoriser l</w:t>
      </w:r>
      <w:r w:rsidR="00B33A11">
        <w:rPr>
          <w:lang w:val="fr-FR"/>
        </w:rPr>
        <w:t>’</w:t>
      </w:r>
      <w:r w:rsidRPr="00BD55EA">
        <w:rPr>
          <w:lang w:val="fr-FR"/>
        </w:rPr>
        <w:t>organisation de trois réunions d</w:t>
      </w:r>
      <w:r w:rsidR="00B33A11">
        <w:rPr>
          <w:lang w:val="fr-FR"/>
        </w:rPr>
        <w:t>’</w:t>
      </w:r>
      <w:r w:rsidRPr="00BD55EA">
        <w:rPr>
          <w:lang w:val="fr-FR"/>
        </w:rPr>
        <w:t>auteurs ouvertes à tous au lieu de deux, auxquelles assiste</w:t>
      </w:r>
      <w:r w:rsidR="00776757">
        <w:rPr>
          <w:lang w:val="fr-FR"/>
        </w:rPr>
        <w:t>raie</w:t>
      </w:r>
      <w:r w:rsidRPr="00BD55EA">
        <w:rPr>
          <w:lang w:val="fr-FR"/>
        </w:rPr>
        <w:t>nt les auteurs principaux</w:t>
      </w:r>
      <w:r w:rsidR="00776757">
        <w:rPr>
          <w:lang w:val="fr-FR"/>
        </w:rPr>
        <w:t> </w:t>
      </w:r>
      <w:r w:rsidRPr="00BD55EA">
        <w:rPr>
          <w:lang w:val="fr-FR"/>
        </w:rPr>
        <w:t>: on considère qu</w:t>
      </w:r>
      <w:r w:rsidR="00B33A11">
        <w:rPr>
          <w:lang w:val="fr-FR"/>
        </w:rPr>
        <w:t>’</w:t>
      </w:r>
      <w:r w:rsidRPr="00BD55EA">
        <w:rPr>
          <w:lang w:val="fr-FR"/>
        </w:rPr>
        <w:t>il s</w:t>
      </w:r>
      <w:r w:rsidR="00B33A11">
        <w:rPr>
          <w:lang w:val="fr-FR"/>
        </w:rPr>
        <w:t>’</w:t>
      </w:r>
      <w:r w:rsidRPr="00BD55EA">
        <w:rPr>
          <w:lang w:val="fr-FR"/>
        </w:rPr>
        <w:t>agit là d</w:t>
      </w:r>
      <w:r w:rsidR="00B33A11">
        <w:rPr>
          <w:lang w:val="fr-FR"/>
        </w:rPr>
        <w:t>’</w:t>
      </w:r>
      <w:r w:rsidRPr="00BD55EA">
        <w:rPr>
          <w:lang w:val="fr-FR"/>
        </w:rPr>
        <w:t xml:space="preserve">une condition essentielle des pleines association et participation de ces derniers au cours des trois ans que </w:t>
      </w:r>
      <w:r w:rsidR="005161DF" w:rsidRPr="00BD55EA">
        <w:rPr>
          <w:lang w:val="fr-FR"/>
        </w:rPr>
        <w:t>dure le processus d</w:t>
      </w:r>
      <w:r w:rsidR="00B33A11">
        <w:rPr>
          <w:lang w:val="fr-FR"/>
        </w:rPr>
        <w:t>’</w:t>
      </w:r>
      <w:r w:rsidR="005161DF" w:rsidRPr="00BD55EA">
        <w:rPr>
          <w:lang w:val="fr-FR"/>
        </w:rPr>
        <w:t>évaluation ;</w:t>
      </w:r>
    </w:p>
    <w:p w14:paraId="5A4B3858" w14:textId="226A3A7C" w:rsidR="00075479" w:rsidRPr="00BD55EA" w:rsidRDefault="00075479" w:rsidP="005B5000">
      <w:pPr>
        <w:pStyle w:val="Normalnumber"/>
        <w:numPr>
          <w:ilvl w:val="1"/>
          <w:numId w:val="1"/>
        </w:numPr>
        <w:rPr>
          <w:lang w:val="fr-FR"/>
        </w:rPr>
      </w:pPr>
      <w:r w:rsidRPr="00BD55EA">
        <w:rPr>
          <w:lang w:val="fr-FR"/>
        </w:rPr>
        <w:t>Augmenter les effectifs des groupes d</w:t>
      </w:r>
      <w:r w:rsidR="00B33A11">
        <w:rPr>
          <w:lang w:val="fr-FR"/>
        </w:rPr>
        <w:t>’</w:t>
      </w:r>
      <w:r w:rsidRPr="00BD55EA">
        <w:rPr>
          <w:lang w:val="fr-FR"/>
        </w:rPr>
        <w:t xml:space="preserve">appui technique de sorte </w:t>
      </w:r>
      <w:r w:rsidR="00247D7A">
        <w:rPr>
          <w:lang w:val="fr-FR"/>
        </w:rPr>
        <w:t>que ces derniers</w:t>
      </w:r>
      <w:r w:rsidRPr="00BD55EA">
        <w:rPr>
          <w:lang w:val="fr-FR"/>
        </w:rPr>
        <w:t xml:space="preserve"> comptent au moins deux membres du personnel technique et programmatique ainsi qu</w:t>
      </w:r>
      <w:r w:rsidR="00B33A11">
        <w:rPr>
          <w:lang w:val="fr-FR"/>
        </w:rPr>
        <w:t>’</w:t>
      </w:r>
      <w:r w:rsidRPr="00BD55EA">
        <w:rPr>
          <w:lang w:val="fr-FR"/>
        </w:rPr>
        <w:t xml:space="preserve">un </w:t>
      </w:r>
      <w:r w:rsidR="00247D7A">
        <w:rPr>
          <w:lang w:val="fr-FR"/>
        </w:rPr>
        <w:t xml:space="preserve">assistant administratif </w:t>
      </w:r>
      <w:r w:rsidRPr="00BD55EA">
        <w:rPr>
          <w:lang w:val="fr-FR"/>
        </w:rPr>
        <w:t>à mi</w:t>
      </w:r>
      <w:r w:rsidR="00247D7A">
        <w:rPr>
          <w:lang w:val="fr-FR"/>
        </w:rPr>
        <w:noBreakHyphen/>
      </w:r>
      <w:r w:rsidRPr="00BD55EA">
        <w:rPr>
          <w:lang w:val="fr-FR"/>
        </w:rPr>
        <w:t>temps, plutôt qu</w:t>
      </w:r>
      <w:r w:rsidR="00B33A11">
        <w:rPr>
          <w:lang w:val="fr-FR"/>
        </w:rPr>
        <w:t>’</w:t>
      </w:r>
      <w:r w:rsidRPr="00BD55EA">
        <w:rPr>
          <w:lang w:val="fr-FR"/>
        </w:rPr>
        <w:t>un seul membre du personnel technique, comme proposé précédemment. Il ressort de l</w:t>
      </w:r>
      <w:r w:rsidR="00B33A11">
        <w:rPr>
          <w:lang w:val="fr-FR"/>
        </w:rPr>
        <w:t>’</w:t>
      </w:r>
      <w:r w:rsidRPr="00BD55EA">
        <w:rPr>
          <w:lang w:val="fr-FR"/>
        </w:rPr>
        <w:t>expérience que cette augmentation serait nécessaire pour faire face à la</w:t>
      </w:r>
      <w:r w:rsidR="00DD1AB5">
        <w:rPr>
          <w:lang w:val="fr-FR"/>
        </w:rPr>
        <w:t> </w:t>
      </w:r>
      <w:r w:rsidRPr="00BD55EA">
        <w:rPr>
          <w:lang w:val="fr-FR"/>
        </w:rPr>
        <w:t>lourde charge de travail associée à la coordination de l</w:t>
      </w:r>
      <w:r w:rsidR="00B33A11">
        <w:rPr>
          <w:lang w:val="fr-FR"/>
        </w:rPr>
        <w:t>’</w:t>
      </w:r>
      <w:r w:rsidRPr="00BD55EA">
        <w:rPr>
          <w:lang w:val="fr-FR"/>
        </w:rPr>
        <w:t>exécution d</w:t>
      </w:r>
      <w:r w:rsidR="00B33A11">
        <w:rPr>
          <w:lang w:val="fr-FR"/>
        </w:rPr>
        <w:t>’</w:t>
      </w:r>
      <w:r w:rsidRPr="00BD55EA">
        <w:rPr>
          <w:lang w:val="fr-FR"/>
        </w:rPr>
        <w:t>une évaluation. Ainsi, les effectifs seraient identiques à ceux des groupes d</w:t>
      </w:r>
      <w:r w:rsidR="00B33A11">
        <w:rPr>
          <w:lang w:val="fr-FR"/>
        </w:rPr>
        <w:t>’</w:t>
      </w:r>
      <w:r w:rsidRPr="00BD55EA">
        <w:rPr>
          <w:lang w:val="fr-FR"/>
        </w:rPr>
        <w:t>appui technique créés pour les évaluatio</w:t>
      </w:r>
      <w:r w:rsidR="005161DF" w:rsidRPr="00BD55EA">
        <w:rPr>
          <w:lang w:val="fr-FR"/>
        </w:rPr>
        <w:t>ns régionales de la Plateforme ;</w:t>
      </w:r>
    </w:p>
    <w:p w14:paraId="12BD69E7" w14:textId="162CECF3" w:rsidR="00075479" w:rsidRPr="00BD55EA" w:rsidRDefault="00075479" w:rsidP="005B5000">
      <w:pPr>
        <w:pStyle w:val="Normalnumber"/>
        <w:numPr>
          <w:ilvl w:val="1"/>
          <w:numId w:val="1"/>
        </w:numPr>
        <w:rPr>
          <w:lang w:val="fr-FR"/>
        </w:rPr>
      </w:pPr>
      <w:r w:rsidRPr="00BD55EA">
        <w:rPr>
          <w:lang w:val="fr-FR"/>
        </w:rPr>
        <w:t>Accroître le budget consacré à la conception, à l</w:t>
      </w:r>
      <w:r w:rsidR="00B33A11">
        <w:rPr>
          <w:lang w:val="fr-FR"/>
        </w:rPr>
        <w:t>’</w:t>
      </w:r>
      <w:r w:rsidRPr="00BD55EA">
        <w:rPr>
          <w:lang w:val="fr-FR"/>
        </w:rPr>
        <w:t>impression, à la communication et</w:t>
      </w:r>
      <w:r w:rsidR="00DD1AB5">
        <w:rPr>
          <w:lang w:val="fr-FR"/>
        </w:rPr>
        <w:t> </w:t>
      </w:r>
      <w:r w:rsidRPr="00BD55EA">
        <w:rPr>
          <w:lang w:val="fr-FR"/>
        </w:rPr>
        <w:t>à</w:t>
      </w:r>
      <w:r w:rsidR="00DD1AB5">
        <w:rPr>
          <w:lang w:val="fr-FR"/>
        </w:rPr>
        <w:t> </w:t>
      </w:r>
      <w:r w:rsidRPr="00BD55EA">
        <w:rPr>
          <w:lang w:val="fr-FR"/>
        </w:rPr>
        <w:t>la</w:t>
      </w:r>
      <w:r w:rsidR="00DD1AB5">
        <w:rPr>
          <w:lang w:val="fr-FR"/>
        </w:rPr>
        <w:t> </w:t>
      </w:r>
      <w:r w:rsidRPr="00BD55EA">
        <w:rPr>
          <w:lang w:val="fr-FR"/>
        </w:rPr>
        <w:t>diffusion des rapports d</w:t>
      </w:r>
      <w:r w:rsidR="00B33A11">
        <w:rPr>
          <w:lang w:val="fr-FR"/>
        </w:rPr>
        <w:t>’</w:t>
      </w:r>
      <w:r w:rsidRPr="00BD55EA">
        <w:rPr>
          <w:lang w:val="fr-FR"/>
        </w:rPr>
        <w:t>évaluation, sur la base des frais de communication pour les</w:t>
      </w:r>
      <w:r w:rsidR="00DD1AB5">
        <w:rPr>
          <w:lang w:val="fr-FR"/>
        </w:rPr>
        <w:t> </w:t>
      </w:r>
      <w:r w:rsidRPr="00BD55EA">
        <w:rPr>
          <w:lang w:val="fr-FR"/>
        </w:rPr>
        <w:t>quatre</w:t>
      </w:r>
      <w:r w:rsidR="00DD1AB5">
        <w:rPr>
          <w:lang w:val="fr-FR"/>
        </w:rPr>
        <w:t> </w:t>
      </w:r>
      <w:r w:rsidRPr="00BD55EA">
        <w:rPr>
          <w:lang w:val="fr-FR"/>
        </w:rPr>
        <w:t>évaluations régionales et l</w:t>
      </w:r>
      <w:r w:rsidR="00B33A11">
        <w:rPr>
          <w:lang w:val="fr-FR"/>
        </w:rPr>
        <w:t>’</w:t>
      </w:r>
      <w:r w:rsidRPr="00BD55EA">
        <w:rPr>
          <w:lang w:val="fr-FR"/>
        </w:rPr>
        <w:t>évaluation de la dégradation et de la restauration des terres.</w:t>
      </w:r>
    </w:p>
    <w:p w14:paraId="079485E8" w14:textId="665D8A30" w:rsidR="00075479" w:rsidRPr="00BD55EA" w:rsidRDefault="00075479" w:rsidP="00DD1AB5">
      <w:pPr>
        <w:pStyle w:val="Normalnumber"/>
        <w:rPr>
          <w:lang w:val="fr-FR"/>
        </w:rPr>
      </w:pPr>
      <w:r w:rsidRPr="00BD55EA">
        <w:rPr>
          <w:lang w:val="fr-FR"/>
        </w:rPr>
        <w:t>Un budget-type pouvant s</w:t>
      </w:r>
      <w:r w:rsidR="00B33A11">
        <w:t>’</w:t>
      </w:r>
      <w:r w:rsidRPr="00BD55EA">
        <w:rPr>
          <w:lang w:val="fr-FR"/>
        </w:rPr>
        <w:t>appliquer à chacune des trois évaluations en attente figure dans l</w:t>
      </w:r>
      <w:r w:rsidR="00B33A11">
        <w:t>’</w:t>
      </w:r>
      <w:r w:rsidRPr="00BD55EA">
        <w:rPr>
          <w:lang w:val="fr-FR"/>
        </w:rPr>
        <w:t>annexe de la présente note. Ce budget-type repose sur les co</w:t>
      </w:r>
      <w:r w:rsidR="005161DF" w:rsidRPr="00BD55EA">
        <w:rPr>
          <w:lang w:val="fr-FR"/>
        </w:rPr>
        <w:t>nsidérations énoncées ci-dessus </w:t>
      </w:r>
      <w:r w:rsidRPr="00BD55EA">
        <w:rPr>
          <w:lang w:val="fr-FR"/>
        </w:rPr>
        <w:t>:</w:t>
      </w:r>
    </w:p>
    <w:p w14:paraId="67E1D797" w14:textId="3BC45556" w:rsidR="00075479" w:rsidRPr="00BD55EA" w:rsidRDefault="00075479" w:rsidP="00DD1AB5">
      <w:pPr>
        <w:pStyle w:val="Normalnumber"/>
        <w:numPr>
          <w:ilvl w:val="1"/>
          <w:numId w:val="5"/>
        </w:numPr>
        <w:rPr>
          <w:lang w:val="fr-FR"/>
        </w:rPr>
      </w:pPr>
      <w:r w:rsidRPr="00BD55EA">
        <w:rPr>
          <w:lang w:val="fr-FR"/>
        </w:rPr>
        <w:t>Chaque évaluation se déroulerait sur une période de trois ans</w:t>
      </w:r>
      <w:r w:rsidR="005161DF" w:rsidRPr="00BD55EA">
        <w:rPr>
          <w:lang w:val="fr-FR"/>
        </w:rPr>
        <w:t> </w:t>
      </w:r>
      <w:r w:rsidRPr="00BD55EA">
        <w:rPr>
          <w:lang w:val="fr-FR"/>
        </w:rPr>
        <w:t>;</w:t>
      </w:r>
    </w:p>
    <w:p w14:paraId="5E18B28A" w14:textId="518B14FD" w:rsidR="00075479" w:rsidRPr="00BD55EA" w:rsidRDefault="00075479" w:rsidP="00DD1AB5">
      <w:pPr>
        <w:pStyle w:val="Normalnumber"/>
        <w:numPr>
          <w:ilvl w:val="1"/>
          <w:numId w:val="5"/>
        </w:numPr>
        <w:rPr>
          <w:lang w:val="fr-FR"/>
        </w:rPr>
      </w:pPr>
      <w:r w:rsidRPr="00BD55EA">
        <w:rPr>
          <w:lang w:val="fr-FR"/>
        </w:rPr>
        <w:t>Chaque évaluation comprendrait trois réunions d</w:t>
      </w:r>
      <w:r w:rsidR="00B33A11">
        <w:rPr>
          <w:lang w:val="fr-FR"/>
        </w:rPr>
        <w:t>’</w:t>
      </w:r>
      <w:r w:rsidRPr="00BD55EA">
        <w:rPr>
          <w:lang w:val="fr-FR"/>
        </w:rPr>
        <w:t>auteurs ouvertes à tous auxquelles assisteraient systématiquement les auteurs principaux</w:t>
      </w:r>
      <w:r w:rsidR="005161DF" w:rsidRPr="00BD55EA">
        <w:rPr>
          <w:lang w:val="fr-FR"/>
        </w:rPr>
        <w:t> </w:t>
      </w:r>
      <w:r w:rsidRPr="00BD55EA">
        <w:rPr>
          <w:lang w:val="fr-FR"/>
        </w:rPr>
        <w:t>;</w:t>
      </w:r>
    </w:p>
    <w:p w14:paraId="74864D8B" w14:textId="05432E5E" w:rsidR="00075479" w:rsidRPr="00BD55EA" w:rsidRDefault="00075479" w:rsidP="00DD1AB5">
      <w:pPr>
        <w:pStyle w:val="Normalnumber"/>
        <w:numPr>
          <w:ilvl w:val="1"/>
          <w:numId w:val="5"/>
        </w:numPr>
        <w:rPr>
          <w:lang w:val="fr-FR"/>
        </w:rPr>
      </w:pPr>
      <w:r w:rsidRPr="00BD55EA">
        <w:rPr>
          <w:lang w:val="fr-FR"/>
        </w:rPr>
        <w:t>Chaque é</w:t>
      </w:r>
      <w:r w:rsidR="00E609AF">
        <w:rPr>
          <w:lang w:val="fr-FR"/>
        </w:rPr>
        <w:t>valuation réunirait au total 74 </w:t>
      </w:r>
      <w:r w:rsidRPr="00BD55EA">
        <w:rPr>
          <w:lang w:val="fr-FR"/>
        </w:rPr>
        <w:t>expe</w:t>
      </w:r>
      <w:r w:rsidR="00E609AF">
        <w:rPr>
          <w:lang w:val="fr-FR"/>
        </w:rPr>
        <w:t>rts (2 </w:t>
      </w:r>
      <w:r w:rsidR="00972336">
        <w:rPr>
          <w:lang w:val="fr-FR"/>
        </w:rPr>
        <w:t>coprésidents, 12</w:t>
      </w:r>
      <w:r w:rsidR="00DD1AB5">
        <w:rPr>
          <w:lang w:val="fr-FR"/>
        </w:rPr>
        <w:t> </w:t>
      </w:r>
      <w:r w:rsidR="00972336">
        <w:rPr>
          <w:lang w:val="fr-FR"/>
        </w:rPr>
        <w:t>auteurs</w:t>
      </w:r>
      <w:r w:rsidR="00972336">
        <w:rPr>
          <w:lang w:val="fr-FR"/>
        </w:rPr>
        <w:noBreakHyphen/>
      </w:r>
      <w:r w:rsidRPr="00BD55EA">
        <w:rPr>
          <w:lang w:val="fr-FR"/>
        </w:rPr>
        <w:t>coordonnateurs pri</w:t>
      </w:r>
      <w:r w:rsidR="00E609AF">
        <w:rPr>
          <w:lang w:val="fr-FR"/>
        </w:rPr>
        <w:t>ncipaux, 48 auteurs principaux et 12 </w:t>
      </w:r>
      <w:r w:rsidRPr="00BD55EA">
        <w:rPr>
          <w:lang w:val="fr-FR"/>
        </w:rPr>
        <w:t>éditeurs-réviseurs), soit</w:t>
      </w:r>
      <w:r w:rsidR="00E609AF">
        <w:rPr>
          <w:lang w:val="fr-FR"/>
        </w:rPr>
        <w:t xml:space="preserve"> 10 </w:t>
      </w:r>
      <w:r w:rsidR="005161DF" w:rsidRPr="00BD55EA">
        <w:rPr>
          <w:lang w:val="fr-FR"/>
        </w:rPr>
        <w:t>experts par chapitre, et 75 </w:t>
      </w:r>
      <w:r w:rsidRPr="00BD55EA">
        <w:rPr>
          <w:lang w:val="fr-FR"/>
        </w:rPr>
        <w:t>% des frais seraient financés au moyen du fonds d</w:t>
      </w:r>
      <w:r w:rsidR="00B33A11">
        <w:rPr>
          <w:lang w:val="fr-FR"/>
        </w:rPr>
        <w:t>’</w:t>
      </w:r>
      <w:r w:rsidRPr="00BD55EA">
        <w:rPr>
          <w:lang w:val="fr-FR"/>
        </w:rPr>
        <w:t>affectation spéciale</w:t>
      </w:r>
      <w:r w:rsidR="005161DF" w:rsidRPr="00BD55EA">
        <w:rPr>
          <w:lang w:val="fr-FR"/>
        </w:rPr>
        <w:t> </w:t>
      </w:r>
      <w:r w:rsidRPr="00BD55EA">
        <w:rPr>
          <w:lang w:val="fr-FR"/>
        </w:rPr>
        <w:t>;</w:t>
      </w:r>
    </w:p>
    <w:p w14:paraId="5F59BF89" w14:textId="3B2847F0" w:rsidR="00075479" w:rsidRPr="00BD55EA" w:rsidRDefault="00075479" w:rsidP="00DD1AB5">
      <w:pPr>
        <w:pStyle w:val="Normalnumber"/>
        <w:numPr>
          <w:ilvl w:val="1"/>
          <w:numId w:val="5"/>
        </w:numPr>
        <w:rPr>
          <w:lang w:val="fr-FR"/>
        </w:rPr>
      </w:pPr>
      <w:r w:rsidRPr="00BD55EA">
        <w:rPr>
          <w:lang w:val="fr-FR"/>
        </w:rPr>
        <w:lastRenderedPageBreak/>
        <w:t>Pour chaque évaluation serait créé un groupe d</w:t>
      </w:r>
      <w:r w:rsidR="00B33A11">
        <w:rPr>
          <w:lang w:val="fr-FR"/>
        </w:rPr>
        <w:t>’</w:t>
      </w:r>
      <w:r w:rsidRPr="00BD55EA">
        <w:rPr>
          <w:lang w:val="fr-FR"/>
        </w:rPr>
        <w:t>appui technique composé de deux</w:t>
      </w:r>
      <w:r w:rsidR="00DD1AB5">
        <w:rPr>
          <w:lang w:val="fr-FR"/>
        </w:rPr>
        <w:t> </w:t>
      </w:r>
      <w:r w:rsidRPr="00BD55EA">
        <w:rPr>
          <w:lang w:val="fr-FR"/>
        </w:rPr>
        <w:t>membres du personnel technique et programmatique et d</w:t>
      </w:r>
      <w:r w:rsidR="00B33A11">
        <w:rPr>
          <w:lang w:val="fr-FR"/>
        </w:rPr>
        <w:t>’</w:t>
      </w:r>
      <w:r w:rsidRPr="00BD55EA">
        <w:rPr>
          <w:lang w:val="fr-FR"/>
        </w:rPr>
        <w:t xml:space="preserve">un </w:t>
      </w:r>
      <w:r w:rsidR="00DF2E07">
        <w:rPr>
          <w:lang w:val="fr-FR"/>
        </w:rPr>
        <w:t>assistant administratif</w:t>
      </w:r>
      <w:r w:rsidRPr="00BD55EA">
        <w:rPr>
          <w:lang w:val="fr-FR"/>
        </w:rPr>
        <w:t xml:space="preserve"> à mi-temps</w:t>
      </w:r>
      <w:r w:rsidR="00DF2E07">
        <w:rPr>
          <w:lang w:val="fr-FR"/>
        </w:rPr>
        <w:t> </w:t>
      </w:r>
      <w:r w:rsidRPr="00BD55EA">
        <w:rPr>
          <w:lang w:val="fr-FR"/>
        </w:rPr>
        <w:t>; 50</w:t>
      </w:r>
      <w:r w:rsidR="005161DF" w:rsidRPr="00BD55EA">
        <w:rPr>
          <w:lang w:val="fr-FR"/>
        </w:rPr>
        <w:t> </w:t>
      </w:r>
      <w:r w:rsidRPr="00BD55EA">
        <w:rPr>
          <w:lang w:val="fr-FR"/>
        </w:rPr>
        <w:t>% des frais seraient financés au moyen du fonds d</w:t>
      </w:r>
      <w:r w:rsidR="00B33A11">
        <w:rPr>
          <w:lang w:val="fr-FR"/>
        </w:rPr>
        <w:t>’</w:t>
      </w:r>
      <w:r w:rsidRPr="00BD55EA">
        <w:rPr>
          <w:lang w:val="fr-FR"/>
        </w:rPr>
        <w:t>affectation spéciale et un montant identique serait apporté par une institution hôte, sous la forme d</w:t>
      </w:r>
      <w:r w:rsidR="00B33A11">
        <w:rPr>
          <w:lang w:val="fr-FR"/>
        </w:rPr>
        <w:t>’</w:t>
      </w:r>
      <w:r w:rsidRPr="00BD55EA">
        <w:rPr>
          <w:lang w:val="fr-FR"/>
        </w:rPr>
        <w:t>un appui en nature à la Plateforme</w:t>
      </w:r>
      <w:r w:rsidR="005161DF" w:rsidRPr="00BD55EA">
        <w:rPr>
          <w:lang w:val="fr-FR"/>
        </w:rPr>
        <w:t> </w:t>
      </w:r>
      <w:r w:rsidRPr="00BD55EA">
        <w:rPr>
          <w:lang w:val="fr-FR"/>
        </w:rPr>
        <w:t>;</w:t>
      </w:r>
    </w:p>
    <w:p w14:paraId="1115D64B" w14:textId="7A0B12B9" w:rsidR="00075479" w:rsidRPr="00BD55EA" w:rsidRDefault="005161DF" w:rsidP="00DD1AB5">
      <w:pPr>
        <w:pStyle w:val="Normalnumber"/>
        <w:numPr>
          <w:ilvl w:val="1"/>
          <w:numId w:val="5"/>
        </w:numPr>
        <w:rPr>
          <w:lang w:val="fr-FR"/>
        </w:rPr>
      </w:pPr>
      <w:r w:rsidRPr="00BD55EA">
        <w:rPr>
          <w:lang w:val="fr-FR"/>
        </w:rPr>
        <w:t>À</w:t>
      </w:r>
      <w:r w:rsidR="00075479" w:rsidRPr="00BD55EA">
        <w:rPr>
          <w:lang w:val="fr-FR"/>
        </w:rPr>
        <w:t xml:space="preserve"> chaque évaluation serait consacré un budget de communication pour la conception, l</w:t>
      </w:r>
      <w:r w:rsidR="00B33A11">
        <w:rPr>
          <w:lang w:val="fr-FR"/>
        </w:rPr>
        <w:t>’</w:t>
      </w:r>
      <w:r w:rsidR="00075479" w:rsidRPr="00BD55EA">
        <w:rPr>
          <w:lang w:val="fr-FR"/>
        </w:rPr>
        <w:t>impression, la communication et la diffusion des rapports d</w:t>
      </w:r>
      <w:r w:rsidR="00B33A11">
        <w:rPr>
          <w:lang w:val="fr-FR"/>
        </w:rPr>
        <w:t>’</w:t>
      </w:r>
      <w:r w:rsidR="00075479" w:rsidRPr="00BD55EA">
        <w:rPr>
          <w:lang w:val="fr-FR"/>
        </w:rPr>
        <w:t>évaluation.</w:t>
      </w:r>
    </w:p>
    <w:p w14:paraId="0DCAC7D4" w14:textId="31C8E306" w:rsidR="00075479" w:rsidRPr="00BD55EA" w:rsidRDefault="005B5000" w:rsidP="005B5000">
      <w:pPr>
        <w:pStyle w:val="CH1"/>
        <w:rPr>
          <w:rFonts w:eastAsia="MS Mincho"/>
        </w:rPr>
      </w:pPr>
      <w:r>
        <w:rPr>
          <w:lang w:val="fr-FR"/>
        </w:rPr>
        <w:tab/>
      </w:r>
      <w:r w:rsidR="00075479" w:rsidRPr="00BD55EA">
        <w:rPr>
          <w:lang w:val="fr-FR"/>
        </w:rPr>
        <w:t>II.</w:t>
      </w:r>
      <w:r w:rsidR="00075479" w:rsidRPr="00BD55EA">
        <w:rPr>
          <w:lang w:val="fr-FR"/>
        </w:rPr>
        <w:tab/>
        <w:t>Calendrier de lancement</w:t>
      </w:r>
    </w:p>
    <w:p w14:paraId="3760B58E" w14:textId="43E8E8B9" w:rsidR="00075479" w:rsidRPr="00BD55EA" w:rsidRDefault="00075479" w:rsidP="00DD1AB5">
      <w:pPr>
        <w:pStyle w:val="Normalnumber"/>
        <w:rPr>
          <w:lang w:val="fr-FR"/>
        </w:rPr>
      </w:pPr>
      <w:r w:rsidRPr="00BD55EA">
        <w:rPr>
          <w:lang w:val="fr-FR"/>
        </w:rPr>
        <w:t>Le Groupe d</w:t>
      </w:r>
      <w:r w:rsidR="00B33A11">
        <w:rPr>
          <w:lang w:val="fr-FR"/>
        </w:rPr>
        <w:t>’</w:t>
      </w:r>
      <w:r w:rsidRPr="00BD55EA">
        <w:rPr>
          <w:lang w:val="fr-FR"/>
        </w:rPr>
        <w:t xml:space="preserve">experts multidisciplinaire et le Bureau </w:t>
      </w:r>
      <w:r w:rsidR="0024494F">
        <w:rPr>
          <w:lang w:val="fr-FR"/>
        </w:rPr>
        <w:t>considèrent</w:t>
      </w:r>
      <w:r w:rsidRPr="00BD55EA">
        <w:rPr>
          <w:lang w:val="fr-FR"/>
        </w:rPr>
        <w:t xml:space="preserve"> qu</w:t>
      </w:r>
      <w:r w:rsidR="00B33A11">
        <w:rPr>
          <w:lang w:val="fr-FR"/>
        </w:rPr>
        <w:t>’</w:t>
      </w:r>
      <w:r w:rsidRPr="00BD55EA">
        <w:rPr>
          <w:lang w:val="fr-FR"/>
        </w:rPr>
        <w:t>au cas où elle déciderait de</w:t>
      </w:r>
      <w:r w:rsidR="00DD1AB5">
        <w:rPr>
          <w:lang w:val="fr-FR"/>
        </w:rPr>
        <w:t> </w:t>
      </w:r>
      <w:r w:rsidRPr="00BD55EA">
        <w:rPr>
          <w:lang w:val="fr-FR"/>
        </w:rPr>
        <w:t xml:space="preserve">lancer les trois évaluations en attente, la Plénière pourrait vouloir échelonner leur </w:t>
      </w:r>
      <w:r w:rsidR="005161DF" w:rsidRPr="00BD55EA">
        <w:rPr>
          <w:lang w:val="fr-FR"/>
        </w:rPr>
        <w:t>lancement selon l</w:t>
      </w:r>
      <w:r w:rsidR="00B33A11">
        <w:rPr>
          <w:lang w:val="fr-FR"/>
        </w:rPr>
        <w:t>’</w:t>
      </w:r>
      <w:r w:rsidR="005161DF" w:rsidRPr="00BD55EA">
        <w:rPr>
          <w:lang w:val="fr-FR"/>
        </w:rPr>
        <w:t>ordre suivant </w:t>
      </w:r>
      <w:r w:rsidRPr="00BD55EA">
        <w:rPr>
          <w:lang w:val="fr-FR"/>
        </w:rPr>
        <w:t>: lancement de deux évaluations à la sixième session de la Plénière, en 2018, et</w:t>
      </w:r>
      <w:r w:rsidR="00DD1AB5">
        <w:rPr>
          <w:lang w:val="fr-FR"/>
        </w:rPr>
        <w:t> </w:t>
      </w:r>
      <w:r w:rsidR="0024494F">
        <w:rPr>
          <w:lang w:val="fr-FR"/>
        </w:rPr>
        <w:t xml:space="preserve">lancement </w:t>
      </w:r>
      <w:r w:rsidRPr="00BD55EA">
        <w:rPr>
          <w:lang w:val="fr-FR"/>
        </w:rPr>
        <w:t xml:space="preserve">de la dernière </w:t>
      </w:r>
      <w:r w:rsidR="0024494F">
        <w:rPr>
          <w:lang w:val="fr-FR"/>
        </w:rPr>
        <w:t xml:space="preserve">évaluation </w:t>
      </w:r>
      <w:r w:rsidRPr="00BD55EA">
        <w:rPr>
          <w:lang w:val="fr-FR"/>
        </w:rPr>
        <w:t>à la septième session, en 2019. Cette proposition tend à éviter que plus de trois évaluations soient effectuées en parallèle, compte tenu des conclusions de l</w:t>
      </w:r>
      <w:r w:rsidR="00B33A11">
        <w:rPr>
          <w:lang w:val="fr-FR"/>
        </w:rPr>
        <w:t>’</w:t>
      </w:r>
      <w:r w:rsidRPr="00BD55EA">
        <w:rPr>
          <w:lang w:val="fr-FR"/>
        </w:rPr>
        <w:t>examen</w:t>
      </w:r>
      <w:r w:rsidR="00DD1AB5">
        <w:rPr>
          <w:lang w:val="fr-FR"/>
        </w:rPr>
        <w:t> </w:t>
      </w:r>
      <w:r w:rsidRPr="00BD55EA">
        <w:rPr>
          <w:lang w:val="fr-FR"/>
        </w:rPr>
        <w:t>interne (IPBES/6/INF/32) et de l</w:t>
      </w:r>
      <w:r w:rsidR="00B33A11">
        <w:rPr>
          <w:lang w:val="fr-FR"/>
        </w:rPr>
        <w:t>’</w:t>
      </w:r>
      <w:r w:rsidRPr="00BD55EA">
        <w:rPr>
          <w:lang w:val="fr-FR"/>
        </w:rPr>
        <w:t>évaluation mondiale qui sera présentée à la Plénière à</w:t>
      </w:r>
      <w:r w:rsidR="00DD1AB5">
        <w:rPr>
          <w:lang w:val="fr-FR"/>
        </w:rPr>
        <w:t> </w:t>
      </w:r>
      <w:r w:rsidRPr="00BD55EA">
        <w:rPr>
          <w:lang w:val="fr-FR"/>
        </w:rPr>
        <w:t>sa</w:t>
      </w:r>
      <w:r w:rsidR="00DD1AB5">
        <w:rPr>
          <w:lang w:val="fr-FR"/>
        </w:rPr>
        <w:t> </w:t>
      </w:r>
      <w:r w:rsidRPr="00BD55EA">
        <w:rPr>
          <w:lang w:val="fr-FR"/>
        </w:rPr>
        <w:t>septième</w:t>
      </w:r>
      <w:r w:rsidR="00DD1AB5">
        <w:rPr>
          <w:lang w:val="fr-FR"/>
        </w:rPr>
        <w:t> </w:t>
      </w:r>
      <w:r w:rsidRPr="00BD55EA">
        <w:rPr>
          <w:lang w:val="fr-FR"/>
        </w:rPr>
        <w:t>session.</w:t>
      </w:r>
      <w:bookmarkStart w:id="6" w:name="_Hlk499887067"/>
      <w:bookmarkEnd w:id="6"/>
    </w:p>
    <w:p w14:paraId="1421E281" w14:textId="29A0B9C3" w:rsidR="00075479" w:rsidRPr="00BD55EA" w:rsidRDefault="005B5000" w:rsidP="005B5000">
      <w:pPr>
        <w:pStyle w:val="CH1"/>
        <w:rPr>
          <w:rFonts w:eastAsia="MS Mincho"/>
          <w:b w:val="0"/>
          <w:lang w:val="fr-FR"/>
        </w:rPr>
      </w:pPr>
      <w:r>
        <w:rPr>
          <w:lang w:val="fr-FR"/>
        </w:rPr>
        <w:tab/>
      </w:r>
      <w:r w:rsidR="00075479" w:rsidRPr="00BD55EA">
        <w:rPr>
          <w:lang w:val="fr-FR"/>
        </w:rPr>
        <w:t>III.</w:t>
      </w:r>
      <w:r w:rsidR="00075479" w:rsidRPr="00BD55EA">
        <w:rPr>
          <w:lang w:val="fr-FR"/>
        </w:rPr>
        <w:tab/>
        <w:t>Mesures que pourrait prendre la Plénière</w:t>
      </w:r>
    </w:p>
    <w:p w14:paraId="72FB2123" w14:textId="70B3199D" w:rsidR="00075479" w:rsidRPr="00BD55EA" w:rsidRDefault="00075479" w:rsidP="00DD1AB5">
      <w:pPr>
        <w:pStyle w:val="Normalnumber"/>
        <w:rPr>
          <w:lang w:val="fr-FR"/>
        </w:rPr>
      </w:pPr>
      <w:r w:rsidRPr="00BD55EA">
        <w:rPr>
          <w:lang w:val="fr-FR"/>
        </w:rPr>
        <w:t>La Plénière souhaitera peut-être examiner les propositions formulées par le Groupe d</w:t>
      </w:r>
      <w:r w:rsidR="00B33A11">
        <w:t>’</w:t>
      </w:r>
      <w:r w:rsidRPr="00BD55EA">
        <w:rPr>
          <w:lang w:val="fr-FR"/>
        </w:rPr>
        <w:t xml:space="preserve">experts </w:t>
      </w:r>
      <w:r w:rsidR="005161DF" w:rsidRPr="00BD55EA">
        <w:rPr>
          <w:lang w:val="fr-FR"/>
        </w:rPr>
        <w:t>multidisciplinaire et le Bureau </w:t>
      </w:r>
      <w:r w:rsidRPr="00BD55EA">
        <w:rPr>
          <w:lang w:val="fr-FR"/>
        </w:rPr>
        <w:t>:</w:t>
      </w:r>
    </w:p>
    <w:p w14:paraId="27333759" w14:textId="3BF235F3" w:rsidR="00075479" w:rsidRPr="00BD55EA" w:rsidRDefault="00075479" w:rsidP="00DD1AB5">
      <w:pPr>
        <w:pStyle w:val="Normalnumber"/>
        <w:numPr>
          <w:ilvl w:val="1"/>
          <w:numId w:val="5"/>
        </w:numPr>
        <w:rPr>
          <w:lang w:val="fr-FR"/>
        </w:rPr>
      </w:pPr>
      <w:r w:rsidRPr="00BD55EA">
        <w:rPr>
          <w:lang w:val="fr-FR"/>
        </w:rPr>
        <w:t>Ne pas modifier l</w:t>
      </w:r>
      <w:r w:rsidR="00B33A11">
        <w:rPr>
          <w:lang w:val="fr-FR"/>
        </w:rPr>
        <w:t>’</w:t>
      </w:r>
      <w:r w:rsidRPr="00BD55EA">
        <w:rPr>
          <w:lang w:val="fr-FR"/>
        </w:rPr>
        <w:t>objectif des trois évaluations en attente</w:t>
      </w:r>
      <w:r w:rsidR="005161DF" w:rsidRPr="00BD55EA">
        <w:rPr>
          <w:lang w:val="fr-FR"/>
        </w:rPr>
        <w:t> </w:t>
      </w:r>
      <w:r w:rsidRPr="00BD55EA">
        <w:rPr>
          <w:lang w:val="fr-FR"/>
        </w:rPr>
        <w:t>;</w:t>
      </w:r>
    </w:p>
    <w:p w14:paraId="72DF2014" w14:textId="611ED666" w:rsidR="00075479" w:rsidRPr="00BD55EA" w:rsidRDefault="00075479" w:rsidP="00DD1AB5">
      <w:pPr>
        <w:pStyle w:val="Normalnumber"/>
        <w:numPr>
          <w:ilvl w:val="1"/>
          <w:numId w:val="5"/>
        </w:numPr>
        <w:rPr>
          <w:lang w:val="fr-FR"/>
        </w:rPr>
      </w:pPr>
      <w:r w:rsidRPr="00BD55EA">
        <w:rPr>
          <w:lang w:val="fr-FR"/>
        </w:rPr>
        <w:t>Réviser le coût de chaque évaluation en attente dans le cadre de l</w:t>
      </w:r>
      <w:r w:rsidR="00B33A11">
        <w:rPr>
          <w:lang w:val="fr-FR"/>
        </w:rPr>
        <w:t>’</w:t>
      </w:r>
      <w:r w:rsidRPr="00BD55EA">
        <w:rPr>
          <w:lang w:val="fr-FR"/>
        </w:rPr>
        <w:t>exam</w:t>
      </w:r>
      <w:r w:rsidR="001D1A57">
        <w:rPr>
          <w:lang w:val="fr-FR"/>
        </w:rPr>
        <w:t>en budgétaire au titre du point </w:t>
      </w:r>
      <w:r w:rsidRPr="00BD55EA">
        <w:rPr>
          <w:lang w:val="fr-FR"/>
        </w:rPr>
        <w:t>9 de l</w:t>
      </w:r>
      <w:r w:rsidR="00B33A11">
        <w:rPr>
          <w:lang w:val="fr-FR"/>
        </w:rPr>
        <w:t>’</w:t>
      </w:r>
      <w:r w:rsidRPr="00BD55EA">
        <w:rPr>
          <w:lang w:val="fr-FR"/>
        </w:rPr>
        <w:t>ordre du jour de la présente session de la Plénière</w:t>
      </w:r>
      <w:r w:rsidR="005161DF" w:rsidRPr="00BD55EA">
        <w:rPr>
          <w:lang w:val="fr-FR"/>
        </w:rPr>
        <w:t> </w:t>
      </w:r>
      <w:r w:rsidRPr="00BD55EA">
        <w:rPr>
          <w:lang w:val="fr-FR"/>
        </w:rPr>
        <w:t>;</w:t>
      </w:r>
    </w:p>
    <w:p w14:paraId="74DE9BCB" w14:textId="395AF5D8" w:rsidR="00075479" w:rsidRPr="00BD55EA" w:rsidRDefault="00075479" w:rsidP="00DD1AB5">
      <w:pPr>
        <w:pStyle w:val="Normalnumber"/>
        <w:numPr>
          <w:ilvl w:val="1"/>
          <w:numId w:val="5"/>
        </w:numPr>
        <w:rPr>
          <w:lang w:val="fr-FR"/>
        </w:rPr>
      </w:pPr>
      <w:r w:rsidRPr="00BD55EA">
        <w:rPr>
          <w:lang w:val="fr-FR"/>
        </w:rPr>
        <w:t>Envisager d</w:t>
      </w:r>
      <w:r w:rsidR="00B33A11">
        <w:rPr>
          <w:lang w:val="fr-FR"/>
        </w:rPr>
        <w:t>’</w:t>
      </w:r>
      <w:r w:rsidRPr="00BD55EA">
        <w:rPr>
          <w:lang w:val="fr-FR"/>
        </w:rPr>
        <w:t>échelonner le lancement des trois évaluations en</w:t>
      </w:r>
      <w:r w:rsidR="005161DF" w:rsidRPr="00BD55EA">
        <w:rPr>
          <w:lang w:val="fr-FR"/>
        </w:rPr>
        <w:t xml:space="preserve"> attente (les deux premières en </w:t>
      </w:r>
      <w:r w:rsidR="00E609AF">
        <w:rPr>
          <w:lang w:val="fr-FR"/>
        </w:rPr>
        <w:t>2018 et la dernière en </w:t>
      </w:r>
      <w:r w:rsidRPr="00BD55EA">
        <w:rPr>
          <w:lang w:val="fr-FR"/>
        </w:rPr>
        <w:t>2019).</w:t>
      </w:r>
    </w:p>
    <w:p w14:paraId="7C69382C" w14:textId="77777777" w:rsidR="005B5000" w:rsidRDefault="005B5000">
      <w:pPr>
        <w:tabs>
          <w:tab w:val="clear" w:pos="1247"/>
          <w:tab w:val="clear" w:pos="1814"/>
          <w:tab w:val="clear" w:pos="2381"/>
          <w:tab w:val="clear" w:pos="2948"/>
          <w:tab w:val="clear" w:pos="3515"/>
        </w:tabs>
        <w:rPr>
          <w:b/>
          <w:bCs/>
          <w:sz w:val="28"/>
          <w:szCs w:val="22"/>
          <w:lang w:val="fr-CA"/>
        </w:rPr>
      </w:pPr>
      <w:r>
        <w:br w:type="page"/>
      </w:r>
    </w:p>
    <w:p w14:paraId="55F872A9" w14:textId="432BA517" w:rsidR="00075479" w:rsidRPr="00BD55EA" w:rsidRDefault="00075479" w:rsidP="005B5000">
      <w:pPr>
        <w:pStyle w:val="ZZAnxheader"/>
        <w:rPr>
          <w:rFonts w:eastAsia="Calibri"/>
          <w:w w:val="103"/>
        </w:rPr>
      </w:pPr>
      <w:r w:rsidRPr="005B5000">
        <w:lastRenderedPageBreak/>
        <w:t>Annexe</w:t>
      </w:r>
      <w:bookmarkStart w:id="7" w:name="_Hlk499716434"/>
    </w:p>
    <w:p w14:paraId="375398E2" w14:textId="10CCF2E0" w:rsidR="00075479" w:rsidRPr="00BD55EA" w:rsidRDefault="00075479" w:rsidP="005B5000">
      <w:pPr>
        <w:pStyle w:val="ZZAnxtitle"/>
      </w:pPr>
      <w:r w:rsidRPr="00BD55EA">
        <w:t>Coût estimatif d</w:t>
      </w:r>
      <w:r w:rsidR="00B33A11">
        <w:t>’</w:t>
      </w:r>
      <w:r w:rsidRPr="00BD55EA">
        <w:t xml:space="preserve">une </w:t>
      </w:r>
      <w:r w:rsidRPr="005B5000">
        <w:t>évaluation</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3100"/>
        <w:gridCol w:w="3836"/>
        <w:gridCol w:w="1748"/>
      </w:tblGrid>
      <w:tr w:rsidR="005B5000" w:rsidRPr="00DD1AB5" w14:paraId="3866874F" w14:textId="77777777" w:rsidTr="00DD1AB5">
        <w:trPr>
          <w:tblHeader/>
          <w:jc w:val="right"/>
        </w:trPr>
        <w:tc>
          <w:tcPr>
            <w:tcW w:w="919" w:type="dxa"/>
            <w:shd w:val="clear" w:color="auto" w:fill="auto"/>
            <w:tcMar>
              <w:left w:w="28" w:type="dxa"/>
              <w:right w:w="28" w:type="dxa"/>
            </w:tcMar>
            <w:vAlign w:val="bottom"/>
          </w:tcPr>
          <w:bookmarkEnd w:id="7"/>
          <w:p w14:paraId="1D1CE7A0" w14:textId="77777777" w:rsidR="00075479" w:rsidRPr="00DD1AB5" w:rsidRDefault="00075479" w:rsidP="005B5000">
            <w:pPr>
              <w:pStyle w:val="Normal-pool"/>
              <w:spacing w:before="20" w:after="40"/>
              <w:rPr>
                <w:b/>
                <w:i/>
                <w:sz w:val="18"/>
                <w:szCs w:val="18"/>
              </w:rPr>
            </w:pPr>
            <w:r w:rsidRPr="00DD1AB5">
              <w:rPr>
                <w:b/>
                <w:i/>
                <w:sz w:val="18"/>
                <w:szCs w:val="18"/>
              </w:rPr>
              <w:t>Année</w:t>
            </w:r>
          </w:p>
        </w:tc>
        <w:tc>
          <w:tcPr>
            <w:tcW w:w="3016" w:type="dxa"/>
            <w:shd w:val="clear" w:color="auto" w:fill="auto"/>
            <w:tcMar>
              <w:left w:w="28" w:type="dxa"/>
              <w:right w:w="28" w:type="dxa"/>
            </w:tcMar>
            <w:vAlign w:val="bottom"/>
          </w:tcPr>
          <w:p w14:paraId="78EEB093" w14:textId="77777777" w:rsidR="00075479" w:rsidRPr="00DD1AB5" w:rsidRDefault="00075479" w:rsidP="005B5000">
            <w:pPr>
              <w:pStyle w:val="Normal-pool"/>
              <w:spacing w:before="20" w:after="40"/>
              <w:rPr>
                <w:b/>
                <w:i/>
                <w:sz w:val="18"/>
                <w:szCs w:val="18"/>
              </w:rPr>
            </w:pPr>
            <w:r w:rsidRPr="00DD1AB5">
              <w:rPr>
                <w:b/>
                <w:i/>
                <w:sz w:val="18"/>
                <w:szCs w:val="18"/>
              </w:rPr>
              <w:t>Poste de dépenses</w:t>
            </w:r>
          </w:p>
        </w:tc>
        <w:tc>
          <w:tcPr>
            <w:tcW w:w="3732" w:type="dxa"/>
            <w:shd w:val="clear" w:color="auto" w:fill="auto"/>
            <w:tcMar>
              <w:left w:w="28" w:type="dxa"/>
              <w:right w:w="28" w:type="dxa"/>
            </w:tcMar>
            <w:vAlign w:val="bottom"/>
          </w:tcPr>
          <w:p w14:paraId="77F8F43B" w14:textId="77777777" w:rsidR="00075479" w:rsidRPr="00DD1AB5" w:rsidRDefault="00075479" w:rsidP="005B5000">
            <w:pPr>
              <w:pStyle w:val="Normal-pool"/>
              <w:spacing w:before="20" w:after="40"/>
              <w:rPr>
                <w:b/>
                <w:i/>
                <w:sz w:val="18"/>
                <w:szCs w:val="18"/>
              </w:rPr>
            </w:pPr>
            <w:r w:rsidRPr="00DD1AB5">
              <w:rPr>
                <w:b/>
                <w:i/>
                <w:sz w:val="18"/>
                <w:szCs w:val="18"/>
              </w:rPr>
              <w:t>Hypothèses</w:t>
            </w:r>
          </w:p>
        </w:tc>
        <w:tc>
          <w:tcPr>
            <w:tcW w:w="1701" w:type="dxa"/>
            <w:shd w:val="clear" w:color="auto" w:fill="auto"/>
            <w:tcMar>
              <w:left w:w="28" w:type="dxa"/>
              <w:right w:w="28" w:type="dxa"/>
            </w:tcMar>
            <w:vAlign w:val="bottom"/>
          </w:tcPr>
          <w:p w14:paraId="24BE6CF4" w14:textId="3CAD65F7" w:rsidR="00075479" w:rsidRPr="00DD1AB5" w:rsidRDefault="00DD1AB5" w:rsidP="00DD1AB5">
            <w:pPr>
              <w:pStyle w:val="Normal-pool"/>
              <w:spacing w:before="20" w:after="40"/>
              <w:ind w:left="-57" w:right="-28"/>
              <w:jc w:val="right"/>
              <w:rPr>
                <w:b/>
                <w:i/>
                <w:sz w:val="18"/>
                <w:szCs w:val="18"/>
              </w:rPr>
            </w:pPr>
            <w:r>
              <w:rPr>
                <w:b/>
                <w:i/>
                <w:sz w:val="18"/>
                <w:szCs w:val="18"/>
              </w:rPr>
              <w:t xml:space="preserve">Coût estimé (en  </w:t>
            </w:r>
            <w:r>
              <w:rPr>
                <w:b/>
                <w:i/>
                <w:sz w:val="18"/>
                <w:szCs w:val="18"/>
              </w:rPr>
              <w:br/>
              <w:t>d</w:t>
            </w:r>
            <w:r w:rsidR="00075479" w:rsidRPr="00DD1AB5">
              <w:rPr>
                <w:b/>
                <w:i/>
                <w:sz w:val="18"/>
                <w:szCs w:val="18"/>
              </w:rPr>
              <w:t>ollars des États-Unis)</w:t>
            </w:r>
          </w:p>
        </w:tc>
      </w:tr>
      <w:tr w:rsidR="005B5000" w:rsidRPr="00DD1AB5" w14:paraId="3313AFCC" w14:textId="77777777" w:rsidTr="00DD1AB5">
        <w:trPr>
          <w:jc w:val="right"/>
        </w:trPr>
        <w:tc>
          <w:tcPr>
            <w:tcW w:w="919" w:type="dxa"/>
            <w:vMerge w:val="restart"/>
            <w:shd w:val="clear" w:color="auto" w:fill="auto"/>
            <w:tcMar>
              <w:left w:w="28" w:type="dxa"/>
              <w:right w:w="28" w:type="dxa"/>
            </w:tcMar>
          </w:tcPr>
          <w:p w14:paraId="5061C428" w14:textId="71144B2B" w:rsidR="00075479" w:rsidRPr="00DD1AB5" w:rsidRDefault="005161DF" w:rsidP="005B5000">
            <w:pPr>
              <w:pStyle w:val="Normal-pool"/>
              <w:spacing w:before="20" w:after="40"/>
              <w:rPr>
                <w:sz w:val="18"/>
                <w:szCs w:val="18"/>
              </w:rPr>
            </w:pPr>
            <w:r w:rsidRPr="00DD1AB5">
              <w:rPr>
                <w:sz w:val="18"/>
                <w:szCs w:val="18"/>
              </w:rPr>
              <w:t xml:space="preserve">Première </w:t>
            </w:r>
            <w:r w:rsidR="00075479" w:rsidRPr="00DD1AB5">
              <w:rPr>
                <w:sz w:val="18"/>
                <w:szCs w:val="18"/>
              </w:rPr>
              <w:t>année</w:t>
            </w:r>
          </w:p>
        </w:tc>
        <w:tc>
          <w:tcPr>
            <w:tcW w:w="3016" w:type="dxa"/>
            <w:vMerge w:val="restart"/>
            <w:shd w:val="clear" w:color="auto" w:fill="auto"/>
            <w:tcMar>
              <w:left w:w="28" w:type="dxa"/>
              <w:right w:w="28" w:type="dxa"/>
            </w:tcMar>
          </w:tcPr>
          <w:p w14:paraId="51AEFFEE" w14:textId="77C973BC" w:rsidR="00075479" w:rsidRPr="00DD1AB5" w:rsidRDefault="00075479" w:rsidP="005B5000">
            <w:pPr>
              <w:pStyle w:val="Normal-pool"/>
              <w:spacing w:before="20" w:after="40"/>
              <w:rPr>
                <w:sz w:val="18"/>
                <w:szCs w:val="18"/>
              </w:rPr>
            </w:pPr>
            <w:r w:rsidRPr="00DD1AB5">
              <w:rPr>
                <w:sz w:val="18"/>
                <w:szCs w:val="18"/>
              </w:rPr>
              <w:t>Réunion du comité de direction (2</w:t>
            </w:r>
            <w:r w:rsidR="005B5000" w:rsidRPr="00DD1AB5">
              <w:rPr>
                <w:sz w:val="18"/>
                <w:szCs w:val="18"/>
              </w:rPr>
              <w:t> </w:t>
            </w:r>
            <w:r w:rsidRPr="00DD1AB5">
              <w:rPr>
                <w:sz w:val="18"/>
                <w:szCs w:val="18"/>
              </w:rPr>
              <w:t>coprésidents, membres du secrétariat, groupe d</w:t>
            </w:r>
            <w:r w:rsidR="00B33A11" w:rsidRPr="00DD1AB5">
              <w:rPr>
                <w:sz w:val="18"/>
                <w:szCs w:val="18"/>
              </w:rPr>
              <w:t>’</w:t>
            </w:r>
            <w:r w:rsidRPr="00DD1AB5">
              <w:rPr>
                <w:sz w:val="18"/>
                <w:szCs w:val="18"/>
              </w:rPr>
              <w:t>appui technique, Groupe d</w:t>
            </w:r>
            <w:r w:rsidR="00B33A11" w:rsidRPr="00DD1AB5">
              <w:rPr>
                <w:sz w:val="18"/>
                <w:szCs w:val="18"/>
              </w:rPr>
              <w:t>’</w:t>
            </w:r>
            <w:r w:rsidRPr="00DD1AB5">
              <w:rPr>
                <w:sz w:val="18"/>
                <w:szCs w:val="18"/>
              </w:rPr>
              <w:t>experts multidisciplinaire et Bureau)</w:t>
            </w:r>
          </w:p>
        </w:tc>
        <w:tc>
          <w:tcPr>
            <w:tcW w:w="3732" w:type="dxa"/>
            <w:shd w:val="clear" w:color="auto" w:fill="auto"/>
            <w:tcMar>
              <w:left w:w="28" w:type="dxa"/>
              <w:right w:w="28" w:type="dxa"/>
            </w:tcMar>
          </w:tcPr>
          <w:p w14:paraId="419D3FA7" w14:textId="3462C2F9" w:rsidR="00075479" w:rsidRPr="00DD1AB5" w:rsidRDefault="00075479" w:rsidP="005B5000">
            <w:pPr>
              <w:pStyle w:val="Normal-pool"/>
              <w:spacing w:before="20" w:after="40"/>
              <w:rPr>
                <w:snapToGrid w:val="0"/>
                <w:sz w:val="18"/>
                <w:szCs w:val="18"/>
                <w:u w:val="single"/>
              </w:rPr>
            </w:pPr>
            <w:r w:rsidRPr="00DD1AB5">
              <w:rPr>
                <w:sz w:val="18"/>
                <w:szCs w:val="18"/>
              </w:rPr>
              <w:t>Frais d</w:t>
            </w:r>
            <w:r w:rsidR="00B33A11" w:rsidRPr="00DD1AB5">
              <w:rPr>
                <w:sz w:val="18"/>
                <w:szCs w:val="18"/>
              </w:rPr>
              <w:t>’</w:t>
            </w:r>
            <w:r w:rsidR="003A1EED">
              <w:rPr>
                <w:sz w:val="18"/>
                <w:szCs w:val="18"/>
              </w:rPr>
              <w:t>organisation (1/2 </w:t>
            </w:r>
            <w:r w:rsidRPr="00DD1AB5">
              <w:rPr>
                <w:sz w:val="18"/>
                <w:szCs w:val="18"/>
              </w:rPr>
              <w:t>semaine, 6</w:t>
            </w:r>
            <w:r w:rsidR="005B5000" w:rsidRPr="00DD1AB5">
              <w:rPr>
                <w:sz w:val="18"/>
                <w:szCs w:val="18"/>
              </w:rPr>
              <w:t> </w:t>
            </w:r>
            <w:r w:rsidRPr="00DD1AB5">
              <w:rPr>
                <w:sz w:val="18"/>
                <w:szCs w:val="18"/>
              </w:rPr>
              <w:t xml:space="preserve">participants, à Bonn) </w:t>
            </w:r>
          </w:p>
        </w:tc>
        <w:tc>
          <w:tcPr>
            <w:tcW w:w="1701" w:type="dxa"/>
            <w:shd w:val="clear" w:color="auto" w:fill="auto"/>
            <w:tcMar>
              <w:left w:w="28" w:type="dxa"/>
              <w:right w:w="28" w:type="dxa"/>
            </w:tcMar>
          </w:tcPr>
          <w:p w14:paraId="489FBC9D" w14:textId="77777777" w:rsidR="00075479" w:rsidRPr="00DD1AB5" w:rsidRDefault="00075479" w:rsidP="005B5000">
            <w:pPr>
              <w:pStyle w:val="Normal-pool"/>
              <w:spacing w:before="20" w:after="40"/>
              <w:jc w:val="right"/>
              <w:rPr>
                <w:sz w:val="18"/>
                <w:szCs w:val="18"/>
              </w:rPr>
            </w:pPr>
            <w:r w:rsidRPr="00DD1AB5">
              <w:rPr>
                <w:sz w:val="18"/>
                <w:szCs w:val="18"/>
              </w:rPr>
              <w:t>0</w:t>
            </w:r>
          </w:p>
        </w:tc>
      </w:tr>
      <w:tr w:rsidR="005B5000" w:rsidRPr="00DD1AB5" w14:paraId="015BB1BC" w14:textId="77777777" w:rsidTr="00DD1AB5">
        <w:trPr>
          <w:jc w:val="right"/>
        </w:trPr>
        <w:tc>
          <w:tcPr>
            <w:tcW w:w="919" w:type="dxa"/>
            <w:vMerge/>
            <w:shd w:val="clear" w:color="auto" w:fill="auto"/>
            <w:tcMar>
              <w:left w:w="28" w:type="dxa"/>
              <w:right w:w="28" w:type="dxa"/>
            </w:tcMar>
            <w:vAlign w:val="center"/>
          </w:tcPr>
          <w:p w14:paraId="154BFA02" w14:textId="77777777" w:rsidR="00075479" w:rsidRPr="00DD1AB5" w:rsidRDefault="00075479" w:rsidP="005B5000">
            <w:pPr>
              <w:pStyle w:val="Normal-pool"/>
              <w:spacing w:before="20" w:after="40"/>
              <w:rPr>
                <w:sz w:val="18"/>
                <w:szCs w:val="18"/>
                <w:lang w:val="en-GB"/>
              </w:rPr>
            </w:pPr>
          </w:p>
        </w:tc>
        <w:tc>
          <w:tcPr>
            <w:tcW w:w="3016" w:type="dxa"/>
            <w:vMerge/>
            <w:shd w:val="clear" w:color="auto" w:fill="auto"/>
            <w:tcMar>
              <w:left w:w="28" w:type="dxa"/>
              <w:right w:w="28" w:type="dxa"/>
            </w:tcMar>
          </w:tcPr>
          <w:p w14:paraId="1EC2CA7D" w14:textId="77777777" w:rsidR="00075479" w:rsidRPr="00DD1AB5" w:rsidRDefault="00075479" w:rsidP="005B5000">
            <w:pPr>
              <w:pStyle w:val="Normal-pool"/>
              <w:spacing w:before="20" w:after="40"/>
              <w:rPr>
                <w:sz w:val="18"/>
                <w:szCs w:val="18"/>
                <w:lang w:val="en-GB"/>
              </w:rPr>
            </w:pPr>
          </w:p>
        </w:tc>
        <w:tc>
          <w:tcPr>
            <w:tcW w:w="3732" w:type="dxa"/>
            <w:shd w:val="clear" w:color="auto" w:fill="auto"/>
            <w:tcMar>
              <w:left w:w="28" w:type="dxa"/>
              <w:right w:w="28" w:type="dxa"/>
            </w:tcMar>
          </w:tcPr>
          <w:p w14:paraId="31DED3E2" w14:textId="18CF0D26" w:rsidR="00075479" w:rsidRPr="00DD1AB5" w:rsidRDefault="00075479" w:rsidP="005B5000">
            <w:pPr>
              <w:pStyle w:val="Normal-pool"/>
              <w:spacing w:before="20" w:after="40"/>
              <w:rPr>
                <w:sz w:val="18"/>
                <w:szCs w:val="18"/>
              </w:rPr>
            </w:pPr>
            <w:r w:rsidRPr="00DD1AB5">
              <w:rPr>
                <w:sz w:val="18"/>
                <w:szCs w:val="18"/>
              </w:rPr>
              <w:t>Frais de voyage et indemnité jo</w:t>
            </w:r>
            <w:r w:rsidR="003A1EED">
              <w:rPr>
                <w:sz w:val="18"/>
                <w:szCs w:val="18"/>
              </w:rPr>
              <w:t>urnalière de subsistance pour 4 </w:t>
            </w:r>
            <w:r w:rsidRPr="00DD1AB5">
              <w:rPr>
                <w:sz w:val="18"/>
                <w:szCs w:val="18"/>
              </w:rPr>
              <w:t>participants bénéficiant d</w:t>
            </w:r>
            <w:r w:rsidR="00B33A11" w:rsidRPr="00DD1AB5">
              <w:rPr>
                <w:sz w:val="18"/>
                <w:szCs w:val="18"/>
              </w:rPr>
              <w:t>’</w:t>
            </w:r>
            <w:r w:rsidRPr="00DD1AB5">
              <w:rPr>
                <w:sz w:val="18"/>
                <w:szCs w:val="18"/>
              </w:rPr>
              <w:t xml:space="preserve">une aide </w:t>
            </w:r>
            <w:r w:rsidR="003A1EED">
              <w:rPr>
                <w:sz w:val="18"/>
                <w:szCs w:val="18"/>
              </w:rPr>
              <w:t>financière (4 x 3 </w:t>
            </w:r>
            <w:r w:rsidRPr="00DD1AB5">
              <w:rPr>
                <w:sz w:val="18"/>
                <w:szCs w:val="18"/>
              </w:rPr>
              <w:t>750 dollars)</w:t>
            </w:r>
          </w:p>
        </w:tc>
        <w:tc>
          <w:tcPr>
            <w:tcW w:w="1701" w:type="dxa"/>
            <w:shd w:val="clear" w:color="auto" w:fill="auto"/>
            <w:tcMar>
              <w:left w:w="28" w:type="dxa"/>
              <w:right w:w="28" w:type="dxa"/>
            </w:tcMar>
          </w:tcPr>
          <w:p w14:paraId="4C7360F7" w14:textId="37EF96E6" w:rsidR="00075479" w:rsidRPr="00DD1AB5" w:rsidRDefault="003A1EED" w:rsidP="005B5000">
            <w:pPr>
              <w:pStyle w:val="Normal-pool"/>
              <w:spacing w:before="20" w:after="40"/>
              <w:jc w:val="right"/>
              <w:rPr>
                <w:sz w:val="18"/>
                <w:szCs w:val="18"/>
              </w:rPr>
            </w:pPr>
            <w:r>
              <w:rPr>
                <w:sz w:val="18"/>
                <w:szCs w:val="18"/>
              </w:rPr>
              <w:t>15 </w:t>
            </w:r>
            <w:r w:rsidR="00075479" w:rsidRPr="00DD1AB5">
              <w:rPr>
                <w:sz w:val="18"/>
                <w:szCs w:val="18"/>
              </w:rPr>
              <w:t>000</w:t>
            </w:r>
          </w:p>
        </w:tc>
      </w:tr>
      <w:tr w:rsidR="005B5000" w:rsidRPr="00DD1AB5" w14:paraId="22B5AB3A" w14:textId="77777777" w:rsidTr="00DD1AB5">
        <w:trPr>
          <w:jc w:val="right"/>
        </w:trPr>
        <w:tc>
          <w:tcPr>
            <w:tcW w:w="919" w:type="dxa"/>
            <w:vMerge/>
            <w:shd w:val="clear" w:color="auto" w:fill="auto"/>
            <w:tcMar>
              <w:left w:w="28" w:type="dxa"/>
              <w:right w:w="28" w:type="dxa"/>
            </w:tcMar>
          </w:tcPr>
          <w:p w14:paraId="35BE3025" w14:textId="77777777" w:rsidR="00075479" w:rsidRPr="00DD1AB5" w:rsidRDefault="00075479" w:rsidP="005B5000">
            <w:pPr>
              <w:pStyle w:val="Normal-pool"/>
              <w:spacing w:before="20" w:after="40"/>
              <w:rPr>
                <w:sz w:val="18"/>
                <w:szCs w:val="18"/>
                <w:lang w:val="en-GB"/>
              </w:rPr>
            </w:pPr>
          </w:p>
        </w:tc>
        <w:tc>
          <w:tcPr>
            <w:tcW w:w="3016" w:type="dxa"/>
            <w:vMerge w:val="restart"/>
            <w:shd w:val="clear" w:color="auto" w:fill="auto"/>
            <w:tcMar>
              <w:left w:w="28" w:type="dxa"/>
              <w:right w:w="28" w:type="dxa"/>
            </w:tcMar>
          </w:tcPr>
          <w:p w14:paraId="5C49D3C8" w14:textId="06B82856" w:rsidR="00075479" w:rsidRPr="00DD1AB5" w:rsidRDefault="00075479" w:rsidP="005B5000">
            <w:pPr>
              <w:pStyle w:val="Normal-pool"/>
              <w:spacing w:before="20" w:after="40"/>
              <w:rPr>
                <w:sz w:val="18"/>
                <w:szCs w:val="18"/>
              </w:rPr>
            </w:pPr>
            <w:r w:rsidRPr="00DD1AB5">
              <w:rPr>
                <w:sz w:val="18"/>
                <w:szCs w:val="18"/>
              </w:rPr>
              <w:t>Première réunion des auteurs (2</w:t>
            </w:r>
            <w:r w:rsidR="005B5000" w:rsidRPr="00DD1AB5">
              <w:rPr>
                <w:sz w:val="18"/>
                <w:szCs w:val="18"/>
              </w:rPr>
              <w:t> </w:t>
            </w:r>
            <w:r w:rsidR="003A1EED">
              <w:rPr>
                <w:sz w:val="18"/>
                <w:szCs w:val="18"/>
              </w:rPr>
              <w:t>coprésidents, 12 </w:t>
            </w:r>
            <w:r w:rsidRPr="00DD1AB5">
              <w:rPr>
                <w:sz w:val="18"/>
                <w:szCs w:val="18"/>
              </w:rPr>
              <w:t>auteurs-coordonnateurs principaux, 48</w:t>
            </w:r>
            <w:r w:rsidR="005B5000" w:rsidRPr="00DD1AB5">
              <w:rPr>
                <w:sz w:val="18"/>
                <w:szCs w:val="18"/>
              </w:rPr>
              <w:t> </w:t>
            </w:r>
            <w:r w:rsidR="003A1EED">
              <w:rPr>
                <w:sz w:val="18"/>
                <w:szCs w:val="18"/>
              </w:rPr>
              <w:t>auteurs principaux et 6 </w:t>
            </w:r>
            <w:r w:rsidRPr="00DD1AB5">
              <w:rPr>
                <w:sz w:val="18"/>
                <w:szCs w:val="18"/>
              </w:rPr>
              <w:t>membres du Groupe d</w:t>
            </w:r>
            <w:r w:rsidR="00B33A11" w:rsidRPr="00DD1AB5">
              <w:rPr>
                <w:sz w:val="18"/>
                <w:szCs w:val="18"/>
              </w:rPr>
              <w:t>’</w:t>
            </w:r>
            <w:r w:rsidRPr="00DD1AB5">
              <w:rPr>
                <w:sz w:val="18"/>
                <w:szCs w:val="18"/>
              </w:rPr>
              <w:t>experts multidisciplinaire et du Bureau)</w:t>
            </w:r>
          </w:p>
        </w:tc>
        <w:tc>
          <w:tcPr>
            <w:tcW w:w="3732" w:type="dxa"/>
            <w:shd w:val="clear" w:color="auto" w:fill="auto"/>
            <w:tcMar>
              <w:left w:w="28" w:type="dxa"/>
              <w:right w:w="28" w:type="dxa"/>
            </w:tcMar>
          </w:tcPr>
          <w:p w14:paraId="174E8AE2" w14:textId="3133A981" w:rsidR="00075479" w:rsidRPr="00DD1AB5" w:rsidRDefault="00075479" w:rsidP="005B5000">
            <w:pPr>
              <w:pStyle w:val="Normal-pool"/>
              <w:spacing w:before="20" w:after="40"/>
              <w:rPr>
                <w:sz w:val="18"/>
                <w:szCs w:val="18"/>
              </w:rPr>
            </w:pPr>
            <w:r w:rsidRPr="00DD1AB5">
              <w:rPr>
                <w:sz w:val="18"/>
                <w:szCs w:val="18"/>
              </w:rPr>
              <w:t>Frais d</w:t>
            </w:r>
            <w:r w:rsidR="00B33A11" w:rsidRPr="00DD1AB5">
              <w:rPr>
                <w:sz w:val="18"/>
                <w:szCs w:val="18"/>
              </w:rPr>
              <w:t>’</w:t>
            </w:r>
            <w:r w:rsidRPr="00DD1AB5">
              <w:rPr>
                <w:sz w:val="18"/>
                <w:szCs w:val="18"/>
              </w:rPr>
              <w:t>o</w:t>
            </w:r>
            <w:r w:rsidR="003A1EED">
              <w:rPr>
                <w:sz w:val="18"/>
                <w:szCs w:val="18"/>
              </w:rPr>
              <w:t>rganisation (correspondant à 75 </w:t>
            </w:r>
            <w:r w:rsidRPr="00DD1AB5">
              <w:rPr>
                <w:sz w:val="18"/>
                <w:szCs w:val="18"/>
              </w:rPr>
              <w:t>%, à compléter par 25 % en nature</w:t>
            </w:r>
            <w:r w:rsidR="0024494F" w:rsidRPr="00DD1AB5">
              <w:rPr>
                <w:sz w:val="18"/>
                <w:szCs w:val="18"/>
              </w:rPr>
              <w:t> </w:t>
            </w:r>
            <w:r w:rsidRPr="00DD1AB5">
              <w:rPr>
                <w:sz w:val="18"/>
                <w:szCs w:val="18"/>
              </w:rPr>
              <w:t>; pour 68</w:t>
            </w:r>
            <w:r w:rsidR="005B5000" w:rsidRPr="00DD1AB5">
              <w:rPr>
                <w:sz w:val="18"/>
                <w:szCs w:val="18"/>
              </w:rPr>
              <w:t> </w:t>
            </w:r>
            <w:r w:rsidRPr="00DD1AB5">
              <w:rPr>
                <w:sz w:val="18"/>
                <w:szCs w:val="18"/>
              </w:rPr>
              <w:t xml:space="preserve">participants) </w:t>
            </w:r>
          </w:p>
        </w:tc>
        <w:tc>
          <w:tcPr>
            <w:tcW w:w="1701" w:type="dxa"/>
            <w:shd w:val="clear" w:color="auto" w:fill="auto"/>
            <w:tcMar>
              <w:left w:w="28" w:type="dxa"/>
              <w:right w:w="28" w:type="dxa"/>
            </w:tcMar>
          </w:tcPr>
          <w:p w14:paraId="3B32B0CE" w14:textId="76CC72B9" w:rsidR="00075479" w:rsidRPr="00DD1AB5" w:rsidRDefault="003A1EED" w:rsidP="005B5000">
            <w:pPr>
              <w:pStyle w:val="Normal-pool"/>
              <w:spacing w:before="20" w:after="40"/>
              <w:jc w:val="right"/>
              <w:rPr>
                <w:sz w:val="18"/>
                <w:szCs w:val="18"/>
              </w:rPr>
            </w:pPr>
            <w:r>
              <w:rPr>
                <w:sz w:val="18"/>
                <w:szCs w:val="18"/>
              </w:rPr>
              <w:t>18 </w:t>
            </w:r>
            <w:r w:rsidR="00075479" w:rsidRPr="00DD1AB5">
              <w:rPr>
                <w:sz w:val="18"/>
                <w:szCs w:val="18"/>
              </w:rPr>
              <w:t>750</w:t>
            </w:r>
          </w:p>
        </w:tc>
      </w:tr>
      <w:tr w:rsidR="005B5000" w:rsidRPr="00DD1AB5" w14:paraId="17930BFD" w14:textId="77777777" w:rsidTr="00DD1AB5">
        <w:trPr>
          <w:jc w:val="right"/>
        </w:trPr>
        <w:tc>
          <w:tcPr>
            <w:tcW w:w="919" w:type="dxa"/>
            <w:vMerge/>
            <w:shd w:val="clear" w:color="auto" w:fill="auto"/>
            <w:tcMar>
              <w:left w:w="28" w:type="dxa"/>
              <w:right w:w="28" w:type="dxa"/>
            </w:tcMar>
            <w:vAlign w:val="center"/>
          </w:tcPr>
          <w:p w14:paraId="2E768220" w14:textId="77777777" w:rsidR="00075479" w:rsidRPr="00DD1AB5" w:rsidRDefault="00075479" w:rsidP="005B5000">
            <w:pPr>
              <w:pStyle w:val="Normal-pool"/>
              <w:spacing w:before="20" w:after="40"/>
              <w:rPr>
                <w:sz w:val="18"/>
                <w:szCs w:val="18"/>
                <w:lang w:val="en-GB"/>
              </w:rPr>
            </w:pPr>
          </w:p>
        </w:tc>
        <w:tc>
          <w:tcPr>
            <w:tcW w:w="3016" w:type="dxa"/>
            <w:vMerge/>
            <w:shd w:val="clear" w:color="auto" w:fill="auto"/>
            <w:tcMar>
              <w:left w:w="28" w:type="dxa"/>
              <w:right w:w="28" w:type="dxa"/>
            </w:tcMar>
          </w:tcPr>
          <w:p w14:paraId="136AC5FE" w14:textId="77777777" w:rsidR="00075479" w:rsidRPr="00DD1AB5" w:rsidRDefault="00075479" w:rsidP="005B5000">
            <w:pPr>
              <w:pStyle w:val="Normal-pool"/>
              <w:spacing w:before="20" w:after="40"/>
              <w:rPr>
                <w:sz w:val="18"/>
                <w:szCs w:val="18"/>
                <w:lang w:val="en-GB"/>
              </w:rPr>
            </w:pPr>
          </w:p>
        </w:tc>
        <w:tc>
          <w:tcPr>
            <w:tcW w:w="3732" w:type="dxa"/>
            <w:shd w:val="clear" w:color="auto" w:fill="auto"/>
            <w:tcMar>
              <w:left w:w="28" w:type="dxa"/>
              <w:right w:w="28" w:type="dxa"/>
            </w:tcMar>
          </w:tcPr>
          <w:p w14:paraId="023A55E1" w14:textId="0154605E" w:rsidR="00075479" w:rsidRPr="00DD1AB5" w:rsidRDefault="00075479" w:rsidP="005B5000">
            <w:pPr>
              <w:pStyle w:val="Normal-pool"/>
              <w:spacing w:before="20" w:after="40"/>
              <w:rPr>
                <w:sz w:val="18"/>
                <w:szCs w:val="18"/>
              </w:rPr>
            </w:pPr>
            <w:r w:rsidRPr="00DD1AB5">
              <w:rPr>
                <w:sz w:val="18"/>
                <w:szCs w:val="18"/>
              </w:rPr>
              <w:t>Frais de voyage et indemnité</w:t>
            </w:r>
            <w:r w:rsidR="0024494F" w:rsidRPr="00DD1AB5">
              <w:rPr>
                <w:sz w:val="18"/>
                <w:szCs w:val="18"/>
              </w:rPr>
              <w:t xml:space="preserve"> journalière</w:t>
            </w:r>
            <w:r w:rsidR="003A1EED">
              <w:rPr>
                <w:sz w:val="18"/>
                <w:szCs w:val="18"/>
              </w:rPr>
              <w:t xml:space="preserve"> de subsistance pour 51 </w:t>
            </w:r>
            <w:r w:rsidRPr="00DD1AB5">
              <w:rPr>
                <w:sz w:val="18"/>
                <w:szCs w:val="18"/>
              </w:rPr>
              <w:t>participants bénéficiant d</w:t>
            </w:r>
            <w:r w:rsidR="00B33A11" w:rsidRPr="00DD1AB5">
              <w:rPr>
                <w:sz w:val="18"/>
                <w:szCs w:val="18"/>
              </w:rPr>
              <w:t>’</w:t>
            </w:r>
            <w:r w:rsidR="003A1EED">
              <w:rPr>
                <w:sz w:val="18"/>
                <w:szCs w:val="18"/>
              </w:rPr>
              <w:t>une aide financière (51 x 3 </w:t>
            </w:r>
            <w:r w:rsidRPr="00DD1AB5">
              <w:rPr>
                <w:sz w:val="18"/>
                <w:szCs w:val="18"/>
              </w:rPr>
              <w:t>750 dollars)</w:t>
            </w:r>
          </w:p>
        </w:tc>
        <w:tc>
          <w:tcPr>
            <w:tcW w:w="1701" w:type="dxa"/>
            <w:shd w:val="clear" w:color="auto" w:fill="auto"/>
            <w:tcMar>
              <w:left w:w="28" w:type="dxa"/>
              <w:right w:w="28" w:type="dxa"/>
            </w:tcMar>
          </w:tcPr>
          <w:p w14:paraId="12FD397C" w14:textId="46935192" w:rsidR="00075479" w:rsidRPr="00DD1AB5" w:rsidRDefault="003A1EED" w:rsidP="005B5000">
            <w:pPr>
              <w:pStyle w:val="Normal-pool"/>
              <w:spacing w:before="20" w:after="40"/>
              <w:jc w:val="right"/>
              <w:rPr>
                <w:sz w:val="18"/>
                <w:szCs w:val="18"/>
              </w:rPr>
            </w:pPr>
            <w:r>
              <w:rPr>
                <w:sz w:val="18"/>
                <w:szCs w:val="18"/>
              </w:rPr>
              <w:t>191 </w:t>
            </w:r>
            <w:r w:rsidR="00075479" w:rsidRPr="00DD1AB5">
              <w:rPr>
                <w:sz w:val="18"/>
                <w:szCs w:val="18"/>
              </w:rPr>
              <w:t>250</w:t>
            </w:r>
          </w:p>
        </w:tc>
      </w:tr>
      <w:tr w:rsidR="005B5000" w:rsidRPr="00DD1AB5" w14:paraId="6FF4332C" w14:textId="77777777" w:rsidTr="00DD1AB5">
        <w:trPr>
          <w:jc w:val="right"/>
        </w:trPr>
        <w:tc>
          <w:tcPr>
            <w:tcW w:w="919" w:type="dxa"/>
            <w:vMerge/>
            <w:shd w:val="clear" w:color="auto" w:fill="auto"/>
            <w:tcMar>
              <w:left w:w="28" w:type="dxa"/>
              <w:right w:w="28" w:type="dxa"/>
            </w:tcMar>
          </w:tcPr>
          <w:p w14:paraId="7F3FAD64" w14:textId="77777777" w:rsidR="00075479" w:rsidRPr="00DD1AB5" w:rsidRDefault="00075479" w:rsidP="005B5000">
            <w:pPr>
              <w:pStyle w:val="Normal-pool"/>
              <w:spacing w:before="20" w:after="40"/>
              <w:rPr>
                <w:sz w:val="18"/>
                <w:szCs w:val="18"/>
                <w:lang w:val="en-GB"/>
              </w:rPr>
            </w:pPr>
          </w:p>
        </w:tc>
        <w:tc>
          <w:tcPr>
            <w:tcW w:w="3016" w:type="dxa"/>
            <w:shd w:val="clear" w:color="auto" w:fill="auto"/>
            <w:tcMar>
              <w:left w:w="28" w:type="dxa"/>
              <w:right w:w="28" w:type="dxa"/>
            </w:tcMar>
          </w:tcPr>
          <w:p w14:paraId="48EBD648" w14:textId="39A8D93E" w:rsidR="00075479" w:rsidRPr="00DD1AB5" w:rsidRDefault="00075479" w:rsidP="005B5000">
            <w:pPr>
              <w:pStyle w:val="Normal-pool"/>
              <w:spacing w:before="20" w:after="40"/>
              <w:rPr>
                <w:b/>
                <w:sz w:val="18"/>
                <w:szCs w:val="18"/>
              </w:rPr>
            </w:pPr>
            <w:r w:rsidRPr="00DD1AB5">
              <w:rPr>
                <w:sz w:val="18"/>
                <w:szCs w:val="18"/>
              </w:rPr>
              <w:t>Groupe d</w:t>
            </w:r>
            <w:r w:rsidR="00B33A11" w:rsidRPr="00DD1AB5">
              <w:rPr>
                <w:sz w:val="18"/>
                <w:szCs w:val="18"/>
              </w:rPr>
              <w:t>’</w:t>
            </w:r>
            <w:r w:rsidRPr="00DD1AB5">
              <w:rPr>
                <w:sz w:val="18"/>
                <w:szCs w:val="18"/>
              </w:rPr>
              <w:t>appui technique</w:t>
            </w:r>
          </w:p>
        </w:tc>
        <w:tc>
          <w:tcPr>
            <w:tcW w:w="3732" w:type="dxa"/>
            <w:shd w:val="clear" w:color="auto" w:fill="auto"/>
            <w:tcMar>
              <w:left w:w="28" w:type="dxa"/>
              <w:right w:w="28" w:type="dxa"/>
            </w:tcMar>
          </w:tcPr>
          <w:p w14:paraId="1A8852DD" w14:textId="6DDC7DA6" w:rsidR="00075479" w:rsidRPr="00DD1AB5" w:rsidRDefault="00075479" w:rsidP="005B5000">
            <w:pPr>
              <w:pStyle w:val="Normal-pool"/>
              <w:spacing w:before="20" w:after="40"/>
              <w:rPr>
                <w:sz w:val="18"/>
                <w:szCs w:val="18"/>
              </w:rPr>
            </w:pPr>
            <w:r w:rsidRPr="00DD1AB5">
              <w:rPr>
                <w:sz w:val="18"/>
                <w:szCs w:val="18"/>
              </w:rPr>
              <w:t>Correspondant au coût d</w:t>
            </w:r>
            <w:r w:rsidR="00B33A11" w:rsidRPr="00DD1AB5">
              <w:rPr>
                <w:sz w:val="18"/>
                <w:szCs w:val="18"/>
              </w:rPr>
              <w:t>’</w:t>
            </w:r>
            <w:r w:rsidRPr="00DD1AB5">
              <w:rPr>
                <w:sz w:val="18"/>
                <w:szCs w:val="18"/>
              </w:rPr>
              <w:t>un poste d</w:t>
            </w:r>
            <w:r w:rsidR="00B33A11" w:rsidRPr="00DD1AB5">
              <w:rPr>
                <w:sz w:val="18"/>
                <w:szCs w:val="18"/>
              </w:rPr>
              <w:t>’</w:t>
            </w:r>
            <w:r w:rsidRPr="00DD1AB5">
              <w:rPr>
                <w:sz w:val="18"/>
                <w:szCs w:val="18"/>
              </w:rPr>
              <w:t>administrateur équivalent plein temps et d</w:t>
            </w:r>
            <w:r w:rsidR="00B33A11" w:rsidRPr="00DD1AB5">
              <w:rPr>
                <w:sz w:val="18"/>
                <w:szCs w:val="18"/>
              </w:rPr>
              <w:t>’</w:t>
            </w:r>
            <w:r w:rsidRPr="00DD1AB5">
              <w:rPr>
                <w:sz w:val="18"/>
                <w:szCs w:val="18"/>
              </w:rPr>
              <w:t>un poste d</w:t>
            </w:r>
            <w:r w:rsidR="00B33A11" w:rsidRPr="00DD1AB5">
              <w:rPr>
                <w:sz w:val="18"/>
                <w:szCs w:val="18"/>
              </w:rPr>
              <w:t>’</w:t>
            </w:r>
            <w:r w:rsidRPr="00DD1AB5">
              <w:rPr>
                <w:sz w:val="18"/>
                <w:szCs w:val="18"/>
              </w:rPr>
              <w:t>assistant administratif équivalent mi-temps, y compris voyage et frais généraux (à compléter par une offre en nature de valeur équivalente)</w:t>
            </w:r>
          </w:p>
        </w:tc>
        <w:tc>
          <w:tcPr>
            <w:tcW w:w="1701" w:type="dxa"/>
            <w:shd w:val="clear" w:color="auto" w:fill="auto"/>
            <w:tcMar>
              <w:left w:w="28" w:type="dxa"/>
              <w:right w:w="28" w:type="dxa"/>
            </w:tcMar>
          </w:tcPr>
          <w:p w14:paraId="7ADF9F6E" w14:textId="1405E889" w:rsidR="00075479" w:rsidRPr="00DD1AB5" w:rsidRDefault="003A1EED" w:rsidP="005B5000">
            <w:pPr>
              <w:pStyle w:val="Normal-pool"/>
              <w:spacing w:before="20" w:after="40"/>
              <w:jc w:val="right"/>
              <w:rPr>
                <w:b/>
                <w:sz w:val="18"/>
                <w:szCs w:val="18"/>
              </w:rPr>
            </w:pPr>
            <w:r>
              <w:rPr>
                <w:sz w:val="18"/>
                <w:szCs w:val="18"/>
              </w:rPr>
              <w:t>150 </w:t>
            </w:r>
            <w:r w:rsidR="00075479" w:rsidRPr="00DD1AB5">
              <w:rPr>
                <w:sz w:val="18"/>
                <w:szCs w:val="18"/>
              </w:rPr>
              <w:t>000</w:t>
            </w:r>
          </w:p>
        </w:tc>
      </w:tr>
      <w:tr w:rsidR="005B5000" w:rsidRPr="00DD1AB5" w14:paraId="436C9D6E" w14:textId="77777777" w:rsidTr="00DD1AB5">
        <w:trPr>
          <w:jc w:val="right"/>
        </w:trPr>
        <w:tc>
          <w:tcPr>
            <w:tcW w:w="919" w:type="dxa"/>
            <w:shd w:val="clear" w:color="auto" w:fill="auto"/>
            <w:tcMar>
              <w:left w:w="28" w:type="dxa"/>
              <w:right w:w="28" w:type="dxa"/>
            </w:tcMar>
          </w:tcPr>
          <w:p w14:paraId="065C14B3" w14:textId="77777777" w:rsidR="00075479" w:rsidRPr="00DD1AB5" w:rsidRDefault="00075479" w:rsidP="005B5000">
            <w:pPr>
              <w:pStyle w:val="Normal-pool"/>
              <w:spacing w:before="20" w:after="40"/>
              <w:rPr>
                <w:sz w:val="18"/>
                <w:szCs w:val="18"/>
                <w:lang w:val="en-GB"/>
              </w:rPr>
            </w:pPr>
          </w:p>
        </w:tc>
        <w:tc>
          <w:tcPr>
            <w:tcW w:w="3016" w:type="dxa"/>
            <w:shd w:val="clear" w:color="auto" w:fill="auto"/>
            <w:tcMar>
              <w:left w:w="28" w:type="dxa"/>
              <w:right w:w="28" w:type="dxa"/>
            </w:tcMar>
          </w:tcPr>
          <w:p w14:paraId="1592D84B" w14:textId="77777777" w:rsidR="00075479" w:rsidRPr="00DD1AB5" w:rsidRDefault="00075479" w:rsidP="005B5000">
            <w:pPr>
              <w:pStyle w:val="Normal-pool"/>
              <w:spacing w:before="20" w:after="40"/>
              <w:rPr>
                <w:b/>
                <w:sz w:val="18"/>
                <w:szCs w:val="18"/>
              </w:rPr>
            </w:pPr>
            <w:r w:rsidRPr="00DD1AB5">
              <w:rPr>
                <w:b/>
                <w:sz w:val="18"/>
                <w:szCs w:val="18"/>
              </w:rPr>
              <w:t>Total première année</w:t>
            </w:r>
          </w:p>
        </w:tc>
        <w:tc>
          <w:tcPr>
            <w:tcW w:w="3732" w:type="dxa"/>
            <w:shd w:val="clear" w:color="auto" w:fill="auto"/>
            <w:tcMar>
              <w:left w:w="28" w:type="dxa"/>
              <w:right w:w="28" w:type="dxa"/>
            </w:tcMar>
          </w:tcPr>
          <w:p w14:paraId="3D8070BD" w14:textId="77777777" w:rsidR="00075479" w:rsidRPr="00DD1AB5" w:rsidRDefault="00075479" w:rsidP="005B5000">
            <w:pPr>
              <w:pStyle w:val="Normal-pool"/>
              <w:spacing w:before="20" w:after="40"/>
              <w:rPr>
                <w:b/>
                <w:sz w:val="18"/>
                <w:szCs w:val="18"/>
                <w:lang w:val="en-GB"/>
              </w:rPr>
            </w:pPr>
          </w:p>
        </w:tc>
        <w:tc>
          <w:tcPr>
            <w:tcW w:w="1701" w:type="dxa"/>
            <w:shd w:val="clear" w:color="auto" w:fill="auto"/>
            <w:tcMar>
              <w:left w:w="28" w:type="dxa"/>
              <w:right w:w="28" w:type="dxa"/>
            </w:tcMar>
          </w:tcPr>
          <w:p w14:paraId="0371E50C" w14:textId="21FB35BF" w:rsidR="00075479" w:rsidRPr="00DD1AB5" w:rsidRDefault="003A1EED" w:rsidP="005B5000">
            <w:pPr>
              <w:pStyle w:val="Normal-pool"/>
              <w:spacing w:before="20" w:after="40"/>
              <w:jc w:val="right"/>
              <w:rPr>
                <w:b/>
                <w:sz w:val="18"/>
                <w:szCs w:val="18"/>
              </w:rPr>
            </w:pPr>
            <w:r>
              <w:rPr>
                <w:b/>
                <w:sz w:val="18"/>
                <w:szCs w:val="18"/>
              </w:rPr>
              <w:t>375 </w:t>
            </w:r>
            <w:r w:rsidR="00075479" w:rsidRPr="00DD1AB5">
              <w:rPr>
                <w:b/>
                <w:sz w:val="18"/>
                <w:szCs w:val="18"/>
              </w:rPr>
              <w:t>000</w:t>
            </w:r>
          </w:p>
        </w:tc>
      </w:tr>
      <w:tr w:rsidR="005B5000" w:rsidRPr="00DD1AB5" w14:paraId="62D7225A" w14:textId="77777777" w:rsidTr="00DD1AB5">
        <w:trPr>
          <w:jc w:val="right"/>
        </w:trPr>
        <w:tc>
          <w:tcPr>
            <w:tcW w:w="919" w:type="dxa"/>
            <w:vMerge w:val="restart"/>
            <w:shd w:val="clear" w:color="auto" w:fill="auto"/>
            <w:tcMar>
              <w:left w:w="28" w:type="dxa"/>
              <w:right w:w="28" w:type="dxa"/>
            </w:tcMar>
          </w:tcPr>
          <w:p w14:paraId="38E054E9" w14:textId="77777777" w:rsidR="00075479" w:rsidRPr="00DD1AB5" w:rsidRDefault="00075479" w:rsidP="005B5000">
            <w:pPr>
              <w:pStyle w:val="Normal-pool"/>
              <w:spacing w:before="20" w:after="40"/>
              <w:rPr>
                <w:sz w:val="18"/>
                <w:szCs w:val="18"/>
              </w:rPr>
            </w:pPr>
            <w:r w:rsidRPr="00DD1AB5">
              <w:rPr>
                <w:sz w:val="18"/>
                <w:szCs w:val="18"/>
              </w:rPr>
              <w:t>Deuxième année</w:t>
            </w:r>
          </w:p>
        </w:tc>
        <w:tc>
          <w:tcPr>
            <w:tcW w:w="3016" w:type="dxa"/>
            <w:vMerge w:val="restart"/>
            <w:shd w:val="clear" w:color="auto" w:fill="auto"/>
            <w:tcMar>
              <w:left w:w="28" w:type="dxa"/>
              <w:right w:w="28" w:type="dxa"/>
            </w:tcMar>
          </w:tcPr>
          <w:p w14:paraId="11264138" w14:textId="332437F1" w:rsidR="00075479" w:rsidRPr="00DD1AB5" w:rsidRDefault="00075479" w:rsidP="005B5000">
            <w:pPr>
              <w:pStyle w:val="Normal-pool"/>
              <w:spacing w:before="20" w:after="40"/>
              <w:rPr>
                <w:sz w:val="18"/>
                <w:szCs w:val="18"/>
              </w:rPr>
            </w:pPr>
            <w:r w:rsidRPr="00DD1AB5">
              <w:rPr>
                <w:sz w:val="18"/>
                <w:szCs w:val="18"/>
              </w:rPr>
              <w:t>Deuxième réunion des auteurs (2</w:t>
            </w:r>
            <w:r w:rsidR="005B5000" w:rsidRPr="00DD1AB5">
              <w:rPr>
                <w:sz w:val="18"/>
                <w:szCs w:val="18"/>
              </w:rPr>
              <w:t> </w:t>
            </w:r>
            <w:r w:rsidR="003A1EED">
              <w:rPr>
                <w:sz w:val="18"/>
                <w:szCs w:val="18"/>
              </w:rPr>
              <w:t>coprésidents, 12 </w:t>
            </w:r>
            <w:r w:rsidRPr="00DD1AB5">
              <w:rPr>
                <w:sz w:val="18"/>
                <w:szCs w:val="18"/>
              </w:rPr>
              <w:t>auteurs-</w:t>
            </w:r>
            <w:r w:rsidR="005B5000" w:rsidRPr="00DD1AB5">
              <w:rPr>
                <w:sz w:val="18"/>
                <w:szCs w:val="18"/>
              </w:rPr>
              <w:t>c</w:t>
            </w:r>
            <w:r w:rsidRPr="00DD1AB5">
              <w:rPr>
                <w:sz w:val="18"/>
                <w:szCs w:val="18"/>
              </w:rPr>
              <w:t>oordonnateurs princi</w:t>
            </w:r>
            <w:r w:rsidR="003A1EED">
              <w:rPr>
                <w:sz w:val="18"/>
                <w:szCs w:val="18"/>
              </w:rPr>
              <w:t>paux, 48 auteurs principaux, 12 </w:t>
            </w:r>
            <w:r w:rsidRPr="00DD1AB5">
              <w:rPr>
                <w:sz w:val="18"/>
                <w:szCs w:val="18"/>
              </w:rPr>
              <w:t>éditeurs-réviseurs et 6</w:t>
            </w:r>
            <w:r w:rsidR="005B5000" w:rsidRPr="00DD1AB5">
              <w:rPr>
                <w:sz w:val="18"/>
                <w:szCs w:val="18"/>
              </w:rPr>
              <w:t> </w:t>
            </w:r>
            <w:r w:rsidRPr="00DD1AB5">
              <w:rPr>
                <w:sz w:val="18"/>
                <w:szCs w:val="18"/>
              </w:rPr>
              <w:t>membres du Groupe d</w:t>
            </w:r>
            <w:r w:rsidR="00B33A11" w:rsidRPr="00DD1AB5">
              <w:rPr>
                <w:sz w:val="18"/>
                <w:szCs w:val="18"/>
              </w:rPr>
              <w:t>’</w:t>
            </w:r>
            <w:r w:rsidRPr="00DD1AB5">
              <w:rPr>
                <w:sz w:val="18"/>
                <w:szCs w:val="18"/>
              </w:rPr>
              <w:t>experts multidisciplinaire et du Bureau)</w:t>
            </w:r>
          </w:p>
        </w:tc>
        <w:tc>
          <w:tcPr>
            <w:tcW w:w="3732" w:type="dxa"/>
            <w:shd w:val="clear" w:color="auto" w:fill="auto"/>
            <w:tcMar>
              <w:left w:w="28" w:type="dxa"/>
              <w:right w:w="28" w:type="dxa"/>
            </w:tcMar>
          </w:tcPr>
          <w:p w14:paraId="03A0BB44" w14:textId="22A54577" w:rsidR="00075479" w:rsidRPr="00DD1AB5" w:rsidRDefault="00075479" w:rsidP="005B5000">
            <w:pPr>
              <w:pStyle w:val="Normal-pool"/>
              <w:spacing w:before="20" w:after="40"/>
              <w:rPr>
                <w:sz w:val="18"/>
                <w:szCs w:val="18"/>
              </w:rPr>
            </w:pPr>
            <w:r w:rsidRPr="00DD1AB5">
              <w:rPr>
                <w:sz w:val="18"/>
                <w:szCs w:val="18"/>
              </w:rPr>
              <w:t>Frais d</w:t>
            </w:r>
            <w:r w:rsidR="00B33A11" w:rsidRPr="00DD1AB5">
              <w:rPr>
                <w:sz w:val="18"/>
                <w:szCs w:val="18"/>
              </w:rPr>
              <w:t>’</w:t>
            </w:r>
            <w:r w:rsidRPr="00DD1AB5">
              <w:rPr>
                <w:sz w:val="18"/>
                <w:szCs w:val="18"/>
              </w:rPr>
              <w:t>o</w:t>
            </w:r>
            <w:r w:rsidR="003A1EED">
              <w:rPr>
                <w:sz w:val="18"/>
                <w:szCs w:val="18"/>
              </w:rPr>
              <w:t>rganisation (correspondant à 75 </w:t>
            </w:r>
            <w:r w:rsidRPr="00DD1AB5">
              <w:rPr>
                <w:sz w:val="18"/>
                <w:szCs w:val="18"/>
              </w:rPr>
              <w:t>%, à compléter</w:t>
            </w:r>
            <w:r w:rsidR="003A1EED">
              <w:rPr>
                <w:sz w:val="18"/>
                <w:szCs w:val="18"/>
              </w:rPr>
              <w:t xml:space="preserve"> par 25 </w:t>
            </w:r>
            <w:r w:rsidRPr="00DD1AB5">
              <w:rPr>
                <w:sz w:val="18"/>
                <w:szCs w:val="18"/>
              </w:rPr>
              <w:t>% en nature; pour 80</w:t>
            </w:r>
            <w:r w:rsidR="005B5000" w:rsidRPr="00DD1AB5">
              <w:rPr>
                <w:sz w:val="18"/>
                <w:szCs w:val="18"/>
              </w:rPr>
              <w:t> </w:t>
            </w:r>
            <w:r w:rsidRPr="00DD1AB5">
              <w:rPr>
                <w:sz w:val="18"/>
                <w:szCs w:val="18"/>
              </w:rPr>
              <w:t>participants)</w:t>
            </w:r>
          </w:p>
        </w:tc>
        <w:tc>
          <w:tcPr>
            <w:tcW w:w="1701" w:type="dxa"/>
            <w:shd w:val="clear" w:color="auto" w:fill="auto"/>
            <w:tcMar>
              <w:left w:w="28" w:type="dxa"/>
              <w:right w:w="28" w:type="dxa"/>
            </w:tcMar>
          </w:tcPr>
          <w:p w14:paraId="483CE2D7" w14:textId="0027F5B2" w:rsidR="00075479" w:rsidRPr="00DD1AB5" w:rsidRDefault="003A1EED" w:rsidP="005B5000">
            <w:pPr>
              <w:pStyle w:val="Normal-pool"/>
              <w:spacing w:before="20" w:after="40"/>
              <w:jc w:val="right"/>
              <w:rPr>
                <w:sz w:val="18"/>
                <w:szCs w:val="18"/>
              </w:rPr>
            </w:pPr>
            <w:r>
              <w:rPr>
                <w:sz w:val="18"/>
                <w:szCs w:val="18"/>
              </w:rPr>
              <w:t>20 </w:t>
            </w:r>
            <w:r w:rsidR="00075479" w:rsidRPr="00DD1AB5">
              <w:rPr>
                <w:sz w:val="18"/>
                <w:szCs w:val="18"/>
              </w:rPr>
              <w:t>000</w:t>
            </w:r>
          </w:p>
        </w:tc>
      </w:tr>
      <w:tr w:rsidR="005B5000" w:rsidRPr="00DD1AB5" w14:paraId="6E7651E8" w14:textId="77777777" w:rsidTr="00DD1AB5">
        <w:trPr>
          <w:jc w:val="right"/>
        </w:trPr>
        <w:tc>
          <w:tcPr>
            <w:tcW w:w="919" w:type="dxa"/>
            <w:vMerge/>
            <w:shd w:val="clear" w:color="auto" w:fill="auto"/>
            <w:tcMar>
              <w:left w:w="28" w:type="dxa"/>
              <w:right w:w="28" w:type="dxa"/>
            </w:tcMar>
            <w:vAlign w:val="center"/>
          </w:tcPr>
          <w:p w14:paraId="724DC523" w14:textId="77777777" w:rsidR="00075479" w:rsidRPr="00DD1AB5" w:rsidRDefault="00075479" w:rsidP="005B5000">
            <w:pPr>
              <w:pStyle w:val="Normal-pool"/>
              <w:spacing w:before="20" w:after="40"/>
              <w:rPr>
                <w:sz w:val="18"/>
                <w:szCs w:val="18"/>
                <w:lang w:val="en-GB"/>
              </w:rPr>
            </w:pPr>
          </w:p>
        </w:tc>
        <w:tc>
          <w:tcPr>
            <w:tcW w:w="3016" w:type="dxa"/>
            <w:vMerge/>
            <w:shd w:val="clear" w:color="auto" w:fill="auto"/>
            <w:tcMar>
              <w:left w:w="28" w:type="dxa"/>
              <w:right w:w="28" w:type="dxa"/>
            </w:tcMar>
          </w:tcPr>
          <w:p w14:paraId="2C90C5E1" w14:textId="77777777" w:rsidR="00075479" w:rsidRPr="00DD1AB5" w:rsidRDefault="00075479" w:rsidP="005B5000">
            <w:pPr>
              <w:pStyle w:val="Normal-pool"/>
              <w:spacing w:before="20" w:after="40"/>
              <w:rPr>
                <w:sz w:val="18"/>
                <w:szCs w:val="18"/>
                <w:lang w:val="en-GB"/>
              </w:rPr>
            </w:pPr>
          </w:p>
        </w:tc>
        <w:tc>
          <w:tcPr>
            <w:tcW w:w="3732" w:type="dxa"/>
            <w:shd w:val="clear" w:color="auto" w:fill="auto"/>
            <w:tcMar>
              <w:left w:w="28" w:type="dxa"/>
              <w:right w:w="28" w:type="dxa"/>
            </w:tcMar>
          </w:tcPr>
          <w:p w14:paraId="49040D73" w14:textId="6166274B" w:rsidR="00075479" w:rsidRPr="00DD1AB5" w:rsidRDefault="00075479" w:rsidP="005B5000">
            <w:pPr>
              <w:pStyle w:val="Normal-pool"/>
              <w:spacing w:before="20" w:after="40"/>
              <w:rPr>
                <w:sz w:val="18"/>
                <w:szCs w:val="18"/>
              </w:rPr>
            </w:pPr>
            <w:r w:rsidRPr="00DD1AB5">
              <w:rPr>
                <w:sz w:val="18"/>
                <w:szCs w:val="18"/>
              </w:rPr>
              <w:t>Frais de voyage et indemnité jou</w:t>
            </w:r>
            <w:r w:rsidR="003A1EED">
              <w:rPr>
                <w:sz w:val="18"/>
                <w:szCs w:val="18"/>
              </w:rPr>
              <w:t>rnalière de subsistance pour 60 </w:t>
            </w:r>
            <w:r w:rsidRPr="00DD1AB5">
              <w:rPr>
                <w:sz w:val="18"/>
                <w:szCs w:val="18"/>
              </w:rPr>
              <w:t>participants bénéficiant d</w:t>
            </w:r>
            <w:r w:rsidR="00B33A11" w:rsidRPr="00DD1AB5">
              <w:rPr>
                <w:sz w:val="18"/>
                <w:szCs w:val="18"/>
              </w:rPr>
              <w:t>’</w:t>
            </w:r>
            <w:r w:rsidR="003A1EED">
              <w:rPr>
                <w:sz w:val="18"/>
                <w:szCs w:val="18"/>
              </w:rPr>
              <w:t>une aide financière (60 </w:t>
            </w:r>
            <w:r w:rsidRPr="00DD1AB5">
              <w:rPr>
                <w:sz w:val="18"/>
                <w:szCs w:val="18"/>
              </w:rPr>
              <w:t>x 3 750 dollars)</w:t>
            </w:r>
          </w:p>
        </w:tc>
        <w:tc>
          <w:tcPr>
            <w:tcW w:w="1701" w:type="dxa"/>
            <w:shd w:val="clear" w:color="auto" w:fill="auto"/>
            <w:tcMar>
              <w:left w:w="28" w:type="dxa"/>
              <w:right w:w="28" w:type="dxa"/>
            </w:tcMar>
          </w:tcPr>
          <w:p w14:paraId="3B84BDE8" w14:textId="5C257EF2" w:rsidR="00075479" w:rsidRPr="00DD1AB5" w:rsidRDefault="003A1EED" w:rsidP="005B5000">
            <w:pPr>
              <w:pStyle w:val="Normal-pool"/>
              <w:spacing w:before="20" w:after="40"/>
              <w:jc w:val="right"/>
              <w:rPr>
                <w:sz w:val="18"/>
                <w:szCs w:val="18"/>
              </w:rPr>
            </w:pPr>
            <w:r>
              <w:rPr>
                <w:sz w:val="18"/>
                <w:szCs w:val="18"/>
              </w:rPr>
              <w:t>225 </w:t>
            </w:r>
            <w:r w:rsidR="00075479" w:rsidRPr="00DD1AB5">
              <w:rPr>
                <w:sz w:val="18"/>
                <w:szCs w:val="18"/>
              </w:rPr>
              <w:t>000</w:t>
            </w:r>
          </w:p>
        </w:tc>
      </w:tr>
      <w:tr w:rsidR="005B5000" w:rsidRPr="00DD1AB5" w14:paraId="7F31EF40" w14:textId="77777777" w:rsidTr="00DD1AB5">
        <w:trPr>
          <w:jc w:val="right"/>
        </w:trPr>
        <w:tc>
          <w:tcPr>
            <w:tcW w:w="919" w:type="dxa"/>
            <w:vMerge/>
            <w:shd w:val="clear" w:color="auto" w:fill="auto"/>
            <w:tcMar>
              <w:left w:w="28" w:type="dxa"/>
              <w:right w:w="28" w:type="dxa"/>
            </w:tcMar>
            <w:vAlign w:val="center"/>
          </w:tcPr>
          <w:p w14:paraId="4C312F4F" w14:textId="77777777" w:rsidR="00075479" w:rsidRPr="00DD1AB5" w:rsidRDefault="00075479" w:rsidP="005B5000">
            <w:pPr>
              <w:pStyle w:val="Normal-pool"/>
              <w:spacing w:before="20" w:after="40"/>
              <w:rPr>
                <w:sz w:val="18"/>
                <w:szCs w:val="18"/>
                <w:lang w:val="en-GB"/>
              </w:rPr>
            </w:pPr>
          </w:p>
        </w:tc>
        <w:tc>
          <w:tcPr>
            <w:tcW w:w="3016" w:type="dxa"/>
            <w:shd w:val="clear" w:color="auto" w:fill="auto"/>
            <w:tcMar>
              <w:left w:w="28" w:type="dxa"/>
              <w:right w:w="28" w:type="dxa"/>
            </w:tcMar>
          </w:tcPr>
          <w:p w14:paraId="15F0D79F" w14:textId="36E6B358" w:rsidR="00075479" w:rsidRPr="00DD1AB5" w:rsidRDefault="00075479" w:rsidP="005B5000">
            <w:pPr>
              <w:pStyle w:val="Normal-pool"/>
              <w:spacing w:before="20" w:after="40"/>
              <w:rPr>
                <w:sz w:val="18"/>
                <w:szCs w:val="18"/>
              </w:rPr>
            </w:pPr>
            <w:r w:rsidRPr="00DD1AB5">
              <w:rPr>
                <w:sz w:val="18"/>
                <w:szCs w:val="18"/>
              </w:rPr>
              <w:t>Groupe d</w:t>
            </w:r>
            <w:r w:rsidR="00B33A11" w:rsidRPr="00DD1AB5">
              <w:rPr>
                <w:sz w:val="18"/>
                <w:szCs w:val="18"/>
              </w:rPr>
              <w:t>’</w:t>
            </w:r>
            <w:r w:rsidRPr="00DD1AB5">
              <w:rPr>
                <w:sz w:val="18"/>
                <w:szCs w:val="18"/>
              </w:rPr>
              <w:t>appui technique</w:t>
            </w:r>
          </w:p>
        </w:tc>
        <w:tc>
          <w:tcPr>
            <w:tcW w:w="3732" w:type="dxa"/>
            <w:shd w:val="clear" w:color="auto" w:fill="auto"/>
            <w:tcMar>
              <w:left w:w="28" w:type="dxa"/>
              <w:right w:w="28" w:type="dxa"/>
            </w:tcMar>
          </w:tcPr>
          <w:p w14:paraId="538CB425" w14:textId="5C755534" w:rsidR="00075479" w:rsidRPr="00DD1AB5" w:rsidRDefault="00075479" w:rsidP="005B5000">
            <w:pPr>
              <w:pStyle w:val="Normal-pool"/>
              <w:spacing w:before="20" w:after="40"/>
              <w:rPr>
                <w:sz w:val="18"/>
                <w:szCs w:val="18"/>
              </w:rPr>
            </w:pPr>
            <w:r w:rsidRPr="00DD1AB5">
              <w:rPr>
                <w:sz w:val="18"/>
                <w:szCs w:val="18"/>
              </w:rPr>
              <w:t>Correspondant au coût d</w:t>
            </w:r>
            <w:r w:rsidR="00B33A11" w:rsidRPr="00DD1AB5">
              <w:rPr>
                <w:sz w:val="18"/>
                <w:szCs w:val="18"/>
              </w:rPr>
              <w:t>’</w:t>
            </w:r>
            <w:r w:rsidRPr="00DD1AB5">
              <w:rPr>
                <w:sz w:val="18"/>
                <w:szCs w:val="18"/>
              </w:rPr>
              <w:t>un poste d</w:t>
            </w:r>
            <w:r w:rsidR="00B33A11" w:rsidRPr="00DD1AB5">
              <w:rPr>
                <w:sz w:val="18"/>
                <w:szCs w:val="18"/>
              </w:rPr>
              <w:t>’</w:t>
            </w:r>
            <w:r w:rsidRPr="00DD1AB5">
              <w:rPr>
                <w:sz w:val="18"/>
                <w:szCs w:val="18"/>
              </w:rPr>
              <w:t>administrateur équivalent plein temps et d</w:t>
            </w:r>
            <w:r w:rsidR="00B33A11" w:rsidRPr="00DD1AB5">
              <w:rPr>
                <w:sz w:val="18"/>
                <w:szCs w:val="18"/>
              </w:rPr>
              <w:t>’</w:t>
            </w:r>
            <w:r w:rsidRPr="00DD1AB5">
              <w:rPr>
                <w:sz w:val="18"/>
                <w:szCs w:val="18"/>
              </w:rPr>
              <w:t>un</w:t>
            </w:r>
            <w:r w:rsidR="005B5000" w:rsidRPr="00DD1AB5">
              <w:rPr>
                <w:sz w:val="18"/>
                <w:szCs w:val="18"/>
              </w:rPr>
              <w:t> </w:t>
            </w:r>
            <w:r w:rsidRPr="00DD1AB5">
              <w:rPr>
                <w:sz w:val="18"/>
                <w:szCs w:val="18"/>
              </w:rPr>
              <w:t>poste d</w:t>
            </w:r>
            <w:r w:rsidR="00B33A11" w:rsidRPr="00DD1AB5">
              <w:rPr>
                <w:sz w:val="18"/>
                <w:szCs w:val="18"/>
              </w:rPr>
              <w:t>’</w:t>
            </w:r>
            <w:r w:rsidRPr="00DD1AB5">
              <w:rPr>
                <w:sz w:val="18"/>
                <w:szCs w:val="18"/>
              </w:rPr>
              <w:t>assistant administratif équivalent mi-temps, y compris voyage et frais généraux (à</w:t>
            </w:r>
            <w:r w:rsidR="005B5000" w:rsidRPr="00DD1AB5">
              <w:rPr>
                <w:sz w:val="18"/>
                <w:szCs w:val="18"/>
              </w:rPr>
              <w:t> </w:t>
            </w:r>
            <w:r w:rsidRPr="00DD1AB5">
              <w:rPr>
                <w:sz w:val="18"/>
                <w:szCs w:val="18"/>
              </w:rPr>
              <w:t>compléter par une offre en nature de valeur équivalente)</w:t>
            </w:r>
          </w:p>
        </w:tc>
        <w:tc>
          <w:tcPr>
            <w:tcW w:w="1701" w:type="dxa"/>
            <w:shd w:val="clear" w:color="auto" w:fill="auto"/>
            <w:tcMar>
              <w:left w:w="28" w:type="dxa"/>
              <w:right w:w="28" w:type="dxa"/>
            </w:tcMar>
          </w:tcPr>
          <w:p w14:paraId="57E7D0EC" w14:textId="25329C19" w:rsidR="00075479" w:rsidRPr="00DD1AB5" w:rsidRDefault="003A1EED" w:rsidP="005B5000">
            <w:pPr>
              <w:pStyle w:val="Normal-pool"/>
              <w:spacing w:before="20" w:after="40"/>
              <w:jc w:val="right"/>
              <w:rPr>
                <w:sz w:val="18"/>
                <w:szCs w:val="18"/>
              </w:rPr>
            </w:pPr>
            <w:r>
              <w:rPr>
                <w:sz w:val="18"/>
                <w:szCs w:val="18"/>
              </w:rPr>
              <w:t>150 </w:t>
            </w:r>
            <w:r w:rsidR="00075479" w:rsidRPr="00DD1AB5">
              <w:rPr>
                <w:sz w:val="18"/>
                <w:szCs w:val="18"/>
              </w:rPr>
              <w:t>000</w:t>
            </w:r>
          </w:p>
          <w:p w14:paraId="7346D3A2" w14:textId="77777777" w:rsidR="00075479" w:rsidRPr="00DD1AB5" w:rsidRDefault="00075479" w:rsidP="005B5000">
            <w:pPr>
              <w:pStyle w:val="Normal-pool"/>
              <w:spacing w:before="20" w:after="40"/>
              <w:jc w:val="right"/>
              <w:rPr>
                <w:sz w:val="18"/>
                <w:szCs w:val="18"/>
                <w:lang w:val="en-GB"/>
              </w:rPr>
            </w:pPr>
          </w:p>
        </w:tc>
      </w:tr>
      <w:tr w:rsidR="005B5000" w:rsidRPr="00DD1AB5" w14:paraId="353CF60B" w14:textId="77777777" w:rsidTr="00DD1AB5">
        <w:trPr>
          <w:jc w:val="right"/>
        </w:trPr>
        <w:tc>
          <w:tcPr>
            <w:tcW w:w="919" w:type="dxa"/>
            <w:vMerge/>
            <w:shd w:val="clear" w:color="auto" w:fill="auto"/>
            <w:tcMar>
              <w:left w:w="28" w:type="dxa"/>
              <w:right w:w="28" w:type="dxa"/>
            </w:tcMar>
            <w:vAlign w:val="center"/>
          </w:tcPr>
          <w:p w14:paraId="39B45EC4" w14:textId="77777777" w:rsidR="00075479" w:rsidRPr="00DD1AB5" w:rsidRDefault="00075479" w:rsidP="005B5000">
            <w:pPr>
              <w:pStyle w:val="Normal-pool"/>
              <w:spacing w:before="20" w:after="40"/>
              <w:rPr>
                <w:sz w:val="18"/>
                <w:szCs w:val="18"/>
                <w:lang w:val="en-GB"/>
              </w:rPr>
            </w:pPr>
          </w:p>
        </w:tc>
        <w:tc>
          <w:tcPr>
            <w:tcW w:w="3016" w:type="dxa"/>
            <w:shd w:val="clear" w:color="auto" w:fill="auto"/>
            <w:tcMar>
              <w:left w:w="28" w:type="dxa"/>
              <w:right w:w="28" w:type="dxa"/>
            </w:tcMar>
          </w:tcPr>
          <w:p w14:paraId="57A44A10" w14:textId="77777777" w:rsidR="00075479" w:rsidRPr="00DD1AB5" w:rsidRDefault="00075479" w:rsidP="005B5000">
            <w:pPr>
              <w:pStyle w:val="Normal-pool"/>
              <w:spacing w:before="20" w:after="40"/>
              <w:rPr>
                <w:b/>
                <w:sz w:val="18"/>
                <w:szCs w:val="18"/>
              </w:rPr>
            </w:pPr>
            <w:r w:rsidRPr="00DD1AB5">
              <w:rPr>
                <w:b/>
                <w:sz w:val="18"/>
                <w:szCs w:val="18"/>
              </w:rPr>
              <w:t>Total deuxième année</w:t>
            </w:r>
          </w:p>
        </w:tc>
        <w:tc>
          <w:tcPr>
            <w:tcW w:w="3732" w:type="dxa"/>
            <w:shd w:val="clear" w:color="auto" w:fill="auto"/>
            <w:tcMar>
              <w:left w:w="28" w:type="dxa"/>
              <w:right w:w="28" w:type="dxa"/>
            </w:tcMar>
          </w:tcPr>
          <w:p w14:paraId="54BA1EE1" w14:textId="77777777" w:rsidR="00075479" w:rsidRPr="00DD1AB5" w:rsidRDefault="00075479" w:rsidP="005B5000">
            <w:pPr>
              <w:pStyle w:val="Normal-pool"/>
              <w:spacing w:before="20" w:after="40"/>
              <w:rPr>
                <w:b/>
                <w:sz w:val="18"/>
                <w:szCs w:val="18"/>
                <w:lang w:val="en-GB"/>
              </w:rPr>
            </w:pPr>
          </w:p>
        </w:tc>
        <w:tc>
          <w:tcPr>
            <w:tcW w:w="1701" w:type="dxa"/>
            <w:shd w:val="clear" w:color="auto" w:fill="auto"/>
            <w:tcMar>
              <w:left w:w="28" w:type="dxa"/>
              <w:right w:w="28" w:type="dxa"/>
            </w:tcMar>
          </w:tcPr>
          <w:p w14:paraId="033F7A21" w14:textId="6C4CF33B" w:rsidR="00075479" w:rsidRPr="00DD1AB5" w:rsidRDefault="003A1EED" w:rsidP="005B5000">
            <w:pPr>
              <w:pStyle w:val="Normal-pool"/>
              <w:spacing w:before="20" w:after="40"/>
              <w:jc w:val="right"/>
              <w:rPr>
                <w:b/>
                <w:sz w:val="18"/>
                <w:szCs w:val="18"/>
              </w:rPr>
            </w:pPr>
            <w:r>
              <w:rPr>
                <w:b/>
                <w:sz w:val="18"/>
                <w:szCs w:val="18"/>
              </w:rPr>
              <w:t>395 </w:t>
            </w:r>
            <w:r w:rsidR="00075479" w:rsidRPr="00DD1AB5">
              <w:rPr>
                <w:b/>
                <w:sz w:val="18"/>
                <w:szCs w:val="18"/>
              </w:rPr>
              <w:t>000</w:t>
            </w:r>
          </w:p>
        </w:tc>
      </w:tr>
      <w:tr w:rsidR="005B5000" w:rsidRPr="00DD1AB5" w14:paraId="59A0F2F6" w14:textId="77777777" w:rsidTr="00DD1AB5">
        <w:trPr>
          <w:jc w:val="right"/>
        </w:trPr>
        <w:tc>
          <w:tcPr>
            <w:tcW w:w="919" w:type="dxa"/>
            <w:vMerge w:val="restart"/>
            <w:shd w:val="clear" w:color="auto" w:fill="auto"/>
            <w:tcMar>
              <w:left w:w="28" w:type="dxa"/>
              <w:right w:w="28" w:type="dxa"/>
            </w:tcMar>
          </w:tcPr>
          <w:p w14:paraId="7EB7C45C" w14:textId="5543877F" w:rsidR="00075479" w:rsidRPr="00DD1AB5" w:rsidRDefault="005B5000" w:rsidP="005B5000">
            <w:pPr>
              <w:pStyle w:val="Normal-pool"/>
              <w:spacing w:before="20" w:after="40"/>
              <w:rPr>
                <w:sz w:val="18"/>
                <w:szCs w:val="18"/>
              </w:rPr>
            </w:pPr>
            <w:r w:rsidRPr="00DD1AB5">
              <w:rPr>
                <w:sz w:val="18"/>
                <w:szCs w:val="18"/>
              </w:rPr>
              <w:t>Troisième année</w:t>
            </w:r>
          </w:p>
        </w:tc>
        <w:tc>
          <w:tcPr>
            <w:tcW w:w="3016" w:type="dxa"/>
            <w:vMerge w:val="restart"/>
            <w:shd w:val="clear" w:color="auto" w:fill="auto"/>
            <w:tcMar>
              <w:left w:w="28" w:type="dxa"/>
              <w:right w:w="28" w:type="dxa"/>
            </w:tcMar>
          </w:tcPr>
          <w:p w14:paraId="6AF4EF63" w14:textId="1A1293F3" w:rsidR="00075479" w:rsidRPr="00DD1AB5" w:rsidRDefault="00075479" w:rsidP="005B5000">
            <w:pPr>
              <w:pStyle w:val="Normal-pool"/>
              <w:spacing w:before="20" w:after="40"/>
              <w:rPr>
                <w:sz w:val="18"/>
                <w:szCs w:val="18"/>
              </w:rPr>
            </w:pPr>
            <w:r w:rsidRPr="00DD1AB5">
              <w:rPr>
                <w:sz w:val="18"/>
                <w:szCs w:val="18"/>
              </w:rPr>
              <w:t>Troisième réunion des auteurs (2</w:t>
            </w:r>
            <w:r w:rsidR="005B5000" w:rsidRPr="00DD1AB5">
              <w:rPr>
                <w:sz w:val="18"/>
                <w:szCs w:val="18"/>
              </w:rPr>
              <w:t> </w:t>
            </w:r>
            <w:r w:rsidR="003A1EED">
              <w:rPr>
                <w:sz w:val="18"/>
                <w:szCs w:val="18"/>
              </w:rPr>
              <w:t>coprésidents, 12 </w:t>
            </w:r>
            <w:r w:rsidRPr="00DD1AB5">
              <w:rPr>
                <w:sz w:val="18"/>
                <w:szCs w:val="18"/>
              </w:rPr>
              <w:t>auteurs-coordonnateurs princi</w:t>
            </w:r>
            <w:r w:rsidR="003A1EED">
              <w:rPr>
                <w:sz w:val="18"/>
                <w:szCs w:val="18"/>
              </w:rPr>
              <w:t>paux, 48 auteurs principaux, 12 </w:t>
            </w:r>
            <w:r w:rsidRPr="00DD1AB5">
              <w:rPr>
                <w:sz w:val="18"/>
                <w:szCs w:val="18"/>
              </w:rPr>
              <w:t>éditeurs-réviseurs et 6</w:t>
            </w:r>
            <w:r w:rsidR="005B5000" w:rsidRPr="00DD1AB5">
              <w:rPr>
                <w:sz w:val="18"/>
                <w:szCs w:val="18"/>
              </w:rPr>
              <w:t> </w:t>
            </w:r>
            <w:r w:rsidRPr="00DD1AB5">
              <w:rPr>
                <w:sz w:val="18"/>
                <w:szCs w:val="18"/>
              </w:rPr>
              <w:t>membres du Groupe d</w:t>
            </w:r>
            <w:r w:rsidR="00B33A11" w:rsidRPr="00DD1AB5">
              <w:rPr>
                <w:sz w:val="18"/>
                <w:szCs w:val="18"/>
              </w:rPr>
              <w:t>’</w:t>
            </w:r>
            <w:r w:rsidRPr="00DD1AB5">
              <w:rPr>
                <w:sz w:val="18"/>
                <w:szCs w:val="18"/>
              </w:rPr>
              <w:t>experts multidisciplinaire et du Bureau)</w:t>
            </w:r>
          </w:p>
        </w:tc>
        <w:tc>
          <w:tcPr>
            <w:tcW w:w="3732" w:type="dxa"/>
            <w:shd w:val="clear" w:color="auto" w:fill="auto"/>
            <w:tcMar>
              <w:left w:w="28" w:type="dxa"/>
              <w:right w:w="28" w:type="dxa"/>
            </w:tcMar>
          </w:tcPr>
          <w:p w14:paraId="51908D71" w14:textId="43D15F6B" w:rsidR="00075479" w:rsidRPr="00DD1AB5" w:rsidRDefault="00075479" w:rsidP="005B5000">
            <w:pPr>
              <w:pStyle w:val="Normal-pool"/>
              <w:spacing w:before="20" w:after="40"/>
              <w:rPr>
                <w:sz w:val="18"/>
                <w:szCs w:val="18"/>
              </w:rPr>
            </w:pPr>
            <w:r w:rsidRPr="00DD1AB5">
              <w:rPr>
                <w:sz w:val="18"/>
                <w:szCs w:val="18"/>
              </w:rPr>
              <w:t>Frais d</w:t>
            </w:r>
            <w:r w:rsidR="00B33A11" w:rsidRPr="00DD1AB5">
              <w:rPr>
                <w:sz w:val="18"/>
                <w:szCs w:val="18"/>
              </w:rPr>
              <w:t>’</w:t>
            </w:r>
            <w:r w:rsidRPr="00DD1AB5">
              <w:rPr>
                <w:sz w:val="18"/>
                <w:szCs w:val="18"/>
              </w:rPr>
              <w:t>o</w:t>
            </w:r>
            <w:r w:rsidR="003A1EED">
              <w:rPr>
                <w:sz w:val="18"/>
                <w:szCs w:val="18"/>
              </w:rPr>
              <w:t>rganisation (correspondant à 75 </w:t>
            </w:r>
            <w:r w:rsidRPr="00DD1AB5">
              <w:rPr>
                <w:sz w:val="18"/>
                <w:szCs w:val="18"/>
              </w:rPr>
              <w:t>%, à</w:t>
            </w:r>
            <w:r w:rsidR="005B5000" w:rsidRPr="00DD1AB5">
              <w:rPr>
                <w:sz w:val="18"/>
                <w:szCs w:val="18"/>
              </w:rPr>
              <w:t> </w:t>
            </w:r>
            <w:r w:rsidRPr="00DD1AB5">
              <w:rPr>
                <w:sz w:val="18"/>
                <w:szCs w:val="18"/>
              </w:rPr>
              <w:t xml:space="preserve">compléter par </w:t>
            </w:r>
            <w:r w:rsidR="003A1EED">
              <w:rPr>
                <w:sz w:val="18"/>
                <w:szCs w:val="18"/>
              </w:rPr>
              <w:t>25 </w:t>
            </w:r>
            <w:r w:rsidRPr="00DD1AB5">
              <w:rPr>
                <w:sz w:val="18"/>
                <w:szCs w:val="18"/>
              </w:rPr>
              <w:t>% en nature; pour 80</w:t>
            </w:r>
            <w:r w:rsidR="005B5000" w:rsidRPr="00DD1AB5">
              <w:rPr>
                <w:sz w:val="18"/>
                <w:szCs w:val="18"/>
              </w:rPr>
              <w:t> </w:t>
            </w:r>
            <w:r w:rsidRPr="00DD1AB5">
              <w:rPr>
                <w:sz w:val="18"/>
                <w:szCs w:val="18"/>
              </w:rPr>
              <w:t>participants)</w:t>
            </w:r>
          </w:p>
        </w:tc>
        <w:tc>
          <w:tcPr>
            <w:tcW w:w="1701" w:type="dxa"/>
            <w:shd w:val="clear" w:color="auto" w:fill="auto"/>
            <w:tcMar>
              <w:left w:w="28" w:type="dxa"/>
              <w:right w:w="28" w:type="dxa"/>
            </w:tcMar>
          </w:tcPr>
          <w:p w14:paraId="318F1838" w14:textId="4F37B382" w:rsidR="00075479" w:rsidRPr="00DD1AB5" w:rsidRDefault="003A1EED" w:rsidP="005B5000">
            <w:pPr>
              <w:pStyle w:val="Normal-pool"/>
              <w:spacing w:before="20" w:after="40"/>
              <w:jc w:val="right"/>
              <w:rPr>
                <w:sz w:val="18"/>
                <w:szCs w:val="18"/>
              </w:rPr>
            </w:pPr>
            <w:r>
              <w:rPr>
                <w:sz w:val="18"/>
                <w:szCs w:val="18"/>
              </w:rPr>
              <w:t>20 </w:t>
            </w:r>
            <w:r w:rsidR="00075479" w:rsidRPr="00DD1AB5">
              <w:rPr>
                <w:sz w:val="18"/>
                <w:szCs w:val="18"/>
              </w:rPr>
              <w:t>000</w:t>
            </w:r>
          </w:p>
        </w:tc>
      </w:tr>
      <w:tr w:rsidR="005B5000" w:rsidRPr="00DD1AB5" w14:paraId="25EF258B" w14:textId="77777777" w:rsidTr="00DD1AB5">
        <w:trPr>
          <w:jc w:val="right"/>
        </w:trPr>
        <w:tc>
          <w:tcPr>
            <w:tcW w:w="919" w:type="dxa"/>
            <w:vMerge/>
            <w:shd w:val="clear" w:color="auto" w:fill="auto"/>
            <w:tcMar>
              <w:left w:w="28" w:type="dxa"/>
              <w:right w:w="28" w:type="dxa"/>
            </w:tcMar>
            <w:vAlign w:val="center"/>
          </w:tcPr>
          <w:p w14:paraId="0E95A04F" w14:textId="77777777" w:rsidR="00075479" w:rsidRPr="00DD1AB5" w:rsidRDefault="00075479" w:rsidP="005B5000">
            <w:pPr>
              <w:pStyle w:val="Normal-pool"/>
              <w:spacing w:before="20" w:after="40"/>
              <w:rPr>
                <w:sz w:val="18"/>
                <w:szCs w:val="18"/>
                <w:lang w:val="en-GB"/>
              </w:rPr>
            </w:pPr>
          </w:p>
        </w:tc>
        <w:tc>
          <w:tcPr>
            <w:tcW w:w="3016" w:type="dxa"/>
            <w:vMerge/>
            <w:shd w:val="clear" w:color="auto" w:fill="auto"/>
            <w:tcMar>
              <w:left w:w="28" w:type="dxa"/>
              <w:right w:w="28" w:type="dxa"/>
            </w:tcMar>
          </w:tcPr>
          <w:p w14:paraId="1D33C17B" w14:textId="77777777" w:rsidR="00075479" w:rsidRPr="00DD1AB5" w:rsidRDefault="00075479" w:rsidP="005B5000">
            <w:pPr>
              <w:pStyle w:val="Normal-pool"/>
              <w:spacing w:before="20" w:after="40"/>
              <w:rPr>
                <w:sz w:val="18"/>
                <w:szCs w:val="18"/>
                <w:lang w:val="en-GB"/>
              </w:rPr>
            </w:pPr>
          </w:p>
        </w:tc>
        <w:tc>
          <w:tcPr>
            <w:tcW w:w="3732" w:type="dxa"/>
            <w:shd w:val="clear" w:color="auto" w:fill="auto"/>
            <w:tcMar>
              <w:left w:w="28" w:type="dxa"/>
              <w:right w:w="28" w:type="dxa"/>
            </w:tcMar>
          </w:tcPr>
          <w:p w14:paraId="659249CC" w14:textId="5B4D4B16" w:rsidR="00075479" w:rsidRPr="00DD1AB5" w:rsidRDefault="00075479" w:rsidP="005B5000">
            <w:pPr>
              <w:pStyle w:val="Normal-pool"/>
              <w:spacing w:before="20" w:after="40"/>
              <w:rPr>
                <w:sz w:val="18"/>
                <w:szCs w:val="18"/>
              </w:rPr>
            </w:pPr>
            <w:r w:rsidRPr="00DD1AB5">
              <w:rPr>
                <w:sz w:val="18"/>
                <w:szCs w:val="18"/>
              </w:rPr>
              <w:t>Frais de voyage et indemnité jou</w:t>
            </w:r>
            <w:r w:rsidR="003A1EED">
              <w:rPr>
                <w:sz w:val="18"/>
                <w:szCs w:val="18"/>
              </w:rPr>
              <w:t>rnalière de subsistance pour 60 </w:t>
            </w:r>
            <w:r w:rsidRPr="00DD1AB5">
              <w:rPr>
                <w:sz w:val="18"/>
                <w:szCs w:val="18"/>
              </w:rPr>
              <w:t>participants bénéficiant d</w:t>
            </w:r>
            <w:r w:rsidR="00B33A11" w:rsidRPr="00DD1AB5">
              <w:rPr>
                <w:sz w:val="18"/>
                <w:szCs w:val="18"/>
              </w:rPr>
              <w:t>’</w:t>
            </w:r>
            <w:r w:rsidRPr="00DD1AB5">
              <w:rPr>
                <w:sz w:val="18"/>
                <w:szCs w:val="18"/>
              </w:rPr>
              <w:t>une</w:t>
            </w:r>
            <w:r w:rsidR="005B5000" w:rsidRPr="00DD1AB5">
              <w:rPr>
                <w:sz w:val="18"/>
                <w:szCs w:val="18"/>
              </w:rPr>
              <w:t> </w:t>
            </w:r>
            <w:r w:rsidR="003A1EED">
              <w:rPr>
                <w:sz w:val="18"/>
                <w:szCs w:val="18"/>
              </w:rPr>
              <w:t>aide financière (60 x 3 </w:t>
            </w:r>
            <w:r w:rsidRPr="00DD1AB5">
              <w:rPr>
                <w:sz w:val="18"/>
                <w:szCs w:val="18"/>
              </w:rPr>
              <w:t>750 dollars)</w:t>
            </w:r>
          </w:p>
        </w:tc>
        <w:tc>
          <w:tcPr>
            <w:tcW w:w="1701" w:type="dxa"/>
            <w:shd w:val="clear" w:color="auto" w:fill="auto"/>
            <w:tcMar>
              <w:left w:w="28" w:type="dxa"/>
              <w:right w:w="28" w:type="dxa"/>
            </w:tcMar>
          </w:tcPr>
          <w:p w14:paraId="38260734" w14:textId="0710CABB" w:rsidR="00075479" w:rsidRPr="00DD1AB5" w:rsidRDefault="003A1EED" w:rsidP="005B5000">
            <w:pPr>
              <w:pStyle w:val="Normal-pool"/>
              <w:spacing w:before="20" w:after="40"/>
              <w:jc w:val="right"/>
              <w:rPr>
                <w:sz w:val="18"/>
                <w:szCs w:val="18"/>
              </w:rPr>
            </w:pPr>
            <w:r>
              <w:rPr>
                <w:sz w:val="18"/>
                <w:szCs w:val="18"/>
              </w:rPr>
              <w:t>225 </w:t>
            </w:r>
            <w:r w:rsidR="00075479" w:rsidRPr="00DD1AB5">
              <w:rPr>
                <w:sz w:val="18"/>
                <w:szCs w:val="18"/>
              </w:rPr>
              <w:t>000</w:t>
            </w:r>
          </w:p>
        </w:tc>
      </w:tr>
      <w:tr w:rsidR="005B5000" w:rsidRPr="00DD1AB5" w14:paraId="189EEDDA" w14:textId="77777777" w:rsidTr="00DD1AB5">
        <w:trPr>
          <w:jc w:val="right"/>
        </w:trPr>
        <w:tc>
          <w:tcPr>
            <w:tcW w:w="919" w:type="dxa"/>
            <w:vMerge/>
            <w:shd w:val="clear" w:color="auto" w:fill="auto"/>
            <w:tcMar>
              <w:left w:w="28" w:type="dxa"/>
              <w:right w:w="28" w:type="dxa"/>
            </w:tcMar>
            <w:vAlign w:val="center"/>
          </w:tcPr>
          <w:p w14:paraId="627FFC31" w14:textId="77777777" w:rsidR="00075479" w:rsidRPr="00DD1AB5" w:rsidRDefault="00075479" w:rsidP="005B5000">
            <w:pPr>
              <w:pStyle w:val="Normal-pool"/>
              <w:spacing w:before="20" w:after="40"/>
              <w:rPr>
                <w:sz w:val="18"/>
                <w:szCs w:val="18"/>
                <w:lang w:val="en-GB"/>
              </w:rPr>
            </w:pPr>
          </w:p>
        </w:tc>
        <w:tc>
          <w:tcPr>
            <w:tcW w:w="3016" w:type="dxa"/>
            <w:shd w:val="clear" w:color="auto" w:fill="auto"/>
            <w:tcMar>
              <w:left w:w="28" w:type="dxa"/>
              <w:right w:w="28" w:type="dxa"/>
            </w:tcMar>
          </w:tcPr>
          <w:p w14:paraId="62FAD491" w14:textId="656E00A1" w:rsidR="00075479" w:rsidRPr="00DD1AB5" w:rsidRDefault="00075479" w:rsidP="005B5000">
            <w:pPr>
              <w:pStyle w:val="Normal-pool"/>
              <w:spacing w:before="20" w:after="40"/>
              <w:rPr>
                <w:sz w:val="18"/>
                <w:szCs w:val="18"/>
              </w:rPr>
            </w:pPr>
            <w:r w:rsidRPr="00DD1AB5">
              <w:rPr>
                <w:sz w:val="18"/>
                <w:szCs w:val="18"/>
              </w:rPr>
              <w:t>Groupe d</w:t>
            </w:r>
            <w:r w:rsidR="00B33A11" w:rsidRPr="00DD1AB5">
              <w:rPr>
                <w:sz w:val="18"/>
                <w:szCs w:val="18"/>
              </w:rPr>
              <w:t>’</w:t>
            </w:r>
            <w:r w:rsidRPr="00DD1AB5">
              <w:rPr>
                <w:sz w:val="18"/>
                <w:szCs w:val="18"/>
              </w:rPr>
              <w:t>appui technique (y compris trois mois suivant la date de lancement du rapport d</w:t>
            </w:r>
            <w:r w:rsidR="00B33A11" w:rsidRPr="00DD1AB5">
              <w:rPr>
                <w:sz w:val="18"/>
                <w:szCs w:val="18"/>
              </w:rPr>
              <w:t>’</w:t>
            </w:r>
            <w:r w:rsidRPr="00DD1AB5">
              <w:rPr>
                <w:sz w:val="18"/>
                <w:szCs w:val="18"/>
              </w:rPr>
              <w:t>évaluation à la Plénière)</w:t>
            </w:r>
          </w:p>
        </w:tc>
        <w:tc>
          <w:tcPr>
            <w:tcW w:w="3732" w:type="dxa"/>
            <w:shd w:val="clear" w:color="auto" w:fill="auto"/>
            <w:tcMar>
              <w:left w:w="28" w:type="dxa"/>
              <w:right w:w="28" w:type="dxa"/>
            </w:tcMar>
          </w:tcPr>
          <w:p w14:paraId="4BB9A6AD" w14:textId="49322A92" w:rsidR="00075479" w:rsidRPr="00DD1AB5" w:rsidRDefault="00075479" w:rsidP="005B5000">
            <w:pPr>
              <w:pStyle w:val="Normal-pool"/>
              <w:spacing w:before="20" w:after="40"/>
              <w:rPr>
                <w:sz w:val="18"/>
                <w:szCs w:val="18"/>
              </w:rPr>
            </w:pPr>
            <w:r w:rsidRPr="00DD1AB5">
              <w:rPr>
                <w:sz w:val="18"/>
                <w:szCs w:val="18"/>
              </w:rPr>
              <w:t>Correspondant au coût d</w:t>
            </w:r>
            <w:r w:rsidR="00B33A11" w:rsidRPr="00DD1AB5">
              <w:rPr>
                <w:sz w:val="18"/>
                <w:szCs w:val="18"/>
              </w:rPr>
              <w:t>’</w:t>
            </w:r>
            <w:r w:rsidRPr="00DD1AB5">
              <w:rPr>
                <w:sz w:val="18"/>
                <w:szCs w:val="18"/>
              </w:rPr>
              <w:t>un poste d</w:t>
            </w:r>
            <w:r w:rsidR="00B33A11" w:rsidRPr="00DD1AB5">
              <w:rPr>
                <w:sz w:val="18"/>
                <w:szCs w:val="18"/>
              </w:rPr>
              <w:t>’</w:t>
            </w:r>
            <w:r w:rsidRPr="00DD1AB5">
              <w:rPr>
                <w:sz w:val="18"/>
                <w:szCs w:val="18"/>
              </w:rPr>
              <w:t>administrateur équivalent plein temps et d</w:t>
            </w:r>
            <w:r w:rsidR="00B33A11" w:rsidRPr="00DD1AB5">
              <w:rPr>
                <w:sz w:val="18"/>
                <w:szCs w:val="18"/>
              </w:rPr>
              <w:t>’</w:t>
            </w:r>
            <w:r w:rsidRPr="00DD1AB5">
              <w:rPr>
                <w:sz w:val="18"/>
                <w:szCs w:val="18"/>
              </w:rPr>
              <w:t>un</w:t>
            </w:r>
            <w:r w:rsidR="005B5000" w:rsidRPr="00DD1AB5">
              <w:rPr>
                <w:sz w:val="18"/>
                <w:szCs w:val="18"/>
              </w:rPr>
              <w:t> </w:t>
            </w:r>
            <w:r w:rsidRPr="00DD1AB5">
              <w:rPr>
                <w:sz w:val="18"/>
                <w:szCs w:val="18"/>
              </w:rPr>
              <w:t>poste d</w:t>
            </w:r>
            <w:r w:rsidR="00B33A11" w:rsidRPr="00DD1AB5">
              <w:rPr>
                <w:sz w:val="18"/>
                <w:szCs w:val="18"/>
              </w:rPr>
              <w:t>’</w:t>
            </w:r>
            <w:r w:rsidRPr="00DD1AB5">
              <w:rPr>
                <w:sz w:val="18"/>
                <w:szCs w:val="18"/>
              </w:rPr>
              <w:t>assistant administratif équivalent mi-temps, y compris voyage et frais généraux (à</w:t>
            </w:r>
            <w:r w:rsidR="005B5000" w:rsidRPr="00DD1AB5">
              <w:rPr>
                <w:sz w:val="18"/>
                <w:szCs w:val="18"/>
              </w:rPr>
              <w:t> </w:t>
            </w:r>
            <w:r w:rsidRPr="00DD1AB5">
              <w:rPr>
                <w:sz w:val="18"/>
                <w:szCs w:val="18"/>
              </w:rPr>
              <w:t>compléter par une offre en nature de valeur équivalente)</w:t>
            </w:r>
          </w:p>
        </w:tc>
        <w:tc>
          <w:tcPr>
            <w:tcW w:w="1701" w:type="dxa"/>
            <w:shd w:val="clear" w:color="auto" w:fill="auto"/>
            <w:tcMar>
              <w:left w:w="28" w:type="dxa"/>
              <w:right w:w="28" w:type="dxa"/>
            </w:tcMar>
          </w:tcPr>
          <w:p w14:paraId="2C3C192F" w14:textId="3C0D7296" w:rsidR="00075479" w:rsidRPr="00DD1AB5" w:rsidRDefault="003A1EED" w:rsidP="005B5000">
            <w:pPr>
              <w:pStyle w:val="Normal-pool"/>
              <w:spacing w:before="20" w:after="40"/>
              <w:jc w:val="right"/>
              <w:rPr>
                <w:sz w:val="18"/>
                <w:szCs w:val="18"/>
              </w:rPr>
            </w:pPr>
            <w:r>
              <w:rPr>
                <w:sz w:val="18"/>
                <w:szCs w:val="18"/>
              </w:rPr>
              <w:t>187 </w:t>
            </w:r>
            <w:r w:rsidR="00075479" w:rsidRPr="00DD1AB5">
              <w:rPr>
                <w:sz w:val="18"/>
                <w:szCs w:val="18"/>
              </w:rPr>
              <w:t>500</w:t>
            </w:r>
          </w:p>
        </w:tc>
      </w:tr>
      <w:tr w:rsidR="005B5000" w:rsidRPr="00DD1AB5" w14:paraId="24ECB73B" w14:textId="77777777" w:rsidTr="00DD1AB5">
        <w:trPr>
          <w:jc w:val="right"/>
        </w:trPr>
        <w:tc>
          <w:tcPr>
            <w:tcW w:w="919" w:type="dxa"/>
            <w:shd w:val="clear" w:color="auto" w:fill="auto"/>
            <w:tcMar>
              <w:left w:w="28" w:type="dxa"/>
              <w:right w:w="28" w:type="dxa"/>
            </w:tcMar>
            <w:vAlign w:val="center"/>
          </w:tcPr>
          <w:p w14:paraId="24178C81" w14:textId="77777777" w:rsidR="00075479" w:rsidRPr="00DD1AB5" w:rsidRDefault="00075479" w:rsidP="005B5000">
            <w:pPr>
              <w:pStyle w:val="Normal-pool"/>
              <w:spacing w:before="20" w:after="40"/>
              <w:rPr>
                <w:sz w:val="18"/>
                <w:szCs w:val="18"/>
                <w:lang w:val="en-GB"/>
              </w:rPr>
            </w:pPr>
          </w:p>
        </w:tc>
        <w:tc>
          <w:tcPr>
            <w:tcW w:w="3016" w:type="dxa"/>
            <w:shd w:val="clear" w:color="auto" w:fill="auto"/>
            <w:tcMar>
              <w:left w:w="28" w:type="dxa"/>
              <w:right w:w="28" w:type="dxa"/>
            </w:tcMar>
          </w:tcPr>
          <w:p w14:paraId="3675EF34" w14:textId="77777777" w:rsidR="00075479" w:rsidRPr="00DD1AB5" w:rsidRDefault="00075479" w:rsidP="005B5000">
            <w:pPr>
              <w:pStyle w:val="Normal-pool"/>
              <w:spacing w:before="20" w:after="40"/>
              <w:rPr>
                <w:sz w:val="18"/>
                <w:szCs w:val="18"/>
              </w:rPr>
            </w:pPr>
            <w:r w:rsidRPr="00DD1AB5">
              <w:rPr>
                <w:sz w:val="18"/>
                <w:szCs w:val="18"/>
              </w:rPr>
              <w:t xml:space="preserve">Participation de 8 experts (2 coprésidents et 6 auteurs-coordonnateurs principaux ou auteurs principaux) à la huitième session de la Plénière </w:t>
            </w:r>
          </w:p>
        </w:tc>
        <w:tc>
          <w:tcPr>
            <w:tcW w:w="3732" w:type="dxa"/>
            <w:shd w:val="clear" w:color="auto" w:fill="auto"/>
            <w:tcMar>
              <w:left w:w="28" w:type="dxa"/>
              <w:right w:w="28" w:type="dxa"/>
            </w:tcMar>
          </w:tcPr>
          <w:p w14:paraId="27C40A55" w14:textId="61951469" w:rsidR="00075479" w:rsidRPr="00DD1AB5" w:rsidRDefault="00075479" w:rsidP="005B5000">
            <w:pPr>
              <w:pStyle w:val="Normal-pool"/>
              <w:spacing w:before="20" w:after="40"/>
              <w:rPr>
                <w:sz w:val="18"/>
                <w:szCs w:val="18"/>
              </w:rPr>
            </w:pPr>
            <w:r w:rsidRPr="00DD1AB5">
              <w:rPr>
                <w:sz w:val="18"/>
                <w:szCs w:val="18"/>
              </w:rPr>
              <w:t>Frais de voyage et indemnité jo</w:t>
            </w:r>
            <w:r w:rsidR="003A1EED">
              <w:rPr>
                <w:sz w:val="18"/>
                <w:szCs w:val="18"/>
              </w:rPr>
              <w:t>urnalière de subsistance pour 6 </w:t>
            </w:r>
            <w:r w:rsidRPr="00DD1AB5">
              <w:rPr>
                <w:sz w:val="18"/>
                <w:szCs w:val="18"/>
              </w:rPr>
              <w:t>participants bénéficiant d</w:t>
            </w:r>
            <w:r w:rsidR="00B33A11" w:rsidRPr="00DD1AB5">
              <w:rPr>
                <w:sz w:val="18"/>
                <w:szCs w:val="18"/>
              </w:rPr>
              <w:t>’</w:t>
            </w:r>
            <w:r w:rsidR="003A1EED">
              <w:rPr>
                <w:sz w:val="18"/>
                <w:szCs w:val="18"/>
              </w:rPr>
              <w:t>une aide financière (6 x 3 </w:t>
            </w:r>
            <w:r w:rsidRPr="00DD1AB5">
              <w:rPr>
                <w:sz w:val="18"/>
                <w:szCs w:val="18"/>
              </w:rPr>
              <w:t>750 dollars)</w:t>
            </w:r>
          </w:p>
        </w:tc>
        <w:tc>
          <w:tcPr>
            <w:tcW w:w="1701" w:type="dxa"/>
            <w:shd w:val="clear" w:color="auto" w:fill="auto"/>
            <w:tcMar>
              <w:left w:w="28" w:type="dxa"/>
              <w:right w:w="28" w:type="dxa"/>
            </w:tcMar>
          </w:tcPr>
          <w:p w14:paraId="26CD16B4" w14:textId="26107E5E" w:rsidR="00075479" w:rsidRPr="00DD1AB5" w:rsidRDefault="003A1EED" w:rsidP="005B5000">
            <w:pPr>
              <w:pStyle w:val="Normal-pool"/>
              <w:spacing w:before="20" w:after="40"/>
              <w:jc w:val="right"/>
              <w:rPr>
                <w:sz w:val="18"/>
                <w:szCs w:val="18"/>
              </w:rPr>
            </w:pPr>
            <w:r>
              <w:rPr>
                <w:sz w:val="18"/>
                <w:szCs w:val="18"/>
              </w:rPr>
              <w:t>22 </w:t>
            </w:r>
            <w:r w:rsidR="00075479" w:rsidRPr="00DD1AB5">
              <w:rPr>
                <w:sz w:val="18"/>
                <w:szCs w:val="18"/>
              </w:rPr>
              <w:t>500</w:t>
            </w:r>
          </w:p>
        </w:tc>
      </w:tr>
      <w:tr w:rsidR="005B5000" w:rsidRPr="00DD1AB5" w14:paraId="04C12BF7" w14:textId="77777777" w:rsidTr="00DD1AB5">
        <w:trPr>
          <w:jc w:val="right"/>
        </w:trPr>
        <w:tc>
          <w:tcPr>
            <w:tcW w:w="919" w:type="dxa"/>
            <w:shd w:val="clear" w:color="auto" w:fill="auto"/>
            <w:tcMar>
              <w:left w:w="28" w:type="dxa"/>
              <w:right w:w="28" w:type="dxa"/>
            </w:tcMar>
            <w:vAlign w:val="center"/>
          </w:tcPr>
          <w:p w14:paraId="283E22FC" w14:textId="77777777" w:rsidR="00075479" w:rsidRPr="00DD1AB5" w:rsidRDefault="00075479" w:rsidP="005B5000">
            <w:pPr>
              <w:pStyle w:val="Normal-pool"/>
              <w:spacing w:before="20" w:after="40"/>
              <w:rPr>
                <w:sz w:val="18"/>
                <w:szCs w:val="18"/>
                <w:lang w:val="en-GB"/>
              </w:rPr>
            </w:pPr>
          </w:p>
        </w:tc>
        <w:tc>
          <w:tcPr>
            <w:tcW w:w="3016" w:type="dxa"/>
            <w:shd w:val="clear" w:color="auto" w:fill="auto"/>
            <w:tcMar>
              <w:left w:w="28" w:type="dxa"/>
              <w:right w:w="28" w:type="dxa"/>
            </w:tcMar>
          </w:tcPr>
          <w:p w14:paraId="72D0DB23" w14:textId="41243F0F" w:rsidR="00075479" w:rsidRPr="00DD1AB5" w:rsidRDefault="00075479" w:rsidP="005B5000">
            <w:pPr>
              <w:pStyle w:val="Normal-pool"/>
              <w:spacing w:before="20" w:after="40"/>
              <w:rPr>
                <w:sz w:val="18"/>
                <w:szCs w:val="18"/>
              </w:rPr>
            </w:pPr>
            <w:r w:rsidRPr="00DD1AB5">
              <w:rPr>
                <w:sz w:val="18"/>
                <w:szCs w:val="18"/>
              </w:rPr>
              <w:t>Conception, présentation, diffusion et communication</w:t>
            </w:r>
          </w:p>
        </w:tc>
        <w:tc>
          <w:tcPr>
            <w:tcW w:w="3732" w:type="dxa"/>
            <w:shd w:val="clear" w:color="auto" w:fill="auto"/>
            <w:tcMar>
              <w:left w:w="28" w:type="dxa"/>
              <w:right w:w="28" w:type="dxa"/>
            </w:tcMar>
          </w:tcPr>
          <w:p w14:paraId="5173B364" w14:textId="43602B13" w:rsidR="00075479" w:rsidRPr="00DD1AB5" w:rsidRDefault="00075479" w:rsidP="005B5000">
            <w:pPr>
              <w:pStyle w:val="Normal-pool"/>
              <w:spacing w:before="20" w:after="40"/>
              <w:rPr>
                <w:sz w:val="18"/>
                <w:szCs w:val="18"/>
              </w:rPr>
            </w:pPr>
            <w:r w:rsidRPr="00DD1AB5">
              <w:rPr>
                <w:sz w:val="18"/>
                <w:szCs w:val="18"/>
              </w:rPr>
              <w:t>No</w:t>
            </w:r>
            <w:r w:rsidR="001F4CF9">
              <w:rPr>
                <w:sz w:val="18"/>
                <w:szCs w:val="18"/>
              </w:rPr>
              <w:t>tamment les activités suivantes </w:t>
            </w:r>
            <w:r w:rsidRPr="00DD1AB5">
              <w:rPr>
                <w:sz w:val="18"/>
                <w:szCs w:val="18"/>
              </w:rPr>
              <w:t>: conception et mise en page du rapport d</w:t>
            </w:r>
            <w:r w:rsidR="00B33A11" w:rsidRPr="00DD1AB5">
              <w:rPr>
                <w:sz w:val="18"/>
                <w:szCs w:val="18"/>
              </w:rPr>
              <w:t>’</w:t>
            </w:r>
            <w:r w:rsidRPr="00DD1AB5">
              <w:rPr>
                <w:sz w:val="18"/>
                <w:szCs w:val="18"/>
              </w:rPr>
              <w:t>évaluation (graphiques techniques, production d</w:t>
            </w:r>
            <w:r w:rsidR="00B33A11" w:rsidRPr="00DD1AB5">
              <w:rPr>
                <w:sz w:val="18"/>
                <w:szCs w:val="18"/>
              </w:rPr>
              <w:t>’</w:t>
            </w:r>
            <w:r w:rsidRPr="00DD1AB5">
              <w:rPr>
                <w:sz w:val="18"/>
                <w:szCs w:val="18"/>
              </w:rPr>
              <w:t>une vidéo promotionnelle, appui en matière de relations publiques, manifestations de lancement, impression du résumé à l</w:t>
            </w:r>
            <w:r w:rsidR="00B33A11" w:rsidRPr="00DD1AB5">
              <w:rPr>
                <w:sz w:val="18"/>
                <w:szCs w:val="18"/>
              </w:rPr>
              <w:t>’</w:t>
            </w:r>
            <w:r w:rsidRPr="00DD1AB5">
              <w:rPr>
                <w:sz w:val="18"/>
                <w:szCs w:val="18"/>
              </w:rPr>
              <w:t>intention des décideurs et des rapports d</w:t>
            </w:r>
            <w:r w:rsidR="00B33A11" w:rsidRPr="00DD1AB5">
              <w:rPr>
                <w:sz w:val="18"/>
                <w:szCs w:val="18"/>
              </w:rPr>
              <w:t>’</w:t>
            </w:r>
            <w:r w:rsidRPr="00DD1AB5">
              <w:rPr>
                <w:sz w:val="18"/>
                <w:szCs w:val="18"/>
              </w:rPr>
              <w:t>évaluation et distribution ultérieure)</w:t>
            </w:r>
          </w:p>
        </w:tc>
        <w:tc>
          <w:tcPr>
            <w:tcW w:w="1701" w:type="dxa"/>
            <w:shd w:val="clear" w:color="auto" w:fill="auto"/>
            <w:tcMar>
              <w:left w:w="28" w:type="dxa"/>
              <w:right w:w="28" w:type="dxa"/>
            </w:tcMar>
          </w:tcPr>
          <w:p w14:paraId="5EB5EFE6" w14:textId="0B9DA9D7" w:rsidR="00075479" w:rsidRPr="00DD1AB5" w:rsidRDefault="003A1EED" w:rsidP="005B5000">
            <w:pPr>
              <w:pStyle w:val="Normal-pool"/>
              <w:spacing w:before="20" w:after="40"/>
              <w:jc w:val="right"/>
              <w:rPr>
                <w:sz w:val="18"/>
                <w:szCs w:val="18"/>
              </w:rPr>
            </w:pPr>
            <w:r>
              <w:rPr>
                <w:sz w:val="18"/>
                <w:szCs w:val="18"/>
              </w:rPr>
              <w:t>220 </w:t>
            </w:r>
            <w:r w:rsidR="00075479" w:rsidRPr="00DD1AB5">
              <w:rPr>
                <w:sz w:val="18"/>
                <w:szCs w:val="18"/>
              </w:rPr>
              <w:t>000</w:t>
            </w:r>
          </w:p>
        </w:tc>
      </w:tr>
      <w:tr w:rsidR="005B5000" w:rsidRPr="00DD1AB5" w14:paraId="1055B05C" w14:textId="77777777" w:rsidTr="00DD1AB5">
        <w:trPr>
          <w:jc w:val="right"/>
        </w:trPr>
        <w:tc>
          <w:tcPr>
            <w:tcW w:w="919" w:type="dxa"/>
            <w:shd w:val="clear" w:color="auto" w:fill="auto"/>
            <w:tcMar>
              <w:left w:w="28" w:type="dxa"/>
              <w:right w:w="28" w:type="dxa"/>
            </w:tcMar>
          </w:tcPr>
          <w:p w14:paraId="01C05B4E" w14:textId="77777777" w:rsidR="00075479" w:rsidRPr="00DD1AB5" w:rsidRDefault="00075479" w:rsidP="005B5000">
            <w:pPr>
              <w:pStyle w:val="Normal-pool"/>
              <w:spacing w:before="20" w:after="40"/>
              <w:rPr>
                <w:b/>
                <w:sz w:val="18"/>
                <w:szCs w:val="18"/>
                <w:lang w:val="en-GB"/>
              </w:rPr>
            </w:pPr>
          </w:p>
        </w:tc>
        <w:tc>
          <w:tcPr>
            <w:tcW w:w="3016" w:type="dxa"/>
            <w:shd w:val="clear" w:color="auto" w:fill="auto"/>
            <w:tcMar>
              <w:left w:w="28" w:type="dxa"/>
              <w:right w:w="28" w:type="dxa"/>
            </w:tcMar>
          </w:tcPr>
          <w:p w14:paraId="4B7B7822" w14:textId="77777777" w:rsidR="00075479" w:rsidRPr="00DD1AB5" w:rsidRDefault="00075479" w:rsidP="005B5000">
            <w:pPr>
              <w:pStyle w:val="Normal-pool"/>
              <w:spacing w:before="20" w:after="40"/>
              <w:rPr>
                <w:b/>
                <w:sz w:val="18"/>
                <w:szCs w:val="18"/>
              </w:rPr>
            </w:pPr>
            <w:r w:rsidRPr="00DD1AB5">
              <w:rPr>
                <w:b/>
                <w:sz w:val="18"/>
                <w:szCs w:val="18"/>
              </w:rPr>
              <w:t>Total troisième année</w:t>
            </w:r>
          </w:p>
        </w:tc>
        <w:tc>
          <w:tcPr>
            <w:tcW w:w="3732" w:type="dxa"/>
            <w:shd w:val="clear" w:color="auto" w:fill="auto"/>
            <w:tcMar>
              <w:left w:w="28" w:type="dxa"/>
              <w:right w:w="28" w:type="dxa"/>
            </w:tcMar>
          </w:tcPr>
          <w:p w14:paraId="5ABC7E0E" w14:textId="77777777" w:rsidR="00075479" w:rsidRPr="00DD1AB5" w:rsidRDefault="00075479" w:rsidP="005B5000">
            <w:pPr>
              <w:pStyle w:val="Normal-pool"/>
              <w:spacing w:before="20" w:after="40"/>
              <w:rPr>
                <w:b/>
                <w:sz w:val="18"/>
                <w:szCs w:val="18"/>
                <w:lang w:val="en-GB"/>
              </w:rPr>
            </w:pPr>
          </w:p>
        </w:tc>
        <w:tc>
          <w:tcPr>
            <w:tcW w:w="1701" w:type="dxa"/>
            <w:shd w:val="clear" w:color="auto" w:fill="auto"/>
            <w:tcMar>
              <w:left w:w="28" w:type="dxa"/>
              <w:right w:w="28" w:type="dxa"/>
            </w:tcMar>
          </w:tcPr>
          <w:p w14:paraId="0C3CB76E" w14:textId="51F1736A" w:rsidR="00075479" w:rsidRPr="00DD1AB5" w:rsidRDefault="003A1EED" w:rsidP="005B5000">
            <w:pPr>
              <w:pStyle w:val="Normal-pool"/>
              <w:spacing w:before="20" w:after="40"/>
              <w:jc w:val="right"/>
              <w:rPr>
                <w:b/>
                <w:sz w:val="18"/>
                <w:szCs w:val="18"/>
              </w:rPr>
            </w:pPr>
            <w:r>
              <w:rPr>
                <w:b/>
                <w:sz w:val="18"/>
                <w:szCs w:val="18"/>
              </w:rPr>
              <w:t>675 </w:t>
            </w:r>
            <w:r w:rsidR="00075479" w:rsidRPr="00DD1AB5">
              <w:rPr>
                <w:b/>
                <w:sz w:val="18"/>
                <w:szCs w:val="18"/>
              </w:rPr>
              <w:t>000</w:t>
            </w:r>
          </w:p>
        </w:tc>
      </w:tr>
      <w:tr w:rsidR="005B5000" w:rsidRPr="00DD1AB5" w14:paraId="0583A44E" w14:textId="77777777" w:rsidTr="00DD1AB5">
        <w:trPr>
          <w:jc w:val="right"/>
        </w:trPr>
        <w:tc>
          <w:tcPr>
            <w:tcW w:w="919" w:type="dxa"/>
            <w:shd w:val="clear" w:color="auto" w:fill="auto"/>
            <w:tcMar>
              <w:left w:w="28" w:type="dxa"/>
              <w:right w:w="28" w:type="dxa"/>
            </w:tcMar>
          </w:tcPr>
          <w:p w14:paraId="425B7225" w14:textId="77777777" w:rsidR="00075479" w:rsidRPr="00DD1AB5" w:rsidRDefault="00075479" w:rsidP="005B5000">
            <w:pPr>
              <w:pStyle w:val="Normal-pool"/>
              <w:spacing w:before="20" w:after="40"/>
              <w:rPr>
                <w:b/>
                <w:sz w:val="18"/>
                <w:szCs w:val="18"/>
                <w:lang w:val="en-GB"/>
              </w:rPr>
            </w:pPr>
          </w:p>
        </w:tc>
        <w:tc>
          <w:tcPr>
            <w:tcW w:w="3016" w:type="dxa"/>
            <w:shd w:val="clear" w:color="auto" w:fill="auto"/>
            <w:tcMar>
              <w:left w:w="28" w:type="dxa"/>
              <w:right w:w="28" w:type="dxa"/>
            </w:tcMar>
          </w:tcPr>
          <w:p w14:paraId="4936BC2C" w14:textId="72C5F1C0" w:rsidR="00075479" w:rsidRPr="00DD1AB5" w:rsidRDefault="00075479" w:rsidP="005B5000">
            <w:pPr>
              <w:pStyle w:val="Normal-pool"/>
              <w:spacing w:before="20" w:after="40"/>
              <w:rPr>
                <w:b/>
                <w:sz w:val="18"/>
                <w:szCs w:val="18"/>
              </w:rPr>
            </w:pPr>
            <w:r w:rsidRPr="00DD1AB5">
              <w:rPr>
                <w:b/>
                <w:sz w:val="18"/>
                <w:szCs w:val="18"/>
              </w:rPr>
              <w:t>Total</w:t>
            </w:r>
            <w:r w:rsidR="005B5000" w:rsidRPr="00DD1AB5">
              <w:rPr>
                <w:b/>
                <w:sz w:val="18"/>
                <w:szCs w:val="18"/>
              </w:rPr>
              <w:t> </w:t>
            </w:r>
            <w:r w:rsidRPr="00DD1AB5">
              <w:rPr>
                <w:b/>
                <w:sz w:val="18"/>
                <w:szCs w:val="18"/>
              </w:rPr>
              <w:t>:</w:t>
            </w:r>
          </w:p>
        </w:tc>
        <w:tc>
          <w:tcPr>
            <w:tcW w:w="3732" w:type="dxa"/>
            <w:shd w:val="clear" w:color="auto" w:fill="auto"/>
            <w:tcMar>
              <w:left w:w="28" w:type="dxa"/>
              <w:right w:w="28" w:type="dxa"/>
            </w:tcMar>
          </w:tcPr>
          <w:p w14:paraId="53DDCFCE" w14:textId="77777777" w:rsidR="00075479" w:rsidRPr="00DD1AB5" w:rsidRDefault="00075479" w:rsidP="005B5000">
            <w:pPr>
              <w:pStyle w:val="Normal-pool"/>
              <w:spacing w:before="20" w:after="40"/>
              <w:rPr>
                <w:b/>
                <w:sz w:val="18"/>
                <w:szCs w:val="18"/>
                <w:lang w:val="en-GB"/>
              </w:rPr>
            </w:pPr>
          </w:p>
        </w:tc>
        <w:tc>
          <w:tcPr>
            <w:tcW w:w="1701" w:type="dxa"/>
            <w:shd w:val="clear" w:color="auto" w:fill="auto"/>
            <w:tcMar>
              <w:left w:w="28" w:type="dxa"/>
              <w:right w:w="28" w:type="dxa"/>
            </w:tcMar>
          </w:tcPr>
          <w:p w14:paraId="7F79FA48" w14:textId="55445AF5" w:rsidR="00075479" w:rsidRPr="00DD1AB5" w:rsidRDefault="003A1EED" w:rsidP="005B5000">
            <w:pPr>
              <w:pStyle w:val="Normal-pool"/>
              <w:spacing w:before="20" w:after="40"/>
              <w:jc w:val="right"/>
              <w:rPr>
                <w:b/>
                <w:sz w:val="18"/>
                <w:szCs w:val="18"/>
              </w:rPr>
            </w:pPr>
            <w:r>
              <w:rPr>
                <w:b/>
                <w:sz w:val="18"/>
                <w:szCs w:val="18"/>
              </w:rPr>
              <w:t>1 445 </w:t>
            </w:r>
            <w:r w:rsidR="00075479" w:rsidRPr="00DD1AB5">
              <w:rPr>
                <w:b/>
                <w:sz w:val="18"/>
                <w:szCs w:val="18"/>
              </w:rPr>
              <w:t>000</w:t>
            </w:r>
          </w:p>
        </w:tc>
      </w:tr>
    </w:tbl>
    <w:tbl>
      <w:tblPr>
        <w:tblStyle w:val="TableGrid"/>
        <w:tblW w:w="5000"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27"/>
        <w:gridCol w:w="1927"/>
        <w:gridCol w:w="1928"/>
        <w:gridCol w:w="1928"/>
        <w:gridCol w:w="1929"/>
      </w:tblGrid>
      <w:tr w:rsidR="002A626D" w:rsidRPr="00BD55EA" w14:paraId="07351B0F" w14:textId="77777777" w:rsidTr="00DD1AB5">
        <w:trPr>
          <w:jc w:val="right"/>
        </w:trPr>
        <w:tc>
          <w:tcPr>
            <w:tcW w:w="2009" w:type="dxa"/>
          </w:tcPr>
          <w:p w14:paraId="74826309" w14:textId="77777777" w:rsidR="002A626D" w:rsidRPr="00BD55EA" w:rsidRDefault="002A626D" w:rsidP="002A626D">
            <w:pPr>
              <w:pStyle w:val="Normal-pool"/>
              <w:spacing w:before="200"/>
              <w:rPr>
                <w:lang w:eastAsia="ja-JP"/>
              </w:rPr>
            </w:pPr>
          </w:p>
        </w:tc>
        <w:tc>
          <w:tcPr>
            <w:tcW w:w="2009" w:type="dxa"/>
          </w:tcPr>
          <w:p w14:paraId="491E3D37" w14:textId="77777777" w:rsidR="002A626D" w:rsidRPr="00BD55EA" w:rsidRDefault="002A626D" w:rsidP="002A626D">
            <w:pPr>
              <w:pStyle w:val="Normal-pool"/>
              <w:spacing w:before="200"/>
              <w:rPr>
                <w:lang w:eastAsia="ja-JP"/>
              </w:rPr>
            </w:pPr>
          </w:p>
        </w:tc>
        <w:tc>
          <w:tcPr>
            <w:tcW w:w="2009" w:type="dxa"/>
            <w:tcBorders>
              <w:bottom w:val="single" w:sz="4" w:space="0" w:color="auto"/>
            </w:tcBorders>
          </w:tcPr>
          <w:p w14:paraId="281F4504" w14:textId="77777777" w:rsidR="002A626D" w:rsidRPr="00BD55EA" w:rsidRDefault="002A626D" w:rsidP="005B5000">
            <w:pPr>
              <w:pStyle w:val="Normal-pool"/>
              <w:spacing w:before="480"/>
              <w:rPr>
                <w:lang w:eastAsia="ja-JP"/>
              </w:rPr>
            </w:pPr>
          </w:p>
        </w:tc>
        <w:tc>
          <w:tcPr>
            <w:tcW w:w="2009" w:type="dxa"/>
          </w:tcPr>
          <w:p w14:paraId="52A782B8" w14:textId="77777777" w:rsidR="002A626D" w:rsidRPr="00BD55EA" w:rsidRDefault="002A626D" w:rsidP="002A626D">
            <w:pPr>
              <w:pStyle w:val="Normal-pool"/>
              <w:spacing w:before="200"/>
              <w:rPr>
                <w:lang w:eastAsia="ja-JP"/>
              </w:rPr>
            </w:pPr>
          </w:p>
        </w:tc>
        <w:tc>
          <w:tcPr>
            <w:tcW w:w="2010" w:type="dxa"/>
          </w:tcPr>
          <w:p w14:paraId="7F4EA5A1" w14:textId="77777777" w:rsidR="002A626D" w:rsidRPr="00BD55EA" w:rsidRDefault="002A626D" w:rsidP="002A626D">
            <w:pPr>
              <w:pStyle w:val="Normal-pool"/>
              <w:spacing w:before="200"/>
              <w:rPr>
                <w:lang w:eastAsia="ja-JP"/>
              </w:rPr>
            </w:pPr>
          </w:p>
        </w:tc>
      </w:tr>
    </w:tbl>
    <w:p w14:paraId="1933063D" w14:textId="77777777" w:rsidR="002A626D" w:rsidRPr="005B5000" w:rsidRDefault="002A626D" w:rsidP="005B5000">
      <w:pPr>
        <w:pStyle w:val="Normal-pool"/>
        <w:rPr>
          <w:sz w:val="2"/>
          <w:szCs w:val="2"/>
        </w:rPr>
      </w:pPr>
    </w:p>
    <w:sectPr w:rsidR="002A626D" w:rsidRPr="005B5000" w:rsidSect="00E609AF">
      <w:headerReference w:type="even" r:id="rId16"/>
      <w:headerReference w:type="default" r:id="rId17"/>
      <w:footerReference w:type="even" r:id="rId18"/>
      <w:footerReference w:type="default" r:id="rId19"/>
      <w:headerReference w:type="first" r:id="rId20"/>
      <w:footerReference w:type="first" r:id="rId21"/>
      <w:type w:val="continuous"/>
      <w:pgSz w:w="11907" w:h="16840" w:code="9"/>
      <w:pgMar w:top="907" w:right="850" w:bottom="1418" w:left="1418" w:header="539" w:footer="975" w:gutter="0"/>
      <w:cols w:space="53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530D2" w14:textId="77777777" w:rsidR="00512E82" w:rsidRDefault="00512E82">
      <w:r>
        <w:separator/>
      </w:r>
    </w:p>
  </w:endnote>
  <w:endnote w:type="continuationSeparator" w:id="0">
    <w:p w14:paraId="670DDA39" w14:textId="77777777" w:rsidR="00512E82" w:rsidRDefault="00512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6A3D9" w14:textId="306DDC87" w:rsidR="00C60881" w:rsidRPr="003B1F39" w:rsidRDefault="00C60881" w:rsidP="003B1F39">
    <w:pPr>
      <w:pStyle w:val="Footer-pool"/>
      <w:rPr>
        <w:b w:val="0"/>
      </w:rPr>
    </w:pPr>
    <w:r w:rsidRPr="003B1F39">
      <w:rPr>
        <w:rStyle w:val="PageNumber"/>
        <w:b/>
      </w:rPr>
      <w:fldChar w:fldCharType="begin"/>
    </w:r>
    <w:r w:rsidRPr="003B1F39">
      <w:rPr>
        <w:rStyle w:val="PageNumber"/>
        <w:b/>
      </w:rPr>
      <w:instrText xml:space="preserve"> PAGE </w:instrText>
    </w:r>
    <w:r w:rsidRPr="003B1F39">
      <w:rPr>
        <w:rStyle w:val="PageNumber"/>
        <w:b/>
      </w:rPr>
      <w:fldChar w:fldCharType="separate"/>
    </w:r>
    <w:r w:rsidR="00104F1F">
      <w:rPr>
        <w:rStyle w:val="PageNumber"/>
        <w:b/>
        <w:noProof/>
      </w:rPr>
      <w:t>2</w:t>
    </w:r>
    <w:r w:rsidRPr="003B1F39">
      <w:rPr>
        <w:rStyle w:val="PageNumbe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65BDE" w14:textId="2EEB468F" w:rsidR="00C60881" w:rsidRPr="003B1F39" w:rsidRDefault="00C60881" w:rsidP="003B1F39">
    <w:pPr>
      <w:pStyle w:val="Footer-pool"/>
      <w:jc w:val="right"/>
      <w:rPr>
        <w:b w:val="0"/>
      </w:rPr>
    </w:pPr>
    <w:r w:rsidRPr="003B1F39">
      <w:rPr>
        <w:rStyle w:val="PageNumber"/>
        <w:b/>
      </w:rPr>
      <w:fldChar w:fldCharType="begin"/>
    </w:r>
    <w:r w:rsidRPr="003B1F39">
      <w:rPr>
        <w:rStyle w:val="PageNumber"/>
        <w:b/>
      </w:rPr>
      <w:instrText xml:space="preserve"> PAGE </w:instrText>
    </w:r>
    <w:r w:rsidRPr="003B1F39">
      <w:rPr>
        <w:rStyle w:val="PageNumber"/>
        <w:b/>
      </w:rPr>
      <w:fldChar w:fldCharType="separate"/>
    </w:r>
    <w:r w:rsidR="00104F1F">
      <w:rPr>
        <w:rStyle w:val="PageNumber"/>
        <w:b/>
        <w:noProof/>
      </w:rPr>
      <w:t>3</w:t>
    </w:r>
    <w:r w:rsidRPr="003B1F39">
      <w:rPr>
        <w:rStyle w:val="PageNumbe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373823031"/>
      <w:docPartObj>
        <w:docPartGallery w:val="Page Numbers (Bottom of Page)"/>
        <w:docPartUnique/>
      </w:docPartObj>
    </w:sdtPr>
    <w:sdtEndPr>
      <w:rPr>
        <w:noProof/>
      </w:rPr>
    </w:sdtEndPr>
    <w:sdtContent>
      <w:p w14:paraId="5997F3B3" w14:textId="4F73187E" w:rsidR="00C60881" w:rsidRPr="00FD69E2" w:rsidRDefault="00FD69E2" w:rsidP="00D07CC3">
        <w:pPr>
          <w:pStyle w:val="Normal-pool"/>
          <w:rPr>
            <w:sz w:val="18"/>
            <w:szCs w:val="18"/>
          </w:rPr>
        </w:pPr>
        <w:r>
          <w:rPr>
            <w:lang w:val="fr-FR"/>
          </w:rPr>
          <w:t>K17091</w:t>
        </w:r>
        <w:r w:rsidR="00DD1AB5">
          <w:rPr>
            <w:lang w:val="fr-FR"/>
          </w:rPr>
          <w:t>30</w:t>
        </w:r>
        <w:r>
          <w:rPr>
            <w:lang w:val="fr-FR"/>
          </w:rPr>
          <w:tab/>
        </w:r>
        <w:r w:rsidR="001D1A57">
          <w:rPr>
            <w:lang w:val="fr-FR"/>
          </w:rPr>
          <w:t>24</w:t>
        </w:r>
        <w:r w:rsidR="00E609AF">
          <w:rPr>
            <w:lang w:val="fr-FR"/>
          </w:rPr>
          <w:t>0118</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DDEDAD" w14:textId="77777777" w:rsidR="00512E82" w:rsidRPr="00887131" w:rsidRDefault="00512E82" w:rsidP="00887131">
      <w:pPr>
        <w:pStyle w:val="NormalNonumber"/>
        <w:tabs>
          <w:tab w:val="clear" w:pos="1247"/>
          <w:tab w:val="clear" w:pos="1814"/>
          <w:tab w:val="clear" w:pos="2381"/>
          <w:tab w:val="clear" w:pos="2948"/>
          <w:tab w:val="clear" w:pos="3515"/>
          <w:tab w:val="clear" w:pos="4082"/>
          <w:tab w:val="left" w:pos="624"/>
        </w:tabs>
        <w:spacing w:before="60" w:after="0"/>
        <w:ind w:left="624"/>
        <w:rPr>
          <w:sz w:val="18"/>
          <w:szCs w:val="18"/>
        </w:rPr>
      </w:pPr>
      <w:r w:rsidRPr="00887131">
        <w:rPr>
          <w:sz w:val="18"/>
          <w:szCs w:val="18"/>
        </w:rPr>
        <w:separator/>
      </w:r>
    </w:p>
  </w:footnote>
  <w:footnote w:type="continuationSeparator" w:id="0">
    <w:p w14:paraId="731B261F" w14:textId="77777777" w:rsidR="00512E82" w:rsidRDefault="00512E82">
      <w:r>
        <w:continuationSeparator/>
      </w:r>
    </w:p>
  </w:footnote>
  <w:footnote w:id="1">
    <w:p w14:paraId="20E934D6" w14:textId="77777777" w:rsidR="00075479" w:rsidRPr="00844BD5" w:rsidRDefault="00075479" w:rsidP="00DD1AB5">
      <w:pPr>
        <w:pStyle w:val="FootnoteText"/>
        <w:rPr>
          <w:szCs w:val="18"/>
        </w:rPr>
      </w:pPr>
      <w:r>
        <w:t>* IPBES/6/1.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32678" w14:textId="0BD8AA61" w:rsidR="00C60881" w:rsidRPr="008C00D6" w:rsidRDefault="00C60881" w:rsidP="003B1F39">
    <w:pPr>
      <w:pStyle w:val="Header-pool"/>
    </w:pPr>
    <w:r w:rsidRPr="00FD69E2">
      <w:t>IPBES/6/</w:t>
    </w:r>
    <w:r w:rsidR="00FD69E2" w:rsidRPr="00FD69E2">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682A5" w14:textId="5957644E" w:rsidR="00C60881" w:rsidRPr="008C00D6" w:rsidRDefault="00C60881" w:rsidP="003B1F39">
    <w:pPr>
      <w:pStyle w:val="Header-pool"/>
      <w:jc w:val="right"/>
    </w:pPr>
    <w:r>
      <w:t>IPBES/6/</w:t>
    </w:r>
    <w:r w:rsidR="00FD69E2">
      <w:t>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3186A" w14:textId="1D2D3B5E" w:rsidR="00C60881" w:rsidRPr="00FD69E2" w:rsidRDefault="00C60881" w:rsidP="00FD69E2">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DB0834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B571867"/>
    <w:multiLevelType w:val="singleLevel"/>
    <w:tmpl w:val="A2E252AA"/>
    <w:lvl w:ilvl="0">
      <w:start w:val="1"/>
      <w:numFmt w:val="upperRoman"/>
      <w:pStyle w:val="Heading8"/>
      <w:lvlText w:val="%1."/>
      <w:lvlJc w:val="left"/>
      <w:pPr>
        <w:tabs>
          <w:tab w:val="num" w:pos="720"/>
        </w:tabs>
        <w:ind w:left="720" w:hanging="720"/>
      </w:pPr>
      <w:rPr>
        <w:rFonts w:hint="default"/>
      </w:rPr>
    </w:lvl>
  </w:abstractNum>
  <w:abstractNum w:abstractNumId="2" w15:restartNumberingAfterBreak="0">
    <w:nsid w:val="35571603"/>
    <w:multiLevelType w:val="singleLevel"/>
    <w:tmpl w:val="2868AC2A"/>
    <w:lvl w:ilvl="0">
      <w:start w:val="6"/>
      <w:numFmt w:val="upperLetter"/>
      <w:pStyle w:val="Heading9"/>
      <w:lvlText w:val="%1."/>
      <w:lvlJc w:val="left"/>
      <w:pPr>
        <w:tabs>
          <w:tab w:val="num" w:pos="360"/>
        </w:tabs>
        <w:ind w:left="360" w:hanging="360"/>
      </w:pPr>
      <w:rPr>
        <w:rFonts w:hint="default"/>
      </w:rPr>
    </w:lvl>
  </w:abstractNum>
  <w:abstractNum w:abstractNumId="3" w15:restartNumberingAfterBreak="0">
    <w:nsid w:val="52A66A9D"/>
    <w:multiLevelType w:val="multilevel"/>
    <w:tmpl w:val="F4ACF36E"/>
    <w:styleLink w:val="Normallist"/>
    <w:lvl w:ilvl="0">
      <w:start w:val="1"/>
      <w:numFmt w:val="decimal"/>
      <w:pStyle w:val="Normalnumber"/>
      <w:lvlText w:val="%1."/>
      <w:lvlJc w:val="left"/>
      <w:pPr>
        <w:tabs>
          <w:tab w:val="num" w:pos="567"/>
        </w:tabs>
        <w:ind w:left="1247" w:firstLine="0"/>
      </w:pPr>
      <w:rPr>
        <w:rFonts w:hint="default"/>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Roman"/>
      <w:lvlText w:val="%5."/>
      <w:lvlJc w:val="left"/>
      <w:pPr>
        <w:tabs>
          <w:tab w:val="num" w:pos="567"/>
        </w:tabs>
        <w:ind w:left="4082" w:hanging="567"/>
      </w:pPr>
      <w:rPr>
        <w:rFonts w:hint="default"/>
      </w:rPr>
    </w:lvl>
    <w:lvl w:ilvl="5">
      <w:start w:val="1"/>
      <w:numFmt w:val="lowerRoman"/>
      <w:lvlText w:val="%6."/>
      <w:lvlJc w:val="right"/>
      <w:pPr>
        <w:tabs>
          <w:tab w:val="num" w:pos="7835"/>
        </w:tabs>
        <w:ind w:left="7835" w:hanging="180"/>
      </w:pPr>
      <w:rPr>
        <w:rFonts w:hint="default"/>
      </w:rPr>
    </w:lvl>
    <w:lvl w:ilvl="6">
      <w:start w:val="1"/>
      <w:numFmt w:val="decimal"/>
      <w:lvlText w:val="%7."/>
      <w:lvlJc w:val="left"/>
      <w:pPr>
        <w:tabs>
          <w:tab w:val="num" w:pos="8555"/>
        </w:tabs>
        <w:ind w:left="8555" w:hanging="360"/>
      </w:pPr>
      <w:rPr>
        <w:rFonts w:hint="default"/>
      </w:rPr>
    </w:lvl>
    <w:lvl w:ilvl="7">
      <w:start w:val="1"/>
      <w:numFmt w:val="lowerLetter"/>
      <w:lvlText w:val="%8."/>
      <w:lvlJc w:val="left"/>
      <w:pPr>
        <w:tabs>
          <w:tab w:val="num" w:pos="9275"/>
        </w:tabs>
        <w:ind w:left="9275" w:hanging="360"/>
      </w:pPr>
      <w:rPr>
        <w:rFonts w:hint="default"/>
      </w:rPr>
    </w:lvl>
    <w:lvl w:ilvl="8">
      <w:start w:val="1"/>
      <w:numFmt w:val="lowerRoman"/>
      <w:lvlText w:val="%9."/>
      <w:lvlJc w:val="right"/>
      <w:pPr>
        <w:tabs>
          <w:tab w:val="num" w:pos="9995"/>
        </w:tabs>
        <w:ind w:left="9995" w:hanging="180"/>
      </w:pPr>
      <w:rPr>
        <w:rFonts w:hint="default"/>
      </w:rPr>
    </w:lvl>
  </w:abstractNum>
  <w:abstractNum w:abstractNumId="4" w15:restartNumberingAfterBreak="0">
    <w:nsid w:val="62291BF8"/>
    <w:multiLevelType w:val="multilevel"/>
    <w:tmpl w:val="F4ACF36E"/>
    <w:numStyleLink w:val="Normallist"/>
  </w:abstractNum>
  <w:num w:numId="1">
    <w:abstractNumId w:val="3"/>
  </w:num>
  <w:num w:numId="2">
    <w:abstractNumId w:val="1"/>
  </w:num>
  <w:num w:numId="3">
    <w:abstractNumId w:val="2"/>
  </w:num>
  <w:num w:numId="4">
    <w:abstractNumId w:val="3"/>
  </w:num>
  <w:num w:numId="5">
    <w:abstractNumId w:val="4"/>
  </w:num>
  <w:num w:numId="6">
    <w:abstractNumId w:val="0"/>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activeWritingStyle w:appName="MSWord" w:lang="fr-FR" w:vendorID="64" w:dllVersion="0" w:nlCheck="1" w:checkStyle="0"/>
  <w:activeWritingStyle w:appName="MSWord" w:lang="en-US" w:vendorID="64" w:dllVersion="0" w:nlCheck="1" w:checkStyle="1"/>
  <w:activeWritingStyle w:appName="MSWord" w:lang="en-GB" w:vendorID="64" w:dllVersion="0" w:nlCheck="1" w:checkStyle="1"/>
  <w:activeWritingStyle w:appName="MSWord" w:lang="es-ES" w:vendorID="64" w:dllVersion="0" w:nlCheck="1" w:checkStyle="1"/>
  <w:activeWritingStyle w:appName="MSWord" w:lang="fr-CA" w:vendorID="64" w:dllVersion="0" w:nlCheck="1" w:checkStyle="0"/>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stylePaneSortMethod w:val="0000"/>
  <w:revisionView w:inkAnnotations="0"/>
  <w:defaultTabStop w:val="624"/>
  <w:hyphenationZone w:val="425"/>
  <w:evenAndOddHeaders/>
  <w:noPunctuationKerning/>
  <w:characterSpacingControl w:val="doNotCompress"/>
  <w:hdrShapeDefaults>
    <o:shapedefaults v:ext="edit" spidmax="1228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25A"/>
    <w:rsid w:val="00010869"/>
    <w:rsid w:val="000149E6"/>
    <w:rsid w:val="000247B0"/>
    <w:rsid w:val="00024C14"/>
    <w:rsid w:val="00026997"/>
    <w:rsid w:val="00033C5F"/>
    <w:rsid w:val="00033E0B"/>
    <w:rsid w:val="00035EDE"/>
    <w:rsid w:val="0004026E"/>
    <w:rsid w:val="00044E5A"/>
    <w:rsid w:val="0004540A"/>
    <w:rsid w:val="000509B4"/>
    <w:rsid w:val="0006035B"/>
    <w:rsid w:val="00061444"/>
    <w:rsid w:val="00061E92"/>
    <w:rsid w:val="0006430A"/>
    <w:rsid w:val="00071886"/>
    <w:rsid w:val="000742BC"/>
    <w:rsid w:val="00075479"/>
    <w:rsid w:val="00082A0C"/>
    <w:rsid w:val="00083504"/>
    <w:rsid w:val="000904EF"/>
    <w:rsid w:val="0009640C"/>
    <w:rsid w:val="000B22A2"/>
    <w:rsid w:val="000C2A52"/>
    <w:rsid w:val="000D33C0"/>
    <w:rsid w:val="000D6941"/>
    <w:rsid w:val="000F6B5C"/>
    <w:rsid w:val="00104F1F"/>
    <w:rsid w:val="001202E3"/>
    <w:rsid w:val="00123699"/>
    <w:rsid w:val="001238B1"/>
    <w:rsid w:val="0013059D"/>
    <w:rsid w:val="00141A55"/>
    <w:rsid w:val="001446A3"/>
    <w:rsid w:val="00155395"/>
    <w:rsid w:val="00160D74"/>
    <w:rsid w:val="00167D02"/>
    <w:rsid w:val="001717B7"/>
    <w:rsid w:val="00181EC8"/>
    <w:rsid w:val="00184349"/>
    <w:rsid w:val="001846D0"/>
    <w:rsid w:val="00195F33"/>
    <w:rsid w:val="001B1617"/>
    <w:rsid w:val="001B504B"/>
    <w:rsid w:val="001B68AD"/>
    <w:rsid w:val="001B6CA5"/>
    <w:rsid w:val="001D1A57"/>
    <w:rsid w:val="001D3874"/>
    <w:rsid w:val="001D7E75"/>
    <w:rsid w:val="001E56D2"/>
    <w:rsid w:val="001E7D56"/>
    <w:rsid w:val="001F4CF9"/>
    <w:rsid w:val="001F75DE"/>
    <w:rsid w:val="00200D58"/>
    <w:rsid w:val="002013BE"/>
    <w:rsid w:val="00203460"/>
    <w:rsid w:val="002063A4"/>
    <w:rsid w:val="0021145B"/>
    <w:rsid w:val="00213A77"/>
    <w:rsid w:val="00243D36"/>
    <w:rsid w:val="0024494F"/>
    <w:rsid w:val="00247707"/>
    <w:rsid w:val="00247D7A"/>
    <w:rsid w:val="002512CA"/>
    <w:rsid w:val="0026018E"/>
    <w:rsid w:val="00285344"/>
    <w:rsid w:val="00286740"/>
    <w:rsid w:val="002929D8"/>
    <w:rsid w:val="002A237D"/>
    <w:rsid w:val="002A4C53"/>
    <w:rsid w:val="002A626D"/>
    <w:rsid w:val="002B0672"/>
    <w:rsid w:val="002B247F"/>
    <w:rsid w:val="002C145D"/>
    <w:rsid w:val="002C2C3E"/>
    <w:rsid w:val="002C533E"/>
    <w:rsid w:val="002D027F"/>
    <w:rsid w:val="002D7A85"/>
    <w:rsid w:val="002D7B60"/>
    <w:rsid w:val="002F4761"/>
    <w:rsid w:val="002F5C79"/>
    <w:rsid w:val="003019E2"/>
    <w:rsid w:val="003065E6"/>
    <w:rsid w:val="0031413F"/>
    <w:rsid w:val="003148BB"/>
    <w:rsid w:val="003178B3"/>
    <w:rsid w:val="00317976"/>
    <w:rsid w:val="00351B05"/>
    <w:rsid w:val="00355EA9"/>
    <w:rsid w:val="003578DE"/>
    <w:rsid w:val="00385868"/>
    <w:rsid w:val="00396257"/>
    <w:rsid w:val="00397EB8"/>
    <w:rsid w:val="003A1EED"/>
    <w:rsid w:val="003A4FD0"/>
    <w:rsid w:val="003A69D1"/>
    <w:rsid w:val="003A7705"/>
    <w:rsid w:val="003A77F1"/>
    <w:rsid w:val="003B1545"/>
    <w:rsid w:val="003B1F39"/>
    <w:rsid w:val="003C409D"/>
    <w:rsid w:val="003C5BA6"/>
    <w:rsid w:val="003D50CB"/>
    <w:rsid w:val="003E0294"/>
    <w:rsid w:val="003E44AB"/>
    <w:rsid w:val="003F0E85"/>
    <w:rsid w:val="003F1D30"/>
    <w:rsid w:val="003F7440"/>
    <w:rsid w:val="0041081A"/>
    <w:rsid w:val="00410C55"/>
    <w:rsid w:val="00416854"/>
    <w:rsid w:val="00417725"/>
    <w:rsid w:val="00437F26"/>
    <w:rsid w:val="00444097"/>
    <w:rsid w:val="00445487"/>
    <w:rsid w:val="004456DC"/>
    <w:rsid w:val="00447AB9"/>
    <w:rsid w:val="00454769"/>
    <w:rsid w:val="00455480"/>
    <w:rsid w:val="004618B7"/>
    <w:rsid w:val="00466991"/>
    <w:rsid w:val="0047064C"/>
    <w:rsid w:val="00485185"/>
    <w:rsid w:val="004A42E1"/>
    <w:rsid w:val="004B162C"/>
    <w:rsid w:val="004C3DBE"/>
    <w:rsid w:val="004C5C96"/>
    <w:rsid w:val="004D06A4"/>
    <w:rsid w:val="004F1A81"/>
    <w:rsid w:val="005027FE"/>
    <w:rsid w:val="00512E82"/>
    <w:rsid w:val="005161DF"/>
    <w:rsid w:val="00517861"/>
    <w:rsid w:val="005218D9"/>
    <w:rsid w:val="00533551"/>
    <w:rsid w:val="00536186"/>
    <w:rsid w:val="00544CBB"/>
    <w:rsid w:val="00563378"/>
    <w:rsid w:val="0057189B"/>
    <w:rsid w:val="0057315F"/>
    <w:rsid w:val="005754A9"/>
    <w:rsid w:val="00576104"/>
    <w:rsid w:val="005B5000"/>
    <w:rsid w:val="005C67C8"/>
    <w:rsid w:val="005D0249"/>
    <w:rsid w:val="005D6E8C"/>
    <w:rsid w:val="005F100C"/>
    <w:rsid w:val="005F68DA"/>
    <w:rsid w:val="00606059"/>
    <w:rsid w:val="0060773B"/>
    <w:rsid w:val="006157B5"/>
    <w:rsid w:val="00626FC6"/>
    <w:rsid w:val="006303B4"/>
    <w:rsid w:val="00633D3D"/>
    <w:rsid w:val="00641703"/>
    <w:rsid w:val="006431A6"/>
    <w:rsid w:val="0064357C"/>
    <w:rsid w:val="006459F6"/>
    <w:rsid w:val="006501AD"/>
    <w:rsid w:val="00651BFA"/>
    <w:rsid w:val="00654475"/>
    <w:rsid w:val="006576F9"/>
    <w:rsid w:val="006600AD"/>
    <w:rsid w:val="00665A4B"/>
    <w:rsid w:val="00677EAE"/>
    <w:rsid w:val="00682C15"/>
    <w:rsid w:val="00692E2A"/>
    <w:rsid w:val="006A76F2"/>
    <w:rsid w:val="006B0E1A"/>
    <w:rsid w:val="006B503A"/>
    <w:rsid w:val="006D125A"/>
    <w:rsid w:val="006D7EFB"/>
    <w:rsid w:val="006E6672"/>
    <w:rsid w:val="006E6722"/>
    <w:rsid w:val="007027B9"/>
    <w:rsid w:val="00714E08"/>
    <w:rsid w:val="00715E88"/>
    <w:rsid w:val="0071625A"/>
    <w:rsid w:val="0072230B"/>
    <w:rsid w:val="00734CAA"/>
    <w:rsid w:val="0075533C"/>
    <w:rsid w:val="00757581"/>
    <w:rsid w:val="007611A0"/>
    <w:rsid w:val="00776757"/>
    <w:rsid w:val="00796D3F"/>
    <w:rsid w:val="007A1683"/>
    <w:rsid w:val="007A5C12"/>
    <w:rsid w:val="007A7CB0"/>
    <w:rsid w:val="007B68A3"/>
    <w:rsid w:val="007C2541"/>
    <w:rsid w:val="007D66A8"/>
    <w:rsid w:val="007D7AC3"/>
    <w:rsid w:val="007E003F"/>
    <w:rsid w:val="007E2B3C"/>
    <w:rsid w:val="007F3540"/>
    <w:rsid w:val="007F6126"/>
    <w:rsid w:val="008034CE"/>
    <w:rsid w:val="00805F75"/>
    <w:rsid w:val="00815B30"/>
    <w:rsid w:val="008164F2"/>
    <w:rsid w:val="00821395"/>
    <w:rsid w:val="00830E26"/>
    <w:rsid w:val="00843576"/>
    <w:rsid w:val="00843B64"/>
    <w:rsid w:val="00844743"/>
    <w:rsid w:val="00844BD5"/>
    <w:rsid w:val="008478FC"/>
    <w:rsid w:val="00867BFF"/>
    <w:rsid w:val="008829D3"/>
    <w:rsid w:val="0088480A"/>
    <w:rsid w:val="0088677E"/>
    <w:rsid w:val="00887131"/>
    <w:rsid w:val="0088757A"/>
    <w:rsid w:val="008957DD"/>
    <w:rsid w:val="00897D98"/>
    <w:rsid w:val="008A6DF2"/>
    <w:rsid w:val="008A7807"/>
    <w:rsid w:val="008B4CC9"/>
    <w:rsid w:val="008C00D6"/>
    <w:rsid w:val="008D7C99"/>
    <w:rsid w:val="008E0FCB"/>
    <w:rsid w:val="0092178C"/>
    <w:rsid w:val="00930B88"/>
    <w:rsid w:val="009379B9"/>
    <w:rsid w:val="00940DCC"/>
    <w:rsid w:val="0094179A"/>
    <w:rsid w:val="0094459E"/>
    <w:rsid w:val="00944DBC"/>
    <w:rsid w:val="0094617E"/>
    <w:rsid w:val="00950977"/>
    <w:rsid w:val="00951A7B"/>
    <w:rsid w:val="009527C6"/>
    <w:rsid w:val="009564A6"/>
    <w:rsid w:val="00967621"/>
    <w:rsid w:val="00967E6A"/>
    <w:rsid w:val="00972336"/>
    <w:rsid w:val="00976053"/>
    <w:rsid w:val="00984A20"/>
    <w:rsid w:val="00985ADF"/>
    <w:rsid w:val="00990DC4"/>
    <w:rsid w:val="009A1772"/>
    <w:rsid w:val="009B4A0F"/>
    <w:rsid w:val="009C11D2"/>
    <w:rsid w:val="009C1575"/>
    <w:rsid w:val="009C6C70"/>
    <w:rsid w:val="009D0B63"/>
    <w:rsid w:val="009E307E"/>
    <w:rsid w:val="009E78C3"/>
    <w:rsid w:val="00A07870"/>
    <w:rsid w:val="00A07F19"/>
    <w:rsid w:val="00A1348D"/>
    <w:rsid w:val="00A232EE"/>
    <w:rsid w:val="00A27C49"/>
    <w:rsid w:val="00A35431"/>
    <w:rsid w:val="00A4175F"/>
    <w:rsid w:val="00A44411"/>
    <w:rsid w:val="00A469FA"/>
    <w:rsid w:val="00A55B01"/>
    <w:rsid w:val="00A55E48"/>
    <w:rsid w:val="00A56B5B"/>
    <w:rsid w:val="00A603FF"/>
    <w:rsid w:val="00A657DD"/>
    <w:rsid w:val="00A666A6"/>
    <w:rsid w:val="00A675FD"/>
    <w:rsid w:val="00A72437"/>
    <w:rsid w:val="00A80611"/>
    <w:rsid w:val="00AA0C30"/>
    <w:rsid w:val="00AB5340"/>
    <w:rsid w:val="00AC0A89"/>
    <w:rsid w:val="00AC7C96"/>
    <w:rsid w:val="00AD71F4"/>
    <w:rsid w:val="00AE237D"/>
    <w:rsid w:val="00AE502A"/>
    <w:rsid w:val="00AF0CC1"/>
    <w:rsid w:val="00AF7C07"/>
    <w:rsid w:val="00B17DC3"/>
    <w:rsid w:val="00B22C93"/>
    <w:rsid w:val="00B27589"/>
    <w:rsid w:val="00B33A11"/>
    <w:rsid w:val="00B405B7"/>
    <w:rsid w:val="00B420CD"/>
    <w:rsid w:val="00B42549"/>
    <w:rsid w:val="00B52222"/>
    <w:rsid w:val="00B54FE7"/>
    <w:rsid w:val="00B66901"/>
    <w:rsid w:val="00B71E6D"/>
    <w:rsid w:val="00B72070"/>
    <w:rsid w:val="00B75656"/>
    <w:rsid w:val="00B779E1"/>
    <w:rsid w:val="00B91EE1"/>
    <w:rsid w:val="00BA0090"/>
    <w:rsid w:val="00BA1A67"/>
    <w:rsid w:val="00BA7797"/>
    <w:rsid w:val="00BD55EA"/>
    <w:rsid w:val="00BE0AFD"/>
    <w:rsid w:val="00BE5B5F"/>
    <w:rsid w:val="00C03545"/>
    <w:rsid w:val="00C04705"/>
    <w:rsid w:val="00C26F55"/>
    <w:rsid w:val="00C30C63"/>
    <w:rsid w:val="00C36B8B"/>
    <w:rsid w:val="00C415C1"/>
    <w:rsid w:val="00C47DBF"/>
    <w:rsid w:val="00C552FF"/>
    <w:rsid w:val="00C558DA"/>
    <w:rsid w:val="00C55AF3"/>
    <w:rsid w:val="00C60881"/>
    <w:rsid w:val="00C70845"/>
    <w:rsid w:val="00C84759"/>
    <w:rsid w:val="00C96840"/>
    <w:rsid w:val="00CA038C"/>
    <w:rsid w:val="00CA6C7F"/>
    <w:rsid w:val="00CC10A6"/>
    <w:rsid w:val="00CC20CF"/>
    <w:rsid w:val="00CD5EB8"/>
    <w:rsid w:val="00CD7044"/>
    <w:rsid w:val="00CE08B9"/>
    <w:rsid w:val="00CE524C"/>
    <w:rsid w:val="00CF141F"/>
    <w:rsid w:val="00CF4777"/>
    <w:rsid w:val="00D067BB"/>
    <w:rsid w:val="00D07CC3"/>
    <w:rsid w:val="00D1352A"/>
    <w:rsid w:val="00D169AF"/>
    <w:rsid w:val="00D25249"/>
    <w:rsid w:val="00D27057"/>
    <w:rsid w:val="00D33031"/>
    <w:rsid w:val="00D33D5C"/>
    <w:rsid w:val="00D44172"/>
    <w:rsid w:val="00D62DAC"/>
    <w:rsid w:val="00D63B8C"/>
    <w:rsid w:val="00D739CC"/>
    <w:rsid w:val="00D8093D"/>
    <w:rsid w:val="00D8108C"/>
    <w:rsid w:val="00D842AE"/>
    <w:rsid w:val="00D87566"/>
    <w:rsid w:val="00D9211C"/>
    <w:rsid w:val="00D92DE0"/>
    <w:rsid w:val="00D92FEF"/>
    <w:rsid w:val="00D93A0F"/>
    <w:rsid w:val="00DA1BCA"/>
    <w:rsid w:val="00DA7476"/>
    <w:rsid w:val="00DC45C7"/>
    <w:rsid w:val="00DC46FF"/>
    <w:rsid w:val="00DC5254"/>
    <w:rsid w:val="00DD1A4F"/>
    <w:rsid w:val="00DD1AB5"/>
    <w:rsid w:val="00DD2838"/>
    <w:rsid w:val="00DD3107"/>
    <w:rsid w:val="00DD7C2C"/>
    <w:rsid w:val="00DF05AB"/>
    <w:rsid w:val="00DF2E07"/>
    <w:rsid w:val="00E0342F"/>
    <w:rsid w:val="00E03D71"/>
    <w:rsid w:val="00E06797"/>
    <w:rsid w:val="00E1265B"/>
    <w:rsid w:val="00E13B48"/>
    <w:rsid w:val="00E1404F"/>
    <w:rsid w:val="00E21C83"/>
    <w:rsid w:val="00E2437D"/>
    <w:rsid w:val="00E24ADA"/>
    <w:rsid w:val="00E32F59"/>
    <w:rsid w:val="00E33E3F"/>
    <w:rsid w:val="00E44A5A"/>
    <w:rsid w:val="00E46D9A"/>
    <w:rsid w:val="00E565FF"/>
    <w:rsid w:val="00E609AF"/>
    <w:rsid w:val="00E65388"/>
    <w:rsid w:val="00E67769"/>
    <w:rsid w:val="00E7390F"/>
    <w:rsid w:val="00E83AFD"/>
    <w:rsid w:val="00E85B7D"/>
    <w:rsid w:val="00E9121B"/>
    <w:rsid w:val="00E96540"/>
    <w:rsid w:val="00EA0AE2"/>
    <w:rsid w:val="00EA2955"/>
    <w:rsid w:val="00EA39E5"/>
    <w:rsid w:val="00EA5E72"/>
    <w:rsid w:val="00EB563C"/>
    <w:rsid w:val="00EC5A46"/>
    <w:rsid w:val="00EC63E2"/>
    <w:rsid w:val="00EE7A32"/>
    <w:rsid w:val="00EF22B3"/>
    <w:rsid w:val="00F02B81"/>
    <w:rsid w:val="00F03B69"/>
    <w:rsid w:val="00F07A50"/>
    <w:rsid w:val="00F113DA"/>
    <w:rsid w:val="00F21C7C"/>
    <w:rsid w:val="00F24AB6"/>
    <w:rsid w:val="00F37DC8"/>
    <w:rsid w:val="00F439B3"/>
    <w:rsid w:val="00F55490"/>
    <w:rsid w:val="00F62D01"/>
    <w:rsid w:val="00F650C3"/>
    <w:rsid w:val="00F65D85"/>
    <w:rsid w:val="00F8091E"/>
    <w:rsid w:val="00F8615C"/>
    <w:rsid w:val="00F94214"/>
    <w:rsid w:val="00F969E5"/>
    <w:rsid w:val="00FA3208"/>
    <w:rsid w:val="00FA5BA4"/>
    <w:rsid w:val="00FA6BB0"/>
    <w:rsid w:val="00FB5686"/>
    <w:rsid w:val="00FD5860"/>
    <w:rsid w:val="00FD69E2"/>
    <w:rsid w:val="00FE352D"/>
    <w:rsid w:val="00FE40EB"/>
    <w:rsid w:val="00FE4D02"/>
    <w:rsid w:val="00FE7D62"/>
    <w:rsid w:val="00FF0E41"/>
    <w:rsid w:val="00FF38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1A5B5922"/>
  <w15:docId w15:val="{009C5960-3557-42AB-B310-E84E6B19D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unhideWhenUsed="1"/>
    <w:lsdException w:name="List 2" w:semiHidden="1"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nhideWhenUsed="1"/>
    <w:lsdException w:name="Subtitle" w:qFormat="1"/>
    <w:lsdException w:name="Salutation"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33A11"/>
    <w:pPr>
      <w:tabs>
        <w:tab w:val="left" w:pos="1247"/>
        <w:tab w:val="left" w:pos="1814"/>
        <w:tab w:val="left" w:pos="2381"/>
        <w:tab w:val="left" w:pos="2948"/>
        <w:tab w:val="left" w:pos="3515"/>
      </w:tabs>
    </w:pPr>
    <w:rPr>
      <w:lang w:val="fr-FR"/>
    </w:rPr>
  </w:style>
  <w:style w:type="paragraph" w:styleId="Heading1">
    <w:name w:val="heading 1"/>
    <w:basedOn w:val="Normal"/>
    <w:next w:val="Normalnumber"/>
    <w:link w:val="Heading1Char"/>
    <w:qFormat/>
    <w:rsid w:val="00B33A11"/>
    <w:pPr>
      <w:keepNext/>
      <w:spacing w:before="240" w:after="120"/>
      <w:ind w:left="1247" w:hanging="680"/>
      <w:outlineLvl w:val="0"/>
    </w:pPr>
    <w:rPr>
      <w:b/>
      <w:sz w:val="28"/>
    </w:rPr>
  </w:style>
  <w:style w:type="paragraph" w:styleId="Heading2">
    <w:name w:val="heading 2"/>
    <w:basedOn w:val="Normal"/>
    <w:next w:val="Normalnumber"/>
    <w:link w:val="Heading2Char"/>
    <w:qFormat/>
    <w:rsid w:val="00B33A11"/>
    <w:pPr>
      <w:keepNext/>
      <w:spacing w:before="240" w:after="120"/>
      <w:ind w:left="1247" w:hanging="680"/>
      <w:outlineLvl w:val="1"/>
    </w:pPr>
    <w:rPr>
      <w:b/>
      <w:sz w:val="24"/>
      <w:szCs w:val="24"/>
    </w:rPr>
  </w:style>
  <w:style w:type="paragraph" w:styleId="Heading3">
    <w:name w:val="heading 3"/>
    <w:basedOn w:val="Normal"/>
    <w:next w:val="Normalnumber"/>
    <w:link w:val="Heading3Char"/>
    <w:qFormat/>
    <w:rsid w:val="00B33A11"/>
    <w:pPr>
      <w:spacing w:after="120"/>
      <w:ind w:left="1247" w:hanging="680"/>
      <w:outlineLvl w:val="2"/>
    </w:pPr>
    <w:rPr>
      <w:b/>
    </w:rPr>
  </w:style>
  <w:style w:type="paragraph" w:styleId="Heading4">
    <w:name w:val="heading 4"/>
    <w:basedOn w:val="Heading3"/>
    <w:next w:val="Normalnumber"/>
    <w:link w:val="Heading4Char"/>
    <w:qFormat/>
    <w:rsid w:val="00B33A11"/>
    <w:pPr>
      <w:keepNext/>
      <w:outlineLvl w:val="3"/>
    </w:pPr>
  </w:style>
  <w:style w:type="paragraph" w:styleId="Heading5">
    <w:name w:val="heading 5"/>
    <w:basedOn w:val="Normal"/>
    <w:next w:val="Normal"/>
    <w:link w:val="Heading5Char"/>
    <w:qFormat/>
    <w:rsid w:val="00B33A11"/>
    <w:pPr>
      <w:keepNext/>
      <w:outlineLvl w:val="4"/>
    </w:pPr>
    <w:rPr>
      <w:rFonts w:ascii="Univers" w:hAnsi="Univers"/>
      <w:b/>
      <w:sz w:val="24"/>
    </w:rPr>
  </w:style>
  <w:style w:type="paragraph" w:styleId="Heading6">
    <w:name w:val="heading 6"/>
    <w:basedOn w:val="Normal"/>
    <w:next w:val="Normal"/>
    <w:link w:val="Heading6Char"/>
    <w:qFormat/>
    <w:rsid w:val="00B33A11"/>
    <w:pPr>
      <w:keepNext/>
      <w:ind w:left="578"/>
      <w:outlineLvl w:val="5"/>
    </w:pPr>
    <w:rPr>
      <w:b/>
      <w:bCs/>
      <w:sz w:val="24"/>
    </w:rPr>
  </w:style>
  <w:style w:type="paragraph" w:styleId="Heading7">
    <w:name w:val="heading 7"/>
    <w:basedOn w:val="Normal"/>
    <w:next w:val="Normal"/>
    <w:link w:val="Heading7Char"/>
    <w:qFormat/>
    <w:rsid w:val="00B33A11"/>
    <w:pPr>
      <w:keepNext/>
      <w:widowControl w:val="0"/>
      <w:jc w:val="center"/>
      <w:outlineLvl w:val="6"/>
    </w:pPr>
    <w:rPr>
      <w:snapToGrid w:val="0"/>
      <w:u w:val="single"/>
      <w:lang w:val="en-US"/>
    </w:rPr>
  </w:style>
  <w:style w:type="paragraph" w:styleId="Heading8">
    <w:name w:val="heading 8"/>
    <w:basedOn w:val="Normal"/>
    <w:next w:val="Normal"/>
    <w:link w:val="Heading8Char"/>
    <w:qFormat/>
    <w:rsid w:val="00B33A11"/>
    <w:pPr>
      <w:keepNext/>
      <w:widowControl w:val="0"/>
      <w:numPr>
        <w:numId w:val="2"/>
      </w:numPr>
      <w:tabs>
        <w:tab w:val="left" w:pos="-1440"/>
        <w:tab w:val="left" w:pos="-720"/>
      </w:tabs>
      <w:suppressAutoHyphens/>
      <w:jc w:val="center"/>
      <w:outlineLvl w:val="7"/>
    </w:pPr>
    <w:rPr>
      <w:snapToGrid w:val="0"/>
      <w:u w:val="single"/>
      <w:lang w:val="en-US"/>
    </w:rPr>
  </w:style>
  <w:style w:type="paragraph" w:styleId="Heading9">
    <w:name w:val="heading 9"/>
    <w:basedOn w:val="Normal"/>
    <w:next w:val="Normal"/>
    <w:link w:val="Heading9Char"/>
    <w:qFormat/>
    <w:rsid w:val="00B33A11"/>
    <w:pPr>
      <w:keepNext/>
      <w:widowControl w:val="0"/>
      <w:numPr>
        <w:numId w:val="3"/>
      </w:numPr>
      <w:suppressAutoHyphens/>
      <w:jc w:val="center"/>
      <w:outlineLvl w:val="8"/>
    </w:pPr>
    <w:rPr>
      <w:snapToGrid w:val="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B33A11"/>
    <w:rPr>
      <w:rFonts w:ascii="Times New Roman" w:hAnsi="Times New Roman"/>
      <w:b/>
      <w:sz w:val="18"/>
    </w:rPr>
  </w:style>
  <w:style w:type="table" w:customStyle="1" w:styleId="Tabledocright">
    <w:name w:val="Table_doc_right"/>
    <w:basedOn w:val="TableNormal"/>
    <w:rsid w:val="00B33A11"/>
    <w:pPr>
      <w:spacing w:before="40" w:after="40"/>
    </w:pPr>
    <w:rPr>
      <w:sz w:val="18"/>
      <w:szCs w:val="18"/>
      <w:lang w:val="fr-FR" w:eastAsia="fr-FR"/>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7" w:type="dxa"/>
        <w:bottom w:w="28" w:type="dxa"/>
        <w:right w:w="17" w:type="dxa"/>
      </w:tblCellMar>
    </w:tblPr>
    <w:trPr>
      <w:jc w:val="right"/>
    </w:trPr>
    <w:tcPr>
      <w:tcMar>
        <w:left w:w="57" w:type="dxa"/>
        <w:right w:w="57" w:type="dxa"/>
      </w:tcMar>
    </w:tcPr>
  </w:style>
  <w:style w:type="paragraph" w:styleId="TOC6">
    <w:name w:val="toc 6"/>
    <w:basedOn w:val="Normal"/>
    <w:next w:val="Normal"/>
    <w:autoRedefine/>
    <w:semiHidden/>
    <w:rsid w:val="00B33A11"/>
    <w:pPr>
      <w:tabs>
        <w:tab w:val="clear" w:pos="1814"/>
        <w:tab w:val="clear" w:pos="2381"/>
        <w:tab w:val="clear" w:pos="2948"/>
        <w:tab w:val="clear" w:pos="3515"/>
      </w:tabs>
      <w:ind w:left="1000"/>
    </w:pPr>
    <w:rPr>
      <w:sz w:val="18"/>
      <w:szCs w:val="18"/>
    </w:rPr>
  </w:style>
  <w:style w:type="paragraph" w:styleId="TOC7">
    <w:name w:val="toc 7"/>
    <w:basedOn w:val="Normal"/>
    <w:next w:val="Normal"/>
    <w:autoRedefine/>
    <w:semiHidden/>
    <w:rsid w:val="00B33A11"/>
    <w:pPr>
      <w:tabs>
        <w:tab w:val="clear" w:pos="1814"/>
        <w:tab w:val="clear" w:pos="2381"/>
        <w:tab w:val="clear" w:pos="2948"/>
        <w:tab w:val="clear" w:pos="3515"/>
      </w:tabs>
      <w:ind w:left="1200"/>
    </w:pPr>
    <w:rPr>
      <w:sz w:val="18"/>
      <w:szCs w:val="18"/>
    </w:rPr>
  </w:style>
  <w:style w:type="paragraph" w:styleId="TOC8">
    <w:name w:val="toc 8"/>
    <w:basedOn w:val="Normal"/>
    <w:next w:val="Normal"/>
    <w:autoRedefine/>
    <w:semiHidden/>
    <w:rsid w:val="00B33A11"/>
    <w:pPr>
      <w:tabs>
        <w:tab w:val="clear" w:pos="1814"/>
        <w:tab w:val="clear" w:pos="2381"/>
        <w:tab w:val="clear" w:pos="2948"/>
        <w:tab w:val="clear" w:pos="3515"/>
      </w:tabs>
      <w:ind w:left="1400"/>
    </w:pPr>
    <w:rPr>
      <w:sz w:val="18"/>
      <w:szCs w:val="18"/>
    </w:rPr>
  </w:style>
  <w:style w:type="paragraph" w:styleId="TOC9">
    <w:name w:val="toc 9"/>
    <w:basedOn w:val="Normal"/>
    <w:next w:val="Normal"/>
    <w:autoRedefine/>
    <w:semiHidden/>
    <w:rsid w:val="00B33A11"/>
    <w:pPr>
      <w:tabs>
        <w:tab w:val="clear" w:pos="1814"/>
        <w:tab w:val="clear" w:pos="2381"/>
        <w:tab w:val="clear" w:pos="2948"/>
        <w:tab w:val="clear" w:pos="3515"/>
      </w:tabs>
      <w:ind w:left="1600"/>
    </w:pPr>
    <w:rPr>
      <w:sz w:val="18"/>
      <w:szCs w:val="18"/>
    </w:rPr>
  </w:style>
  <w:style w:type="paragraph" w:customStyle="1" w:styleId="Titlefigure">
    <w:name w:val="Title_figure"/>
    <w:basedOn w:val="Titletable"/>
    <w:next w:val="NormalNonumber"/>
    <w:rsid w:val="00B33A11"/>
    <w:rPr>
      <w:bCs w:val="0"/>
    </w:rPr>
  </w:style>
  <w:style w:type="paragraph" w:styleId="TableofFigures">
    <w:name w:val="table of figures"/>
    <w:basedOn w:val="Normal"/>
    <w:next w:val="Normal"/>
    <w:autoRedefine/>
    <w:semiHidden/>
    <w:rsid w:val="00B33A11"/>
    <w:pPr>
      <w:tabs>
        <w:tab w:val="clear" w:pos="1814"/>
        <w:tab w:val="clear" w:pos="2381"/>
        <w:tab w:val="clear" w:pos="2948"/>
        <w:tab w:val="clear" w:pos="3515"/>
      </w:tabs>
      <w:ind w:left="1814" w:hanging="567"/>
    </w:pPr>
  </w:style>
  <w:style w:type="paragraph" w:customStyle="1" w:styleId="CH1">
    <w:name w:val="CH1"/>
    <w:basedOn w:val="Normalpool"/>
    <w:next w:val="CH2"/>
    <w:rsid w:val="00B33A11"/>
    <w:pPr>
      <w:keepNext/>
      <w:keepLines/>
      <w:tabs>
        <w:tab w:val="right" w:pos="851"/>
      </w:tabs>
      <w:suppressAutoHyphens/>
      <w:spacing w:before="240" w:after="120"/>
      <w:ind w:left="1247" w:right="284" w:hanging="1247"/>
    </w:pPr>
    <w:rPr>
      <w:b/>
      <w:sz w:val="28"/>
      <w:szCs w:val="28"/>
    </w:rPr>
  </w:style>
  <w:style w:type="paragraph" w:customStyle="1" w:styleId="CH2">
    <w:name w:val="CH2"/>
    <w:basedOn w:val="Normalpool"/>
    <w:next w:val="Normalnumber"/>
    <w:link w:val="CH2Char"/>
    <w:rsid w:val="00B33A11"/>
    <w:pPr>
      <w:keepNext/>
      <w:keepLines/>
      <w:tabs>
        <w:tab w:val="right" w:pos="851"/>
      </w:tabs>
      <w:suppressAutoHyphens/>
      <w:spacing w:before="80" w:after="120"/>
      <w:ind w:left="1247" w:right="284" w:hanging="1247"/>
    </w:pPr>
    <w:rPr>
      <w:b/>
      <w:sz w:val="24"/>
      <w:szCs w:val="24"/>
    </w:rPr>
  </w:style>
  <w:style w:type="paragraph" w:customStyle="1" w:styleId="CH3">
    <w:name w:val="CH3"/>
    <w:basedOn w:val="Normalpool"/>
    <w:next w:val="Normalnumber"/>
    <w:rsid w:val="00B33A11"/>
    <w:pPr>
      <w:keepNext/>
      <w:keepLines/>
      <w:tabs>
        <w:tab w:val="right" w:pos="851"/>
      </w:tabs>
      <w:suppressAutoHyphens/>
      <w:spacing w:after="120"/>
      <w:ind w:left="1247" w:right="284" w:hanging="1247"/>
    </w:pPr>
    <w:rPr>
      <w:b/>
    </w:rPr>
  </w:style>
  <w:style w:type="paragraph" w:customStyle="1" w:styleId="CH4">
    <w:name w:val="CH4"/>
    <w:basedOn w:val="Normalpool"/>
    <w:next w:val="Normalnumber"/>
    <w:rsid w:val="00B33A11"/>
    <w:pPr>
      <w:keepNext/>
      <w:keepLines/>
      <w:tabs>
        <w:tab w:val="right" w:pos="851"/>
      </w:tabs>
      <w:suppressAutoHyphens/>
      <w:spacing w:after="120"/>
      <w:ind w:left="1247" w:right="284" w:hanging="1247"/>
    </w:pPr>
    <w:rPr>
      <w:b/>
    </w:rPr>
  </w:style>
  <w:style w:type="table" w:customStyle="1" w:styleId="Footertable">
    <w:name w:val="Footer_table"/>
    <w:basedOn w:val="TableNormal"/>
    <w:semiHidden/>
    <w:rsid w:val="00B33A11"/>
    <w:rPr>
      <w:rFonts w:ascii="Arial" w:hAnsi="Arial"/>
      <w:sz w:val="16"/>
      <w:lang w:val="fr-FR" w:eastAsia="fr-FR"/>
    </w:rPr>
    <w:tblPr>
      <w:jc w:val="right"/>
      <w:tblBorders>
        <w:top w:val="double" w:sz="4" w:space="0" w:color="auto"/>
        <w:left w:val="double" w:sz="4" w:space="0" w:color="auto"/>
        <w:bottom w:val="double" w:sz="4" w:space="0" w:color="auto"/>
        <w:right w:val="double" w:sz="4" w:space="0" w:color="auto"/>
      </w:tblBorders>
    </w:tblPr>
    <w:trPr>
      <w:jc w:val="right"/>
    </w:trPr>
    <w:tcPr>
      <w:tcMar>
        <w:top w:w="28" w:type="dxa"/>
        <w:bottom w:w="28" w:type="dxa"/>
      </w:tcMar>
    </w:tcPr>
  </w:style>
  <w:style w:type="paragraph" w:customStyle="1" w:styleId="CH5">
    <w:name w:val="CH5"/>
    <w:basedOn w:val="Normalpool"/>
    <w:next w:val="Normalnumber"/>
    <w:rsid w:val="00B33A11"/>
    <w:pPr>
      <w:keepNext/>
      <w:keepLines/>
      <w:tabs>
        <w:tab w:val="right" w:pos="851"/>
      </w:tabs>
      <w:suppressAutoHyphens/>
      <w:spacing w:after="120"/>
      <w:ind w:left="1247" w:right="284" w:hanging="1247"/>
    </w:pPr>
    <w:rPr>
      <w:b/>
    </w:rPr>
  </w:style>
  <w:style w:type="paragraph" w:customStyle="1" w:styleId="Footerpool">
    <w:name w:val="Footer_pool"/>
    <w:basedOn w:val="Normal"/>
    <w:next w:val="Normal"/>
    <w:semiHidden/>
    <w:rsid w:val="00B33A11"/>
    <w:pPr>
      <w:tabs>
        <w:tab w:val="left" w:pos="4321"/>
        <w:tab w:val="right" w:pos="8641"/>
      </w:tabs>
      <w:spacing w:before="60" w:after="120"/>
    </w:pPr>
    <w:rPr>
      <w:b/>
      <w:sz w:val="18"/>
    </w:rPr>
  </w:style>
  <w:style w:type="paragraph" w:customStyle="1" w:styleId="Headerpool">
    <w:name w:val="Header_pool"/>
    <w:basedOn w:val="Normal"/>
    <w:next w:val="Normal"/>
    <w:semiHidden/>
    <w:rsid w:val="00B33A11"/>
    <w:pPr>
      <w:pBdr>
        <w:bottom w:val="single" w:sz="4" w:space="1" w:color="auto"/>
      </w:pBdr>
      <w:tabs>
        <w:tab w:val="clear" w:pos="1814"/>
        <w:tab w:val="clear" w:pos="2381"/>
        <w:tab w:val="clear" w:pos="2948"/>
        <w:tab w:val="clear" w:pos="3515"/>
        <w:tab w:val="center" w:pos="4536"/>
        <w:tab w:val="right" w:pos="9072"/>
      </w:tabs>
      <w:spacing w:after="120"/>
    </w:pPr>
    <w:rPr>
      <w:b/>
      <w:sz w:val="18"/>
    </w:rPr>
  </w:style>
  <w:style w:type="paragraph" w:customStyle="1" w:styleId="Normalpool">
    <w:name w:val="Normal_pool"/>
    <w:autoRedefine/>
    <w:semiHidden/>
    <w:rsid w:val="00B33A11"/>
    <w:pPr>
      <w:tabs>
        <w:tab w:val="left" w:pos="1247"/>
        <w:tab w:val="left" w:pos="1814"/>
        <w:tab w:val="left" w:pos="2381"/>
        <w:tab w:val="left" w:pos="2948"/>
        <w:tab w:val="left" w:pos="3515"/>
        <w:tab w:val="left" w:pos="4082"/>
      </w:tabs>
    </w:pPr>
    <w:rPr>
      <w:lang w:val="fr-CA"/>
    </w:rPr>
  </w:style>
  <w:style w:type="paragraph" w:customStyle="1" w:styleId="Footer-pool">
    <w:name w:val="Footer-pool"/>
    <w:basedOn w:val="Normal-pool"/>
    <w:next w:val="Normal-pool"/>
    <w:rsid w:val="00B33A11"/>
    <w:pPr>
      <w:tabs>
        <w:tab w:val="left" w:pos="4321"/>
        <w:tab w:val="right" w:pos="8641"/>
      </w:tabs>
      <w:spacing w:before="60" w:after="120"/>
    </w:pPr>
    <w:rPr>
      <w:b/>
      <w:sz w:val="18"/>
    </w:rPr>
  </w:style>
  <w:style w:type="paragraph" w:customStyle="1" w:styleId="Header-pool">
    <w:name w:val="Header-pool"/>
    <w:basedOn w:val="Normal-pool"/>
    <w:next w:val="Normal-pool"/>
    <w:rsid w:val="00B33A11"/>
    <w:pPr>
      <w:pBdr>
        <w:bottom w:val="single" w:sz="4" w:space="1" w:color="auto"/>
      </w:pBdr>
      <w:tabs>
        <w:tab w:val="clear" w:pos="1814"/>
        <w:tab w:val="clear" w:pos="2381"/>
        <w:tab w:val="clear" w:pos="2948"/>
        <w:tab w:val="clear" w:pos="3515"/>
        <w:tab w:val="center" w:pos="4536"/>
        <w:tab w:val="right" w:pos="9072"/>
      </w:tabs>
      <w:spacing w:after="120"/>
    </w:pPr>
    <w:rPr>
      <w:b/>
      <w:sz w:val="18"/>
    </w:rPr>
  </w:style>
  <w:style w:type="paragraph" w:customStyle="1" w:styleId="Normal-pool">
    <w:name w:val="Normal-pool"/>
    <w:link w:val="Normal-poolChar"/>
    <w:qFormat/>
    <w:rsid w:val="00B33A11"/>
    <w:pPr>
      <w:tabs>
        <w:tab w:val="left" w:pos="1247"/>
        <w:tab w:val="left" w:pos="1814"/>
        <w:tab w:val="left" w:pos="2381"/>
        <w:tab w:val="left" w:pos="2948"/>
        <w:tab w:val="left" w:pos="3515"/>
        <w:tab w:val="left" w:pos="4082"/>
      </w:tabs>
    </w:pPr>
    <w:rPr>
      <w:lang w:val="fr-CA"/>
    </w:rPr>
  </w:style>
  <w:style w:type="character" w:styleId="FootnoteReference">
    <w:name w:val="footnote reference"/>
    <w:rsid w:val="00B33A11"/>
    <w:rPr>
      <w:rFonts w:ascii="Times New Roman" w:hAnsi="Times New Roman"/>
      <w:color w:val="auto"/>
      <w:sz w:val="20"/>
      <w:szCs w:val="18"/>
      <w:vertAlign w:val="superscript"/>
    </w:rPr>
  </w:style>
  <w:style w:type="paragraph" w:styleId="FootnoteText">
    <w:name w:val="footnote text"/>
    <w:basedOn w:val="Normalpool"/>
    <w:link w:val="FootnoteTextChar"/>
    <w:rsid w:val="00B33A11"/>
    <w:pPr>
      <w:spacing w:before="20" w:after="40"/>
      <w:ind w:left="1247"/>
    </w:pPr>
    <w:rPr>
      <w:sz w:val="18"/>
    </w:rPr>
  </w:style>
  <w:style w:type="table" w:customStyle="1" w:styleId="AATable">
    <w:name w:val="AA_Table"/>
    <w:basedOn w:val="TableNormal"/>
    <w:semiHidden/>
    <w:rsid w:val="00B33A11"/>
    <w:rPr>
      <w:lang w:val="fr-FR" w:eastAsia="fr-FR"/>
    </w:rPr>
    <w:tblPr>
      <w:tblStyleRowBandSize w:val="1"/>
      <w:tblStyleColBandSize w:val="1"/>
      <w:jc w:val="right"/>
    </w:tblPr>
    <w:trPr>
      <w:jc w:val="right"/>
    </w:trPr>
    <w:tblStylePr w:type="firstRow">
      <w:pPr>
        <w:wordWrap/>
        <w:spacing w:beforeLines="0" w:before="0" w:beforeAutospacing="0" w:afterLines="0" w:after="0" w:afterAutospacing="0"/>
        <w:contextualSpacing w:val="0"/>
        <w:jc w:val="left"/>
      </w:pPr>
      <w:rPr>
        <w:rFonts w:ascii="Arial" w:hAnsi="Arial"/>
        <w:b/>
        <w:i w:val="0"/>
        <w:caps/>
        <w:smallCaps w:val="0"/>
        <w:color w:val="auto"/>
        <w:sz w:val="27"/>
        <w:szCs w:val="27"/>
      </w:rPr>
    </w:tblStylePr>
    <w:tblStylePr w:type="lastRow">
      <w:pPr>
        <w:wordWrap/>
        <w:spacing w:afterLines="0" w:after="240" w:afterAutospacing="0"/>
        <w:ind w:rightChars="0" w:right="567"/>
      </w:pPr>
      <w:rPr>
        <w:rFonts w:ascii="Arial" w:hAnsi="Arial"/>
        <w:b/>
        <w:sz w:val="32"/>
      </w:rPr>
      <w:tblPr/>
      <w:tcPr>
        <w:tcBorders>
          <w:top w:val="nil"/>
          <w:left w:val="nil"/>
          <w:bottom w:val="single" w:sz="18" w:space="0" w:color="auto"/>
          <w:right w:val="nil"/>
          <w:insideH w:val="nil"/>
          <w:insideV w:val="nil"/>
        </w:tcBorders>
      </w:tcPr>
    </w:tblStylePr>
    <w:tblStylePr w:type="firstCol">
      <w:pPr>
        <w:wordWrap/>
        <w:ind w:rightChars="0" w:right="0"/>
      </w:pPr>
    </w:tblStylePr>
    <w:tblStylePr w:type="lastCol">
      <w:rPr>
        <w:rFonts w:ascii="Times New Roman" w:hAnsi="Times New Roman"/>
        <w:sz w:val="20"/>
      </w:rPr>
    </w:tblStylePr>
    <w:tblStylePr w:type="band1Vert">
      <w:rPr>
        <w:rFonts w:ascii="Times New Roman" w:hAnsi="Times New Roman"/>
      </w:rPr>
    </w:tblStylePr>
    <w:tblStylePr w:type="band2Vert">
      <w:pPr>
        <w:wordWrap/>
        <w:spacing w:beforeLines="0" w:before="0" w:beforeAutospacing="0" w:afterLines="0" w:after="0" w:afterAutospacing="0"/>
        <w:contextualSpacing w:val="0"/>
      </w:pPr>
      <w:rPr>
        <w:rFonts w:ascii="Times New Roman" w:hAnsi="Times New Roman"/>
        <w:b/>
        <w:i w:val="0"/>
        <w:color w:val="auto"/>
        <w:sz w:val="20"/>
        <w:szCs w:val="32"/>
      </w:rPr>
    </w:tblStylePr>
    <w:tblStylePr w:type="band1Horz">
      <w:rPr>
        <w:rFonts w:ascii="Times New Roman" w:hAnsi="Times New Roman"/>
        <w:sz w:val="20"/>
      </w:rPr>
      <w:tblPr/>
      <w:tcPr>
        <w:tcBorders>
          <w:bottom w:val="single" w:sz="4" w:space="0" w:color="auto"/>
        </w:tcBorders>
      </w:tcPr>
    </w:tblStylePr>
    <w:tblStylePr w:type="band2Horz">
      <w:rPr>
        <w:rFonts w:ascii="Times New Roman" w:hAnsi="Times New Roman"/>
        <w:b w:val="0"/>
        <w:i w:val="0"/>
        <w:color w:val="auto"/>
        <w:sz w:val="20"/>
        <w:szCs w:val="20"/>
      </w:rPr>
      <w:tblPr/>
      <w:tcPr>
        <w:tcBorders>
          <w:top w:val="nil"/>
          <w:left w:val="nil"/>
          <w:bottom w:val="nil"/>
          <w:right w:val="nil"/>
          <w:insideH w:val="nil"/>
          <w:insideV w:val="nil"/>
          <w:tl2br w:val="nil"/>
          <w:tr2bl w:val="nil"/>
        </w:tcBorders>
      </w:tcPr>
    </w:tblStylePr>
    <w:tblStylePr w:type="neCell">
      <w:pPr>
        <w:wordWrap/>
        <w:spacing w:beforeLines="0" w:before="0" w:beforeAutospacing="0" w:afterLines="0" w:after="0" w:afterAutospacing="0"/>
        <w:contextualSpacing w:val="0"/>
        <w:jc w:val="right"/>
      </w:pPr>
      <w:rPr>
        <w:rFonts w:ascii="Arial" w:hAnsi="Arial"/>
        <w:b/>
        <w:i w:val="0"/>
        <w:color w:val="auto"/>
        <w:sz w:val="64"/>
        <w:szCs w:val="64"/>
      </w:rPr>
    </w:tblStylePr>
    <w:tblStylePr w:type="nwCell">
      <w:rPr>
        <w:rFonts w:ascii="Arial" w:hAnsi="Arial"/>
        <w:b/>
        <w:i w:val="0"/>
        <w:caps/>
        <w:smallCaps w:val="0"/>
        <w:color w:val="auto"/>
        <w:sz w:val="27"/>
        <w:szCs w:val="27"/>
      </w:rPr>
    </w:tblStylePr>
    <w:tblStylePr w:type="seCell">
      <w:pPr>
        <w:wordWrap/>
        <w:spacing w:beforeLines="0" w:before="120" w:beforeAutospacing="0" w:afterLines="0" w:after="120" w:afterAutospacing="0"/>
        <w:ind w:leftChars="0" w:left="0" w:rightChars="0" w:right="0"/>
        <w:contextualSpacing w:val="0"/>
      </w:pPr>
      <w:rPr>
        <w:rFonts w:ascii="Times New Roman" w:hAnsi="Times New Roman"/>
        <w:b w:val="0"/>
        <w:sz w:val="20"/>
      </w:rPr>
    </w:tblStylePr>
    <w:tblStylePr w:type="swCell">
      <w:pPr>
        <w:wordWrap/>
        <w:spacing w:afterLines="0" w:after="360" w:afterAutospacing="0"/>
        <w:ind w:rightChars="0" w:right="0"/>
      </w:pPr>
      <w:rPr>
        <w:rFonts w:ascii="Times New Roman" w:hAnsi="Times New Roman"/>
      </w:rPr>
    </w:tblStylePr>
  </w:style>
  <w:style w:type="paragraph" w:customStyle="1" w:styleId="AATitle">
    <w:name w:val="AA_Title"/>
    <w:basedOn w:val="Normalpool"/>
    <w:rsid w:val="00B33A11"/>
    <w:pPr>
      <w:keepNext/>
      <w:keepLines/>
      <w:suppressAutoHyphens/>
      <w:ind w:right="5103"/>
    </w:pPr>
    <w:rPr>
      <w:b/>
    </w:rPr>
  </w:style>
  <w:style w:type="paragraph" w:customStyle="1" w:styleId="AATitle2">
    <w:name w:val="AA_Title2"/>
    <w:basedOn w:val="AATitle"/>
    <w:rsid w:val="00B33A11"/>
    <w:pPr>
      <w:tabs>
        <w:tab w:val="clear" w:pos="4082"/>
      </w:tabs>
      <w:spacing w:before="120" w:after="120"/>
      <w:ind w:right="4536"/>
    </w:pPr>
  </w:style>
  <w:style w:type="paragraph" w:customStyle="1" w:styleId="BBTitle">
    <w:name w:val="BB_Title"/>
    <w:basedOn w:val="Normalpool"/>
    <w:rsid w:val="00B33A11"/>
    <w:pPr>
      <w:keepNext/>
      <w:keepLines/>
      <w:suppressAutoHyphens/>
      <w:spacing w:before="320" w:after="240"/>
      <w:ind w:left="1247" w:right="567"/>
    </w:pPr>
    <w:rPr>
      <w:b/>
      <w:sz w:val="28"/>
      <w:szCs w:val="28"/>
    </w:rPr>
  </w:style>
  <w:style w:type="paragraph" w:styleId="Footer">
    <w:name w:val="footer"/>
    <w:basedOn w:val="Normal"/>
    <w:link w:val="FooterChar"/>
    <w:rsid w:val="00B33A11"/>
    <w:pPr>
      <w:tabs>
        <w:tab w:val="center" w:pos="4320"/>
        <w:tab w:val="right" w:pos="8640"/>
      </w:tabs>
      <w:spacing w:before="60" w:after="120"/>
    </w:pPr>
    <w:rPr>
      <w:sz w:val="18"/>
    </w:rPr>
  </w:style>
  <w:style w:type="paragraph" w:styleId="Header">
    <w:name w:val="header"/>
    <w:basedOn w:val="Normal"/>
    <w:link w:val="HeaderChar"/>
    <w:rsid w:val="00B33A11"/>
    <w:pPr>
      <w:pBdr>
        <w:bottom w:val="single" w:sz="4" w:space="1" w:color="auto"/>
      </w:pBdr>
      <w:tabs>
        <w:tab w:val="clear" w:pos="1814"/>
        <w:tab w:val="clear" w:pos="2381"/>
        <w:tab w:val="clear" w:pos="2948"/>
        <w:tab w:val="clear" w:pos="3515"/>
        <w:tab w:val="center" w:pos="4536"/>
        <w:tab w:val="right" w:pos="9072"/>
      </w:tabs>
      <w:spacing w:after="120"/>
    </w:pPr>
    <w:rPr>
      <w:b/>
      <w:sz w:val="18"/>
    </w:rPr>
  </w:style>
  <w:style w:type="character" w:styleId="Hyperlink">
    <w:name w:val="Hyperlink"/>
    <w:semiHidden/>
    <w:rsid w:val="00B33A11"/>
    <w:rPr>
      <w:rFonts w:ascii="Times New Roman" w:hAnsi="Times New Roman"/>
      <w:color w:val="auto"/>
      <w:sz w:val="20"/>
      <w:szCs w:val="20"/>
      <w:u w:val="none"/>
      <w:lang w:val="fr-FR"/>
    </w:rPr>
  </w:style>
  <w:style w:type="numbering" w:customStyle="1" w:styleId="Normallist">
    <w:name w:val="Normal_list"/>
    <w:basedOn w:val="NoList"/>
    <w:rsid w:val="00B33A11"/>
    <w:pPr>
      <w:numPr>
        <w:numId w:val="1"/>
      </w:numPr>
    </w:pPr>
  </w:style>
  <w:style w:type="paragraph" w:customStyle="1" w:styleId="NormalNonumber">
    <w:name w:val="Normal_No_number"/>
    <w:basedOn w:val="Normalpool"/>
    <w:rsid w:val="00B33A11"/>
    <w:pPr>
      <w:spacing w:after="120"/>
      <w:ind w:left="1247"/>
    </w:pPr>
  </w:style>
  <w:style w:type="paragraph" w:customStyle="1" w:styleId="Normalnumber">
    <w:name w:val="Normal_number"/>
    <w:basedOn w:val="Normalpool"/>
    <w:link w:val="NormalnumberChar"/>
    <w:rsid w:val="00B33A11"/>
    <w:pPr>
      <w:numPr>
        <w:numId w:val="5"/>
      </w:numPr>
      <w:spacing w:after="120"/>
    </w:pPr>
  </w:style>
  <w:style w:type="paragraph" w:customStyle="1" w:styleId="Titletable">
    <w:name w:val="Title_table"/>
    <w:basedOn w:val="Normalpool"/>
    <w:rsid w:val="00B33A11"/>
    <w:pPr>
      <w:keepNext/>
      <w:keepLines/>
      <w:suppressAutoHyphens/>
      <w:spacing w:after="60"/>
      <w:ind w:left="1247"/>
    </w:pPr>
    <w:rPr>
      <w:b/>
      <w:bCs/>
    </w:rPr>
  </w:style>
  <w:style w:type="paragraph" w:styleId="TOC1">
    <w:name w:val="toc 1"/>
    <w:basedOn w:val="Normalpool"/>
    <w:next w:val="Normalpool"/>
    <w:rsid w:val="00B33A11"/>
    <w:pPr>
      <w:tabs>
        <w:tab w:val="clear" w:pos="2381"/>
        <w:tab w:val="clear" w:pos="2948"/>
        <w:tab w:val="clear" w:pos="3515"/>
        <w:tab w:val="clear" w:pos="4082"/>
        <w:tab w:val="right" w:leader="dot" w:pos="9486"/>
      </w:tabs>
      <w:spacing w:before="240"/>
      <w:ind w:left="1814" w:hanging="567"/>
    </w:pPr>
    <w:rPr>
      <w:bCs/>
    </w:rPr>
  </w:style>
  <w:style w:type="paragraph" w:styleId="TOC2">
    <w:name w:val="toc 2"/>
    <w:basedOn w:val="Normalpool"/>
    <w:next w:val="Normalpool"/>
    <w:rsid w:val="00B33A11"/>
    <w:pPr>
      <w:tabs>
        <w:tab w:val="clear" w:pos="1814"/>
        <w:tab w:val="clear" w:pos="2948"/>
        <w:tab w:val="clear" w:pos="3515"/>
        <w:tab w:val="clear" w:pos="4082"/>
        <w:tab w:val="right" w:leader="dot" w:pos="9486"/>
      </w:tabs>
      <w:ind w:left="2381" w:hanging="567"/>
    </w:pPr>
  </w:style>
  <w:style w:type="paragraph" w:styleId="TOC3">
    <w:name w:val="toc 3"/>
    <w:basedOn w:val="Normalpool"/>
    <w:next w:val="Normalpool"/>
    <w:rsid w:val="00B33A11"/>
    <w:pPr>
      <w:tabs>
        <w:tab w:val="clear" w:pos="1814"/>
        <w:tab w:val="clear" w:pos="2381"/>
        <w:tab w:val="clear" w:pos="2948"/>
        <w:tab w:val="clear" w:pos="3515"/>
        <w:tab w:val="right" w:leader="dot" w:pos="9486"/>
      </w:tabs>
      <w:ind w:left="2948" w:hanging="567"/>
    </w:pPr>
    <w:rPr>
      <w:iCs/>
    </w:rPr>
  </w:style>
  <w:style w:type="paragraph" w:styleId="TOC4">
    <w:name w:val="toc 4"/>
    <w:basedOn w:val="Normalpool"/>
    <w:next w:val="Normalpool"/>
    <w:rsid w:val="00B33A11"/>
    <w:pPr>
      <w:tabs>
        <w:tab w:val="clear" w:pos="1814"/>
        <w:tab w:val="clear" w:pos="2381"/>
        <w:tab w:val="clear" w:pos="2948"/>
        <w:tab w:val="clear" w:pos="3515"/>
        <w:tab w:val="left" w:pos="1000"/>
        <w:tab w:val="right" w:leader="dot" w:pos="9486"/>
      </w:tabs>
      <w:ind w:left="3515" w:hanging="567"/>
    </w:pPr>
    <w:rPr>
      <w:szCs w:val="18"/>
    </w:rPr>
  </w:style>
  <w:style w:type="paragraph" w:styleId="TOC5">
    <w:name w:val="toc 5"/>
    <w:basedOn w:val="Normal"/>
    <w:next w:val="Normal"/>
    <w:autoRedefine/>
    <w:semiHidden/>
    <w:rsid w:val="00B33A11"/>
    <w:pPr>
      <w:tabs>
        <w:tab w:val="clear" w:pos="1814"/>
        <w:tab w:val="clear" w:pos="2381"/>
        <w:tab w:val="clear" w:pos="2948"/>
        <w:tab w:val="clear" w:pos="3515"/>
      </w:tabs>
      <w:ind w:left="800"/>
    </w:pPr>
    <w:rPr>
      <w:sz w:val="18"/>
      <w:szCs w:val="18"/>
    </w:rPr>
  </w:style>
  <w:style w:type="paragraph" w:customStyle="1" w:styleId="ZZAnxheader">
    <w:name w:val="ZZ_Anx_header"/>
    <w:basedOn w:val="Normalpool"/>
    <w:rsid w:val="00B33A11"/>
    <w:rPr>
      <w:b/>
      <w:bCs/>
      <w:sz w:val="28"/>
      <w:szCs w:val="22"/>
    </w:rPr>
  </w:style>
  <w:style w:type="paragraph" w:customStyle="1" w:styleId="ZZAnxtitle">
    <w:name w:val="ZZ_Anx_title"/>
    <w:basedOn w:val="Normalpool"/>
    <w:rsid w:val="00B33A11"/>
    <w:pPr>
      <w:spacing w:before="360" w:after="120"/>
      <w:ind w:left="1247"/>
    </w:pPr>
    <w:rPr>
      <w:b/>
      <w:bCs/>
      <w:sz w:val="28"/>
      <w:szCs w:val="26"/>
    </w:rPr>
  </w:style>
  <w:style w:type="paragraph" w:styleId="BalloonText">
    <w:name w:val="Balloon Text"/>
    <w:basedOn w:val="Normal"/>
    <w:link w:val="BalloonTextChar"/>
    <w:semiHidden/>
    <w:unhideWhenUsed/>
    <w:rsid w:val="001B6CA5"/>
    <w:rPr>
      <w:rFonts w:ascii="Segoe UI" w:hAnsi="Segoe UI" w:cs="Segoe UI"/>
      <w:sz w:val="18"/>
      <w:szCs w:val="18"/>
    </w:rPr>
  </w:style>
  <w:style w:type="character" w:customStyle="1" w:styleId="BalloonTextChar">
    <w:name w:val="Balloon Text Char"/>
    <w:basedOn w:val="DefaultParagraphFont"/>
    <w:link w:val="BalloonText"/>
    <w:semiHidden/>
    <w:rsid w:val="001B6CA5"/>
    <w:rPr>
      <w:rFonts w:ascii="Segoe UI" w:eastAsia="MS Mincho" w:hAnsi="Segoe UI" w:cs="Segoe UI"/>
      <w:sz w:val="18"/>
      <w:szCs w:val="18"/>
    </w:rPr>
  </w:style>
  <w:style w:type="character" w:customStyle="1" w:styleId="Normal-poolChar">
    <w:name w:val="Normal-pool Char"/>
    <w:link w:val="Normal-pool"/>
    <w:rsid w:val="007E2B3C"/>
    <w:rPr>
      <w:lang w:val="fr-CA"/>
    </w:rPr>
  </w:style>
  <w:style w:type="character" w:customStyle="1" w:styleId="CH2Char">
    <w:name w:val="CH2 Char"/>
    <w:link w:val="CH2"/>
    <w:rsid w:val="00BE0AFD"/>
    <w:rPr>
      <w:b/>
      <w:sz w:val="24"/>
      <w:szCs w:val="24"/>
      <w:lang w:val="fr-CA"/>
    </w:rPr>
  </w:style>
  <w:style w:type="character" w:styleId="CommentReference">
    <w:name w:val="annotation reference"/>
    <w:rsid w:val="00BE0AFD"/>
    <w:rPr>
      <w:sz w:val="16"/>
      <w:szCs w:val="16"/>
    </w:rPr>
  </w:style>
  <w:style w:type="paragraph" w:styleId="CommentText">
    <w:name w:val="annotation text"/>
    <w:basedOn w:val="Normal"/>
    <w:link w:val="CommentTextChar"/>
    <w:uiPriority w:val="99"/>
    <w:rsid w:val="00BE0AFD"/>
    <w:rPr>
      <w:lang w:val="en-GB"/>
    </w:rPr>
  </w:style>
  <w:style w:type="character" w:customStyle="1" w:styleId="CommentTextChar">
    <w:name w:val="Comment Text Char"/>
    <w:basedOn w:val="DefaultParagraphFont"/>
    <w:link w:val="CommentText"/>
    <w:uiPriority w:val="99"/>
    <w:rsid w:val="00BE0AFD"/>
    <w:rPr>
      <w:rFonts w:eastAsia="MS Mincho"/>
      <w:lang w:val="en-GB"/>
    </w:rPr>
  </w:style>
  <w:style w:type="character" w:customStyle="1" w:styleId="HeaderChar">
    <w:name w:val="Header Char"/>
    <w:basedOn w:val="DefaultParagraphFont"/>
    <w:link w:val="Header"/>
    <w:rsid w:val="00EA2955"/>
    <w:rPr>
      <w:b/>
      <w:sz w:val="18"/>
      <w:lang w:val="fr-FR"/>
    </w:rPr>
  </w:style>
  <w:style w:type="character" w:customStyle="1" w:styleId="FooterChar">
    <w:name w:val="Footer Char"/>
    <w:basedOn w:val="DefaultParagraphFont"/>
    <w:link w:val="Footer"/>
    <w:rsid w:val="00EA2955"/>
    <w:rPr>
      <w:sz w:val="18"/>
      <w:lang w:val="fr-FR"/>
    </w:rPr>
  </w:style>
  <w:style w:type="character" w:customStyle="1" w:styleId="FootnoteTextChar">
    <w:name w:val="Footnote Text Char"/>
    <w:basedOn w:val="DefaultParagraphFont"/>
    <w:link w:val="FootnoteText"/>
    <w:rsid w:val="00EA2955"/>
    <w:rPr>
      <w:sz w:val="18"/>
      <w:lang w:val="fr-CA"/>
    </w:rPr>
  </w:style>
  <w:style w:type="table" w:styleId="TableGrid">
    <w:name w:val="Table Grid"/>
    <w:basedOn w:val="TableNormal"/>
    <w:rsid w:val="00D07C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numberChar">
    <w:name w:val="Normal_number Char"/>
    <w:link w:val="Normalnumber"/>
    <w:rsid w:val="00075479"/>
    <w:rPr>
      <w:lang w:val="fr-CA"/>
    </w:rPr>
  </w:style>
  <w:style w:type="paragraph" w:styleId="ListParagraph">
    <w:name w:val="List Paragraph"/>
    <w:basedOn w:val="Normal"/>
    <w:link w:val="ListParagraphChar"/>
    <w:uiPriority w:val="34"/>
    <w:qFormat/>
    <w:rsid w:val="00075479"/>
    <w:pPr>
      <w:spacing w:after="120" w:line="360" w:lineRule="auto"/>
      <w:ind w:left="720"/>
      <w:contextualSpacing/>
    </w:pPr>
    <w:rPr>
      <w:rFonts w:eastAsiaTheme="minorEastAsia"/>
    </w:rPr>
  </w:style>
  <w:style w:type="character" w:customStyle="1" w:styleId="ListParagraphChar">
    <w:name w:val="List Paragraph Char"/>
    <w:basedOn w:val="DefaultParagraphFont"/>
    <w:link w:val="ListParagraph"/>
    <w:uiPriority w:val="34"/>
    <w:rsid w:val="00075479"/>
    <w:rPr>
      <w:rFonts w:asciiTheme="minorHAnsi" w:eastAsiaTheme="minorEastAsia" w:hAnsiTheme="minorHAnsi" w:cstheme="minorBidi"/>
      <w:sz w:val="22"/>
      <w:szCs w:val="22"/>
    </w:rPr>
  </w:style>
  <w:style w:type="paragraph" w:customStyle="1" w:styleId="AnnexTitle">
    <w:name w:val="Annex Title"/>
    <w:basedOn w:val="Normal-pool"/>
    <w:qFormat/>
    <w:rsid w:val="00075479"/>
    <w:pPr>
      <w:pageBreakBefore/>
      <w:tabs>
        <w:tab w:val="clear" w:pos="4082"/>
      </w:tabs>
    </w:pPr>
    <w:rPr>
      <w:b/>
      <w:bCs/>
      <w:sz w:val="28"/>
      <w:szCs w:val="22"/>
    </w:rPr>
  </w:style>
  <w:style w:type="paragraph" w:styleId="Title">
    <w:name w:val="Title"/>
    <w:basedOn w:val="BBTitle"/>
    <w:next w:val="Normal"/>
    <w:link w:val="TitleChar"/>
    <w:qFormat/>
    <w:rsid w:val="00075479"/>
    <w:pPr>
      <w:tabs>
        <w:tab w:val="clear" w:pos="4082"/>
      </w:tabs>
    </w:pPr>
    <w:rPr>
      <w:lang w:val="en-US"/>
    </w:rPr>
  </w:style>
  <w:style w:type="character" w:customStyle="1" w:styleId="TitleChar">
    <w:name w:val="Title Char"/>
    <w:basedOn w:val="DefaultParagraphFont"/>
    <w:link w:val="Title"/>
    <w:rsid w:val="00075479"/>
    <w:rPr>
      <w:b/>
      <w:sz w:val="28"/>
      <w:szCs w:val="28"/>
    </w:rPr>
  </w:style>
  <w:style w:type="paragraph" w:customStyle="1" w:styleId="AgendaItemTitle">
    <w:name w:val="AgendaItem_Title"/>
    <w:basedOn w:val="Normal-pool"/>
    <w:qFormat/>
    <w:rsid w:val="00075479"/>
    <w:pPr>
      <w:keepNext/>
      <w:keepLines/>
      <w:tabs>
        <w:tab w:val="clear" w:pos="4082"/>
      </w:tabs>
      <w:suppressAutoHyphens/>
      <w:ind w:right="3402"/>
    </w:pPr>
    <w:rPr>
      <w:b/>
    </w:rPr>
  </w:style>
  <w:style w:type="character" w:customStyle="1" w:styleId="Heading1Char">
    <w:name w:val="Heading 1 Char"/>
    <w:basedOn w:val="DefaultParagraphFont"/>
    <w:link w:val="Heading1"/>
    <w:rsid w:val="00EA2955"/>
    <w:rPr>
      <w:b/>
      <w:sz w:val="28"/>
      <w:lang w:val="fr-FR"/>
    </w:rPr>
  </w:style>
  <w:style w:type="character" w:customStyle="1" w:styleId="Heading2Char">
    <w:name w:val="Heading 2 Char"/>
    <w:basedOn w:val="DefaultParagraphFont"/>
    <w:link w:val="Heading2"/>
    <w:rsid w:val="00EA2955"/>
    <w:rPr>
      <w:b/>
      <w:sz w:val="24"/>
      <w:szCs w:val="24"/>
      <w:lang w:val="fr-FR"/>
    </w:rPr>
  </w:style>
  <w:style w:type="character" w:customStyle="1" w:styleId="Heading3Char">
    <w:name w:val="Heading 3 Char"/>
    <w:basedOn w:val="DefaultParagraphFont"/>
    <w:link w:val="Heading3"/>
    <w:rsid w:val="00EA2955"/>
    <w:rPr>
      <w:b/>
      <w:lang w:val="fr-FR"/>
    </w:rPr>
  </w:style>
  <w:style w:type="character" w:customStyle="1" w:styleId="Heading4Char">
    <w:name w:val="Heading 4 Char"/>
    <w:basedOn w:val="DefaultParagraphFont"/>
    <w:link w:val="Heading4"/>
    <w:rsid w:val="00EA2955"/>
    <w:rPr>
      <w:b/>
      <w:lang w:val="fr-FR"/>
    </w:rPr>
  </w:style>
  <w:style w:type="character" w:customStyle="1" w:styleId="Heading5Char">
    <w:name w:val="Heading 5 Char"/>
    <w:basedOn w:val="DefaultParagraphFont"/>
    <w:link w:val="Heading5"/>
    <w:rsid w:val="00EA2955"/>
    <w:rPr>
      <w:rFonts w:ascii="Univers" w:hAnsi="Univers"/>
      <w:b/>
      <w:sz w:val="24"/>
      <w:lang w:val="fr-FR"/>
    </w:rPr>
  </w:style>
  <w:style w:type="character" w:customStyle="1" w:styleId="Heading6Char">
    <w:name w:val="Heading 6 Char"/>
    <w:basedOn w:val="DefaultParagraphFont"/>
    <w:link w:val="Heading6"/>
    <w:rsid w:val="00EA2955"/>
    <w:rPr>
      <w:b/>
      <w:bCs/>
      <w:sz w:val="24"/>
      <w:lang w:val="fr-FR"/>
    </w:rPr>
  </w:style>
  <w:style w:type="character" w:customStyle="1" w:styleId="Heading7Char">
    <w:name w:val="Heading 7 Char"/>
    <w:basedOn w:val="DefaultParagraphFont"/>
    <w:link w:val="Heading7"/>
    <w:rsid w:val="00EA2955"/>
    <w:rPr>
      <w:snapToGrid w:val="0"/>
      <w:u w:val="single"/>
    </w:rPr>
  </w:style>
  <w:style w:type="character" w:customStyle="1" w:styleId="Heading8Char">
    <w:name w:val="Heading 8 Char"/>
    <w:basedOn w:val="DefaultParagraphFont"/>
    <w:link w:val="Heading8"/>
    <w:rsid w:val="00EA2955"/>
    <w:rPr>
      <w:snapToGrid w:val="0"/>
      <w:u w:val="single"/>
    </w:rPr>
  </w:style>
  <w:style w:type="character" w:customStyle="1" w:styleId="Heading9Char">
    <w:name w:val="Heading 9 Char"/>
    <w:basedOn w:val="DefaultParagraphFont"/>
    <w:link w:val="Heading9"/>
    <w:rsid w:val="00EA2955"/>
    <w:rPr>
      <w:snapToGrid w:val="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786002">
      <w:bodyDiv w:val="1"/>
      <w:marLeft w:val="0"/>
      <w:marRight w:val="0"/>
      <w:marTop w:val="0"/>
      <w:marBottom w:val="0"/>
      <w:divBdr>
        <w:top w:val="none" w:sz="0" w:space="0" w:color="auto"/>
        <w:left w:val="none" w:sz="0" w:space="0" w:color="auto"/>
        <w:bottom w:val="none" w:sz="0" w:space="0" w:color="auto"/>
        <w:right w:val="none" w:sz="0" w:space="0" w:color="auto"/>
      </w:divBdr>
    </w:div>
    <w:div w:id="394164682">
      <w:bodyDiv w:val="1"/>
      <w:marLeft w:val="0"/>
      <w:marRight w:val="0"/>
      <w:marTop w:val="0"/>
      <w:marBottom w:val="0"/>
      <w:divBdr>
        <w:top w:val="none" w:sz="0" w:space="0" w:color="auto"/>
        <w:left w:val="none" w:sz="0" w:space="0" w:color="auto"/>
        <w:bottom w:val="none" w:sz="0" w:space="0" w:color="auto"/>
        <w:right w:val="none" w:sz="0" w:space="0" w:color="auto"/>
      </w:divBdr>
    </w:div>
    <w:div w:id="704133942">
      <w:bodyDiv w:val="1"/>
      <w:marLeft w:val="0"/>
      <w:marRight w:val="0"/>
      <w:marTop w:val="0"/>
      <w:marBottom w:val="0"/>
      <w:divBdr>
        <w:top w:val="none" w:sz="0" w:space="0" w:color="auto"/>
        <w:left w:val="none" w:sz="0" w:space="0" w:color="auto"/>
        <w:bottom w:val="none" w:sz="0" w:space="0" w:color="auto"/>
        <w:right w:val="none" w:sz="0" w:space="0" w:color="auto"/>
      </w:divBdr>
    </w:div>
    <w:div w:id="800000595">
      <w:bodyDiv w:val="1"/>
      <w:marLeft w:val="0"/>
      <w:marRight w:val="0"/>
      <w:marTop w:val="0"/>
      <w:marBottom w:val="0"/>
      <w:divBdr>
        <w:top w:val="none" w:sz="0" w:space="0" w:color="auto"/>
        <w:left w:val="none" w:sz="0" w:space="0" w:color="auto"/>
        <w:bottom w:val="none" w:sz="0" w:space="0" w:color="auto"/>
        <w:right w:val="none" w:sz="0" w:space="0" w:color="auto"/>
      </w:divBdr>
    </w:div>
    <w:div w:id="1196232797">
      <w:bodyDiv w:val="1"/>
      <w:marLeft w:val="0"/>
      <w:marRight w:val="0"/>
      <w:marTop w:val="0"/>
      <w:marBottom w:val="0"/>
      <w:divBdr>
        <w:top w:val="none" w:sz="0" w:space="0" w:color="auto"/>
        <w:left w:val="none" w:sz="0" w:space="0" w:color="auto"/>
        <w:bottom w:val="none" w:sz="0" w:space="0" w:color="auto"/>
        <w:right w:val="none" w:sz="0" w:space="0" w:color="auto"/>
      </w:divBdr>
    </w:div>
    <w:div w:id="130531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1.wdp"/><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unterm.un.org/DGAACS/unterm.nsf/WebView/89752D0EE42F5EDF852575EC006B64B1?OpenDocument"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48661-2BDC-467C-A51D-5579E14D7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1804</Words>
  <Characters>10592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NATIONS UNIES</vt:lpstr>
    </vt:vector>
  </TitlesOfParts>
  <Company>unon</Company>
  <LinksUpToDate>false</LinksUpToDate>
  <CharactersWithSpaces>12372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NATIONS UNIES</dc:title>
  <dc:creator>Veronica Gathu</dc:creator>
  <cp:lastModifiedBy>Sarah Banda-Genchev ( IPBES Secretariat )</cp:lastModifiedBy>
  <cp:revision>2</cp:revision>
  <cp:lastPrinted>2017-11-30T12:25:00Z</cp:lastPrinted>
  <dcterms:created xsi:type="dcterms:W3CDTF">2018-01-29T11:19:00Z</dcterms:created>
  <dcterms:modified xsi:type="dcterms:W3CDTF">2018-01-29T11:19:00Z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With">
    <vt:lpwstr>Mercury</vt:lpwstr>
  </property>
  <property fmtid="{D5CDD505-2E9C-101B-9397-08002B2CF9AE}" pid="3" name="GeneratedBy">
    <vt:lpwstr>maite.suengas</vt:lpwstr>
  </property>
  <property fmtid="{D5CDD505-2E9C-101B-9397-08002B2CF9AE}" pid="4" name="GeneratedDate">
    <vt:lpwstr>12/26/2017 11:46:26 AM</vt:lpwstr>
  </property>
  <property fmtid="{D5CDD505-2E9C-101B-9397-08002B2CF9AE}" pid="5" name="OriginalDocID">
    <vt:lpwstr>2107c6d7-d51b-473f-98a1-a13a194dcff7</vt:lpwstr>
  </property>
</Properties>
</file>