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5000" w:type="pct"/>
        <w:tblLayout w:type="fixed"/>
        <w:tblLook w:val="0000" w:firstRow="0" w:lastRow="0" w:firstColumn="0" w:lastColumn="0" w:noHBand="0" w:noVBand="0"/>
      </w:tblPr>
      <w:tblGrid>
        <w:gridCol w:w="1501"/>
        <w:gridCol w:w="818"/>
        <w:gridCol w:w="287"/>
        <w:gridCol w:w="1105"/>
        <w:gridCol w:w="1105"/>
        <w:gridCol w:w="1105"/>
        <w:gridCol w:w="1105"/>
        <w:gridCol w:w="7"/>
        <w:gridCol w:w="704"/>
        <w:gridCol w:w="1759"/>
      </w:tblGrid>
      <w:tr w:rsidR="00FE4A4D" w:rsidRPr="009A55B3" w:rsidTr="00BA25D1">
        <w:trPr>
          <w:cantSplit/>
          <w:trHeight w:val="1079"/>
        </w:trPr>
        <w:tc>
          <w:tcPr>
            <w:tcW w:w="1499" w:type="dxa"/>
          </w:tcPr>
          <w:p w:rsidR="00FE4A4D" w:rsidRPr="008A6A43" w:rsidRDefault="00FE4A4D" w:rsidP="00D72232">
            <w:pPr>
              <w:spacing w:line="480" w:lineRule="exact"/>
              <w:jc w:val="both"/>
              <w:rPr>
                <w:rFonts w:cs="Traditional Arabic"/>
                <w:b/>
                <w:bCs/>
                <w:sz w:val="48"/>
                <w:szCs w:val="48"/>
              </w:rPr>
            </w:pPr>
            <w:bookmarkStart w:id="0" w:name="_GoBack"/>
            <w:bookmarkEnd w:id="0"/>
            <w:r w:rsidRPr="008A6A43">
              <w:rPr>
                <w:rFonts w:cs="Traditional Arabic"/>
                <w:b/>
                <w:bCs/>
                <w:sz w:val="48"/>
                <w:szCs w:val="48"/>
                <w:rtl/>
              </w:rPr>
              <w:t>الأمم المتحدة</w:t>
            </w:r>
          </w:p>
        </w:tc>
        <w:tc>
          <w:tcPr>
            <w:tcW w:w="1106" w:type="dxa"/>
            <w:gridSpan w:val="2"/>
            <w:tcBorders>
              <w:left w:val="nil"/>
            </w:tcBorders>
            <w:vAlign w:val="center"/>
          </w:tcPr>
          <w:p w:rsidR="00FE4A4D" w:rsidRPr="009A55B3" w:rsidRDefault="00FE4A4D" w:rsidP="00D72232">
            <w:pPr>
              <w:jc w:val="center"/>
              <w:rPr>
                <w:sz w:val="6"/>
                <w:szCs w:val="6"/>
              </w:rPr>
            </w:pPr>
            <w:r>
              <w:rPr>
                <w:noProof/>
              </w:rPr>
              <w:drawing>
                <wp:inline distT="0" distB="0" distL="0" distR="0" wp14:anchorId="633614A3" wp14:editId="2CC2AA4D">
                  <wp:extent cx="452755" cy="423545"/>
                  <wp:effectExtent l="0" t="0" r="4445" b="0"/>
                  <wp:docPr id="12" name="Picture 12" descr="Description: Description: Description: !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755" cy="423545"/>
                          </a:xfrm>
                          <a:prstGeom prst="rect">
                            <a:avLst/>
                          </a:prstGeom>
                          <a:noFill/>
                          <a:ln>
                            <a:noFill/>
                          </a:ln>
                        </pic:spPr>
                      </pic:pic>
                    </a:graphicData>
                  </a:graphic>
                </wp:inline>
              </w:drawing>
            </w:r>
          </w:p>
        </w:tc>
        <w:tc>
          <w:tcPr>
            <w:tcW w:w="1105" w:type="dxa"/>
            <w:tcBorders>
              <w:left w:val="nil"/>
            </w:tcBorders>
            <w:vAlign w:val="center"/>
          </w:tcPr>
          <w:p w:rsidR="00FE4A4D" w:rsidRPr="009A55B3" w:rsidRDefault="00FE4A4D" w:rsidP="00D72232">
            <w:pPr>
              <w:jc w:val="center"/>
              <w:rPr>
                <w:sz w:val="6"/>
                <w:szCs w:val="6"/>
                <w:rtl/>
              </w:rPr>
            </w:pPr>
            <w:r>
              <w:rPr>
                <w:noProof/>
              </w:rPr>
              <w:drawing>
                <wp:inline distT="0" distB="0" distL="0" distR="0" wp14:anchorId="430C13D4" wp14:editId="41618D46">
                  <wp:extent cx="499745" cy="499745"/>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9745" cy="499745"/>
                          </a:xfrm>
                          <a:prstGeom prst="rect">
                            <a:avLst/>
                          </a:prstGeom>
                          <a:noFill/>
                          <a:ln>
                            <a:noFill/>
                          </a:ln>
                        </pic:spPr>
                      </pic:pic>
                    </a:graphicData>
                  </a:graphic>
                </wp:inline>
              </w:drawing>
            </w:r>
          </w:p>
        </w:tc>
        <w:tc>
          <w:tcPr>
            <w:tcW w:w="1105" w:type="dxa"/>
            <w:tcBorders>
              <w:left w:val="nil"/>
            </w:tcBorders>
            <w:vAlign w:val="center"/>
          </w:tcPr>
          <w:p w:rsidR="00FE4A4D" w:rsidRPr="00A13843" w:rsidRDefault="00FE4A4D" w:rsidP="00D72232">
            <w:pPr>
              <w:jc w:val="center"/>
            </w:pPr>
            <w:r>
              <w:rPr>
                <w:noProof/>
              </w:rPr>
              <w:drawing>
                <wp:inline distT="0" distB="0" distL="0" distR="0" wp14:anchorId="5675876D" wp14:editId="75D947FF">
                  <wp:extent cx="588645" cy="452755"/>
                  <wp:effectExtent l="0" t="0" r="1905" b="4445"/>
                  <wp:docPr id="10" name="Picture 10" descr="Description: Description: E:\Logos\UNESCO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Description: E:\Logos\UNESCO (blac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8645" cy="452755"/>
                          </a:xfrm>
                          <a:prstGeom prst="rect">
                            <a:avLst/>
                          </a:prstGeom>
                          <a:noFill/>
                          <a:ln>
                            <a:noFill/>
                          </a:ln>
                        </pic:spPr>
                      </pic:pic>
                    </a:graphicData>
                  </a:graphic>
                </wp:inline>
              </w:drawing>
            </w:r>
          </w:p>
        </w:tc>
        <w:tc>
          <w:tcPr>
            <w:tcW w:w="1105" w:type="dxa"/>
            <w:tcBorders>
              <w:left w:val="nil"/>
            </w:tcBorders>
            <w:vAlign w:val="center"/>
          </w:tcPr>
          <w:p w:rsidR="00FE4A4D" w:rsidRPr="009A55B3" w:rsidRDefault="00FE4A4D" w:rsidP="00D72232">
            <w:pPr>
              <w:rPr>
                <w:sz w:val="6"/>
                <w:szCs w:val="6"/>
              </w:rPr>
            </w:pPr>
            <w:r>
              <w:rPr>
                <w:noProof/>
              </w:rPr>
              <w:drawing>
                <wp:inline distT="0" distB="0" distL="0" distR="0" wp14:anchorId="2BABF4F4" wp14:editId="7EE0FD18">
                  <wp:extent cx="487045" cy="487045"/>
                  <wp:effectExtent l="0" t="0" r="8255" b="8255"/>
                  <wp:docPr id="9" name="Picture 9" descr="Description: Description: Description: !OLE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OLEGE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7045" cy="487045"/>
                          </a:xfrm>
                          <a:prstGeom prst="rect">
                            <a:avLst/>
                          </a:prstGeom>
                          <a:noFill/>
                          <a:ln>
                            <a:noFill/>
                          </a:ln>
                        </pic:spPr>
                      </pic:pic>
                    </a:graphicData>
                  </a:graphic>
                </wp:inline>
              </w:drawing>
            </w:r>
          </w:p>
        </w:tc>
        <w:tc>
          <w:tcPr>
            <w:tcW w:w="1105" w:type="dxa"/>
            <w:tcBorders>
              <w:left w:val="nil"/>
            </w:tcBorders>
            <w:vAlign w:val="center"/>
          </w:tcPr>
          <w:p w:rsidR="00FE4A4D" w:rsidRPr="009A55B3" w:rsidRDefault="00FE4A4D" w:rsidP="00D72232">
            <w:pPr>
              <w:jc w:val="right"/>
              <w:rPr>
                <w:sz w:val="6"/>
                <w:szCs w:val="6"/>
              </w:rPr>
            </w:pPr>
          </w:p>
        </w:tc>
        <w:tc>
          <w:tcPr>
            <w:tcW w:w="711" w:type="dxa"/>
            <w:gridSpan w:val="2"/>
            <w:tcBorders>
              <w:left w:val="nil"/>
            </w:tcBorders>
            <w:vAlign w:val="center"/>
          </w:tcPr>
          <w:p w:rsidR="00FE4A4D" w:rsidRPr="009A55B3" w:rsidRDefault="00FE4A4D" w:rsidP="00D72232">
            <w:pPr>
              <w:rPr>
                <w:sz w:val="6"/>
                <w:szCs w:val="6"/>
              </w:rPr>
            </w:pPr>
            <w:r>
              <w:rPr>
                <w:noProof/>
              </w:rPr>
              <mc:AlternateContent>
                <mc:Choice Requires="wps">
                  <w:drawing>
                    <wp:anchor distT="0" distB="0" distL="114300" distR="114300" simplePos="0" relativeHeight="251659264" behindDoc="0" locked="0" layoutInCell="1" allowOverlap="1" wp14:anchorId="185A745D" wp14:editId="612EC3F6">
                      <wp:simplePos x="0" y="0"/>
                      <wp:positionH relativeFrom="column">
                        <wp:posOffset>349885</wp:posOffset>
                      </wp:positionH>
                      <wp:positionV relativeFrom="paragraph">
                        <wp:posOffset>121285</wp:posOffset>
                      </wp:positionV>
                      <wp:extent cx="857885" cy="437515"/>
                      <wp:effectExtent l="0" t="0" r="1841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7885" cy="437515"/>
                              </a:xfrm>
                              <a:prstGeom prst="rect">
                                <a:avLst/>
                              </a:prstGeom>
                              <a:solidFill>
                                <a:sysClr val="window" lastClr="FFFFFF"/>
                              </a:solidFill>
                              <a:ln w="6350">
                                <a:solidFill>
                                  <a:sysClr val="window" lastClr="FFFFFF"/>
                                </a:solidFill>
                              </a:ln>
                              <a:effectLst/>
                            </wps:spPr>
                            <wps:txbx>
                              <w:txbxContent>
                                <w:p w:rsidR="00FE4A4D" w:rsidRPr="00E857F4" w:rsidRDefault="00FE4A4D" w:rsidP="00FE4A4D">
                                  <w:pPr>
                                    <w:spacing w:line="180" w:lineRule="exact"/>
                                    <w:rPr>
                                      <w:rFonts w:ascii="Traditional Arabic" w:hAnsi="Traditional Arabic" w:cs="Traditional Arabic"/>
                                      <w:b/>
                                      <w:bCs/>
                                      <w:w w:val="103"/>
                                      <w:sz w:val="20"/>
                                      <w:szCs w:val="20"/>
                                      <w:rtl/>
                                    </w:rPr>
                                  </w:pPr>
                                  <w:r w:rsidRPr="00E857F4">
                                    <w:rPr>
                                      <w:rFonts w:ascii="Traditional Arabic" w:hAnsi="Traditional Arabic" w:cs="Traditional Arabic"/>
                                      <w:b/>
                                      <w:bCs/>
                                      <w:w w:val="103"/>
                                      <w:sz w:val="20"/>
                                      <w:szCs w:val="20"/>
                                      <w:rtl/>
                                    </w:rPr>
                                    <w:t>منظمة</w:t>
                                  </w:r>
                                </w:p>
                                <w:p w:rsidR="00FE4A4D" w:rsidRPr="00E857F4" w:rsidRDefault="00FE4A4D" w:rsidP="00FE4A4D">
                                  <w:pPr>
                                    <w:spacing w:line="180" w:lineRule="exact"/>
                                    <w:rPr>
                                      <w:w w:val="103"/>
                                      <w:sz w:val="20"/>
                                      <w:szCs w:val="20"/>
                                    </w:rPr>
                                  </w:pPr>
                                  <w:r w:rsidRPr="00E857F4">
                                    <w:rPr>
                                      <w:rFonts w:ascii="Traditional Arabic" w:hAnsi="Traditional Arabic" w:cs="Traditional Arabic"/>
                                      <w:b/>
                                      <w:bCs/>
                                      <w:w w:val="103"/>
                                      <w:sz w:val="20"/>
                                      <w:szCs w:val="20"/>
                                      <w:rtl/>
                                    </w:rPr>
                                    <w:t>الأغذية والزراعة للأمم المتحدة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w:pict>
                    <v:shapetype w14:anchorId="185A745D" id="_x0000_t202" coordsize="21600,21600" o:spt="202" path="m,l,21600r21600,l21600,xe">
                      <v:stroke joinstyle="miter"/>
                      <v:path gradientshapeok="t" o:connecttype="rect"/>
                    </v:shapetype>
                    <v:shape id="Text Box 13" o:spid="_x0000_s1026" type="#_x0000_t202" style="position:absolute;left:0;text-align:left;margin-left:27.55pt;margin-top:9.55pt;width:67.55pt;height:3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" fillcolor="window" strokecolor="window" strokeweight=".5pt">
                      <v:path arrowok="t"/>
                      <v:textbox>
                        <w:txbxContent>
                          <w:p w:rsidR="00FE4A4D" w:rsidRPr="00E857F4" w:rsidRDefault="00FE4A4D" w:rsidP="00FE4A4D">
                            <w:pPr>
                              <w:spacing w:line="180" w:lineRule="exact"/>
                              <w:rPr>
                                <w:rFonts w:ascii="Traditional Arabic" w:hAnsi="Traditional Arabic" w:cs="Traditional Arabic"/>
                                <w:b/>
                                <w:bCs/>
                                <w:w w:val="103"/>
                                <w:sz w:val="20"/>
                                <w:szCs w:val="20"/>
                                <w:rtl/>
                              </w:rPr>
                            </w:pPr>
                            <w:r w:rsidRPr="00E857F4">
                              <w:rPr>
                                <w:rFonts w:ascii="Traditional Arabic" w:hAnsi="Traditional Arabic" w:cs="Traditional Arabic"/>
                                <w:b/>
                                <w:bCs/>
                                <w:w w:val="103"/>
                                <w:sz w:val="20"/>
                                <w:szCs w:val="20"/>
                                <w:rtl/>
                              </w:rPr>
                              <w:t>منظمة</w:t>
                            </w:r>
                          </w:p>
                          <w:p w:rsidR="00FE4A4D" w:rsidRPr="00E857F4" w:rsidRDefault="00FE4A4D" w:rsidP="00FE4A4D">
                            <w:pPr>
                              <w:spacing w:line="180" w:lineRule="exact"/>
                              <w:rPr>
                                <w:w w:val="103"/>
                                <w:sz w:val="20"/>
                                <w:szCs w:val="20"/>
                              </w:rPr>
                            </w:pPr>
                            <w:r w:rsidRPr="00E857F4">
                              <w:rPr>
                                <w:rFonts w:ascii="Traditional Arabic" w:hAnsi="Traditional Arabic" w:cs="Traditional Arabic"/>
                                <w:b/>
                                <w:bCs/>
                                <w:w w:val="103"/>
                                <w:sz w:val="20"/>
                                <w:szCs w:val="20"/>
                                <w:rtl/>
                              </w:rPr>
                              <w:t>الأغذية والزراعة للأمم المتحدة</w:t>
                            </w:r>
                          </w:p>
                        </w:txbxContent>
                      </v:textbox>
                    </v:shape>
                  </w:pict>
                </mc:Fallback>
              </mc:AlternateContent>
            </w:r>
            <w:r>
              <w:rPr>
                <w:noProof/>
              </w:rPr>
              <w:drawing>
                <wp:inline distT="0" distB="0" distL="0" distR="0" wp14:anchorId="5A20ACB3" wp14:editId="328E444B">
                  <wp:extent cx="325755" cy="630555"/>
                  <wp:effectExtent l="0" t="0" r="0" b="0"/>
                  <wp:docPr id="8" name="Picture 8" descr="Description: Description: E:\Logos\UNDP (bl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Description: E:\Logos\UNDP (blck).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755" cy="630555"/>
                          </a:xfrm>
                          <a:prstGeom prst="rect">
                            <a:avLst/>
                          </a:prstGeom>
                          <a:noFill/>
                          <a:ln>
                            <a:noFill/>
                          </a:ln>
                        </pic:spPr>
                      </pic:pic>
                    </a:graphicData>
                  </a:graphic>
                </wp:inline>
              </w:drawing>
            </w:r>
          </w:p>
        </w:tc>
        <w:tc>
          <w:tcPr>
            <w:tcW w:w="1760" w:type="dxa"/>
          </w:tcPr>
          <w:p w:rsidR="00FE4A4D" w:rsidRPr="009A55B3" w:rsidRDefault="00FE4A4D" w:rsidP="00D72232">
            <w:pPr>
              <w:pStyle w:val="Heading2"/>
              <w:bidi w:val="0"/>
              <w:spacing w:before="0" w:after="0" w:line="240" w:lineRule="auto"/>
              <w:jc w:val="both"/>
              <w:rPr>
                <w:rFonts w:ascii="Arial" w:hAnsi="Arial" w:cs="Arial"/>
                <w:b/>
                <w:bCs/>
                <w:sz w:val="10"/>
                <w:szCs w:val="10"/>
                <w:u w:val="none"/>
              </w:rPr>
            </w:pPr>
            <w:r w:rsidRPr="008A6A43">
              <w:rPr>
                <w:rFonts w:ascii="Arial" w:hAnsi="Arial" w:cs="Arial"/>
                <w:b/>
                <w:bCs/>
                <w:sz w:val="64"/>
                <w:szCs w:val="64"/>
                <w:u w:val="none"/>
              </w:rPr>
              <w:t>BES</w:t>
            </w:r>
          </w:p>
        </w:tc>
      </w:tr>
      <w:tr w:rsidR="00FE4A4D" w:rsidRPr="009A55B3" w:rsidTr="00BA25D1">
        <w:trPr>
          <w:cantSplit/>
          <w:trHeight w:val="282"/>
        </w:trPr>
        <w:tc>
          <w:tcPr>
            <w:tcW w:w="1503" w:type="dxa"/>
            <w:tcBorders>
              <w:bottom w:val="single" w:sz="2" w:space="0" w:color="auto"/>
            </w:tcBorders>
          </w:tcPr>
          <w:p w:rsidR="00FE4A4D" w:rsidRPr="009A55B3" w:rsidRDefault="00FE4A4D" w:rsidP="00D72232">
            <w:pPr>
              <w:jc w:val="both"/>
              <w:rPr>
                <w:noProof/>
                <w:sz w:val="6"/>
                <w:szCs w:val="6"/>
              </w:rPr>
            </w:pPr>
          </w:p>
        </w:tc>
        <w:tc>
          <w:tcPr>
            <w:tcW w:w="5533" w:type="dxa"/>
            <w:gridSpan w:val="7"/>
            <w:tcBorders>
              <w:bottom w:val="single" w:sz="2" w:space="0" w:color="auto"/>
            </w:tcBorders>
          </w:tcPr>
          <w:p w:rsidR="00FE4A4D" w:rsidRPr="009A55B3" w:rsidRDefault="00FE4A4D" w:rsidP="00D72232">
            <w:pPr>
              <w:rPr>
                <w:rFonts w:ascii="Univers" w:hAnsi="Univers"/>
                <w:b/>
                <w:sz w:val="6"/>
                <w:szCs w:val="6"/>
              </w:rPr>
            </w:pPr>
          </w:p>
        </w:tc>
        <w:tc>
          <w:tcPr>
            <w:tcW w:w="2460" w:type="dxa"/>
            <w:gridSpan w:val="2"/>
            <w:tcBorders>
              <w:bottom w:val="single" w:sz="2" w:space="0" w:color="auto"/>
            </w:tcBorders>
          </w:tcPr>
          <w:p w:rsidR="00FE4A4D" w:rsidRPr="00A13843" w:rsidRDefault="00FE4A4D" w:rsidP="00FE4A4D">
            <w:pPr>
              <w:bidi w:val="0"/>
              <w:jc w:val="both"/>
              <w:rPr>
                <w:b/>
                <w:sz w:val="24"/>
                <w:szCs w:val="24"/>
              </w:rPr>
            </w:pPr>
            <w:r w:rsidRPr="007E3856">
              <w:rPr>
                <w:b/>
                <w:sz w:val="24"/>
                <w:szCs w:val="24"/>
              </w:rPr>
              <w:t>IPBES</w:t>
            </w:r>
            <w:r w:rsidRPr="007226C6">
              <w:rPr>
                <w:sz w:val="20"/>
                <w:szCs w:val="20"/>
              </w:rPr>
              <w:t>/</w:t>
            </w:r>
            <w:r w:rsidR="00AC6CE6">
              <w:rPr>
                <w:sz w:val="20"/>
                <w:szCs w:val="20"/>
              </w:rPr>
              <w:t>6</w:t>
            </w:r>
            <w:r w:rsidRPr="008B1BBE">
              <w:rPr>
                <w:rFonts w:cs="Times New Roman"/>
                <w:sz w:val="20"/>
                <w:szCs w:val="20"/>
              </w:rPr>
              <w:t>/</w:t>
            </w:r>
            <w:r>
              <w:rPr>
                <w:rFonts w:cs="Times New Roman"/>
                <w:sz w:val="20"/>
                <w:szCs w:val="20"/>
              </w:rPr>
              <w:t>14</w:t>
            </w:r>
          </w:p>
        </w:tc>
      </w:tr>
      <w:tr w:rsidR="00FE4A4D" w:rsidRPr="009A55B3" w:rsidTr="00BA25D1">
        <w:trPr>
          <w:cantSplit/>
          <w:trHeight w:val="1433"/>
        </w:trPr>
        <w:tc>
          <w:tcPr>
            <w:tcW w:w="2322" w:type="dxa"/>
            <w:gridSpan w:val="2"/>
            <w:tcBorders>
              <w:top w:val="single" w:sz="2" w:space="0" w:color="auto"/>
              <w:bottom w:val="single" w:sz="24" w:space="0" w:color="auto"/>
            </w:tcBorders>
            <w:vAlign w:val="center"/>
          </w:tcPr>
          <w:p w:rsidR="00FE4A4D" w:rsidRPr="009A55B3" w:rsidRDefault="00FE4A4D" w:rsidP="00D72232">
            <w:pPr>
              <w:bidi w:val="0"/>
              <w:spacing w:before="240" w:after="240"/>
              <w:jc w:val="right"/>
              <w:rPr>
                <w:rFonts w:ascii="Arial" w:hAnsi="Arial" w:cs="Arial"/>
                <w:b/>
                <w:sz w:val="10"/>
                <w:szCs w:val="10"/>
              </w:rPr>
            </w:pPr>
            <w:r>
              <w:rPr>
                <w:rFonts w:ascii="Arial" w:hAnsi="Arial" w:cs="Arial"/>
                <w:b/>
                <w:noProof/>
                <w:sz w:val="28"/>
              </w:rPr>
              <w:drawing>
                <wp:inline distT="0" distB="0" distL="0" distR="0" wp14:anchorId="16DEAEFD" wp14:editId="77EBED28">
                  <wp:extent cx="1083945" cy="508000"/>
                  <wp:effectExtent l="0" t="0" r="190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83945" cy="508000"/>
                          </a:xfrm>
                          <a:prstGeom prst="rect">
                            <a:avLst/>
                          </a:prstGeom>
                          <a:noFill/>
                          <a:ln>
                            <a:noFill/>
                          </a:ln>
                        </pic:spPr>
                      </pic:pic>
                    </a:graphicData>
                  </a:graphic>
                </wp:inline>
              </w:drawing>
            </w:r>
          </w:p>
        </w:tc>
        <w:tc>
          <w:tcPr>
            <w:tcW w:w="4714" w:type="dxa"/>
            <w:gridSpan w:val="6"/>
            <w:tcBorders>
              <w:top w:val="single" w:sz="2" w:space="0" w:color="auto"/>
              <w:bottom w:val="single" w:sz="24" w:space="0" w:color="auto"/>
            </w:tcBorders>
          </w:tcPr>
          <w:p w:rsidR="00FE4A4D" w:rsidRPr="008A6A43" w:rsidRDefault="00FE4A4D" w:rsidP="00BA25D1">
            <w:pPr>
              <w:spacing w:before="360" w:after="40" w:line="400" w:lineRule="exact"/>
              <w:ind w:right="459"/>
              <w:jc w:val="both"/>
              <w:rPr>
                <w:rFonts w:ascii="Arial" w:hAnsi="Arial" w:cs="Arial"/>
                <w:b/>
                <w:bCs/>
                <w:sz w:val="36"/>
                <w:szCs w:val="36"/>
                <w:rtl/>
              </w:rPr>
            </w:pPr>
            <w:r>
              <w:rPr>
                <w:rFonts w:ascii="Times New Roman Bold" w:hAnsi="Times New Roman Bold" w:cs="Traditional Arabic" w:hint="eastAsia"/>
                <w:b/>
                <w:bCs/>
                <w:w w:val="97"/>
                <w:sz w:val="36"/>
                <w:szCs w:val="36"/>
                <w:rtl/>
              </w:rPr>
              <w:t>ا</w:t>
            </w:r>
            <w:r w:rsidRPr="008A6A43">
              <w:rPr>
                <w:rFonts w:ascii="Times New Roman Bold" w:hAnsi="Times New Roman Bold" w:cs="Traditional Arabic" w:hint="eastAsia"/>
                <w:b/>
                <w:bCs/>
                <w:w w:val="97"/>
                <w:sz w:val="36"/>
                <w:szCs w:val="36"/>
                <w:rtl/>
              </w:rPr>
              <w:t>لمنبر</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الحكومي</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الدولي</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للعلوم</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والسياسات</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في</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مجال</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التنوع</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البيولوجي</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وخدمات</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النظم</w:t>
            </w:r>
            <w:r w:rsidRPr="008A6A43">
              <w:rPr>
                <w:rFonts w:ascii="Times New Roman Bold" w:hAnsi="Times New Roman Bold" w:cs="Traditional Arabic"/>
                <w:b/>
                <w:bCs/>
                <w:w w:val="97"/>
                <w:sz w:val="36"/>
                <w:szCs w:val="36"/>
                <w:rtl/>
              </w:rPr>
              <w:t xml:space="preserve"> </w:t>
            </w:r>
            <w:r w:rsidRPr="008A6A43">
              <w:rPr>
                <w:rFonts w:ascii="Times New Roman Bold" w:hAnsi="Times New Roman Bold" w:cs="Traditional Arabic" w:hint="eastAsia"/>
                <w:b/>
                <w:bCs/>
                <w:w w:val="97"/>
                <w:sz w:val="36"/>
                <w:szCs w:val="36"/>
                <w:rtl/>
              </w:rPr>
              <w:t>الإيكولوجية</w:t>
            </w:r>
          </w:p>
        </w:tc>
        <w:tc>
          <w:tcPr>
            <w:tcW w:w="2460" w:type="dxa"/>
            <w:gridSpan w:val="2"/>
            <w:tcBorders>
              <w:top w:val="single" w:sz="2" w:space="0" w:color="auto"/>
              <w:bottom w:val="single" w:sz="24" w:space="0" w:color="auto"/>
            </w:tcBorders>
          </w:tcPr>
          <w:p w:rsidR="00FE4A4D" w:rsidRPr="007226C6" w:rsidRDefault="00FE4A4D" w:rsidP="00D72232">
            <w:pPr>
              <w:bidi w:val="0"/>
              <w:spacing w:before="120"/>
              <w:rPr>
                <w:sz w:val="20"/>
                <w:szCs w:val="20"/>
              </w:rPr>
            </w:pPr>
            <w:r w:rsidRPr="007226C6">
              <w:rPr>
                <w:sz w:val="20"/>
                <w:szCs w:val="20"/>
              </w:rPr>
              <w:t xml:space="preserve">Distr.: </w:t>
            </w:r>
            <w:r>
              <w:rPr>
                <w:sz w:val="20"/>
                <w:szCs w:val="20"/>
              </w:rPr>
              <w:t>General</w:t>
            </w:r>
          </w:p>
          <w:p w:rsidR="00FE4A4D" w:rsidRPr="007226C6" w:rsidRDefault="00AC6CE6" w:rsidP="00D72232">
            <w:pPr>
              <w:bidi w:val="0"/>
              <w:spacing w:after="120"/>
              <w:rPr>
                <w:sz w:val="20"/>
                <w:szCs w:val="20"/>
              </w:rPr>
            </w:pPr>
            <w:r>
              <w:rPr>
                <w:sz w:val="20"/>
                <w:szCs w:val="20"/>
              </w:rPr>
              <w:t>30 November</w:t>
            </w:r>
            <w:r w:rsidRPr="007226C6">
              <w:rPr>
                <w:sz w:val="20"/>
                <w:szCs w:val="20"/>
              </w:rPr>
              <w:t xml:space="preserve"> </w:t>
            </w:r>
            <w:r w:rsidR="00FE4A4D" w:rsidRPr="007226C6">
              <w:rPr>
                <w:sz w:val="20"/>
                <w:szCs w:val="20"/>
              </w:rPr>
              <w:t>201</w:t>
            </w:r>
            <w:r>
              <w:rPr>
                <w:sz w:val="20"/>
                <w:szCs w:val="20"/>
              </w:rPr>
              <w:t>7</w:t>
            </w:r>
          </w:p>
          <w:p w:rsidR="00FE4A4D" w:rsidRPr="007226C6" w:rsidRDefault="00FE4A4D" w:rsidP="00D72232">
            <w:pPr>
              <w:bidi w:val="0"/>
              <w:spacing w:before="120"/>
              <w:rPr>
                <w:sz w:val="20"/>
                <w:szCs w:val="20"/>
              </w:rPr>
            </w:pPr>
            <w:r w:rsidRPr="007226C6">
              <w:rPr>
                <w:sz w:val="20"/>
                <w:szCs w:val="20"/>
              </w:rPr>
              <w:t>Arabic</w:t>
            </w:r>
          </w:p>
          <w:p w:rsidR="00FE4A4D" w:rsidRPr="00A13843" w:rsidRDefault="00FE4A4D" w:rsidP="00D72232">
            <w:pPr>
              <w:bidi w:val="0"/>
              <w:spacing w:after="120"/>
            </w:pPr>
            <w:r w:rsidRPr="007226C6">
              <w:rPr>
                <w:sz w:val="20"/>
                <w:szCs w:val="20"/>
              </w:rPr>
              <w:t>Original: English</w:t>
            </w:r>
          </w:p>
        </w:tc>
      </w:tr>
    </w:tbl>
    <w:p w:rsidR="008A6A43" w:rsidRPr="00287FC0" w:rsidRDefault="00FE4A4D" w:rsidP="006A5C3F">
      <w:pPr>
        <w:spacing w:before="40" w:line="340" w:lineRule="exact"/>
        <w:ind w:left="140" w:right="5812"/>
        <w:jc w:val="both"/>
        <w:rPr>
          <w:rFonts w:ascii="Times New Roman Bold" w:hAnsi="Times New Roman Bold" w:cs="Traditional Arabic"/>
          <w:b/>
          <w:bCs/>
          <w:w w:val="97"/>
          <w:sz w:val="30"/>
          <w:szCs w:val="30"/>
          <w:rtl/>
        </w:rPr>
      </w:pPr>
      <w:r w:rsidRPr="00287FC0">
        <w:rPr>
          <w:rFonts w:ascii="Times New Roman Bold" w:hAnsi="Times New Roman Bold" w:cs="Traditional Arabic" w:hint="eastAsia"/>
          <w:b/>
          <w:bCs/>
          <w:w w:val="97"/>
          <w:sz w:val="30"/>
          <w:szCs w:val="30"/>
          <w:rtl/>
        </w:rPr>
        <w:t>ا</w:t>
      </w:r>
      <w:r w:rsidR="008A6A43" w:rsidRPr="00287FC0">
        <w:rPr>
          <w:rFonts w:ascii="Times New Roman Bold" w:hAnsi="Times New Roman Bold" w:cs="Traditional Arabic"/>
          <w:b/>
          <w:bCs/>
          <w:w w:val="97"/>
          <w:sz w:val="30"/>
          <w:szCs w:val="30"/>
          <w:rtl/>
        </w:rPr>
        <w:t>لاجتماع العام للمنبر الحكومي الدولي للعلوم والسياسات في مجال التنوع البيولوجي وخدمات النظم الإيكولوجية</w:t>
      </w:r>
    </w:p>
    <w:p w:rsidR="008A6A43" w:rsidRPr="00287FC0" w:rsidRDefault="008A6A43" w:rsidP="002D12BC">
      <w:pPr>
        <w:spacing w:line="340" w:lineRule="exact"/>
        <w:ind w:left="140"/>
        <w:jc w:val="both"/>
        <w:rPr>
          <w:rFonts w:ascii="Times New Roman Bold" w:hAnsi="Times New Roman Bold" w:cs="Traditional Arabic"/>
          <w:w w:val="97"/>
          <w:sz w:val="30"/>
          <w:szCs w:val="30"/>
          <w:rtl/>
        </w:rPr>
      </w:pPr>
      <w:r w:rsidRPr="00287FC0">
        <w:rPr>
          <w:rFonts w:ascii="Times New Roman Bold" w:hAnsi="Times New Roman Bold" w:cs="Traditional Arabic"/>
          <w:b/>
          <w:bCs/>
          <w:w w:val="97"/>
          <w:sz w:val="30"/>
          <w:szCs w:val="30"/>
          <w:rtl/>
        </w:rPr>
        <w:t xml:space="preserve">الدورة </w:t>
      </w:r>
      <w:r w:rsidR="002D12BC" w:rsidRPr="00287FC0">
        <w:rPr>
          <w:rFonts w:ascii="Times New Roman Bold" w:hAnsi="Times New Roman Bold" w:cs="Traditional Arabic"/>
          <w:b/>
          <w:bCs/>
          <w:w w:val="97"/>
          <w:sz w:val="30"/>
          <w:szCs w:val="30"/>
          <w:rtl/>
        </w:rPr>
        <w:t>ال</w:t>
      </w:r>
      <w:r w:rsidR="00AC6CE6" w:rsidRPr="00287FC0">
        <w:rPr>
          <w:rFonts w:ascii="Times New Roman Bold" w:hAnsi="Times New Roman Bold" w:cs="Traditional Arabic" w:hint="cs"/>
          <w:b/>
          <w:bCs/>
          <w:w w:val="97"/>
          <w:sz w:val="30"/>
          <w:szCs w:val="30"/>
          <w:rtl/>
        </w:rPr>
        <w:t>ساد</w:t>
      </w:r>
      <w:r w:rsidR="002D12BC" w:rsidRPr="00287FC0">
        <w:rPr>
          <w:rFonts w:ascii="Times New Roman Bold" w:hAnsi="Times New Roman Bold" w:cs="Traditional Arabic"/>
          <w:b/>
          <w:bCs/>
          <w:w w:val="97"/>
          <w:sz w:val="30"/>
          <w:szCs w:val="30"/>
          <w:rtl/>
        </w:rPr>
        <w:t>سة</w:t>
      </w:r>
    </w:p>
    <w:p w:rsidR="00597F50" w:rsidRPr="00287FC0" w:rsidRDefault="00AC6CE6" w:rsidP="00597F50">
      <w:pPr>
        <w:spacing w:line="360" w:lineRule="exact"/>
        <w:ind w:left="142"/>
        <w:jc w:val="both"/>
        <w:rPr>
          <w:rFonts w:cs="Traditional Arabic"/>
          <w:sz w:val="30"/>
          <w:szCs w:val="30"/>
          <w:rtl/>
        </w:rPr>
      </w:pPr>
      <w:r w:rsidRPr="00287FC0">
        <w:rPr>
          <w:rFonts w:cs="Traditional Arabic" w:hint="cs"/>
          <w:sz w:val="30"/>
          <w:szCs w:val="30"/>
          <w:rtl/>
        </w:rPr>
        <w:t>مدليين، كولومبيا 18-24</w:t>
      </w:r>
      <w:r w:rsidR="00597F50" w:rsidRPr="00287FC0">
        <w:rPr>
          <w:rFonts w:cs="Traditional Arabic"/>
          <w:sz w:val="30"/>
          <w:szCs w:val="30"/>
          <w:rtl/>
        </w:rPr>
        <w:t xml:space="preserve"> آذار/مارس </w:t>
      </w:r>
      <w:r w:rsidRPr="00287FC0">
        <w:rPr>
          <w:rFonts w:cs="Traditional Arabic"/>
          <w:sz w:val="30"/>
          <w:szCs w:val="30"/>
          <w:rtl/>
        </w:rPr>
        <w:t>201</w:t>
      </w:r>
      <w:r w:rsidRPr="00287FC0">
        <w:rPr>
          <w:rFonts w:cs="Traditional Arabic" w:hint="cs"/>
          <w:sz w:val="30"/>
          <w:szCs w:val="30"/>
          <w:rtl/>
        </w:rPr>
        <w:t>8</w:t>
      </w:r>
    </w:p>
    <w:p w:rsidR="00597F50" w:rsidRPr="00BA25D1" w:rsidRDefault="00597F50" w:rsidP="00597F50">
      <w:pPr>
        <w:pStyle w:val="AATitle"/>
        <w:keepNext w:val="0"/>
        <w:keepLines w:val="0"/>
        <w:bidi/>
        <w:spacing w:after="40" w:line="360" w:lineRule="exact"/>
        <w:ind w:left="142"/>
        <w:rPr>
          <w:rStyle w:val="FootnoteReference"/>
          <w:rFonts w:ascii="Times New Roman Bold" w:hAnsi="Times New Roman Bold" w:cs="Traditional Arabic"/>
          <w:sz w:val="18"/>
          <w:szCs w:val="28"/>
          <w:vertAlign w:val="baseline"/>
          <w:rtl/>
        </w:rPr>
      </w:pPr>
      <w:r w:rsidRPr="00287FC0">
        <w:rPr>
          <w:rFonts w:ascii="Times New Roman Bold" w:hAnsi="Times New Roman Bold" w:cs="Traditional Arabic"/>
          <w:sz w:val="30"/>
          <w:szCs w:val="30"/>
          <w:rtl/>
        </w:rPr>
        <w:t xml:space="preserve">البند </w:t>
      </w:r>
      <w:r w:rsidRPr="00287FC0">
        <w:rPr>
          <w:rFonts w:ascii="Traditional Arabic" w:hAnsi="Traditional Arabic" w:cs="Traditional Arabic"/>
          <w:sz w:val="30"/>
          <w:szCs w:val="30"/>
          <w:rtl/>
        </w:rPr>
        <w:t xml:space="preserve">3 </w:t>
      </w:r>
      <w:r w:rsidRPr="00287FC0">
        <w:rPr>
          <w:rFonts w:ascii="Times New Roman Bold" w:hAnsi="Times New Roman Bold" w:cs="Traditional Arabic"/>
          <w:sz w:val="30"/>
          <w:szCs w:val="30"/>
          <w:rtl/>
        </w:rPr>
        <w:t>من جدول الأعمال المؤقت</w:t>
      </w:r>
      <w:r w:rsidRPr="00BA25D1">
        <w:rPr>
          <w:rStyle w:val="FootnoteReference"/>
          <w:rtl/>
        </w:rPr>
        <w:footnoteReference w:customMarkFollows="1" w:id="1"/>
        <w:t>*</w:t>
      </w:r>
    </w:p>
    <w:p w:rsidR="002A7552" w:rsidRPr="008844D8" w:rsidRDefault="00597F50" w:rsidP="00597F50">
      <w:pPr>
        <w:spacing w:line="340" w:lineRule="exact"/>
        <w:ind w:left="142" w:right="5954"/>
        <w:jc w:val="both"/>
        <w:rPr>
          <w:rFonts w:ascii="Times New Roman Bold" w:hAnsi="Times New Roman Bold" w:cs="Traditional Arabic"/>
          <w:sz w:val="28"/>
          <w:rtl/>
        </w:rPr>
      </w:pPr>
      <w:r w:rsidRPr="008844D8">
        <w:rPr>
          <w:rFonts w:ascii="Traditional Arabic" w:hAnsi="Traditional Arabic" w:cs="Traditional Arabic"/>
          <w:bCs/>
          <w:sz w:val="28"/>
          <w:rtl/>
        </w:rPr>
        <w:t>قبول المراقبين في الدورة ال</w:t>
      </w:r>
      <w:r w:rsidR="00AC6CE6" w:rsidRPr="008844D8">
        <w:rPr>
          <w:rFonts w:ascii="Traditional Arabic" w:hAnsi="Traditional Arabic" w:cs="Traditional Arabic" w:hint="cs"/>
          <w:bCs/>
          <w:sz w:val="28"/>
          <w:rtl/>
        </w:rPr>
        <w:t>ساد</w:t>
      </w:r>
      <w:r w:rsidRPr="008844D8">
        <w:rPr>
          <w:rFonts w:ascii="Traditional Arabic" w:hAnsi="Traditional Arabic" w:cs="Traditional Arabic"/>
          <w:bCs/>
          <w:sz w:val="28"/>
          <w:rtl/>
        </w:rPr>
        <w:t>سة للاجتماع العام للمنبر</w:t>
      </w:r>
    </w:p>
    <w:p w:rsidR="00597F50" w:rsidRPr="008844D8" w:rsidRDefault="00597F50" w:rsidP="00597F50">
      <w:pPr>
        <w:pStyle w:val="SingleTxt"/>
        <w:tabs>
          <w:tab w:val="clear" w:pos="1267"/>
          <w:tab w:val="clear" w:pos="1930"/>
          <w:tab w:val="clear" w:pos="2592"/>
          <w:tab w:val="clear" w:pos="3254"/>
          <w:tab w:val="clear" w:pos="3917"/>
          <w:tab w:val="clear" w:pos="4579"/>
          <w:tab w:val="clear" w:pos="5242"/>
          <w:tab w:val="clear" w:pos="5904"/>
          <w:tab w:val="clear" w:pos="6566"/>
        </w:tabs>
        <w:spacing w:before="480" w:after="360"/>
        <w:ind w:left="1132" w:right="0"/>
        <w:jc w:val="both"/>
        <w:rPr>
          <w:b/>
          <w:bCs/>
          <w:w w:val="100"/>
          <w:sz w:val="34"/>
          <w:szCs w:val="34"/>
          <w:rtl/>
        </w:rPr>
      </w:pPr>
      <w:r w:rsidRPr="008844D8">
        <w:rPr>
          <w:b/>
          <w:bCs/>
          <w:w w:val="100"/>
          <w:sz w:val="34"/>
          <w:szCs w:val="34"/>
          <w:rtl/>
        </w:rPr>
        <w:t xml:space="preserve">مشروع السياسة </w:t>
      </w:r>
      <w:r w:rsidRPr="008844D8">
        <w:rPr>
          <w:b/>
          <w:bCs/>
          <w:w w:val="100"/>
          <w:sz w:val="34"/>
          <w:szCs w:val="34"/>
          <w:rtl/>
          <w:lang w:val="en-GB"/>
        </w:rPr>
        <w:t xml:space="preserve">العامة </w:t>
      </w:r>
      <w:r w:rsidRPr="008844D8">
        <w:rPr>
          <w:b/>
          <w:bCs/>
          <w:w w:val="100"/>
          <w:sz w:val="34"/>
          <w:szCs w:val="34"/>
          <w:rtl/>
        </w:rPr>
        <w:t>والإجراءات المتبعة لقبول المراقبين</w:t>
      </w:r>
    </w:p>
    <w:p w:rsidR="00597F50" w:rsidRPr="008844D8" w:rsidRDefault="00597F50" w:rsidP="00597F50">
      <w:pPr>
        <w:pStyle w:val="SingleTxt"/>
        <w:tabs>
          <w:tab w:val="clear" w:pos="1267"/>
          <w:tab w:val="clear" w:pos="1930"/>
          <w:tab w:val="clear" w:pos="2592"/>
          <w:tab w:val="clear" w:pos="3254"/>
          <w:tab w:val="clear" w:pos="3917"/>
          <w:tab w:val="clear" w:pos="4579"/>
          <w:tab w:val="clear" w:pos="5242"/>
          <w:tab w:val="clear" w:pos="5904"/>
          <w:tab w:val="clear" w:pos="6566"/>
        </w:tabs>
        <w:ind w:left="1132" w:right="0"/>
        <w:jc w:val="both"/>
        <w:rPr>
          <w:b/>
          <w:bCs/>
          <w:w w:val="100"/>
          <w:sz w:val="32"/>
          <w:szCs w:val="32"/>
          <w:rtl/>
        </w:rPr>
      </w:pPr>
      <w:r w:rsidRPr="008844D8">
        <w:rPr>
          <w:b/>
          <w:bCs/>
          <w:w w:val="100"/>
          <w:sz w:val="32"/>
          <w:szCs w:val="32"/>
          <w:rtl/>
        </w:rPr>
        <w:t>مذكرة من الأمانة</w:t>
      </w:r>
    </w:p>
    <w:p w:rsidR="00597F50" w:rsidRPr="008844D8" w:rsidRDefault="00597F50" w:rsidP="00597F50">
      <w:pPr>
        <w:pStyle w:val="SingleTxt"/>
        <w:tabs>
          <w:tab w:val="clear" w:pos="1267"/>
          <w:tab w:val="clear" w:pos="1930"/>
          <w:tab w:val="clear" w:pos="2592"/>
          <w:tab w:val="clear" w:pos="3254"/>
          <w:tab w:val="clear" w:pos="3917"/>
          <w:tab w:val="clear" w:pos="4579"/>
          <w:tab w:val="clear" w:pos="5242"/>
          <w:tab w:val="clear" w:pos="5904"/>
          <w:tab w:val="clear" w:pos="6566"/>
          <w:tab w:val="left" w:pos="1841"/>
        </w:tabs>
        <w:ind w:left="1132" w:right="0"/>
        <w:jc w:val="both"/>
        <w:rPr>
          <w:w w:val="100"/>
          <w:rtl/>
        </w:rPr>
      </w:pPr>
      <w:r w:rsidRPr="008844D8">
        <w:rPr>
          <w:w w:val="100"/>
          <w:rtl/>
        </w:rPr>
        <w:tab/>
        <w:t xml:space="preserve">يتضمن مرفق هذه المذكرة مشروع السياسة العامة والإجراءات المتبعة لقبول المراقبين بالصيغة التي نظر فيها الاجتماع العام للمنبر الحكومي الدولي للعلوم والسياسات في مجال التنوع البيولوجي وخدمات النظم الإيكولوجية في دوراته </w:t>
      </w:r>
      <w:r w:rsidR="006B7D02" w:rsidRPr="008844D8">
        <w:rPr>
          <w:rFonts w:hint="cs"/>
          <w:w w:val="100"/>
          <w:rtl/>
        </w:rPr>
        <w:t>الخمس</w:t>
      </w:r>
      <w:r w:rsidRPr="008844D8">
        <w:rPr>
          <w:w w:val="100"/>
          <w:rtl/>
        </w:rPr>
        <w:t>. ولما لم تتوافق الآراء بهذا الصدد خلال الدورة ال</w:t>
      </w:r>
      <w:r w:rsidR="006B7D02" w:rsidRPr="008844D8">
        <w:rPr>
          <w:rFonts w:hint="cs"/>
          <w:w w:val="100"/>
          <w:rtl/>
        </w:rPr>
        <w:t>خامسة</w:t>
      </w:r>
      <w:r w:rsidRPr="008844D8">
        <w:rPr>
          <w:w w:val="100"/>
          <w:rtl/>
        </w:rPr>
        <w:t xml:space="preserve">، قرر الاجتماع العام أن الإجراء المؤقت المتبع لقبول المراقبين في دورات الاجتماع العام، على النحو الوارد في الفقرة 22 من تقرير الدورة الأولى للاجتماع العام </w:t>
      </w:r>
      <w:r w:rsidRPr="008844D8">
        <w:rPr>
          <w:rFonts w:cs="Times New Roman"/>
          <w:w w:val="100"/>
          <w:szCs w:val="20"/>
          <w:rtl/>
        </w:rPr>
        <w:t>(</w:t>
      </w:r>
      <w:r w:rsidRPr="008844D8">
        <w:rPr>
          <w:rFonts w:cs="Times New Roman"/>
          <w:w w:val="100"/>
          <w:szCs w:val="20"/>
        </w:rPr>
        <w:t>IPBES/1/12</w:t>
      </w:r>
      <w:r w:rsidRPr="008844D8">
        <w:rPr>
          <w:rFonts w:cs="Times New Roman"/>
          <w:w w:val="100"/>
          <w:szCs w:val="20"/>
          <w:rtl/>
        </w:rPr>
        <w:t>)</w:t>
      </w:r>
      <w:r w:rsidRPr="008844D8">
        <w:rPr>
          <w:w w:val="100"/>
          <w:rtl/>
        </w:rPr>
        <w:t xml:space="preserve"> والمطبق في الدورات الثانية والثالثة والرابعة</w:t>
      </w:r>
      <w:r w:rsidR="006B7D02" w:rsidRPr="008844D8">
        <w:rPr>
          <w:rFonts w:hint="cs"/>
          <w:w w:val="100"/>
          <w:rtl/>
        </w:rPr>
        <w:t xml:space="preserve"> والخامسة</w:t>
      </w:r>
      <w:r w:rsidRPr="008844D8">
        <w:rPr>
          <w:w w:val="100"/>
          <w:rtl/>
        </w:rPr>
        <w:t>، سيُطبق أيضا</w:t>
      </w:r>
      <w:r w:rsidRPr="008844D8">
        <w:rPr>
          <w:w w:val="100"/>
          <w:rtl/>
          <w:lang w:val="en-GB"/>
        </w:rPr>
        <w:t>ً</w:t>
      </w:r>
      <w:r w:rsidRPr="008844D8">
        <w:rPr>
          <w:w w:val="100"/>
          <w:rtl/>
        </w:rPr>
        <w:t xml:space="preserve"> على الدورة ال</w:t>
      </w:r>
      <w:r w:rsidR="006B7D02" w:rsidRPr="008844D8">
        <w:rPr>
          <w:rFonts w:hint="cs"/>
          <w:w w:val="100"/>
          <w:rtl/>
        </w:rPr>
        <w:t>ساد</w:t>
      </w:r>
      <w:r w:rsidRPr="008844D8">
        <w:rPr>
          <w:w w:val="100"/>
          <w:rtl/>
        </w:rPr>
        <w:t>سة. وقرر الاجتماع العام أيضاً أن ي</w:t>
      </w:r>
      <w:r w:rsidR="006B7D02" w:rsidRPr="008844D8">
        <w:rPr>
          <w:rFonts w:hint="cs"/>
          <w:w w:val="100"/>
          <w:rtl/>
        </w:rPr>
        <w:t xml:space="preserve">نظر مرة أخرى </w:t>
      </w:r>
      <w:r w:rsidRPr="008844D8">
        <w:rPr>
          <w:w w:val="100"/>
          <w:rtl/>
        </w:rPr>
        <w:t>في دورته ال</w:t>
      </w:r>
      <w:r w:rsidR="006B7D02" w:rsidRPr="008844D8">
        <w:rPr>
          <w:rFonts w:hint="cs"/>
          <w:w w:val="100"/>
          <w:rtl/>
        </w:rPr>
        <w:t>سادسة</w:t>
      </w:r>
      <w:r w:rsidRPr="008844D8">
        <w:rPr>
          <w:w w:val="100"/>
          <w:rtl/>
        </w:rPr>
        <w:t xml:space="preserve"> في مشروع السياسة العامة والإجراءات لقبول المراقبين. ولذا يُعرض على الاجتماع العام في مرفق هذه المذكرة مشروع ذلك النص </w:t>
      </w:r>
      <w:r w:rsidR="006B7D02" w:rsidRPr="008844D8">
        <w:rPr>
          <w:rFonts w:hint="cs"/>
          <w:w w:val="100"/>
          <w:rtl/>
        </w:rPr>
        <w:t>ل</w:t>
      </w:r>
      <w:r w:rsidRPr="008844D8">
        <w:rPr>
          <w:w w:val="100"/>
          <w:rtl/>
        </w:rPr>
        <w:t xml:space="preserve">لنظر فيه في دورته </w:t>
      </w:r>
      <w:r w:rsidR="006B7D02" w:rsidRPr="008844D8">
        <w:rPr>
          <w:rFonts w:hint="cs"/>
          <w:w w:val="100"/>
          <w:rtl/>
        </w:rPr>
        <w:t>السادسة</w:t>
      </w:r>
      <w:r w:rsidRPr="008844D8">
        <w:rPr>
          <w:w w:val="100"/>
          <w:rtl/>
        </w:rPr>
        <w:t xml:space="preserve">. وبالإضافة إلى ذلك ستتاح في الوثيقة </w:t>
      </w:r>
      <w:r w:rsidRPr="008844D8">
        <w:rPr>
          <w:rStyle w:val="DeltaViewInsertion"/>
          <w:color w:val="auto"/>
          <w:w w:val="100"/>
          <w:szCs w:val="24"/>
          <w:u w:val="none"/>
        </w:rPr>
        <w:t>IPBES/</w:t>
      </w:r>
      <w:r w:rsidR="006B7D02" w:rsidRPr="008844D8">
        <w:rPr>
          <w:rStyle w:val="DeltaViewInsertion"/>
          <w:color w:val="auto"/>
          <w:w w:val="100"/>
          <w:szCs w:val="24"/>
          <w:u w:val="none"/>
        </w:rPr>
        <w:t>6</w:t>
      </w:r>
      <w:r w:rsidRPr="008844D8">
        <w:rPr>
          <w:rStyle w:val="DeltaViewInsertion"/>
          <w:color w:val="auto"/>
          <w:w w:val="100"/>
          <w:szCs w:val="24"/>
          <w:u w:val="none"/>
        </w:rPr>
        <w:t>/INF/</w:t>
      </w:r>
      <w:r w:rsidR="006B7D02" w:rsidRPr="008844D8">
        <w:rPr>
          <w:rStyle w:val="DeltaViewInsertion"/>
          <w:color w:val="auto"/>
          <w:w w:val="100"/>
          <w:szCs w:val="24"/>
          <w:u w:val="none"/>
        </w:rPr>
        <w:t>23</w:t>
      </w:r>
      <w:r w:rsidR="006B7D02" w:rsidRPr="008844D8">
        <w:rPr>
          <w:rStyle w:val="DeltaViewInsertion"/>
          <w:color w:val="auto"/>
          <w:w w:val="100"/>
          <w:szCs w:val="24"/>
          <w:u w:val="none"/>
          <w:rtl/>
        </w:rPr>
        <w:t xml:space="preserve"> </w:t>
      </w:r>
      <w:r w:rsidRPr="008844D8">
        <w:rPr>
          <w:w w:val="100"/>
          <w:rtl/>
        </w:rPr>
        <w:t>قائمة المراقبين الذين اقترح رئيس المنبر الحكومي قبولهم في الدورة ال</w:t>
      </w:r>
      <w:r w:rsidR="006B7D02" w:rsidRPr="008844D8">
        <w:rPr>
          <w:rFonts w:hint="cs"/>
          <w:w w:val="100"/>
          <w:rtl/>
        </w:rPr>
        <w:t>سادسة</w:t>
      </w:r>
      <w:r w:rsidRPr="008844D8">
        <w:rPr>
          <w:w w:val="100"/>
          <w:rtl/>
        </w:rPr>
        <w:t xml:space="preserve"> للاجتماع العام.</w:t>
      </w:r>
    </w:p>
    <w:p w:rsidR="00BA25D1" w:rsidRDefault="00BA25D1">
      <w:pPr>
        <w:bidi w:val="0"/>
        <w:rPr>
          <w:rFonts w:cs="Traditional Arabic"/>
          <w:b/>
          <w:bCs/>
          <w:kern w:val="14"/>
          <w:sz w:val="34"/>
          <w:szCs w:val="34"/>
          <w:rtl/>
        </w:rPr>
      </w:pPr>
      <w:r>
        <w:rPr>
          <w:b/>
          <w:bCs/>
          <w:sz w:val="34"/>
          <w:szCs w:val="34"/>
          <w:rtl/>
        </w:rPr>
        <w:br w:type="page"/>
      </w:r>
    </w:p>
    <w:p w:rsidR="00597F50" w:rsidRPr="008844D8" w:rsidRDefault="00597F50" w:rsidP="00597F50">
      <w:pPr>
        <w:pStyle w:val="SingleTxt"/>
        <w:tabs>
          <w:tab w:val="clear" w:pos="1267"/>
          <w:tab w:val="clear" w:pos="1930"/>
          <w:tab w:val="clear" w:pos="2592"/>
          <w:tab w:val="clear" w:pos="3254"/>
          <w:tab w:val="clear" w:pos="3917"/>
          <w:tab w:val="clear" w:pos="4579"/>
          <w:tab w:val="clear" w:pos="5242"/>
          <w:tab w:val="clear" w:pos="5904"/>
          <w:tab w:val="clear" w:pos="6566"/>
        </w:tabs>
        <w:spacing w:after="360"/>
        <w:ind w:left="0" w:right="0"/>
        <w:jc w:val="both"/>
        <w:rPr>
          <w:b/>
          <w:bCs/>
          <w:w w:val="100"/>
          <w:sz w:val="34"/>
          <w:szCs w:val="34"/>
          <w:rtl/>
        </w:rPr>
      </w:pPr>
      <w:r w:rsidRPr="008844D8">
        <w:rPr>
          <w:b/>
          <w:bCs/>
          <w:w w:val="100"/>
          <w:sz w:val="34"/>
          <w:szCs w:val="34"/>
          <w:rtl/>
        </w:rPr>
        <w:lastRenderedPageBreak/>
        <w:t>المرفق</w:t>
      </w:r>
    </w:p>
    <w:p w:rsidR="00597F50" w:rsidRPr="008844D8" w:rsidRDefault="00287FC0" w:rsidP="00597F50">
      <w:pPr>
        <w:pStyle w:val="SingleTxt"/>
        <w:tabs>
          <w:tab w:val="clear" w:pos="1267"/>
          <w:tab w:val="clear" w:pos="1930"/>
          <w:tab w:val="clear" w:pos="2592"/>
          <w:tab w:val="clear" w:pos="3254"/>
          <w:tab w:val="clear" w:pos="3917"/>
          <w:tab w:val="clear" w:pos="4579"/>
          <w:tab w:val="clear" w:pos="5242"/>
          <w:tab w:val="clear" w:pos="5904"/>
          <w:tab w:val="clear" w:pos="6566"/>
        </w:tabs>
        <w:spacing w:after="240"/>
        <w:ind w:left="1132" w:right="0"/>
        <w:jc w:val="both"/>
        <w:rPr>
          <w:b/>
          <w:bCs/>
          <w:w w:val="100"/>
          <w:sz w:val="32"/>
          <w:szCs w:val="32"/>
          <w:rtl/>
        </w:rPr>
      </w:pPr>
      <w:r>
        <w:rPr>
          <w:rFonts w:hint="cs"/>
          <w:b/>
          <w:bCs/>
          <w:w w:val="100"/>
          <w:sz w:val="32"/>
          <w:szCs w:val="32"/>
          <w:rtl/>
        </w:rPr>
        <w:t>[</w:t>
      </w:r>
      <w:r w:rsidR="00597F50" w:rsidRPr="008844D8">
        <w:rPr>
          <w:b/>
          <w:bCs/>
          <w:w w:val="100"/>
          <w:sz w:val="32"/>
          <w:szCs w:val="32"/>
          <w:rtl/>
        </w:rPr>
        <w:t>مشروع السياسة العامة والإجراءات المتبعة لقبول المراقبين</w:t>
      </w:r>
    </w:p>
    <w:p w:rsidR="00597F50" w:rsidRPr="008844D8" w:rsidRDefault="00597F50" w:rsidP="00597F50">
      <w:pPr>
        <w:pStyle w:val="HCh"/>
        <w:tabs>
          <w:tab w:val="left" w:pos="1841"/>
          <w:tab w:val="left" w:pos="2408"/>
        </w:tabs>
        <w:spacing w:after="240" w:line="400" w:lineRule="exact"/>
        <w:ind w:left="1134" w:hanging="709"/>
        <w:jc w:val="both"/>
        <w:rPr>
          <w:w w:val="100"/>
          <w:sz w:val="32"/>
          <w:szCs w:val="32"/>
          <w:rtl/>
        </w:rPr>
      </w:pPr>
      <w:r w:rsidRPr="008844D8">
        <w:rPr>
          <w:w w:val="100"/>
          <w:sz w:val="32"/>
          <w:szCs w:val="32"/>
          <w:rtl/>
        </w:rPr>
        <w:t>أولاً -</w:t>
      </w:r>
      <w:r w:rsidRPr="008844D8">
        <w:rPr>
          <w:w w:val="100"/>
          <w:sz w:val="32"/>
          <w:szCs w:val="32"/>
          <w:rtl/>
        </w:rPr>
        <w:tab/>
        <w:t>السياسة العامة المتبعة لقبول المراقبين في الاجتماع العام للمنبر الحكومي الدولي للعلوم والسياسات في مجال التنوع البيولوجي وخدمات النظم الإيكولوجية</w:t>
      </w:r>
    </w:p>
    <w:p w:rsidR="00597F50" w:rsidRPr="008844D8" w:rsidRDefault="00597F50" w:rsidP="00105907">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Pr>
        <w:tab/>
      </w:r>
      <w:r w:rsidRPr="008844D8">
        <w:rPr>
          <w:w w:val="100"/>
          <w:rtl/>
        </w:rPr>
        <w:t>تُطبق السياسة العامة التالية لقبول المراقبين في دورات الاجتماع العام للمنبر الحكومي الدولي للعلوم والسياسات في مجال التنوع البيولوجي وخدمات النظم الإيكولوجية (المنبر):</w:t>
      </w:r>
    </w:p>
    <w:p w:rsidR="006C68E8" w:rsidRPr="00BA25D1" w:rsidRDefault="00597F50" w:rsidP="00BA25D1">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tl/>
          <w:lang w:val="en-GB"/>
        </w:rPr>
        <w:tab/>
      </w:r>
      <w:r w:rsidRPr="008844D8">
        <w:rPr>
          <w:w w:val="100"/>
          <w:rtl/>
        </w:rPr>
        <w:t>1 -</w:t>
      </w:r>
      <w:r w:rsidRPr="008844D8">
        <w:rPr>
          <w:w w:val="100"/>
          <w:rtl/>
        </w:rPr>
        <w:tab/>
        <w:t>”المراقب“ يعني أي دولة غير عضو في المنبر وكذلك أي هيئة أو منظمة أو وكالة، سواء كانت وطنية أو دولية، حكومية أو غير حكومية، بما في ذلك منظمات وممثلو الشعوب الأصلية والمجتمعات المحلية، تكون مؤهلة في المسائل التي يتناولها المنبر، وتكون قد أبلغت أمانة المنبر برغبتها في أن تُمثل في دورات الاجتماع العام، رهناً بالأحكام المنصوص عليها في النظام الداخلي</w:t>
      </w:r>
      <w:r w:rsidRPr="008844D8">
        <w:rPr>
          <w:w w:val="100"/>
          <w:vertAlign w:val="superscript"/>
          <w:rtl/>
        </w:rPr>
        <w:t>(</w:t>
      </w:r>
      <w:r w:rsidR="00BA25D1">
        <w:rPr>
          <w:rStyle w:val="FootnoteReference"/>
          <w:w w:val="100"/>
          <w:rtl/>
        </w:rPr>
        <w:footnoteReference w:id="2"/>
      </w:r>
      <w:r w:rsidR="006C68E8" w:rsidRPr="008844D8">
        <w:rPr>
          <w:w w:val="100"/>
          <w:vertAlign w:val="superscript"/>
          <w:rtl/>
        </w:rPr>
        <w:t>)</w:t>
      </w:r>
      <w:r w:rsidR="00BA25D1" w:rsidRPr="00BA25D1">
        <w:rPr>
          <w:rFonts w:hint="cs"/>
          <w:w w:val="100"/>
          <w:rtl/>
        </w:rPr>
        <w:t>.</w:t>
      </w:r>
    </w:p>
    <w:p w:rsidR="006C68E8" w:rsidRPr="008844D8" w:rsidRDefault="006C68E8" w:rsidP="00105907">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tl/>
        </w:rPr>
        <w:tab/>
        <w:t>2 -</w:t>
      </w:r>
      <w:r w:rsidRPr="008844D8">
        <w:rPr>
          <w:w w:val="100"/>
          <w:rtl/>
        </w:rPr>
        <w:tab/>
        <w:t>يعتبر الاجتماع العام بمثابة المراقب المقبول أي دولة ليست عضواً في المنبر ولكنها دولة عضو بالأمم المتحدة أو دولة مراقبة لدى الأمم المتحدة، وهي لا تحتاج إلى تقديم طلب أو وثائق أخرى.</w:t>
      </w:r>
    </w:p>
    <w:p w:rsidR="006C68E8" w:rsidRPr="008844D8" w:rsidRDefault="006C68E8" w:rsidP="00105907">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tl/>
        </w:rPr>
        <w:tab/>
        <w:t>3 -</w:t>
      </w:r>
      <w:r w:rsidRPr="008844D8">
        <w:rPr>
          <w:w w:val="100"/>
          <w:rtl/>
        </w:rPr>
        <w:tab/>
        <w:t>تعتبر هيئات الأمم المتحدة وأمانات الاتفاقات البيئية المتعددة الأطراف جهات مراقبة لدى المنبر ولا تحتاج إلى تقديم طلب أو وثائق أخرى.</w:t>
      </w:r>
    </w:p>
    <w:p w:rsidR="006C68E8" w:rsidRPr="008844D8" w:rsidRDefault="006C68E8" w:rsidP="00105907">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tl/>
        </w:rPr>
        <w:tab/>
        <w:t>4 -</w:t>
      </w:r>
      <w:r w:rsidRPr="008844D8">
        <w:rPr>
          <w:w w:val="100"/>
          <w:rtl/>
        </w:rPr>
        <w:tab/>
        <w:t>للبت فيما إذا كانت الجهةُ المتقدمة بطلب الحصول على مركز المراقب جهةً مؤهلة في المسائل التي يتناولها المنبر، يُسترشد بالوثائق المقدمة من المنظمة المعنية، على النحو الوارد في الفقرة 10 من هذه الوثيقة، وكذلك بمهام المنبر ومبادئه التشغيلية.</w:t>
      </w:r>
    </w:p>
    <w:p w:rsidR="006C68E8" w:rsidRPr="008844D8" w:rsidRDefault="006C68E8" w:rsidP="00105907">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tl/>
        </w:rPr>
        <w:tab/>
        <w:t>5 -</w:t>
      </w:r>
      <w:r w:rsidRPr="008844D8">
        <w:rPr>
          <w:w w:val="100"/>
          <w:rtl/>
        </w:rPr>
        <w:tab/>
        <w:t>تكون صفة المراقب لدى المنبر للهيئات والمنظمات والوكالات التي لها بالفعل مركز المراقب أو هي مُعتمدة لدى برنامج الأمم المتحدة للبيئة ومنظمة الأمم المتحدة للتربية والعلم والثقافة ومنظمة الأمم المتحدة للأغذية والزراعة وبرنامج الأمم المتحدة الإنمائي إذا طلبت ذلك، إلا إذا قرر الاجتماع العام خلاف ذلك.</w:t>
      </w:r>
    </w:p>
    <w:p w:rsidR="006C68E8" w:rsidRPr="008844D8" w:rsidRDefault="006C68E8" w:rsidP="00105907">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tl/>
        </w:rPr>
        <w:tab/>
        <w:t>6 -</w:t>
      </w:r>
      <w:r w:rsidRPr="008844D8">
        <w:rPr>
          <w:w w:val="100"/>
          <w:rtl/>
        </w:rPr>
        <w:tab/>
        <w:t>يُعتبر مراقبو الدورة الأولى للمنبر مراقبين مقبولين من الاجتماع العام في جلساته اللاحقة، وهم لا يحتاجون إلى تقديم طلب آخر أو وثائق أخرى إلا إذا قرر الاجتماع العام خلاف ذلك.</w:t>
      </w:r>
    </w:p>
    <w:p w:rsidR="006C68E8" w:rsidRPr="008844D8" w:rsidRDefault="006C68E8" w:rsidP="00105907">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tl/>
        </w:rPr>
        <w:tab/>
        <w:t>7 -</w:t>
      </w:r>
      <w:r w:rsidRPr="008844D8">
        <w:rPr>
          <w:w w:val="100"/>
          <w:rtl/>
        </w:rPr>
        <w:tab/>
        <w:t>لا يجوز تعيين ممثلين لحضور دورات الاجتماع العام سوى للمراقبين المقبولين من الاجتماع العام والمسجلين لدورات معينة. ويجب على المراقبين تسجيل ممثليهم قبل بداية كل دورة.</w:t>
      </w:r>
    </w:p>
    <w:p w:rsidR="006C68E8" w:rsidRPr="008844D8" w:rsidRDefault="006C68E8" w:rsidP="00105907">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tl/>
        </w:rPr>
        <w:tab/>
        <w:t>8 -</w:t>
      </w:r>
      <w:r w:rsidRPr="008844D8">
        <w:rPr>
          <w:w w:val="100"/>
          <w:rtl/>
        </w:rPr>
        <w:tab/>
        <w:t>تخطر الأمانةُ المراقبين بانعقاد دورات الاجتماع العام.</w:t>
      </w:r>
    </w:p>
    <w:p w:rsidR="006C68E8" w:rsidRPr="008844D8" w:rsidRDefault="006C68E8" w:rsidP="00105907">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spacing w:line="380" w:lineRule="exact"/>
        <w:ind w:left="1134" w:right="0"/>
        <w:jc w:val="both"/>
        <w:rPr>
          <w:w w:val="100"/>
          <w:rtl/>
        </w:rPr>
      </w:pPr>
      <w:r w:rsidRPr="008844D8">
        <w:rPr>
          <w:w w:val="100"/>
          <w:rtl/>
        </w:rPr>
        <w:tab/>
        <w:t>9 -</w:t>
      </w:r>
      <w:r w:rsidRPr="008844D8">
        <w:rPr>
          <w:w w:val="100"/>
          <w:rtl/>
        </w:rPr>
        <w:tab/>
        <w:t>توفر لمؤسسات الأمم المتحدة وغيرها من المنظمات الدولية والمنظمات الحكومية الدولية، وكذلك للمراقبين الآخرين، لوحات تحمل أسماءها، إذا توافرت هذه التسهيلات في مكان انعقاد الاجتماع.</w:t>
      </w:r>
    </w:p>
    <w:p w:rsidR="006C68E8" w:rsidRPr="008844D8" w:rsidRDefault="006C68E8" w:rsidP="006C68E8">
      <w:pPr>
        <w:pStyle w:val="HCh"/>
        <w:tabs>
          <w:tab w:val="left" w:pos="1841"/>
          <w:tab w:val="left" w:pos="2408"/>
        </w:tabs>
        <w:spacing w:before="120" w:after="120" w:line="400" w:lineRule="exact"/>
        <w:ind w:left="1134" w:hanging="709"/>
        <w:jc w:val="both"/>
        <w:rPr>
          <w:w w:val="100"/>
          <w:sz w:val="32"/>
          <w:szCs w:val="32"/>
          <w:rtl/>
        </w:rPr>
      </w:pPr>
      <w:r w:rsidRPr="008844D8">
        <w:rPr>
          <w:w w:val="100"/>
          <w:sz w:val="32"/>
          <w:szCs w:val="32"/>
          <w:rtl/>
        </w:rPr>
        <w:lastRenderedPageBreak/>
        <w:t>ثانياً -</w:t>
      </w:r>
      <w:r w:rsidRPr="008844D8">
        <w:rPr>
          <w:w w:val="100"/>
          <w:sz w:val="32"/>
          <w:szCs w:val="32"/>
          <w:rtl/>
        </w:rPr>
        <w:tab/>
        <w:t>إجراءات قبول المراقبين</w:t>
      </w:r>
    </w:p>
    <w:p w:rsidR="006C68E8" w:rsidRPr="008844D8" w:rsidRDefault="006C68E8" w:rsidP="00841F0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jc w:val="both"/>
        <w:rPr>
          <w:w w:val="100"/>
          <w:rtl/>
        </w:rPr>
      </w:pPr>
      <w:r w:rsidRPr="008844D8">
        <w:rPr>
          <w:w w:val="100"/>
          <w:rtl/>
        </w:rPr>
        <w:tab/>
      </w:r>
      <w:r w:rsidR="006B7D02" w:rsidRPr="008844D8">
        <w:rPr>
          <w:rFonts w:hint="cs"/>
          <w:w w:val="100"/>
          <w:rtl/>
        </w:rPr>
        <w:t>10</w:t>
      </w:r>
      <w:r w:rsidR="006377FE" w:rsidRPr="008844D8">
        <w:rPr>
          <w:rFonts w:hint="cs"/>
          <w:w w:val="100"/>
          <w:rtl/>
        </w:rPr>
        <w:t xml:space="preserve"> </w:t>
      </w:r>
      <w:r w:rsidR="006B7D02" w:rsidRPr="008844D8">
        <w:rPr>
          <w:rFonts w:hint="cs"/>
          <w:w w:val="100"/>
          <w:rtl/>
        </w:rPr>
        <w:t>-</w:t>
      </w:r>
      <w:r w:rsidR="006B7D02" w:rsidRPr="008844D8">
        <w:rPr>
          <w:w w:val="100"/>
          <w:rtl/>
        </w:rPr>
        <w:tab/>
      </w:r>
      <w:r w:rsidRPr="008844D8">
        <w:rPr>
          <w:w w:val="100"/>
          <w:rtl/>
        </w:rPr>
        <w:t>تُطبق عملية القبول التالية:</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jc w:val="both"/>
        <w:rPr>
          <w:w w:val="100"/>
          <w:rtl/>
        </w:rPr>
      </w:pPr>
      <w:r w:rsidRPr="008844D8">
        <w:rPr>
          <w:w w:val="100"/>
          <w:rtl/>
        </w:rPr>
        <w:tab/>
      </w:r>
      <w:r w:rsidR="006B7D02" w:rsidRPr="008844D8">
        <w:rPr>
          <w:w w:val="100"/>
          <w:rtl/>
        </w:rPr>
        <w:t>1</w:t>
      </w:r>
      <w:r w:rsidR="006B7D02" w:rsidRPr="008844D8">
        <w:rPr>
          <w:rFonts w:hint="cs"/>
          <w:w w:val="100"/>
          <w:rtl/>
        </w:rPr>
        <w:t>1</w:t>
      </w:r>
      <w:r w:rsidR="006B7D02" w:rsidRPr="008844D8">
        <w:rPr>
          <w:w w:val="100"/>
          <w:rtl/>
        </w:rPr>
        <w:t xml:space="preserve"> </w:t>
      </w:r>
      <w:r w:rsidRPr="008844D8">
        <w:rPr>
          <w:w w:val="100"/>
          <w:rtl/>
        </w:rPr>
        <w:t>-</w:t>
      </w:r>
      <w:r w:rsidRPr="008844D8">
        <w:rPr>
          <w:w w:val="100"/>
          <w:rtl/>
        </w:rPr>
        <w:tab/>
        <w:t>يُطلب حسب اللزوم إلى المتقدمين بطلب للحصول على مركز مراقب في دورات الاجتماع العام أن</w:t>
      </w:r>
      <w:r w:rsidRPr="008844D8">
        <w:rPr>
          <w:w w:val="100"/>
        </w:rPr>
        <w:t xml:space="preserve"> </w:t>
      </w:r>
      <w:r w:rsidRPr="008844D8">
        <w:rPr>
          <w:w w:val="100"/>
          <w:rtl/>
        </w:rPr>
        <w:t>يوافوا الأمانة بنسخ من وثائق منها ما يلي:</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firstLine="709"/>
        <w:jc w:val="both"/>
        <w:rPr>
          <w:w w:val="100"/>
          <w:rtl/>
        </w:rPr>
      </w:pPr>
      <w:r w:rsidRPr="008844D8">
        <w:rPr>
          <w:w w:val="100"/>
          <w:rtl/>
        </w:rPr>
        <w:t>(أ)</w:t>
      </w:r>
      <w:r w:rsidRPr="008844D8">
        <w:rPr>
          <w:w w:val="100"/>
          <w:rtl/>
        </w:rPr>
        <w:tab/>
        <w:t>وثائق تبين ولاية المنظمة ونطاقها وهيكلها الإداري، مثل الميثاق أو النظام الأساسي أو الدستور أو اللوائح أو بروتوكول التأسيس؛</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firstLine="709"/>
        <w:jc w:val="both"/>
        <w:rPr>
          <w:w w:val="100"/>
          <w:rtl/>
        </w:rPr>
      </w:pPr>
      <w:r w:rsidRPr="008844D8">
        <w:rPr>
          <w:w w:val="100"/>
          <w:rtl/>
        </w:rPr>
        <w:t>(ب)</w:t>
      </w:r>
      <w:r w:rsidRPr="008844D8">
        <w:rPr>
          <w:w w:val="100"/>
          <w:rtl/>
        </w:rPr>
        <w:tab/>
        <w:t>أي معلومات أخرى تدعم كفاءة المنظمة أو مصلحتها في المسائل المتصلة بالمنبر؛</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firstLine="709"/>
        <w:jc w:val="both"/>
        <w:rPr>
          <w:w w:val="100"/>
          <w:rtl/>
        </w:rPr>
      </w:pPr>
      <w:r w:rsidRPr="008844D8">
        <w:rPr>
          <w:w w:val="100"/>
          <w:rtl/>
        </w:rPr>
        <w:t>(ج)</w:t>
      </w:r>
      <w:r w:rsidRPr="008844D8">
        <w:rPr>
          <w:w w:val="100"/>
          <w:rtl/>
        </w:rPr>
        <w:tab/>
        <w:t>استمارة مستكملة تضم معلومات عن سبل الاتصال بالمنظمة وموقعها على شبكة الإنترنت (إن وجد) وبمنسِّق محدد (يجري تحديثها حسب الاقتضاء).</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jc w:val="both"/>
        <w:rPr>
          <w:w w:val="100"/>
          <w:rtl/>
        </w:rPr>
      </w:pPr>
      <w:r w:rsidRPr="008844D8">
        <w:rPr>
          <w:w w:val="100"/>
          <w:rtl/>
        </w:rPr>
        <w:tab/>
      </w:r>
      <w:r w:rsidR="006B7D02" w:rsidRPr="008844D8">
        <w:rPr>
          <w:w w:val="100"/>
          <w:rtl/>
        </w:rPr>
        <w:t>1</w:t>
      </w:r>
      <w:r w:rsidR="006B7D02" w:rsidRPr="008844D8">
        <w:rPr>
          <w:rFonts w:hint="cs"/>
          <w:w w:val="100"/>
          <w:rtl/>
        </w:rPr>
        <w:t>2</w:t>
      </w:r>
      <w:r w:rsidR="006B7D02" w:rsidRPr="008844D8">
        <w:rPr>
          <w:w w:val="100"/>
          <w:rtl/>
        </w:rPr>
        <w:t xml:space="preserve"> </w:t>
      </w:r>
      <w:r w:rsidRPr="008844D8">
        <w:rPr>
          <w:w w:val="100"/>
          <w:rtl/>
        </w:rPr>
        <w:t>-</w:t>
      </w:r>
      <w:r w:rsidRPr="008844D8">
        <w:rPr>
          <w:w w:val="100"/>
          <w:rtl/>
        </w:rPr>
        <w:tab/>
        <w:t>تقدم الطلبات الجديدة للحصول على صفة المراقب في دورات الاجتماع العام إلى الأمانة، في موعد لا يقل عن ثلاثة أشهر قبل بداية دورة من دورات الاجتماع العام. وتحتفظ أمانة المنبر بالمعلومات المقدمة من هؤلاء المراقبين.</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jc w:val="both"/>
        <w:rPr>
          <w:w w:val="100"/>
          <w:rtl/>
        </w:rPr>
      </w:pPr>
      <w:r w:rsidRPr="008844D8">
        <w:rPr>
          <w:w w:val="100"/>
          <w:rtl/>
        </w:rPr>
        <w:tab/>
      </w:r>
      <w:r w:rsidR="006B7D02" w:rsidRPr="008844D8">
        <w:rPr>
          <w:w w:val="100"/>
          <w:rtl/>
        </w:rPr>
        <w:t>1</w:t>
      </w:r>
      <w:r w:rsidR="006B7D02" w:rsidRPr="008844D8">
        <w:rPr>
          <w:rFonts w:hint="cs"/>
          <w:w w:val="100"/>
          <w:rtl/>
        </w:rPr>
        <w:t>3</w:t>
      </w:r>
      <w:r w:rsidR="006B7D02" w:rsidRPr="008844D8">
        <w:rPr>
          <w:w w:val="100"/>
          <w:rtl/>
        </w:rPr>
        <w:t xml:space="preserve"> </w:t>
      </w:r>
      <w:r w:rsidRPr="008844D8">
        <w:rPr>
          <w:w w:val="100"/>
          <w:rtl/>
        </w:rPr>
        <w:t>-</w:t>
      </w:r>
      <w:r w:rsidRPr="008844D8">
        <w:rPr>
          <w:w w:val="100"/>
          <w:rtl/>
        </w:rPr>
        <w:tab/>
        <w:t>تقوم الأمانة بتحليل الطلبات وفقاً للوثائق المقدمة، على النحو المبين بتفصيل في الفقرة 10، ولمهام المنبر ومبادئه التشغيلية، وتتيح هذا التحليل لكي ينظر المكتب فيه.</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jc w:val="both"/>
        <w:rPr>
          <w:w w:val="100"/>
          <w:rtl/>
        </w:rPr>
      </w:pPr>
      <w:r w:rsidRPr="008844D8">
        <w:rPr>
          <w:w w:val="100"/>
          <w:rtl/>
        </w:rPr>
        <w:tab/>
      </w:r>
      <w:r w:rsidR="006B7D02" w:rsidRPr="008844D8">
        <w:rPr>
          <w:w w:val="100"/>
          <w:rtl/>
        </w:rPr>
        <w:t>1</w:t>
      </w:r>
      <w:r w:rsidR="006B7D02" w:rsidRPr="008844D8">
        <w:rPr>
          <w:rFonts w:hint="cs"/>
          <w:w w:val="100"/>
          <w:rtl/>
        </w:rPr>
        <w:t>4</w:t>
      </w:r>
      <w:r w:rsidR="006B7D02" w:rsidRPr="008844D8">
        <w:rPr>
          <w:w w:val="100"/>
          <w:rtl/>
        </w:rPr>
        <w:t xml:space="preserve"> </w:t>
      </w:r>
      <w:r w:rsidRPr="008844D8">
        <w:rPr>
          <w:w w:val="100"/>
          <w:rtl/>
        </w:rPr>
        <w:t>-</w:t>
      </w:r>
      <w:r w:rsidRPr="008844D8">
        <w:rPr>
          <w:w w:val="100"/>
          <w:rtl/>
        </w:rPr>
        <w:tab/>
        <w:t>تعرض في الدورة التالية للاجتماع العام قائمةُ المتقدمين بطلب الحصول على مركز المراقب</w:t>
      </w:r>
      <w:r w:rsidRPr="008844D8">
        <w:rPr>
          <w:w w:val="100"/>
        </w:rPr>
        <w:t xml:space="preserve"> </w:t>
      </w:r>
      <w:r w:rsidRPr="008844D8">
        <w:rPr>
          <w:w w:val="100"/>
          <w:rtl/>
        </w:rPr>
        <w:t>بالصيغةِ التي استعرضها المكتب، بما يشمل أي طلبات غير مقبولة،</w:t>
      </w:r>
      <w:r w:rsidRPr="008844D8">
        <w:rPr>
          <w:w w:val="100"/>
        </w:rPr>
        <w:t xml:space="preserve"> </w:t>
      </w:r>
      <w:r w:rsidRPr="008844D8">
        <w:rPr>
          <w:w w:val="100"/>
          <w:rtl/>
        </w:rPr>
        <w:t>وذلك وفقاً للنظام الداخلي.</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jc w:val="both"/>
        <w:rPr>
          <w:w w:val="100"/>
          <w:rtl/>
        </w:rPr>
      </w:pPr>
      <w:r w:rsidRPr="008844D8">
        <w:rPr>
          <w:w w:val="100"/>
          <w:rtl/>
        </w:rPr>
        <w:tab/>
        <w:t>[14 -</w:t>
      </w:r>
      <w:r w:rsidRPr="008844D8">
        <w:rPr>
          <w:w w:val="100"/>
          <w:rtl/>
        </w:rPr>
        <w:tab/>
        <w:t>يبت الاجتماع العام للمنبر [في قبول المراقبين المـُوصى بهم في القائمة] في قبول جميع المراقبين ومشاركتهم وفقاً لنظامه الداخلي، ويجوز للمراقبين المقبولين من المكتب على النحو المبين في الفقرة 13 حضور جلسة للاجتماع العام والمشاركة فيها [ما دام أي من أعضاء المنبر لم يعترض على ذلك][، إلا إذا اعترض على ذلك ثلث الأعضاء الحاضرين في الجلسة على الأقل.]</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jc w:val="both"/>
        <w:rPr>
          <w:w w:val="100"/>
          <w:rtl/>
        </w:rPr>
      </w:pPr>
      <w:r w:rsidRPr="008844D8">
        <w:rPr>
          <w:w w:val="100"/>
          <w:rtl/>
        </w:rPr>
        <w:tab/>
        <w:t>15 -</w:t>
      </w:r>
      <w:r w:rsidRPr="008844D8">
        <w:rPr>
          <w:w w:val="100"/>
          <w:rtl/>
        </w:rPr>
        <w:tab/>
        <w:t>يدرج قبول المراقبين الجدد كبند عادي من بنود جدول أعمال المكتب والاجتماع العام، بما يتسق وأي نظام داخلي معمول به.</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jc w:val="both"/>
        <w:rPr>
          <w:w w:val="100"/>
          <w:rtl/>
        </w:rPr>
      </w:pPr>
      <w:r w:rsidRPr="008844D8">
        <w:rPr>
          <w:w w:val="100"/>
          <w:rtl/>
        </w:rPr>
        <w:tab/>
        <w:t>[16 -</w:t>
      </w:r>
      <w:r w:rsidRPr="008844D8">
        <w:rPr>
          <w:w w:val="100"/>
          <w:rtl/>
        </w:rPr>
        <w:tab/>
        <w:t>في حالة سحب مركز المراقب لأي سبب من الأسباب، يجوز للرئيس أن يعلق مركز المراقب الممنوح للمعني بالأمر رهناً بتصديق [المكتب] [الاجتماع العام] على ذلك.]</w:t>
      </w:r>
    </w:p>
    <w:p w:rsidR="006C68E8" w:rsidRPr="008844D8" w:rsidRDefault="006C68E8" w:rsidP="006C68E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550"/>
        </w:tabs>
        <w:ind w:left="1132" w:right="0"/>
        <w:jc w:val="both"/>
        <w:rPr>
          <w:w w:val="100"/>
          <w:rtl/>
        </w:rPr>
      </w:pPr>
      <w:r w:rsidRPr="008844D8">
        <w:rPr>
          <w:w w:val="100"/>
          <w:rtl/>
        </w:rPr>
        <w:tab/>
        <w:t>17 -</w:t>
      </w:r>
      <w:r w:rsidRPr="008844D8">
        <w:rPr>
          <w:w w:val="100"/>
          <w:rtl/>
        </w:rPr>
        <w:tab/>
        <w:t>لا يجوز لأي</w:t>
      </w:r>
      <w:r w:rsidRPr="008844D8">
        <w:rPr>
          <w:w w:val="100"/>
        </w:rPr>
        <w:t xml:space="preserve"> </w:t>
      </w:r>
      <w:r w:rsidRPr="008844D8">
        <w:rPr>
          <w:w w:val="100"/>
          <w:rtl/>
        </w:rPr>
        <w:t>جهة مراقبة أن تحتفظ بمركزها هذا إلا بشرط استيفاء الشروط المحددة للمراقبين في هذه الوثيقة وأي أحكام أخرى ذات صلة من النظام الداخلي للمنبر.]</w:t>
      </w:r>
    </w:p>
    <w:p w:rsidR="008A6A43" w:rsidRPr="008844D8" w:rsidRDefault="00841F08" w:rsidP="00841F08">
      <w:pPr>
        <w:pStyle w:val="SingleTxt"/>
        <w:tabs>
          <w:tab w:val="clear" w:pos="1267"/>
          <w:tab w:val="clear" w:pos="1930"/>
          <w:tab w:val="clear" w:pos="2592"/>
          <w:tab w:val="clear" w:pos="3254"/>
          <w:tab w:val="clear" w:pos="3917"/>
          <w:tab w:val="clear" w:pos="4579"/>
          <w:tab w:val="clear" w:pos="5242"/>
          <w:tab w:val="clear" w:pos="5904"/>
          <w:tab w:val="clear" w:pos="6566"/>
          <w:tab w:val="left" w:pos="1841"/>
          <w:tab w:val="left" w:pos="2408"/>
        </w:tabs>
        <w:ind w:left="1132" w:right="0"/>
        <w:jc w:val="center"/>
        <w:rPr>
          <w:rFonts w:ascii="Traditional Arabic" w:hAnsi="Traditional Arabic"/>
          <w:w w:val="100"/>
          <w:rtl/>
        </w:rPr>
      </w:pPr>
      <w:r w:rsidRPr="008844D8">
        <w:rPr>
          <w:rFonts w:ascii="Traditional Arabic" w:hAnsi="Traditional Arabic"/>
          <w:w w:val="100"/>
        </w:rPr>
        <w:t>____________________</w:t>
      </w:r>
    </w:p>
    <w:sectPr w:rsidR="008A6A43" w:rsidRPr="008844D8" w:rsidSect="005A0DCF">
      <w:headerReference w:type="even" r:id="rId14"/>
      <w:headerReference w:type="default" r:id="rId15"/>
      <w:footerReference w:type="even" r:id="rId16"/>
      <w:footerReference w:type="default" r:id="rId17"/>
      <w:headerReference w:type="first" r:id="rId18"/>
      <w:footerReference w:type="first" r:id="rId19"/>
      <w:endnotePr>
        <w:numFmt w:val="lowerLetter"/>
      </w:endnotePr>
      <w:type w:val="continuous"/>
      <w:pgSz w:w="11906" w:h="16838" w:code="9"/>
      <w:pgMar w:top="907" w:right="1418" w:bottom="1418" w:left="992" w:header="539" w:footer="975" w:gutter="0"/>
      <w:cols w:space="720"/>
      <w:titlePg/>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90" w:rsidRDefault="00BF7E90">
      <w:r>
        <w:separator/>
      </w:r>
    </w:p>
  </w:endnote>
  <w:endnote w:type="continuationSeparator" w:id="0">
    <w:p w:rsidR="00BF7E90" w:rsidRDefault="00BF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Simplified Arabic">
    <w:panose1 w:val="02020603050405020304"/>
    <w:charset w:val="00"/>
    <w:family w:val="roman"/>
    <w:pitch w:val="variable"/>
    <w:sig w:usb0="00002003" w:usb1="0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Times New Roman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7F" w:rsidRPr="00B86C1A" w:rsidRDefault="00F40D7F" w:rsidP="00B86C1A">
    <w:pPr>
      <w:pStyle w:val="Footer"/>
      <w:tabs>
        <w:tab w:val="clear" w:pos="4153"/>
        <w:tab w:val="clear" w:pos="8306"/>
      </w:tabs>
      <w:bidi w:val="0"/>
      <w:spacing w:before="20" w:after="40" w:line="240" w:lineRule="exact"/>
      <w:rPr>
        <w:rFonts w:ascii="Times New Roman" w:hAnsi="Times New Roman" w:cs="Times New Roman"/>
        <w:sz w:val="18"/>
        <w:szCs w:val="18"/>
        <w:rtl/>
      </w:rPr>
    </w:pPr>
    <w:r w:rsidRPr="00B86C1A">
      <w:rPr>
        <w:rStyle w:val="PageNumber"/>
        <w:rFonts w:ascii="Times New Roman" w:hAnsi="Times New Roman" w:cs="Times New Roman"/>
        <w:sz w:val="18"/>
        <w:szCs w:val="18"/>
      </w:rPr>
      <w:fldChar w:fldCharType="begin"/>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instrText>PAGE</w:instrText>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fldChar w:fldCharType="separate"/>
    </w:r>
    <w:r w:rsidR="00AB4D46">
      <w:rPr>
        <w:rStyle w:val="PageNumber"/>
        <w:rFonts w:ascii="Times New Roman" w:hAnsi="Times New Roman" w:cs="Times New Roman"/>
        <w:sz w:val="18"/>
        <w:szCs w:val="18"/>
      </w:rPr>
      <w:t>2</w:t>
    </w:r>
    <w:r w:rsidRPr="00B86C1A">
      <w:rPr>
        <w:rStyle w:val="PageNumber"/>
        <w:rFonts w:ascii="Times New Roman" w:hAnsi="Times New Roman" w:cs="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7F" w:rsidRPr="00B86C1A" w:rsidRDefault="00F40D7F" w:rsidP="00B86C1A">
    <w:pPr>
      <w:pStyle w:val="Footer"/>
      <w:tabs>
        <w:tab w:val="clear" w:pos="4153"/>
        <w:tab w:val="clear" w:pos="8306"/>
      </w:tabs>
      <w:bidi w:val="0"/>
      <w:spacing w:before="20" w:after="40" w:line="240" w:lineRule="exact"/>
      <w:jc w:val="left"/>
      <w:rPr>
        <w:rStyle w:val="PageNumber"/>
        <w:sz w:val="18"/>
        <w:szCs w:val="18"/>
        <w:rtl/>
      </w:rPr>
    </w:pPr>
    <w:r w:rsidRPr="00B86C1A">
      <w:rPr>
        <w:rStyle w:val="PageNumber"/>
        <w:rFonts w:ascii="Times New Roman" w:hAnsi="Times New Roman" w:cs="Times New Roman"/>
        <w:sz w:val="18"/>
        <w:szCs w:val="18"/>
      </w:rPr>
      <w:fldChar w:fldCharType="begin"/>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instrText>PAGE</w:instrText>
    </w:r>
    <w:r w:rsidRPr="00B86C1A">
      <w:rPr>
        <w:rStyle w:val="PageNumber"/>
        <w:rFonts w:ascii="Times New Roman" w:hAnsi="Times New Roman" w:cs="Times New Roman"/>
        <w:sz w:val="18"/>
        <w:szCs w:val="18"/>
        <w:rtl/>
      </w:rPr>
      <w:instrText xml:space="preserve"> </w:instrText>
    </w:r>
    <w:r w:rsidRPr="00B86C1A">
      <w:rPr>
        <w:rStyle w:val="PageNumber"/>
        <w:rFonts w:ascii="Times New Roman" w:hAnsi="Times New Roman" w:cs="Times New Roman"/>
        <w:sz w:val="18"/>
        <w:szCs w:val="18"/>
      </w:rPr>
      <w:fldChar w:fldCharType="separate"/>
    </w:r>
    <w:r w:rsidR="00AB4D46">
      <w:rPr>
        <w:rStyle w:val="PageNumber"/>
        <w:rFonts w:ascii="Times New Roman" w:hAnsi="Times New Roman" w:cs="Times New Roman"/>
        <w:sz w:val="18"/>
        <w:szCs w:val="18"/>
      </w:rPr>
      <w:t>3</w:t>
    </w:r>
    <w:r w:rsidRPr="00B86C1A">
      <w:rPr>
        <w:rStyle w:val="PageNumber"/>
        <w:rFonts w:ascii="Times New Roman" w:hAnsi="Times New Roman" w:cs="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7F" w:rsidRPr="00F45D78" w:rsidRDefault="00F40D7F" w:rsidP="00597F50">
    <w:pPr>
      <w:rPr>
        <w:sz w:val="20"/>
        <w:szCs w:val="20"/>
      </w:rPr>
    </w:pPr>
    <w:r w:rsidRPr="00F45D78">
      <w:rPr>
        <w:rFonts w:cs="Times New Roman"/>
        <w:sz w:val="20"/>
        <w:szCs w:val="20"/>
        <w:lang w:val="en-GB"/>
      </w:rPr>
      <w:t>K1</w:t>
    </w:r>
    <w:r w:rsidR="00BA25D1">
      <w:rPr>
        <w:rFonts w:cs="Times New Roman"/>
        <w:sz w:val="20"/>
        <w:szCs w:val="20"/>
        <w:lang w:val="en-GB"/>
      </w:rPr>
      <w:t>70</w:t>
    </w:r>
    <w:r w:rsidR="00597F50">
      <w:rPr>
        <w:rFonts w:cs="Times New Roman"/>
        <w:sz w:val="20"/>
        <w:szCs w:val="20"/>
        <w:lang w:val="en-GB"/>
      </w:rPr>
      <w:t>8</w:t>
    </w:r>
    <w:r w:rsidR="00BA25D1">
      <w:rPr>
        <w:rFonts w:cs="Times New Roman"/>
        <w:sz w:val="20"/>
        <w:szCs w:val="20"/>
        <w:lang w:val="en-GB"/>
      </w:rPr>
      <w:t>992</w:t>
    </w:r>
    <w:r w:rsidRPr="00F45D78">
      <w:rPr>
        <w:rFonts w:cs="Times New Roman" w:hint="cs"/>
        <w:sz w:val="20"/>
        <w:szCs w:val="20"/>
        <w:rtl/>
        <w:lang w:val="en-GB"/>
      </w:rPr>
      <w:tab/>
    </w:r>
    <w:r w:rsidR="00287FC0">
      <w:rPr>
        <w:rFonts w:cs="Times New Roman"/>
        <w:sz w:val="20"/>
        <w:szCs w:val="20"/>
        <w:lang w:val="en-GB"/>
      </w:rPr>
      <w:t>15</w:t>
    </w:r>
    <w:r w:rsidR="00597F50">
      <w:rPr>
        <w:rFonts w:cs="Times New Roman"/>
        <w:sz w:val="20"/>
        <w:szCs w:val="20"/>
        <w:lang w:val="en-GB"/>
      </w:rPr>
      <w:t>01</w:t>
    </w:r>
    <w:r w:rsidRPr="00F45D78">
      <w:rPr>
        <w:rFonts w:cs="Times New Roman"/>
        <w:sz w:val="20"/>
        <w:szCs w:val="20"/>
        <w:lang w:val="en-GB"/>
      </w:rPr>
      <w:t>1</w:t>
    </w:r>
    <w:r w:rsidR="00BA25D1">
      <w:rPr>
        <w:rFonts w:cs="Times New Roman"/>
        <w:sz w:val="20"/>
        <w:szCs w:val="20"/>
        <w:lang w:val="en-GB"/>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90" w:rsidRDefault="00BF7E90" w:rsidP="00684243">
      <w:pPr>
        <w:ind w:left="720"/>
      </w:pPr>
      <w:r>
        <w:separator/>
      </w:r>
    </w:p>
  </w:footnote>
  <w:footnote w:type="continuationSeparator" w:id="0">
    <w:p w:rsidR="00BF7E90" w:rsidRDefault="00BF7E90">
      <w:r>
        <w:continuationSeparator/>
      </w:r>
    </w:p>
  </w:footnote>
  <w:footnote w:id="1">
    <w:p w:rsidR="00597F50" w:rsidRPr="009E46DF" w:rsidRDefault="00597F50" w:rsidP="00BA25D1">
      <w:pPr>
        <w:pStyle w:val="FootnoteText"/>
        <w:spacing w:after="40" w:line="320" w:lineRule="exact"/>
        <w:ind w:left="1134"/>
        <w:jc w:val="both"/>
        <w:rPr>
          <w:rFonts w:ascii="Times New Roman" w:hAnsi="Times New Roman" w:cs="Times New Roman"/>
          <w:rtl/>
        </w:rPr>
      </w:pPr>
      <w:r w:rsidRPr="000A5C17">
        <w:rPr>
          <w:rStyle w:val="FootnoteReference"/>
          <w:rFonts w:ascii="Times New Roman" w:hAnsi="Times New Roman" w:cs="Times New Roman"/>
          <w:sz w:val="22"/>
          <w:szCs w:val="22"/>
          <w:rtl/>
        </w:rPr>
        <w:t>*</w:t>
      </w:r>
      <w:r w:rsidRPr="00597F50">
        <w:rPr>
          <w:rFonts w:asciiTheme="majorBidi" w:hAnsiTheme="majorBidi" w:cstheme="majorBidi"/>
          <w:rtl/>
        </w:rPr>
        <w:t xml:space="preserve">  </w:t>
      </w:r>
      <w:r w:rsidRPr="00597F50">
        <w:rPr>
          <w:rFonts w:asciiTheme="majorBidi" w:hAnsiTheme="majorBidi" w:cstheme="majorBidi"/>
        </w:rPr>
        <w:t>IPBES/</w:t>
      </w:r>
      <w:r w:rsidR="00841F08">
        <w:rPr>
          <w:rFonts w:asciiTheme="majorBidi" w:hAnsiTheme="majorBidi" w:cstheme="majorBidi"/>
        </w:rPr>
        <w:t>6</w:t>
      </w:r>
      <w:r w:rsidRPr="00597F50">
        <w:rPr>
          <w:rFonts w:asciiTheme="majorBidi" w:hAnsiTheme="majorBidi" w:cstheme="majorBidi"/>
        </w:rPr>
        <w:t>/1</w:t>
      </w:r>
      <w:r w:rsidRPr="00597F50">
        <w:rPr>
          <w:rFonts w:asciiTheme="majorBidi" w:hAnsiTheme="majorBidi" w:cstheme="majorBidi"/>
          <w:rtl/>
        </w:rPr>
        <w:t>.</w:t>
      </w:r>
    </w:p>
  </w:footnote>
  <w:footnote w:id="2">
    <w:p w:rsidR="00BA25D1" w:rsidRPr="00BA25D1" w:rsidRDefault="00BA25D1" w:rsidP="00BA25D1">
      <w:pPr>
        <w:pStyle w:val="FootnoteText"/>
        <w:spacing w:after="40" w:line="320" w:lineRule="exact"/>
        <w:ind w:left="1134"/>
        <w:jc w:val="both"/>
        <w:rPr>
          <w:lang w:val="en-GB"/>
        </w:rPr>
      </w:pPr>
      <w:r w:rsidRPr="00BA25D1">
        <w:rPr>
          <w:rFonts w:ascii="Traditional Arabic" w:hAnsi="Traditional Arabic" w:cs="Traditional Arabic" w:hint="cs"/>
          <w:noProof w:val="0"/>
          <w:w w:val="103"/>
          <w:sz w:val="26"/>
          <w:szCs w:val="26"/>
          <w:rtl/>
        </w:rPr>
        <w:t>(</w:t>
      </w:r>
      <w:r w:rsidRPr="00BA25D1">
        <w:rPr>
          <w:rStyle w:val="FootnoteReference"/>
          <w:rFonts w:ascii="Traditional Arabic" w:hAnsi="Traditional Arabic" w:cs="Traditional Arabic" w:hint="cs"/>
          <w:sz w:val="26"/>
          <w:szCs w:val="26"/>
          <w:vertAlign w:val="baseline"/>
        </w:rPr>
        <w:footnoteRef/>
      </w:r>
      <w:r w:rsidRPr="00BA25D1">
        <w:rPr>
          <w:rFonts w:ascii="Traditional Arabic" w:hAnsi="Traditional Arabic" w:cs="Traditional Arabic" w:hint="cs"/>
          <w:noProof w:val="0"/>
          <w:w w:val="103"/>
          <w:sz w:val="26"/>
          <w:szCs w:val="26"/>
          <w:rtl/>
        </w:rPr>
        <w:t>)  يشار في النظام الداخلي للاجتماع العام للمنبر</w:t>
      </w:r>
      <w:r w:rsidRPr="006C68E8">
        <w:rPr>
          <w:rFonts w:ascii="Times New Roman" w:hAnsi="Times New Roman" w:cs="Traditional Arabic"/>
          <w:noProof w:val="0"/>
          <w:w w:val="103"/>
          <w:sz w:val="18"/>
          <w:szCs w:val="26"/>
          <w:rtl/>
        </w:rPr>
        <w:t xml:space="preserve"> (انظر </w:t>
      </w:r>
      <w:r w:rsidRPr="006C68E8">
        <w:rPr>
          <w:rFonts w:ascii="Times New Roman" w:hAnsi="Times New Roman" w:cs="Traditional Arabic"/>
          <w:noProof w:val="0"/>
          <w:w w:val="103"/>
          <w:sz w:val="18"/>
          <w:szCs w:val="26"/>
        </w:rPr>
        <w:t>UNEP/IPBES.MI/2/9</w:t>
      </w:r>
      <w:r w:rsidRPr="006C68E8">
        <w:rPr>
          <w:rFonts w:ascii="Times New Roman" w:hAnsi="Times New Roman" w:cs="Traditional Arabic"/>
          <w:noProof w:val="0"/>
          <w:w w:val="103"/>
          <w:sz w:val="18"/>
          <w:szCs w:val="26"/>
          <w:rtl/>
        </w:rPr>
        <w:t>، المرفق الأول، التذييل الثاني)، إلى أنه تظل المسائل المتعلقة بعضوية و</w:t>
      </w:r>
      <w:r w:rsidRPr="006C68E8">
        <w:rPr>
          <w:rFonts w:ascii="Times New Roman" w:hAnsi="Times New Roman" w:cs="Traditional Arabic"/>
          <w:noProof w:val="0"/>
          <w:w w:val="103"/>
          <w:sz w:val="18"/>
          <w:szCs w:val="26"/>
        </w:rPr>
        <w:t>/</w:t>
      </w:r>
      <w:r w:rsidRPr="006C68E8">
        <w:rPr>
          <w:rFonts w:ascii="Times New Roman" w:hAnsi="Times New Roman" w:cs="Traditional Arabic"/>
          <w:noProof w:val="0"/>
          <w:w w:val="103"/>
          <w:sz w:val="18"/>
          <w:szCs w:val="26"/>
          <w:rtl/>
        </w:rPr>
        <w:t>أو مشاركة المنظمات الإقليمية للتكامل الاقتصادي مفتوحة للنقاش بهدف التوصل إلى حل بشأنها في أقرب وقت ممكن. ويشار أيضاً إلى أنه يفتح باب المشاركة للمنظمات الإقليمية للتكامل الاقتصادي كمراقبين بصورة مؤقتة</w:t>
      </w:r>
      <w:r w:rsidRPr="006C68E8">
        <w:rPr>
          <w:rFonts w:ascii="Traditional Arabic" w:hAnsi="Traditional Arabic" w:cs="Traditional Arabic"/>
          <w:noProof w:val="0"/>
          <w:w w:val="103"/>
          <w:sz w:val="26"/>
          <w:szCs w:val="2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7F" w:rsidRPr="0073400D" w:rsidRDefault="00F40D7F" w:rsidP="00597F50">
    <w:pPr>
      <w:pBdr>
        <w:bottom w:val="single" w:sz="4" w:space="0" w:color="auto"/>
      </w:pBdr>
      <w:spacing w:before="20" w:after="40"/>
      <w:rPr>
        <w:b/>
        <w:bCs/>
        <w:sz w:val="17"/>
        <w:szCs w:val="17"/>
        <w:rtl/>
        <w:lang w:val="fr-FR"/>
      </w:rPr>
    </w:pPr>
    <w:r w:rsidRPr="0073400D">
      <w:rPr>
        <w:rStyle w:val="PageNumber"/>
        <w:rFonts w:cs="Times New Roman"/>
        <w:b/>
        <w:bCs/>
        <w:sz w:val="17"/>
        <w:szCs w:val="17"/>
        <w:lang w:val="fr-FR"/>
      </w:rPr>
      <w:t>IPBES/</w:t>
    </w:r>
    <w:r w:rsidR="00841F08">
      <w:rPr>
        <w:rStyle w:val="PageNumber"/>
        <w:rFonts w:cs="Times New Roman"/>
        <w:b/>
        <w:bCs/>
        <w:sz w:val="17"/>
        <w:szCs w:val="17"/>
        <w:lang w:val="fr-FR"/>
      </w:rPr>
      <w:t>6</w:t>
    </w:r>
    <w:r w:rsidRPr="0073400D">
      <w:rPr>
        <w:rStyle w:val="PageNumber"/>
        <w:rFonts w:cs="Times New Roman"/>
        <w:b/>
        <w:bCs/>
        <w:sz w:val="17"/>
        <w:szCs w:val="17"/>
        <w:lang w:val="fr-FR"/>
      </w:rPr>
      <w:t>/</w:t>
    </w:r>
    <w:r w:rsidR="00597F50">
      <w:rPr>
        <w:rStyle w:val="PageNumber"/>
        <w:rFonts w:cs="Times New Roman"/>
        <w:b/>
        <w:bCs/>
        <w:sz w:val="17"/>
        <w:szCs w:val="17"/>
        <w:lang w:val="fr-FR"/>
      </w:rPr>
      <w:t>14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7F" w:rsidRPr="0073400D" w:rsidRDefault="00F40D7F" w:rsidP="00597F50">
    <w:pPr>
      <w:pBdr>
        <w:bottom w:val="single" w:sz="4" w:space="1" w:color="auto"/>
      </w:pBdr>
      <w:bidi w:val="0"/>
      <w:rPr>
        <w:b/>
        <w:bCs/>
        <w:sz w:val="17"/>
        <w:szCs w:val="17"/>
        <w:rtl/>
        <w:lang w:val="fr-FR"/>
      </w:rPr>
    </w:pPr>
    <w:r w:rsidRPr="0073400D">
      <w:rPr>
        <w:rStyle w:val="PageNumber"/>
        <w:rFonts w:cs="Times New Roman"/>
        <w:b/>
        <w:bCs/>
        <w:sz w:val="17"/>
        <w:szCs w:val="17"/>
        <w:lang w:val="fr-FR"/>
      </w:rPr>
      <w:t>IPBES/</w:t>
    </w:r>
    <w:r w:rsidR="006377FE">
      <w:rPr>
        <w:rStyle w:val="PageNumber"/>
        <w:rFonts w:cs="Times New Roman"/>
        <w:b/>
        <w:bCs/>
        <w:sz w:val="17"/>
        <w:szCs w:val="17"/>
        <w:lang w:val="fr-FR"/>
      </w:rPr>
      <w:t>6</w:t>
    </w:r>
    <w:r w:rsidRPr="0073400D">
      <w:rPr>
        <w:rStyle w:val="PageNumber"/>
        <w:rFonts w:cs="Times New Roman"/>
        <w:b/>
        <w:bCs/>
        <w:sz w:val="17"/>
        <w:szCs w:val="17"/>
        <w:lang w:val="fr-FR"/>
      </w:rPr>
      <w:t>/</w:t>
    </w:r>
    <w:r w:rsidR="00597F50">
      <w:rPr>
        <w:rStyle w:val="PageNumber"/>
        <w:rFonts w:cs="Times New Roman"/>
        <w:b/>
        <w:bCs/>
        <w:sz w:val="17"/>
        <w:szCs w:val="17"/>
        <w:lang w:val="fr-FR"/>
      </w:rPr>
      <w:t>14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D7F" w:rsidRDefault="00F40D7F" w:rsidP="00955980">
    <w:pPr>
      <w:pStyle w:val="Header"/>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3A7"/>
    <w:multiLevelType w:val="multilevel"/>
    <w:tmpl w:val="48241D10"/>
    <w:numStyleLink w:val="Normallist"/>
  </w:abstractNum>
  <w:abstractNum w:abstractNumId="1" w15:restartNumberingAfterBreak="0">
    <w:nsid w:val="19FD37BB"/>
    <w:multiLevelType w:val="hybridMultilevel"/>
    <w:tmpl w:val="F334DD8C"/>
    <w:lvl w:ilvl="0" w:tplc="08090003">
      <w:start w:val="1"/>
      <w:numFmt w:val="bullet"/>
      <w:lvlText w:val="o"/>
      <w:lvlJc w:val="left"/>
      <w:pPr>
        <w:ind w:left="720" w:hanging="360"/>
      </w:pPr>
      <w:rPr>
        <w:rFonts w:ascii="Courier New" w:hAnsi="Courier New" w:hint="default"/>
      </w:rPr>
    </w:lvl>
    <w:lvl w:ilvl="1" w:tplc="1D20D234">
      <w:start w:val="1"/>
      <w:numFmt w:val="bullet"/>
      <w:lvlText w:val="-"/>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2A66A9D"/>
    <w:multiLevelType w:val="multilevel"/>
    <w:tmpl w:val="48241D10"/>
    <w:styleLink w:val="Normallist"/>
    <w:lvl w:ilvl="0">
      <w:start w:val="1"/>
      <w:numFmt w:val="decimal"/>
      <w:pStyle w:val="Normalnumber"/>
      <w:lvlText w:val="%1."/>
      <w:lvlJc w:val="left"/>
      <w:pPr>
        <w:tabs>
          <w:tab w:val="num" w:pos="567"/>
        </w:tabs>
        <w:ind w:left="1247" w:firstLine="0"/>
      </w:pPr>
      <w:rPr>
        <w:rFonts w:hint="default"/>
      </w:rPr>
    </w:lvl>
    <w:lvl w:ilvl="1">
      <w:start w:val="1"/>
      <w:numFmt w:val="lowerLetter"/>
      <w:lvlText w:val="(%2)"/>
      <w:lvlJc w:val="left"/>
      <w:pPr>
        <w:tabs>
          <w:tab w:val="num" w:pos="567"/>
        </w:tabs>
        <w:ind w:left="1247" w:firstLine="567"/>
      </w:pPr>
      <w:rPr>
        <w:rFonts w:hint="default"/>
      </w:rPr>
    </w:lvl>
    <w:lvl w:ilvl="2">
      <w:start w:val="1"/>
      <w:numFmt w:val="lowerRoman"/>
      <w:lvlText w:val="(%3)"/>
      <w:lvlJc w:val="left"/>
      <w:pPr>
        <w:tabs>
          <w:tab w:val="num" w:pos="567"/>
        </w:tabs>
        <w:ind w:left="2948" w:hanging="567"/>
      </w:pPr>
      <w:rPr>
        <w:rFonts w:hint="default"/>
      </w:rPr>
    </w:lvl>
    <w:lvl w:ilvl="3">
      <w:start w:val="1"/>
      <w:numFmt w:val="lowerLetter"/>
      <w:lvlText w:val="%4."/>
      <w:lvlJc w:val="left"/>
      <w:pPr>
        <w:tabs>
          <w:tab w:val="num" w:pos="567"/>
        </w:tabs>
        <w:ind w:left="3515" w:hanging="567"/>
      </w:pPr>
      <w:rPr>
        <w:rFonts w:hint="default"/>
      </w:rPr>
    </w:lvl>
    <w:lvl w:ilvl="4">
      <w:start w:val="1"/>
      <w:numFmt w:val="lowerLetter"/>
      <w:lvlText w:val="%5."/>
      <w:lvlJc w:val="left"/>
      <w:pPr>
        <w:tabs>
          <w:tab w:val="num" w:pos="6548"/>
        </w:tabs>
        <w:ind w:left="6548" w:hanging="360"/>
      </w:pPr>
      <w:rPr>
        <w:rFonts w:hint="default"/>
      </w:rPr>
    </w:lvl>
    <w:lvl w:ilvl="5">
      <w:start w:val="1"/>
      <w:numFmt w:val="lowerRoman"/>
      <w:lvlText w:val="%6."/>
      <w:lvlJc w:val="right"/>
      <w:pPr>
        <w:tabs>
          <w:tab w:val="num" w:pos="7268"/>
        </w:tabs>
        <w:ind w:left="7268" w:hanging="180"/>
      </w:pPr>
      <w:rPr>
        <w:rFonts w:hint="default"/>
      </w:rPr>
    </w:lvl>
    <w:lvl w:ilvl="6">
      <w:start w:val="1"/>
      <w:numFmt w:val="decimal"/>
      <w:lvlText w:val="%7."/>
      <w:lvlJc w:val="left"/>
      <w:pPr>
        <w:tabs>
          <w:tab w:val="num" w:pos="7988"/>
        </w:tabs>
        <w:ind w:left="7988" w:hanging="360"/>
      </w:pPr>
      <w:rPr>
        <w:rFonts w:hint="default"/>
      </w:rPr>
    </w:lvl>
    <w:lvl w:ilvl="7">
      <w:start w:val="1"/>
      <w:numFmt w:val="lowerLetter"/>
      <w:lvlText w:val="%8."/>
      <w:lvlJc w:val="left"/>
      <w:pPr>
        <w:tabs>
          <w:tab w:val="num" w:pos="8708"/>
        </w:tabs>
        <w:ind w:left="8708" w:hanging="360"/>
      </w:pPr>
      <w:rPr>
        <w:rFonts w:hint="default"/>
      </w:rPr>
    </w:lvl>
    <w:lvl w:ilvl="8">
      <w:start w:val="1"/>
      <w:numFmt w:val="lowerRoman"/>
      <w:lvlText w:val="%9."/>
      <w:lvlJc w:val="right"/>
      <w:pPr>
        <w:tabs>
          <w:tab w:val="num" w:pos="9428"/>
        </w:tabs>
        <w:ind w:left="9428" w:hanging="180"/>
      </w:pPr>
      <w:rPr>
        <w:rFonts w:hint="default"/>
      </w:rPr>
    </w:lvl>
  </w:abstractNum>
  <w:abstractNum w:abstractNumId="3" w15:restartNumberingAfterBreak="0">
    <w:nsid w:val="6AA50DB1"/>
    <w:multiLevelType w:val="singleLevel"/>
    <w:tmpl w:val="0C00B568"/>
    <w:lvl w:ilvl="0">
      <w:start w:val="1"/>
      <w:numFmt w:val="decimal"/>
      <w:lvlText w:val="%1."/>
      <w:lvlJc w:val="left"/>
      <w:pPr>
        <w:tabs>
          <w:tab w:val="num" w:pos="360"/>
        </w:tabs>
        <w:ind w:left="0" w:firstLine="0"/>
      </w:pPr>
      <w:rPr>
        <w:rFonts w:ascii="Times New Roman" w:hAnsi="Times New Roman" w:hint="default"/>
        <w:b w:val="0"/>
        <w:i w:val="0"/>
        <w:sz w:val="22"/>
      </w:rPr>
    </w:lvl>
  </w:abstractNum>
  <w:abstractNum w:abstractNumId="4" w15:restartNumberingAfterBreak="0">
    <w:nsid w:val="712B4EA4"/>
    <w:multiLevelType w:val="hybridMultilevel"/>
    <w:tmpl w:val="AC74672A"/>
    <w:lvl w:ilvl="0" w:tplc="49C44DE2">
      <w:start w:val="1"/>
      <w:numFmt w:val="bullet"/>
      <w:lvlText w:val=""/>
      <w:lvlJc w:val="left"/>
      <w:pPr>
        <w:tabs>
          <w:tab w:val="num" w:pos="394"/>
        </w:tabs>
        <w:ind w:left="394" w:hanging="360"/>
      </w:pPr>
      <w:rPr>
        <w:rFonts w:ascii="Symbol" w:hAnsi="Symbol" w:cs="Traditional Arabic" w:hint="default"/>
        <w:sz w:val="24"/>
        <w:szCs w:val="24"/>
      </w:rPr>
    </w:lvl>
    <w:lvl w:ilvl="1" w:tplc="08090003">
      <w:start w:val="1"/>
      <w:numFmt w:val="bullet"/>
      <w:lvlText w:val="o"/>
      <w:lvlJc w:val="left"/>
      <w:pPr>
        <w:tabs>
          <w:tab w:val="num" w:pos="754"/>
        </w:tabs>
        <w:ind w:left="754" w:hanging="360"/>
      </w:pPr>
      <w:rPr>
        <w:rFonts w:ascii="Courier New" w:hAnsi="Courier New" w:cs="Courier New" w:hint="default"/>
      </w:rPr>
    </w:lvl>
    <w:lvl w:ilvl="2" w:tplc="08090005" w:tentative="1">
      <w:start w:val="1"/>
      <w:numFmt w:val="bullet"/>
      <w:lvlText w:val=""/>
      <w:lvlJc w:val="left"/>
      <w:pPr>
        <w:tabs>
          <w:tab w:val="num" w:pos="1474"/>
        </w:tabs>
        <w:ind w:left="1474" w:hanging="360"/>
      </w:pPr>
      <w:rPr>
        <w:rFonts w:ascii="Wingdings" w:hAnsi="Wingdings" w:hint="default"/>
      </w:rPr>
    </w:lvl>
    <w:lvl w:ilvl="3" w:tplc="08090001" w:tentative="1">
      <w:start w:val="1"/>
      <w:numFmt w:val="bullet"/>
      <w:lvlText w:val=""/>
      <w:lvlJc w:val="left"/>
      <w:pPr>
        <w:tabs>
          <w:tab w:val="num" w:pos="2194"/>
        </w:tabs>
        <w:ind w:left="2194" w:hanging="360"/>
      </w:pPr>
      <w:rPr>
        <w:rFonts w:ascii="Symbol" w:hAnsi="Symbol" w:hint="default"/>
      </w:rPr>
    </w:lvl>
    <w:lvl w:ilvl="4" w:tplc="08090003" w:tentative="1">
      <w:start w:val="1"/>
      <w:numFmt w:val="bullet"/>
      <w:lvlText w:val="o"/>
      <w:lvlJc w:val="left"/>
      <w:pPr>
        <w:tabs>
          <w:tab w:val="num" w:pos="2914"/>
        </w:tabs>
        <w:ind w:left="2914" w:hanging="360"/>
      </w:pPr>
      <w:rPr>
        <w:rFonts w:ascii="Courier New" w:hAnsi="Courier New" w:cs="Courier New" w:hint="default"/>
      </w:rPr>
    </w:lvl>
    <w:lvl w:ilvl="5" w:tplc="08090005" w:tentative="1">
      <w:start w:val="1"/>
      <w:numFmt w:val="bullet"/>
      <w:lvlText w:val=""/>
      <w:lvlJc w:val="left"/>
      <w:pPr>
        <w:tabs>
          <w:tab w:val="num" w:pos="3634"/>
        </w:tabs>
        <w:ind w:left="3634" w:hanging="360"/>
      </w:pPr>
      <w:rPr>
        <w:rFonts w:ascii="Wingdings" w:hAnsi="Wingdings" w:hint="default"/>
      </w:rPr>
    </w:lvl>
    <w:lvl w:ilvl="6" w:tplc="08090001" w:tentative="1">
      <w:start w:val="1"/>
      <w:numFmt w:val="bullet"/>
      <w:lvlText w:val=""/>
      <w:lvlJc w:val="left"/>
      <w:pPr>
        <w:tabs>
          <w:tab w:val="num" w:pos="4354"/>
        </w:tabs>
        <w:ind w:left="4354" w:hanging="360"/>
      </w:pPr>
      <w:rPr>
        <w:rFonts w:ascii="Symbol" w:hAnsi="Symbol" w:hint="default"/>
      </w:rPr>
    </w:lvl>
    <w:lvl w:ilvl="7" w:tplc="08090003" w:tentative="1">
      <w:start w:val="1"/>
      <w:numFmt w:val="bullet"/>
      <w:lvlText w:val="o"/>
      <w:lvlJc w:val="left"/>
      <w:pPr>
        <w:tabs>
          <w:tab w:val="num" w:pos="5074"/>
        </w:tabs>
        <w:ind w:left="5074" w:hanging="360"/>
      </w:pPr>
      <w:rPr>
        <w:rFonts w:ascii="Courier New" w:hAnsi="Courier New" w:cs="Courier New" w:hint="default"/>
      </w:rPr>
    </w:lvl>
    <w:lvl w:ilvl="8" w:tplc="08090005" w:tentative="1">
      <w:start w:val="1"/>
      <w:numFmt w:val="bullet"/>
      <w:lvlText w:val=""/>
      <w:lvlJc w:val="left"/>
      <w:pPr>
        <w:tabs>
          <w:tab w:val="num" w:pos="5794"/>
        </w:tabs>
        <w:ind w:left="5794" w:hanging="360"/>
      </w:pPr>
      <w:rPr>
        <w:rFonts w:ascii="Wingdings" w:hAnsi="Wingdings" w:hint="default"/>
      </w:rPr>
    </w:lvl>
  </w:abstractNum>
  <w:abstractNum w:abstractNumId="5" w15:restartNumberingAfterBreak="0">
    <w:nsid w:val="7EF71EF0"/>
    <w:multiLevelType w:val="hybridMultilevel"/>
    <w:tmpl w:val="3D381B26"/>
    <w:lvl w:ilvl="0" w:tplc="8F260EEE">
      <w:start w:val="1"/>
      <w:numFmt w:val="bullet"/>
      <w:lvlText w:val="-"/>
      <w:lvlJc w:val="left"/>
      <w:pPr>
        <w:tabs>
          <w:tab w:val="num" w:pos="1080"/>
        </w:tabs>
        <w:ind w:left="1080" w:hanging="360"/>
      </w:pPr>
      <w:rPr>
        <w:rFonts w:ascii="Agency FB" w:hAnsi="Agency FB"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lvlOverride w:ilvl="0">
      <w:lvl w:ilvl="0">
        <w:start w:val="1"/>
        <w:numFmt w:val="decimal"/>
        <w:pStyle w:val="Normalnumber"/>
        <w:lvlText w:val="%1."/>
        <w:lvlJc w:val="left"/>
        <w:pPr>
          <w:tabs>
            <w:tab w:val="num" w:pos="567"/>
          </w:tabs>
          <w:ind w:left="1247" w:firstLine="0"/>
        </w:pPr>
        <w:rPr>
          <w:rFonts w:hint="default"/>
          <w:b w:val="0"/>
        </w:rPr>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evenAndOddHeaders/>
  <w:drawingGridHorizontalSpacing w:val="171"/>
  <w:drawingGridVerticalSpacing w:val="233"/>
  <w:displayHorizontalDrawingGridEvery w:val="0"/>
  <w:noPunctuationKerning/>
  <w:characterSpacingControl w:val="doNotCompress"/>
  <w:hdrShapeDefaults>
    <o:shapedefaults v:ext="edit" spidmax="1024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2B"/>
    <w:rsid w:val="00016B71"/>
    <w:rsid w:val="00016F9B"/>
    <w:rsid w:val="000242CB"/>
    <w:rsid w:val="0003131F"/>
    <w:rsid w:val="00033595"/>
    <w:rsid w:val="00033A5C"/>
    <w:rsid w:val="000346C2"/>
    <w:rsid w:val="0006021A"/>
    <w:rsid w:val="0008088A"/>
    <w:rsid w:val="000844F9"/>
    <w:rsid w:val="000B6B96"/>
    <w:rsid w:val="000C6AF1"/>
    <w:rsid w:val="000C72D5"/>
    <w:rsid w:val="000F083C"/>
    <w:rsid w:val="000F39C0"/>
    <w:rsid w:val="000F712A"/>
    <w:rsid w:val="001017F6"/>
    <w:rsid w:val="00102A11"/>
    <w:rsid w:val="00105907"/>
    <w:rsid w:val="00111DDA"/>
    <w:rsid w:val="0012040B"/>
    <w:rsid w:val="001223A2"/>
    <w:rsid w:val="00124CC4"/>
    <w:rsid w:val="00131CE1"/>
    <w:rsid w:val="001367EA"/>
    <w:rsid w:val="001368B8"/>
    <w:rsid w:val="0014278C"/>
    <w:rsid w:val="00147D7B"/>
    <w:rsid w:val="00153644"/>
    <w:rsid w:val="00154CC2"/>
    <w:rsid w:val="00155F84"/>
    <w:rsid w:val="0016168E"/>
    <w:rsid w:val="00165BE3"/>
    <w:rsid w:val="0017427B"/>
    <w:rsid w:val="00177C0C"/>
    <w:rsid w:val="001841AD"/>
    <w:rsid w:val="001844E3"/>
    <w:rsid w:val="00186DE2"/>
    <w:rsid w:val="001A0F83"/>
    <w:rsid w:val="001B03D9"/>
    <w:rsid w:val="001C1F65"/>
    <w:rsid w:val="001D3A25"/>
    <w:rsid w:val="001D6F72"/>
    <w:rsid w:val="001E4795"/>
    <w:rsid w:val="001E6E8E"/>
    <w:rsid w:val="001F0C9C"/>
    <w:rsid w:val="001F171C"/>
    <w:rsid w:val="001F390D"/>
    <w:rsid w:val="002079F8"/>
    <w:rsid w:val="0021634D"/>
    <w:rsid w:val="00224248"/>
    <w:rsid w:val="0023160B"/>
    <w:rsid w:val="002323CD"/>
    <w:rsid w:val="00251749"/>
    <w:rsid w:val="00260C3B"/>
    <w:rsid w:val="00261451"/>
    <w:rsid w:val="00267DA8"/>
    <w:rsid w:val="00287FC0"/>
    <w:rsid w:val="002A7552"/>
    <w:rsid w:val="002B14DB"/>
    <w:rsid w:val="002C60AD"/>
    <w:rsid w:val="002D12BC"/>
    <w:rsid w:val="002D7BBF"/>
    <w:rsid w:val="002E7390"/>
    <w:rsid w:val="002F11C2"/>
    <w:rsid w:val="002F5CF3"/>
    <w:rsid w:val="002F623B"/>
    <w:rsid w:val="002F74A0"/>
    <w:rsid w:val="00302E29"/>
    <w:rsid w:val="00302EAD"/>
    <w:rsid w:val="00313B61"/>
    <w:rsid w:val="00317B52"/>
    <w:rsid w:val="00317E61"/>
    <w:rsid w:val="003501E1"/>
    <w:rsid w:val="003553DB"/>
    <w:rsid w:val="0038322E"/>
    <w:rsid w:val="00386BD3"/>
    <w:rsid w:val="00386CAA"/>
    <w:rsid w:val="00390CD8"/>
    <w:rsid w:val="003923ED"/>
    <w:rsid w:val="00392BF1"/>
    <w:rsid w:val="00397363"/>
    <w:rsid w:val="003B507C"/>
    <w:rsid w:val="003B68FE"/>
    <w:rsid w:val="003D355A"/>
    <w:rsid w:val="003E4E41"/>
    <w:rsid w:val="003F77FF"/>
    <w:rsid w:val="0040218B"/>
    <w:rsid w:val="00405211"/>
    <w:rsid w:val="00451081"/>
    <w:rsid w:val="00451ABD"/>
    <w:rsid w:val="004606CA"/>
    <w:rsid w:val="00472C66"/>
    <w:rsid w:val="00474286"/>
    <w:rsid w:val="00483FE5"/>
    <w:rsid w:val="004845CD"/>
    <w:rsid w:val="00485260"/>
    <w:rsid w:val="004916B5"/>
    <w:rsid w:val="0049182D"/>
    <w:rsid w:val="00495361"/>
    <w:rsid w:val="004A0852"/>
    <w:rsid w:val="004B0A17"/>
    <w:rsid w:val="004C764A"/>
    <w:rsid w:val="004D2B12"/>
    <w:rsid w:val="004E001B"/>
    <w:rsid w:val="004E1EDE"/>
    <w:rsid w:val="004E3260"/>
    <w:rsid w:val="004E46E6"/>
    <w:rsid w:val="004E5370"/>
    <w:rsid w:val="004E63A5"/>
    <w:rsid w:val="004E7B30"/>
    <w:rsid w:val="00505537"/>
    <w:rsid w:val="00516B35"/>
    <w:rsid w:val="00522932"/>
    <w:rsid w:val="005234DB"/>
    <w:rsid w:val="00530F46"/>
    <w:rsid w:val="005325D6"/>
    <w:rsid w:val="00540949"/>
    <w:rsid w:val="0056457C"/>
    <w:rsid w:val="005668AB"/>
    <w:rsid w:val="00566DD6"/>
    <w:rsid w:val="00591519"/>
    <w:rsid w:val="00591B8E"/>
    <w:rsid w:val="005945AA"/>
    <w:rsid w:val="00597F50"/>
    <w:rsid w:val="005A0DCF"/>
    <w:rsid w:val="005A2781"/>
    <w:rsid w:val="005A6A53"/>
    <w:rsid w:val="005B198D"/>
    <w:rsid w:val="005B25B0"/>
    <w:rsid w:val="005C55FF"/>
    <w:rsid w:val="005E06C5"/>
    <w:rsid w:val="005E2737"/>
    <w:rsid w:val="005F3809"/>
    <w:rsid w:val="005F4603"/>
    <w:rsid w:val="005F5925"/>
    <w:rsid w:val="00604B89"/>
    <w:rsid w:val="0060772E"/>
    <w:rsid w:val="00615461"/>
    <w:rsid w:val="006160A4"/>
    <w:rsid w:val="006227F4"/>
    <w:rsid w:val="0063685D"/>
    <w:rsid w:val="006377FE"/>
    <w:rsid w:val="006559BA"/>
    <w:rsid w:val="00671875"/>
    <w:rsid w:val="00684243"/>
    <w:rsid w:val="0069086F"/>
    <w:rsid w:val="00696059"/>
    <w:rsid w:val="006A5C3F"/>
    <w:rsid w:val="006A7E4F"/>
    <w:rsid w:val="006B54B1"/>
    <w:rsid w:val="006B7D02"/>
    <w:rsid w:val="006C560D"/>
    <w:rsid w:val="006C68E8"/>
    <w:rsid w:val="006D02E1"/>
    <w:rsid w:val="006D3972"/>
    <w:rsid w:val="006E4BE0"/>
    <w:rsid w:val="006F036C"/>
    <w:rsid w:val="00706852"/>
    <w:rsid w:val="00712158"/>
    <w:rsid w:val="007226C6"/>
    <w:rsid w:val="0073400D"/>
    <w:rsid w:val="007453FE"/>
    <w:rsid w:val="0075378C"/>
    <w:rsid w:val="00767A09"/>
    <w:rsid w:val="00774C9B"/>
    <w:rsid w:val="00775957"/>
    <w:rsid w:val="00783165"/>
    <w:rsid w:val="007A671B"/>
    <w:rsid w:val="007A6D2A"/>
    <w:rsid w:val="007A7A0C"/>
    <w:rsid w:val="007B173A"/>
    <w:rsid w:val="007B5F59"/>
    <w:rsid w:val="007B7061"/>
    <w:rsid w:val="007C62EE"/>
    <w:rsid w:val="007E0C9A"/>
    <w:rsid w:val="007E3856"/>
    <w:rsid w:val="007F304D"/>
    <w:rsid w:val="00802B63"/>
    <w:rsid w:val="00805014"/>
    <w:rsid w:val="008148D5"/>
    <w:rsid w:val="00822614"/>
    <w:rsid w:val="00841F08"/>
    <w:rsid w:val="008500FB"/>
    <w:rsid w:val="00852F12"/>
    <w:rsid w:val="00857B7B"/>
    <w:rsid w:val="00873A40"/>
    <w:rsid w:val="008844D8"/>
    <w:rsid w:val="00887CE8"/>
    <w:rsid w:val="0089216B"/>
    <w:rsid w:val="00892A8F"/>
    <w:rsid w:val="0089620E"/>
    <w:rsid w:val="008A5EBB"/>
    <w:rsid w:val="008A6A43"/>
    <w:rsid w:val="008B1BBE"/>
    <w:rsid w:val="0090002B"/>
    <w:rsid w:val="0092217B"/>
    <w:rsid w:val="0092522D"/>
    <w:rsid w:val="00926C1F"/>
    <w:rsid w:val="00931CC7"/>
    <w:rsid w:val="00932FA5"/>
    <w:rsid w:val="00934EBC"/>
    <w:rsid w:val="00937E85"/>
    <w:rsid w:val="009413F4"/>
    <w:rsid w:val="00955980"/>
    <w:rsid w:val="00980B82"/>
    <w:rsid w:val="009819E2"/>
    <w:rsid w:val="0098293D"/>
    <w:rsid w:val="009A052E"/>
    <w:rsid w:val="009A1FDF"/>
    <w:rsid w:val="009A55B3"/>
    <w:rsid w:val="009B2A75"/>
    <w:rsid w:val="009C5B87"/>
    <w:rsid w:val="009D58E8"/>
    <w:rsid w:val="009E0DC7"/>
    <w:rsid w:val="009E2CE5"/>
    <w:rsid w:val="009E46DF"/>
    <w:rsid w:val="009E6EAB"/>
    <w:rsid w:val="009F1164"/>
    <w:rsid w:val="009F528D"/>
    <w:rsid w:val="00A0029B"/>
    <w:rsid w:val="00A108BD"/>
    <w:rsid w:val="00A16767"/>
    <w:rsid w:val="00A26E11"/>
    <w:rsid w:val="00A348B8"/>
    <w:rsid w:val="00A34C1A"/>
    <w:rsid w:val="00A50563"/>
    <w:rsid w:val="00A579D1"/>
    <w:rsid w:val="00A72550"/>
    <w:rsid w:val="00A76B59"/>
    <w:rsid w:val="00A80B37"/>
    <w:rsid w:val="00A85E58"/>
    <w:rsid w:val="00A87A85"/>
    <w:rsid w:val="00A969A0"/>
    <w:rsid w:val="00AA683A"/>
    <w:rsid w:val="00AB1E5D"/>
    <w:rsid w:val="00AB4A4E"/>
    <w:rsid w:val="00AB4D46"/>
    <w:rsid w:val="00AB7674"/>
    <w:rsid w:val="00AC6CE6"/>
    <w:rsid w:val="00AD6BA5"/>
    <w:rsid w:val="00AE4729"/>
    <w:rsid w:val="00AF0DF6"/>
    <w:rsid w:val="00B00CA0"/>
    <w:rsid w:val="00B161CD"/>
    <w:rsid w:val="00B179A4"/>
    <w:rsid w:val="00B316C1"/>
    <w:rsid w:val="00B602AD"/>
    <w:rsid w:val="00B77EDA"/>
    <w:rsid w:val="00B83776"/>
    <w:rsid w:val="00B85578"/>
    <w:rsid w:val="00B86C1A"/>
    <w:rsid w:val="00B87B65"/>
    <w:rsid w:val="00B97A52"/>
    <w:rsid w:val="00BA25D1"/>
    <w:rsid w:val="00BA25F3"/>
    <w:rsid w:val="00BA66F1"/>
    <w:rsid w:val="00BA6ED1"/>
    <w:rsid w:val="00BB0629"/>
    <w:rsid w:val="00BC0846"/>
    <w:rsid w:val="00BC149F"/>
    <w:rsid w:val="00BC3EE3"/>
    <w:rsid w:val="00BC5AF4"/>
    <w:rsid w:val="00BD1906"/>
    <w:rsid w:val="00BD4A65"/>
    <w:rsid w:val="00BE69D7"/>
    <w:rsid w:val="00BF64C6"/>
    <w:rsid w:val="00BF7E90"/>
    <w:rsid w:val="00BF7F42"/>
    <w:rsid w:val="00C0594F"/>
    <w:rsid w:val="00C10C18"/>
    <w:rsid w:val="00C1200F"/>
    <w:rsid w:val="00C227E2"/>
    <w:rsid w:val="00C3352A"/>
    <w:rsid w:val="00C34FDE"/>
    <w:rsid w:val="00C56205"/>
    <w:rsid w:val="00C712BF"/>
    <w:rsid w:val="00C85728"/>
    <w:rsid w:val="00C86BDC"/>
    <w:rsid w:val="00CA4F8C"/>
    <w:rsid w:val="00CB79F1"/>
    <w:rsid w:val="00CC55AD"/>
    <w:rsid w:val="00CD16B3"/>
    <w:rsid w:val="00CD248F"/>
    <w:rsid w:val="00CD25C4"/>
    <w:rsid w:val="00CD399B"/>
    <w:rsid w:val="00CE446D"/>
    <w:rsid w:val="00CF5671"/>
    <w:rsid w:val="00CF57B4"/>
    <w:rsid w:val="00CF77D5"/>
    <w:rsid w:val="00D12FDA"/>
    <w:rsid w:val="00D30A9A"/>
    <w:rsid w:val="00D444E7"/>
    <w:rsid w:val="00D44CE3"/>
    <w:rsid w:val="00D578BF"/>
    <w:rsid w:val="00D611B6"/>
    <w:rsid w:val="00D63263"/>
    <w:rsid w:val="00D66C66"/>
    <w:rsid w:val="00D70490"/>
    <w:rsid w:val="00D71822"/>
    <w:rsid w:val="00D9173E"/>
    <w:rsid w:val="00D91942"/>
    <w:rsid w:val="00D958DE"/>
    <w:rsid w:val="00DA1588"/>
    <w:rsid w:val="00DA494E"/>
    <w:rsid w:val="00DB6958"/>
    <w:rsid w:val="00DC590D"/>
    <w:rsid w:val="00DD440F"/>
    <w:rsid w:val="00DE4F98"/>
    <w:rsid w:val="00DE796A"/>
    <w:rsid w:val="00DF05BB"/>
    <w:rsid w:val="00E015AC"/>
    <w:rsid w:val="00E14F28"/>
    <w:rsid w:val="00E24E25"/>
    <w:rsid w:val="00E27ED0"/>
    <w:rsid w:val="00E31210"/>
    <w:rsid w:val="00E369DB"/>
    <w:rsid w:val="00E36EB2"/>
    <w:rsid w:val="00E43707"/>
    <w:rsid w:val="00E63CFD"/>
    <w:rsid w:val="00E760C7"/>
    <w:rsid w:val="00E90558"/>
    <w:rsid w:val="00E96DEF"/>
    <w:rsid w:val="00EA0788"/>
    <w:rsid w:val="00EB0EB2"/>
    <w:rsid w:val="00EC3A5F"/>
    <w:rsid w:val="00ED2918"/>
    <w:rsid w:val="00ED77A3"/>
    <w:rsid w:val="00EE026C"/>
    <w:rsid w:val="00EE5C27"/>
    <w:rsid w:val="00EF711C"/>
    <w:rsid w:val="00EF7575"/>
    <w:rsid w:val="00F12DD6"/>
    <w:rsid w:val="00F240DC"/>
    <w:rsid w:val="00F3310C"/>
    <w:rsid w:val="00F40D7F"/>
    <w:rsid w:val="00F45D78"/>
    <w:rsid w:val="00F47390"/>
    <w:rsid w:val="00F50135"/>
    <w:rsid w:val="00F61AB5"/>
    <w:rsid w:val="00F64BB3"/>
    <w:rsid w:val="00F7639B"/>
    <w:rsid w:val="00F87E04"/>
    <w:rsid w:val="00F932A0"/>
    <w:rsid w:val="00FA2101"/>
    <w:rsid w:val="00FB4F87"/>
    <w:rsid w:val="00FE21C0"/>
    <w:rsid w:val="00FE4A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80E4AFC5-5A66-46EF-9203-8F1144D9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rFonts w:cs="Simplified Arabic"/>
      <w:sz w:val="22"/>
      <w:szCs w:val="28"/>
    </w:rPr>
  </w:style>
  <w:style w:type="paragraph" w:styleId="Heading1">
    <w:name w:val="heading 1"/>
    <w:basedOn w:val="Normal"/>
    <w:next w:val="Normal"/>
    <w:qFormat/>
    <w:pPr>
      <w:keepNext/>
      <w:spacing w:before="120" w:after="120" w:line="360" w:lineRule="exact"/>
      <w:jc w:val="center"/>
      <w:outlineLvl w:val="0"/>
    </w:pPr>
    <w:rPr>
      <w:u w:val="single"/>
    </w:rPr>
  </w:style>
  <w:style w:type="paragraph" w:styleId="Heading2">
    <w:name w:val="heading 2"/>
    <w:basedOn w:val="Normal"/>
    <w:next w:val="Normal"/>
    <w:link w:val="Heading2Char"/>
    <w:uiPriority w:val="9"/>
    <w:qFormat/>
    <w:pPr>
      <w:keepNext/>
      <w:spacing w:before="120" w:after="120" w:line="360" w:lineRule="exact"/>
      <w:jc w:val="center"/>
      <w:outlineLvl w:val="1"/>
    </w:pPr>
    <w:rPr>
      <w:u w:val="single"/>
    </w:rPr>
  </w:style>
  <w:style w:type="paragraph" w:styleId="Heading3">
    <w:name w:val="heading 3"/>
    <w:basedOn w:val="Normal"/>
    <w:next w:val="Normal"/>
    <w:qFormat/>
    <w:pPr>
      <w:keepNext/>
      <w:spacing w:before="120" w:after="120" w:line="360" w:lineRule="exact"/>
      <w:jc w:val="both"/>
      <w:outlineLvl w:val="2"/>
    </w:pPr>
    <w:rPr>
      <w:u w:val="single"/>
    </w:rPr>
  </w:style>
  <w:style w:type="paragraph" w:styleId="Heading4">
    <w:name w:val="heading 4"/>
    <w:basedOn w:val="Normal"/>
    <w:next w:val="Normal"/>
    <w:qFormat/>
    <w:pPr>
      <w:keepNext/>
      <w:spacing w:before="120" w:after="120" w:line="360" w:lineRule="exact"/>
      <w:jc w:val="both"/>
      <w:outlineLvl w:val="3"/>
    </w:pPr>
  </w:style>
  <w:style w:type="paragraph" w:styleId="Heading5">
    <w:name w:val="heading 5"/>
    <w:basedOn w:val="Normal"/>
    <w:next w:val="Normal"/>
    <w:qFormat/>
    <w:pPr>
      <w:keepNext/>
      <w:jc w:val="right"/>
      <w:outlineLvl w:val="4"/>
    </w:pPr>
    <w:rPr>
      <w:rFonts w:ascii="Times" w:hAnsi="Times" w:cs="Arabic Transparent"/>
      <w:b/>
      <w:bCs/>
      <w:noProof/>
      <w:sz w:val="20"/>
      <w:szCs w:val="44"/>
    </w:rPr>
  </w:style>
  <w:style w:type="paragraph" w:styleId="Heading6">
    <w:name w:val="heading 6"/>
    <w:basedOn w:val="Normal"/>
    <w:next w:val="Normal"/>
    <w:qFormat/>
    <w:pPr>
      <w:keepNext/>
      <w:spacing w:before="120" w:after="120" w:line="360" w:lineRule="exact"/>
      <w:jc w:val="both"/>
      <w:outlineLvl w:val="5"/>
    </w:pPr>
    <w:rPr>
      <w:u w:val="single"/>
    </w:rPr>
  </w:style>
  <w:style w:type="paragraph" w:styleId="Heading7">
    <w:name w:val="heading 7"/>
    <w:basedOn w:val="Normal"/>
    <w:next w:val="Normal"/>
    <w:qFormat/>
    <w:pPr>
      <w:keepNext/>
      <w:jc w:val="center"/>
      <w:outlineLvl w:val="6"/>
    </w:pPr>
    <w:rPr>
      <w:rFonts w:ascii="Times" w:hAnsi="Times"/>
      <w:b/>
      <w:bCs/>
      <w:noProof/>
      <w:sz w:val="20"/>
    </w:rPr>
  </w:style>
  <w:style w:type="paragraph" w:styleId="Heading8">
    <w:name w:val="heading 8"/>
    <w:basedOn w:val="Normal"/>
    <w:next w:val="Normal"/>
    <w:qFormat/>
    <w:pPr>
      <w:keepNext/>
      <w:jc w:val="center"/>
      <w:outlineLvl w:val="7"/>
    </w:pPr>
    <w:rPr>
      <w:b/>
      <w:bCs/>
      <w:sz w:val="30"/>
      <w:szCs w:val="30"/>
    </w:rPr>
  </w:style>
  <w:style w:type="paragraph" w:styleId="Heading9">
    <w:name w:val="heading 9"/>
    <w:basedOn w:val="Normal"/>
    <w:next w:val="Normal"/>
    <w:qFormat/>
    <w:pPr>
      <w:keepNext/>
      <w:spacing w:line="360" w:lineRule="exact"/>
      <w:jc w:val="center"/>
      <w:outlineLvl w:val="8"/>
    </w:pPr>
    <w:rPr>
      <w:rFonts w:ascii="Times" w:hAnsi="Times"/>
      <w:b/>
      <w:bCs/>
      <w:noProof/>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thylHeader"/>
    <w:basedOn w:val="Normal"/>
    <w:link w:val="HeaderChar"/>
    <w:uiPriority w:val="99"/>
    <w:pPr>
      <w:tabs>
        <w:tab w:val="center" w:pos="4153"/>
        <w:tab w:val="right" w:pos="8306"/>
      </w:tabs>
      <w:jc w:val="right"/>
    </w:pPr>
    <w:rPr>
      <w:rFonts w:ascii="Times" w:hAnsi="Times"/>
      <w:noProof/>
      <w:sz w:val="20"/>
      <w:szCs w:val="24"/>
    </w:rPr>
  </w:style>
  <w:style w:type="character" w:styleId="PageNumber">
    <w:name w:val="page number"/>
    <w:basedOn w:val="DefaultParagraphFont"/>
    <w:uiPriority w:val="99"/>
  </w:style>
  <w:style w:type="paragraph" w:styleId="Footer">
    <w:name w:val="footer"/>
    <w:aliases w:val=" Char,Char"/>
    <w:basedOn w:val="Normal"/>
    <w:link w:val="FooterChar"/>
    <w:uiPriority w:val="99"/>
    <w:pPr>
      <w:tabs>
        <w:tab w:val="center" w:pos="4153"/>
        <w:tab w:val="right" w:pos="8306"/>
      </w:tabs>
      <w:jc w:val="right"/>
    </w:pPr>
    <w:rPr>
      <w:rFonts w:ascii="Times" w:hAnsi="Times"/>
      <w:noProof/>
      <w:sz w:val="20"/>
      <w:szCs w:val="24"/>
    </w:rPr>
  </w:style>
  <w:style w:type="paragraph" w:styleId="FootnoteText">
    <w:name w:val="footnote text"/>
    <w:aliases w:val="DNV-FT,Geneva 9,Font: Geneva 9,Boston 10,f,Footnote01,-E Fußnotentext,ft,Fußnote,Fußnotentext Ursprung,fn,footnote text,Footnotes,Footnote ak,fn cafc,Footnotes Char Char,Footnote Text Char Char,fn Char Char,footnote text Char Char Char Ch"/>
    <w:basedOn w:val="Normal"/>
    <w:link w:val="FootnoteTextChar"/>
    <w:pPr>
      <w:jc w:val="right"/>
    </w:pPr>
    <w:rPr>
      <w:rFonts w:ascii="Times" w:hAnsi="Times"/>
      <w:noProof/>
      <w:sz w:val="20"/>
      <w:szCs w:val="20"/>
    </w:rPr>
  </w:style>
  <w:style w:type="character" w:styleId="FootnoteReference">
    <w:name w:val="footnote reference"/>
    <w:semiHidden/>
    <w:rPr>
      <w:vertAlign w:val="superscript"/>
    </w:rPr>
  </w:style>
  <w:style w:type="paragraph" w:customStyle="1" w:styleId="Level1">
    <w:name w:val="Level1"/>
    <w:basedOn w:val="Normal"/>
    <w:pPr>
      <w:tabs>
        <w:tab w:val="left" w:pos="578"/>
        <w:tab w:val="left" w:pos="1157"/>
      </w:tabs>
      <w:bidi w:val="0"/>
      <w:spacing w:after="240"/>
    </w:pPr>
    <w:rPr>
      <w:rFonts w:cs="Times New Roman"/>
      <w:szCs w:val="22"/>
      <w:lang w:val="en-GB" w:eastAsia="fr-FR"/>
    </w:rPr>
  </w:style>
  <w:style w:type="paragraph" w:customStyle="1" w:styleId="font6">
    <w:name w:val="font6"/>
    <w:basedOn w:val="Normal"/>
    <w:pPr>
      <w:bidi w:val="0"/>
      <w:spacing w:before="100" w:beforeAutospacing="1" w:after="100" w:afterAutospacing="1"/>
    </w:pPr>
    <w:rPr>
      <w:rFonts w:ascii="Arial" w:eastAsia="Arial Unicode MS" w:hAnsi="Arial" w:cs="Arial"/>
      <w:sz w:val="20"/>
      <w:szCs w:val="20"/>
      <w:lang w:val="fr-FR" w:eastAsia="fr-FR"/>
    </w:rPr>
  </w:style>
  <w:style w:type="paragraph" w:styleId="BodyText">
    <w:name w:val="Body Text"/>
    <w:basedOn w:val="Normal"/>
    <w:pPr>
      <w:bidi w:val="0"/>
    </w:pPr>
    <w:rPr>
      <w:rFonts w:ascii="Times" w:hAnsi="Times"/>
      <w:sz w:val="20"/>
    </w:rPr>
  </w:style>
  <w:style w:type="paragraph" w:styleId="BodyText2">
    <w:name w:val="Body Text 2"/>
    <w:basedOn w:val="Normal"/>
    <w:pPr>
      <w:jc w:val="both"/>
    </w:pPr>
    <w:rPr>
      <w:rFonts w:ascii="Times" w:hAnsi="Times"/>
      <w:noProof/>
      <w:sz w:val="28"/>
    </w:rPr>
  </w:style>
  <w:style w:type="paragraph" w:customStyle="1" w:styleId="SingleTxt">
    <w:name w:val="__Single Txt"/>
    <w:basedOn w:val="Normal"/>
    <w:rsid w:val="007E0C9A"/>
    <w:pPr>
      <w:tabs>
        <w:tab w:val="left" w:pos="1267"/>
        <w:tab w:val="left" w:pos="1930"/>
        <w:tab w:val="left" w:pos="2592"/>
        <w:tab w:val="left" w:pos="3254"/>
        <w:tab w:val="left" w:pos="3917"/>
        <w:tab w:val="left" w:pos="4579"/>
        <w:tab w:val="left" w:pos="5242"/>
        <w:tab w:val="left" w:pos="5904"/>
        <w:tab w:val="left" w:pos="6566"/>
      </w:tabs>
      <w:spacing w:after="120" w:line="400" w:lineRule="exact"/>
      <w:ind w:left="1267" w:right="1267"/>
      <w:jc w:val="lowKashida"/>
    </w:pPr>
    <w:rPr>
      <w:rFonts w:cs="Traditional Arabic"/>
      <w:w w:val="103"/>
      <w:kern w:val="14"/>
      <w:sz w:val="20"/>
      <w:szCs w:val="30"/>
    </w:rPr>
  </w:style>
  <w:style w:type="paragraph" w:customStyle="1" w:styleId="Normal-pool">
    <w:name w:val="Normal-pool"/>
    <w:link w:val="Normal-poolChar"/>
    <w:rsid w:val="00317E61"/>
    <w:pPr>
      <w:tabs>
        <w:tab w:val="left" w:pos="1247"/>
        <w:tab w:val="left" w:pos="1814"/>
        <w:tab w:val="left" w:pos="2381"/>
        <w:tab w:val="left" w:pos="2948"/>
        <w:tab w:val="left" w:pos="3515"/>
      </w:tabs>
    </w:pPr>
    <w:rPr>
      <w:rFonts w:cs="Times New Roman"/>
      <w:lang w:val="en-GB"/>
    </w:rPr>
  </w:style>
  <w:style w:type="character" w:customStyle="1" w:styleId="Normal-poolChar">
    <w:name w:val="Normal-pool Char"/>
    <w:link w:val="Normal-pool"/>
    <w:rsid w:val="00317E61"/>
    <w:rPr>
      <w:lang w:val="en-GB" w:eastAsia="en-US" w:bidi="ar-SA"/>
    </w:rPr>
  </w:style>
  <w:style w:type="paragraph" w:customStyle="1" w:styleId="ListParagraph1">
    <w:name w:val="List Paragraph1"/>
    <w:basedOn w:val="Normal"/>
    <w:rsid w:val="00317E61"/>
    <w:pPr>
      <w:bidi w:val="0"/>
      <w:spacing w:after="120"/>
      <w:ind w:left="720"/>
      <w:contextualSpacing/>
      <w:jc w:val="both"/>
    </w:pPr>
    <w:rPr>
      <w:rFonts w:ascii="Cambria" w:eastAsia="MS Mincho" w:hAnsi="Cambria" w:cs="Times New Roman"/>
      <w:sz w:val="24"/>
      <w:szCs w:val="20"/>
      <w:lang w:val="de-DE"/>
    </w:rPr>
  </w:style>
  <w:style w:type="paragraph" w:customStyle="1" w:styleId="ZZAnxheader">
    <w:name w:val="ZZ_Anx_header"/>
    <w:basedOn w:val="Normal-pool"/>
    <w:rsid w:val="00317E61"/>
    <w:rPr>
      <w:b/>
      <w:bCs/>
      <w:sz w:val="28"/>
      <w:szCs w:val="22"/>
    </w:rPr>
  </w:style>
  <w:style w:type="paragraph" w:customStyle="1" w:styleId="CH1">
    <w:name w:val="CH1"/>
    <w:basedOn w:val="Normal-pool"/>
    <w:next w:val="CH2"/>
    <w:rsid w:val="008A6A43"/>
    <w:pPr>
      <w:keepNext/>
      <w:keepLines/>
      <w:tabs>
        <w:tab w:val="right" w:pos="851"/>
      </w:tabs>
      <w:suppressAutoHyphens/>
      <w:spacing w:before="240" w:after="120"/>
      <w:ind w:left="1247" w:right="284" w:hanging="1247"/>
    </w:pPr>
    <w:rPr>
      <w:b/>
      <w:sz w:val="28"/>
      <w:szCs w:val="28"/>
    </w:rPr>
  </w:style>
  <w:style w:type="paragraph" w:customStyle="1" w:styleId="CH2">
    <w:name w:val="CH2"/>
    <w:basedOn w:val="Normal-pool"/>
    <w:next w:val="Normalnumber"/>
    <w:link w:val="CH2Char"/>
    <w:rsid w:val="008A6A43"/>
    <w:pPr>
      <w:keepNext/>
      <w:keepLines/>
      <w:tabs>
        <w:tab w:val="right" w:pos="624"/>
        <w:tab w:val="right" w:pos="851"/>
      </w:tabs>
      <w:suppressAutoHyphens/>
      <w:spacing w:before="120" w:after="120"/>
      <w:ind w:left="1871" w:right="284" w:hanging="1247"/>
    </w:pPr>
    <w:rPr>
      <w:b/>
      <w:sz w:val="24"/>
      <w:szCs w:val="24"/>
    </w:rPr>
  </w:style>
  <w:style w:type="character" w:customStyle="1" w:styleId="NormalnumberChar">
    <w:name w:val="Normal_number Char"/>
    <w:link w:val="Normalnumber"/>
    <w:rsid w:val="008A6A43"/>
  </w:style>
  <w:style w:type="character" w:customStyle="1" w:styleId="Heading2Char">
    <w:name w:val="Heading 2 Char"/>
    <w:link w:val="Heading2"/>
    <w:uiPriority w:val="9"/>
    <w:locked/>
    <w:rsid w:val="008A6A43"/>
    <w:rPr>
      <w:rFonts w:cs="Simplified Arabic"/>
      <w:sz w:val="22"/>
      <w:szCs w:val="28"/>
      <w:u w:val="single"/>
    </w:rPr>
  </w:style>
  <w:style w:type="character" w:customStyle="1" w:styleId="CH2Char">
    <w:name w:val="CH2 Char"/>
    <w:link w:val="CH2"/>
    <w:rsid w:val="008A6A43"/>
    <w:rPr>
      <w:rFonts w:cs="Times New Roman"/>
      <w:b/>
      <w:sz w:val="24"/>
      <w:szCs w:val="24"/>
      <w:lang w:val="en-GB"/>
    </w:rPr>
  </w:style>
  <w:style w:type="character" w:customStyle="1" w:styleId="HeaderChar">
    <w:name w:val="Header Char"/>
    <w:aliases w:val="EthylHeader Char"/>
    <w:link w:val="Header"/>
    <w:uiPriority w:val="99"/>
    <w:rsid w:val="008A6A43"/>
    <w:rPr>
      <w:rFonts w:ascii="Times" w:hAnsi="Times" w:cs="Simplified Arabic"/>
      <w:noProof/>
      <w:szCs w:val="24"/>
    </w:rPr>
  </w:style>
  <w:style w:type="character" w:customStyle="1" w:styleId="FooterChar">
    <w:name w:val="Footer Char"/>
    <w:aliases w:val=" Char Char,Char Char"/>
    <w:link w:val="Footer"/>
    <w:uiPriority w:val="99"/>
    <w:rsid w:val="008A6A43"/>
    <w:rPr>
      <w:rFonts w:ascii="Times" w:hAnsi="Times" w:cs="Simplified Arabic"/>
      <w:noProof/>
      <w:szCs w:val="24"/>
    </w:rPr>
  </w:style>
  <w:style w:type="character" w:customStyle="1" w:styleId="FootnoteTextChar">
    <w:name w:val="Footnote Text Char"/>
    <w:aliases w:val="DNV-FT Char,Geneva 9 Char,Font: Geneva 9 Char,Boston 10 Char,f Char,Footnote01 Char,-E Fußnotentext Char,ft Char,Fußnote Char,Fußnotentext Ursprung Char,fn Char,footnote text Char,Footnotes Char,Footnote ak Char,fn cafc Char"/>
    <w:link w:val="FootnoteText"/>
    <w:rsid w:val="008A6A43"/>
    <w:rPr>
      <w:rFonts w:ascii="Times" w:hAnsi="Times" w:cs="Simplified Arabic"/>
      <w:noProof/>
    </w:rPr>
  </w:style>
  <w:style w:type="paragraph" w:customStyle="1" w:styleId="AATitle">
    <w:name w:val="AA_Title"/>
    <w:basedOn w:val="Normal-pool"/>
    <w:rsid w:val="008A6A43"/>
    <w:pPr>
      <w:keepNext/>
      <w:keepLines/>
      <w:suppressAutoHyphens/>
      <w:ind w:right="3402"/>
    </w:pPr>
    <w:rPr>
      <w:b/>
    </w:rPr>
  </w:style>
  <w:style w:type="paragraph" w:customStyle="1" w:styleId="AATitle2">
    <w:name w:val="AA_Title2"/>
    <w:basedOn w:val="AATitle"/>
    <w:rsid w:val="008A6A43"/>
    <w:pPr>
      <w:spacing w:before="120" w:after="120"/>
      <w:ind w:right="1701"/>
    </w:pPr>
  </w:style>
  <w:style w:type="paragraph" w:customStyle="1" w:styleId="BBTitle">
    <w:name w:val="BB_Title"/>
    <w:basedOn w:val="Normal-pool"/>
    <w:rsid w:val="008A6A43"/>
    <w:pPr>
      <w:keepNext/>
      <w:keepLines/>
      <w:suppressAutoHyphens/>
      <w:spacing w:before="320" w:after="240"/>
      <w:ind w:left="1247" w:right="567"/>
    </w:pPr>
    <w:rPr>
      <w:b/>
      <w:sz w:val="28"/>
      <w:szCs w:val="28"/>
    </w:rPr>
  </w:style>
  <w:style w:type="numbering" w:customStyle="1" w:styleId="Normallist">
    <w:name w:val="Normal_list"/>
    <w:basedOn w:val="NoList"/>
    <w:rsid w:val="008A6A43"/>
    <w:pPr>
      <w:numPr>
        <w:numId w:val="5"/>
      </w:numPr>
    </w:pPr>
  </w:style>
  <w:style w:type="paragraph" w:customStyle="1" w:styleId="NormalNonumber">
    <w:name w:val="Normal_No_number"/>
    <w:basedOn w:val="Normal-pool"/>
    <w:rsid w:val="008A6A43"/>
    <w:pPr>
      <w:spacing w:after="120"/>
      <w:ind w:left="1247"/>
    </w:pPr>
  </w:style>
  <w:style w:type="paragraph" w:customStyle="1" w:styleId="Normalnumber">
    <w:name w:val="Normal_number"/>
    <w:basedOn w:val="Normal-pool"/>
    <w:link w:val="NormalnumberChar"/>
    <w:rsid w:val="008A6A43"/>
    <w:pPr>
      <w:numPr>
        <w:numId w:val="6"/>
      </w:numPr>
      <w:spacing w:after="120"/>
    </w:pPr>
    <w:rPr>
      <w:rFonts w:cs="Traditional Arabic"/>
      <w:lang w:val="en-US"/>
    </w:rPr>
  </w:style>
  <w:style w:type="paragraph" w:customStyle="1" w:styleId="ZZAnxtitle">
    <w:name w:val="ZZ_Anx_title"/>
    <w:basedOn w:val="Normal-pool"/>
    <w:rsid w:val="008A6A43"/>
    <w:pPr>
      <w:spacing w:before="360" w:after="120"/>
      <w:ind w:left="1247"/>
    </w:pPr>
    <w:rPr>
      <w:b/>
      <w:bCs/>
      <w:sz w:val="28"/>
      <w:szCs w:val="26"/>
    </w:rPr>
  </w:style>
  <w:style w:type="paragraph" w:customStyle="1" w:styleId="HCh">
    <w:name w:val="_ H _Ch"/>
    <w:basedOn w:val="Normal"/>
    <w:next w:val="SingleTxt"/>
    <w:rsid w:val="00516B35"/>
    <w:pPr>
      <w:keepNext/>
      <w:keepLines/>
      <w:suppressAutoHyphens/>
      <w:spacing w:line="450" w:lineRule="exact"/>
      <w:jc w:val="lowKashida"/>
      <w:outlineLvl w:val="0"/>
    </w:pPr>
    <w:rPr>
      <w:rFonts w:cs="Traditional Arabic"/>
      <w:b/>
      <w:bCs/>
      <w:spacing w:val="-2"/>
      <w:w w:val="103"/>
      <w:kern w:val="14"/>
      <w:sz w:val="28"/>
      <w:szCs w:val="38"/>
    </w:rPr>
  </w:style>
  <w:style w:type="paragraph" w:styleId="BalloonText">
    <w:name w:val="Balloon Text"/>
    <w:basedOn w:val="Normal"/>
    <w:link w:val="BalloonTextChar"/>
    <w:rsid w:val="004E3260"/>
    <w:rPr>
      <w:rFonts w:ascii="Tahoma" w:hAnsi="Tahoma" w:cs="Tahoma"/>
      <w:sz w:val="16"/>
      <w:szCs w:val="16"/>
    </w:rPr>
  </w:style>
  <w:style w:type="character" w:customStyle="1" w:styleId="BalloonTextChar">
    <w:name w:val="Balloon Text Char"/>
    <w:link w:val="BalloonText"/>
    <w:rsid w:val="004E3260"/>
    <w:rPr>
      <w:rFonts w:ascii="Tahoma" w:hAnsi="Tahoma" w:cs="Tahoma"/>
      <w:sz w:val="16"/>
      <w:szCs w:val="16"/>
    </w:rPr>
  </w:style>
  <w:style w:type="paragraph" w:styleId="Revision">
    <w:name w:val="Revision"/>
    <w:hidden/>
    <w:uiPriority w:val="99"/>
    <w:semiHidden/>
    <w:rsid w:val="00AB7674"/>
    <w:rPr>
      <w:rFonts w:cs="Simplified Arabic"/>
      <w:sz w:val="22"/>
      <w:szCs w:val="28"/>
    </w:rPr>
  </w:style>
  <w:style w:type="character" w:customStyle="1" w:styleId="DeltaViewInsertion">
    <w:name w:val="DeltaView Insertion"/>
    <w:uiPriority w:val="99"/>
    <w:rsid w:val="00597F50"/>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6C7A9-24E2-4E53-9982-560346795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UNEP/GC/25/00</vt:lpstr>
    </vt:vector>
  </TitlesOfParts>
  <Company>UNON</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UNEP/GC/25/00</dc:title>
  <dc:creator>ARABIC UNIT</dc:creator>
  <cp:lastModifiedBy>Sarah Banda-Genchev ( IPBES Secretariat )</cp:lastModifiedBy>
  <cp:revision>2</cp:revision>
  <cp:lastPrinted>2017-12-18T12:39:00Z</cp:lastPrinted>
  <dcterms:created xsi:type="dcterms:W3CDTF">2018-01-16T11:27:00Z</dcterms:created>
  <dcterms:modified xsi:type="dcterms:W3CDTF">2018-01-16T11:27:00Z</dcterms:modified>
</cp:coreProperties>
</file>