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545"/>
        <w:gridCol w:w="489"/>
        <w:gridCol w:w="515"/>
        <w:gridCol w:w="861"/>
        <w:gridCol w:w="1004"/>
        <w:gridCol w:w="2439"/>
        <w:gridCol w:w="717"/>
        <w:gridCol w:w="574"/>
        <w:gridCol w:w="1686"/>
      </w:tblGrid>
      <w:tr w:rsidR="00F9521B" w:rsidRPr="00B33F94" w14:paraId="6A8FDDA4" w14:textId="77777777" w:rsidTr="00F9521B">
        <w:trPr>
          <w:cantSplit/>
          <w:trHeight w:val="1079"/>
          <w:jc w:val="right"/>
        </w:trPr>
        <w:tc>
          <w:tcPr>
            <w:tcW w:w="1545" w:type="dxa"/>
          </w:tcPr>
          <w:p w14:paraId="02E1DA6E" w14:textId="77777777" w:rsidR="00F9521B" w:rsidRPr="00B33F94" w:rsidRDefault="00F9521B" w:rsidP="00CA18F4">
            <w:pPr>
              <w:pStyle w:val="Normal-pool"/>
              <w:tabs>
                <w:tab w:val="left" w:pos="4082"/>
              </w:tabs>
              <w:rPr>
                <w:sz w:val="27"/>
                <w:szCs w:val="27"/>
              </w:rPr>
            </w:pPr>
            <w:bookmarkStart w:id="0" w:name="_GoBack"/>
            <w:bookmarkEnd w:id="0"/>
            <w:r w:rsidRPr="00B33F94">
              <w:rPr>
                <w:rFonts w:ascii="Arial" w:hAnsi="Arial" w:cs="Arial"/>
                <w:b/>
                <w:noProof/>
                <w:sz w:val="27"/>
                <w:szCs w:val="27"/>
              </w:rPr>
              <w:t xml:space="preserve">UNITED </w:t>
            </w:r>
            <w:r w:rsidRPr="00B33F94">
              <w:rPr>
                <w:rFonts w:ascii="Arial" w:hAnsi="Arial" w:cs="Arial"/>
                <w:b/>
                <w:noProof/>
                <w:sz w:val="27"/>
                <w:szCs w:val="27"/>
              </w:rPr>
              <w:br/>
              <w:t>NATIONS</w:t>
            </w:r>
          </w:p>
        </w:tc>
        <w:tc>
          <w:tcPr>
            <w:tcW w:w="1004" w:type="dxa"/>
            <w:gridSpan w:val="2"/>
            <w:tcBorders>
              <w:left w:val="nil"/>
            </w:tcBorders>
            <w:vAlign w:val="center"/>
          </w:tcPr>
          <w:p w14:paraId="2D8562A3" w14:textId="77777777" w:rsidR="00F9521B" w:rsidRPr="00B33F94" w:rsidRDefault="00F9521B" w:rsidP="007818CF">
            <w:pPr>
              <w:ind w:left="-108"/>
              <w:jc w:val="center"/>
            </w:pPr>
            <w:r w:rsidRPr="00B33F94">
              <w:rPr>
                <w:noProof/>
                <w:lang w:eastAsia="en-GB"/>
              </w:rPr>
              <w:drawing>
                <wp:inline distT="0" distB="0" distL="0" distR="0" wp14:anchorId="17148F1D" wp14:editId="0AC3199D">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61" w:type="dxa"/>
            <w:tcBorders>
              <w:left w:val="nil"/>
            </w:tcBorders>
            <w:vAlign w:val="center"/>
          </w:tcPr>
          <w:p w14:paraId="7125D54A" w14:textId="77777777" w:rsidR="00F9521B" w:rsidRPr="00B33F94" w:rsidRDefault="00F9521B" w:rsidP="007818CF">
            <w:pPr>
              <w:ind w:left="-108"/>
              <w:jc w:val="center"/>
            </w:pPr>
            <w:r w:rsidRPr="00B33F94">
              <w:rPr>
                <w:noProof/>
                <w:lang w:eastAsia="en-GB"/>
              </w:rPr>
              <w:drawing>
                <wp:inline distT="0" distB="0" distL="0" distR="0" wp14:anchorId="79BA59D9" wp14:editId="7D15D469">
                  <wp:extent cx="468455" cy="492369"/>
                  <wp:effectExtent l="0" t="0" r="8255" b="3175"/>
                  <wp:docPr id="5" name="Picture 5" descr="Description: 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E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988" cy="490827"/>
                          </a:xfrm>
                          <a:prstGeom prst="rect">
                            <a:avLst/>
                          </a:prstGeom>
                          <a:noFill/>
                          <a:ln>
                            <a:noFill/>
                          </a:ln>
                        </pic:spPr>
                      </pic:pic>
                    </a:graphicData>
                  </a:graphic>
                </wp:inline>
              </w:drawing>
            </w:r>
          </w:p>
        </w:tc>
        <w:tc>
          <w:tcPr>
            <w:tcW w:w="1004" w:type="dxa"/>
            <w:tcBorders>
              <w:left w:val="nil"/>
            </w:tcBorders>
            <w:vAlign w:val="center"/>
          </w:tcPr>
          <w:p w14:paraId="53747310" w14:textId="77777777" w:rsidR="00F9521B" w:rsidRPr="00B33F94" w:rsidRDefault="00F9521B" w:rsidP="007818CF">
            <w:pPr>
              <w:ind w:left="-108"/>
              <w:jc w:val="center"/>
            </w:pPr>
            <w:r w:rsidRPr="00B33F94">
              <w:rPr>
                <w:noProof/>
                <w:lang w:eastAsia="en-GB"/>
              </w:rPr>
              <w:drawing>
                <wp:inline distT="0" distB="0" distL="0" distR="0" wp14:anchorId="4982C6A4" wp14:editId="390B5D37">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439" w:type="dxa"/>
            <w:tcBorders>
              <w:left w:val="nil"/>
            </w:tcBorders>
            <w:vAlign w:val="center"/>
          </w:tcPr>
          <w:p w14:paraId="356F1E54" w14:textId="77777777" w:rsidR="00F9521B" w:rsidRPr="00B33F94" w:rsidRDefault="00F9521B" w:rsidP="007818CF">
            <w:pPr>
              <w:ind w:left="-108"/>
            </w:pPr>
            <w:r w:rsidRPr="00B33F94">
              <w:rPr>
                <w:noProof/>
                <w:lang w:eastAsia="en-GB"/>
              </w:rPr>
              <w:drawing>
                <wp:inline distT="0" distB="0" distL="0" distR="0" wp14:anchorId="0403E671" wp14:editId="24AC4043">
                  <wp:extent cx="1518138" cy="527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3lines_en_Bla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8139" cy="527539"/>
                          </a:xfrm>
                          <a:prstGeom prst="rect">
                            <a:avLst/>
                          </a:prstGeom>
                        </pic:spPr>
                      </pic:pic>
                    </a:graphicData>
                  </a:graphic>
                </wp:inline>
              </w:drawing>
            </w:r>
          </w:p>
        </w:tc>
        <w:tc>
          <w:tcPr>
            <w:tcW w:w="717" w:type="dxa"/>
            <w:tcBorders>
              <w:left w:val="nil"/>
              <w:right w:val="nil"/>
            </w:tcBorders>
          </w:tcPr>
          <w:p w14:paraId="02EB5D7A" w14:textId="77777777" w:rsidR="00F9521B" w:rsidRPr="00B33F94" w:rsidRDefault="00F9521B" w:rsidP="007818CF">
            <w:pPr>
              <w:jc w:val="center"/>
            </w:pPr>
            <w:r w:rsidRPr="00B33F94">
              <w:rPr>
                <w:noProof/>
                <w:lang w:eastAsia="en-GB"/>
              </w:rPr>
              <w:drawing>
                <wp:inline distT="0" distB="0" distL="0" distR="0" wp14:anchorId="7F2A218E" wp14:editId="0E562EEA">
                  <wp:extent cx="287215" cy="562232"/>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215" cy="562232"/>
                          </a:xfrm>
                          <a:prstGeom prst="rect">
                            <a:avLst/>
                          </a:prstGeom>
                          <a:noFill/>
                          <a:ln>
                            <a:noFill/>
                          </a:ln>
                        </pic:spPr>
                      </pic:pic>
                    </a:graphicData>
                  </a:graphic>
                </wp:inline>
              </w:drawing>
            </w:r>
          </w:p>
        </w:tc>
        <w:tc>
          <w:tcPr>
            <w:tcW w:w="574" w:type="dxa"/>
            <w:tcBorders>
              <w:left w:val="nil"/>
            </w:tcBorders>
            <w:vAlign w:val="center"/>
          </w:tcPr>
          <w:p w14:paraId="1A6DC672" w14:textId="77777777" w:rsidR="00F9521B" w:rsidRPr="00B33F94" w:rsidRDefault="00F9521B" w:rsidP="007818CF">
            <w:pPr>
              <w:jc w:val="center"/>
            </w:pPr>
          </w:p>
        </w:tc>
        <w:tc>
          <w:tcPr>
            <w:tcW w:w="1686" w:type="dxa"/>
          </w:tcPr>
          <w:p w14:paraId="0062D4F1" w14:textId="77777777" w:rsidR="00F9521B" w:rsidRPr="00B33F94" w:rsidRDefault="00F9521B" w:rsidP="00711652">
            <w:pPr>
              <w:pStyle w:val="Normal-pool"/>
              <w:tabs>
                <w:tab w:val="left" w:pos="4082"/>
              </w:tabs>
              <w:rPr>
                <w:rFonts w:ascii="Arial" w:hAnsi="Arial" w:cs="Arial"/>
                <w:b/>
                <w:sz w:val="64"/>
                <w:szCs w:val="64"/>
              </w:rPr>
            </w:pPr>
            <w:r w:rsidRPr="00B33F94">
              <w:rPr>
                <w:rFonts w:ascii="Arial" w:hAnsi="Arial" w:cs="Arial"/>
                <w:b/>
                <w:sz w:val="64"/>
                <w:szCs w:val="64"/>
              </w:rPr>
              <w:t>BES</w:t>
            </w:r>
          </w:p>
        </w:tc>
      </w:tr>
      <w:tr w:rsidR="00F9521B" w:rsidRPr="00B33F94" w14:paraId="79E734DA" w14:textId="77777777" w:rsidTr="00F9521B">
        <w:trPr>
          <w:cantSplit/>
          <w:trHeight w:val="282"/>
          <w:jc w:val="right"/>
        </w:trPr>
        <w:tc>
          <w:tcPr>
            <w:tcW w:w="1545" w:type="dxa"/>
            <w:tcBorders>
              <w:bottom w:val="single" w:sz="2" w:space="0" w:color="auto"/>
            </w:tcBorders>
          </w:tcPr>
          <w:p w14:paraId="2C36D058" w14:textId="77777777" w:rsidR="00F9521B" w:rsidRPr="00B33F94" w:rsidRDefault="00F9521B" w:rsidP="00CA18F4">
            <w:pPr>
              <w:pStyle w:val="Normal-pool"/>
            </w:pPr>
          </w:p>
        </w:tc>
        <w:tc>
          <w:tcPr>
            <w:tcW w:w="6025" w:type="dxa"/>
            <w:gridSpan w:val="6"/>
            <w:tcBorders>
              <w:bottom w:val="single" w:sz="2" w:space="0" w:color="auto"/>
            </w:tcBorders>
          </w:tcPr>
          <w:p w14:paraId="4DE39A2F" w14:textId="77777777" w:rsidR="00F9521B" w:rsidRPr="00B33F94" w:rsidRDefault="00F9521B" w:rsidP="00CA18F4">
            <w:pPr>
              <w:pStyle w:val="Normal-pool"/>
            </w:pPr>
          </w:p>
        </w:tc>
        <w:tc>
          <w:tcPr>
            <w:tcW w:w="2260" w:type="dxa"/>
            <w:gridSpan w:val="2"/>
            <w:tcBorders>
              <w:bottom w:val="single" w:sz="2" w:space="0" w:color="auto"/>
            </w:tcBorders>
          </w:tcPr>
          <w:p w14:paraId="2F9ECB3A" w14:textId="77777777" w:rsidR="00F9521B" w:rsidRPr="00B33F94" w:rsidRDefault="00F9521B" w:rsidP="00CA18F4">
            <w:pPr>
              <w:pStyle w:val="Normal-pool"/>
            </w:pPr>
            <w:r w:rsidRPr="00B33F94">
              <w:rPr>
                <w:b/>
                <w:sz w:val="24"/>
                <w:szCs w:val="24"/>
              </w:rPr>
              <w:t>IPBES</w:t>
            </w:r>
            <w:r w:rsidR="00EA5E5C" w:rsidRPr="00B33F94">
              <w:t>/6</w:t>
            </w:r>
            <w:r w:rsidRPr="00B33F94">
              <w:t>/</w:t>
            </w:r>
            <w:r w:rsidR="00D14D0C" w:rsidRPr="00B33F94">
              <w:t>14</w:t>
            </w:r>
          </w:p>
        </w:tc>
      </w:tr>
      <w:tr w:rsidR="00F9521B" w:rsidRPr="00B33F94" w14:paraId="032D5D35" w14:textId="77777777" w:rsidTr="00F9521B">
        <w:trPr>
          <w:cantSplit/>
          <w:trHeight w:val="1433"/>
          <w:jc w:val="right"/>
        </w:trPr>
        <w:tc>
          <w:tcPr>
            <w:tcW w:w="2034" w:type="dxa"/>
            <w:gridSpan w:val="2"/>
            <w:tcBorders>
              <w:top w:val="single" w:sz="2" w:space="0" w:color="auto"/>
              <w:bottom w:val="single" w:sz="24" w:space="0" w:color="auto"/>
            </w:tcBorders>
          </w:tcPr>
          <w:p w14:paraId="35E385A8" w14:textId="77777777" w:rsidR="00F9521B" w:rsidRPr="00B33F94" w:rsidRDefault="00F9521B" w:rsidP="007818CF">
            <w:pPr>
              <w:spacing w:before="240" w:after="240"/>
              <w:rPr>
                <w:rFonts w:ascii="Arial" w:hAnsi="Arial" w:cs="Arial"/>
                <w:b/>
                <w:sz w:val="28"/>
                <w:szCs w:val="28"/>
              </w:rPr>
            </w:pPr>
            <w:r w:rsidRPr="00B33F94">
              <w:rPr>
                <w:rFonts w:ascii="Arial" w:hAnsi="Arial" w:cs="Arial"/>
                <w:b/>
                <w:noProof/>
                <w:sz w:val="28"/>
                <w:szCs w:val="28"/>
                <w:lang w:eastAsia="en-GB"/>
              </w:rPr>
              <w:drawing>
                <wp:inline distT="0" distB="0" distL="0" distR="0" wp14:anchorId="1B5270E5" wp14:editId="44C1C946">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536" w:type="dxa"/>
            <w:gridSpan w:val="5"/>
            <w:tcBorders>
              <w:top w:val="single" w:sz="2" w:space="0" w:color="auto"/>
              <w:bottom w:val="single" w:sz="24" w:space="0" w:color="auto"/>
            </w:tcBorders>
          </w:tcPr>
          <w:p w14:paraId="748B5E9C" w14:textId="77777777" w:rsidR="00F9521B" w:rsidRPr="00B33F94" w:rsidRDefault="00F9521B" w:rsidP="00CA18F4">
            <w:pPr>
              <w:pStyle w:val="Normal-pool"/>
              <w:tabs>
                <w:tab w:val="left" w:pos="4082"/>
              </w:tabs>
              <w:spacing w:before="120" w:after="240"/>
            </w:pPr>
            <w:r w:rsidRPr="00B33F94">
              <w:rPr>
                <w:rFonts w:ascii="Arial" w:hAnsi="Arial" w:cs="Arial"/>
                <w:b/>
                <w:sz w:val="28"/>
                <w:szCs w:val="28"/>
              </w:rPr>
              <w:t>Intergovernmental Science-Policy Platform on Biodiversity and Ecosystem Services</w:t>
            </w:r>
          </w:p>
        </w:tc>
        <w:tc>
          <w:tcPr>
            <w:tcW w:w="2260" w:type="dxa"/>
            <w:gridSpan w:val="2"/>
            <w:tcBorders>
              <w:top w:val="single" w:sz="2" w:space="0" w:color="auto"/>
              <w:bottom w:val="single" w:sz="24" w:space="0" w:color="auto"/>
            </w:tcBorders>
          </w:tcPr>
          <w:p w14:paraId="21B98C0C" w14:textId="6C6D15B2" w:rsidR="00F9521B" w:rsidRPr="00B33F94" w:rsidRDefault="00F9521B" w:rsidP="00CA18F4">
            <w:pPr>
              <w:pStyle w:val="Normal-pool"/>
              <w:spacing w:before="120"/>
            </w:pPr>
            <w:r w:rsidRPr="00B33F94">
              <w:t>Distr.: General</w:t>
            </w:r>
            <w:r w:rsidRPr="00B33F94">
              <w:br/>
            </w:r>
            <w:r w:rsidR="00E90887" w:rsidRPr="00B33F94">
              <w:t>30 November 2017</w:t>
            </w:r>
          </w:p>
          <w:p w14:paraId="663E681F" w14:textId="77777777" w:rsidR="00F9521B" w:rsidRPr="00B33F94" w:rsidRDefault="00F9521B" w:rsidP="00CA18F4">
            <w:pPr>
              <w:pStyle w:val="Normal-pool"/>
              <w:spacing w:before="120"/>
            </w:pPr>
            <w:r w:rsidRPr="00B33F94">
              <w:t>Original: English</w:t>
            </w:r>
          </w:p>
        </w:tc>
      </w:tr>
    </w:tbl>
    <w:p w14:paraId="7E5D7BF6" w14:textId="77777777" w:rsidR="00F9521B" w:rsidRPr="00B33F94" w:rsidRDefault="00F9521B" w:rsidP="00830C87">
      <w:pPr>
        <w:pStyle w:val="AATitle"/>
      </w:pPr>
      <w:r w:rsidRPr="00B33F94">
        <w:t>Plenary of the Intergovernmental Science-Policy</w:t>
      </w:r>
    </w:p>
    <w:p w14:paraId="63699809" w14:textId="77777777" w:rsidR="00F9521B" w:rsidRPr="00B33F94" w:rsidRDefault="00F9521B" w:rsidP="00830C87">
      <w:pPr>
        <w:pStyle w:val="AATitle"/>
      </w:pPr>
      <w:r w:rsidRPr="00B33F94">
        <w:t>Platform on Biodiversity and Ecosystem Services</w:t>
      </w:r>
    </w:p>
    <w:p w14:paraId="64FA7200" w14:textId="77777777" w:rsidR="00EC6548" w:rsidRPr="00B33F94" w:rsidRDefault="00EC6548" w:rsidP="00830C87">
      <w:pPr>
        <w:pStyle w:val="AATitle"/>
      </w:pPr>
      <w:r w:rsidRPr="00B33F94">
        <w:t>Sixth session</w:t>
      </w:r>
    </w:p>
    <w:p w14:paraId="76F456F1" w14:textId="77777777" w:rsidR="00EC6548" w:rsidRPr="00B33F94" w:rsidRDefault="00EC6548" w:rsidP="00830C87">
      <w:pPr>
        <w:pStyle w:val="AATitle"/>
        <w:rPr>
          <w:b w:val="0"/>
        </w:rPr>
      </w:pPr>
      <w:r w:rsidRPr="00B33F94">
        <w:rPr>
          <w:b w:val="0"/>
        </w:rPr>
        <w:t xml:space="preserve">Medellin, </w:t>
      </w:r>
      <w:r w:rsidR="00E96B62" w:rsidRPr="00B33F94">
        <w:rPr>
          <w:b w:val="0"/>
        </w:rPr>
        <w:t>Colombia, 18</w:t>
      </w:r>
      <w:r w:rsidRPr="00B33F94">
        <w:rPr>
          <w:b w:val="0"/>
        </w:rPr>
        <w:t>–24 March 2018</w:t>
      </w:r>
    </w:p>
    <w:p w14:paraId="16B85FCD" w14:textId="77777777" w:rsidR="00F9521B" w:rsidRPr="00B33F94" w:rsidRDefault="00D14D0C" w:rsidP="00830C87">
      <w:pPr>
        <w:pStyle w:val="AATitle"/>
        <w:rPr>
          <w:b w:val="0"/>
        </w:rPr>
      </w:pPr>
      <w:r w:rsidRPr="00B33F94">
        <w:rPr>
          <w:b w:val="0"/>
        </w:rPr>
        <w:t xml:space="preserve">Item 3 </w:t>
      </w:r>
      <w:r w:rsidR="001B40EE" w:rsidRPr="00B33F94">
        <w:rPr>
          <w:b w:val="0"/>
        </w:rPr>
        <w:t>of the provisional agenda</w:t>
      </w:r>
      <w:r w:rsidR="001B40EE" w:rsidRPr="00B33F94">
        <w:footnoteReference w:customMarkFollows="1" w:id="1"/>
        <w:t>*</w:t>
      </w:r>
    </w:p>
    <w:p w14:paraId="3A4005E1" w14:textId="74C5DC22" w:rsidR="00D14D0C" w:rsidRPr="00B33F94" w:rsidRDefault="00D14D0C" w:rsidP="007D5C8A">
      <w:pPr>
        <w:pStyle w:val="AATitle2"/>
        <w:spacing w:before="60"/>
      </w:pPr>
      <w:r w:rsidRPr="00B33F94">
        <w:t xml:space="preserve">Admission of observers to the sixth session of the </w:t>
      </w:r>
      <w:r w:rsidR="007D5C8A" w:rsidRPr="00B33F94">
        <w:br/>
      </w:r>
      <w:r w:rsidRPr="00B33F94">
        <w:t>Plenary of the Platform</w:t>
      </w:r>
    </w:p>
    <w:p w14:paraId="1BE82336" w14:textId="77777777" w:rsidR="00D14D0C" w:rsidRPr="00B33F94" w:rsidRDefault="00D14D0C" w:rsidP="007D5C8A">
      <w:pPr>
        <w:pStyle w:val="BBTitle"/>
      </w:pPr>
      <w:r w:rsidRPr="00B33F94">
        <w:t>Draft policy and procedures for the admission of observers</w:t>
      </w:r>
    </w:p>
    <w:p w14:paraId="339B9C65" w14:textId="4F5A853B" w:rsidR="00D14D0C" w:rsidRPr="00B33F94" w:rsidRDefault="00D14D0C" w:rsidP="007D5C8A">
      <w:pPr>
        <w:pStyle w:val="CH2"/>
      </w:pPr>
      <w:r w:rsidRPr="00B33F94">
        <w:t>Note by the secretariat</w:t>
      </w:r>
    </w:p>
    <w:p w14:paraId="73CB96FF" w14:textId="3293C776" w:rsidR="00A7486A" w:rsidRPr="00B33F94" w:rsidRDefault="00D14D0C" w:rsidP="00711652">
      <w:pPr>
        <w:pStyle w:val="Normal-pool"/>
        <w:tabs>
          <w:tab w:val="clear" w:pos="1247"/>
          <w:tab w:val="clear" w:pos="1814"/>
          <w:tab w:val="clear" w:pos="2381"/>
          <w:tab w:val="clear" w:pos="2948"/>
          <w:tab w:val="clear" w:pos="3515"/>
          <w:tab w:val="left" w:pos="624"/>
        </w:tabs>
        <w:spacing w:after="120"/>
        <w:ind w:left="1247" w:firstLine="624"/>
      </w:pPr>
      <w:r w:rsidRPr="00B33F94">
        <w:t>The annex to the present note sets out the draft policy and procedures for the admission of observers</w:t>
      </w:r>
      <w:r w:rsidR="00FB205C" w:rsidRPr="00B33F94">
        <w:t>,</w:t>
      </w:r>
      <w:r w:rsidRPr="00B33F94">
        <w:t xml:space="preserve"> as considered by the Plenary of the Intergovernmental Science-Policy Platform on Biodiversity and Ecosystem Services (IPBES) at its first five sessions. There being no consensus at the fifth session, the Plenary decided that the interim procedure for the admission of observers to sessions of the Plenary, as described in paragraph 22 of the report of the first session of the Plenary (IPBES/1/12) and applied at its second, third, fourth and fifth sessions, would also be applied at its sixth session. The Plenary also decided that</w:t>
      </w:r>
      <w:r w:rsidR="00FB205C" w:rsidRPr="00B33F94">
        <w:t>,</w:t>
      </w:r>
      <w:r w:rsidRPr="00B33F94">
        <w:t xml:space="preserve"> at its sixth session</w:t>
      </w:r>
      <w:r w:rsidR="00FB205C" w:rsidRPr="00B33F94">
        <w:t>,</w:t>
      </w:r>
      <w:r w:rsidRPr="00B33F94">
        <w:t xml:space="preserve"> it would again consider the draft policy and procedures for the admission of observers. The draft text is therefore set out in the annex to the present note for consideration by the Plenary at its sixth session. In addition, the list of observers proposed by the Chair of IPBES for admission to the sixth session of the Plenary will be made available in document IPBES/</w:t>
      </w:r>
      <w:r w:rsidR="005446C7" w:rsidRPr="00B33F94">
        <w:t>6</w:t>
      </w:r>
      <w:r w:rsidRPr="00B33F94">
        <w:t>/INF/23</w:t>
      </w:r>
      <w:r w:rsidR="00E076C0" w:rsidRPr="00B33F94">
        <w:t>.</w:t>
      </w:r>
    </w:p>
    <w:p w14:paraId="7468CA59" w14:textId="77777777" w:rsidR="00830C87" w:rsidRPr="00B33F94" w:rsidRDefault="00830C87">
      <w:r w:rsidRPr="00B33F94">
        <w:rPr>
          <w:rFonts w:eastAsia="Calibri"/>
          <w:w w:val="103"/>
        </w:rPr>
        <w:br w:type="page"/>
      </w:r>
    </w:p>
    <w:p w14:paraId="646C9957" w14:textId="158A443E" w:rsidR="0058611F" w:rsidRPr="00B33F94" w:rsidRDefault="0058611F" w:rsidP="00711652">
      <w:pPr>
        <w:pStyle w:val="ZZAnxheader"/>
      </w:pPr>
      <w:r w:rsidRPr="00B33F94">
        <w:lastRenderedPageBreak/>
        <w:t>Annex</w:t>
      </w:r>
    </w:p>
    <w:p w14:paraId="792876CE" w14:textId="72608B7A" w:rsidR="00D14D0C" w:rsidRPr="00B33F94" w:rsidRDefault="00E8253C" w:rsidP="00711652">
      <w:pPr>
        <w:pStyle w:val="ZZAnxtitle"/>
        <w:tabs>
          <w:tab w:val="left" w:pos="4082"/>
        </w:tabs>
      </w:pPr>
      <w:r w:rsidRPr="00B33F94">
        <w:t>[</w:t>
      </w:r>
      <w:r w:rsidR="00D14D0C" w:rsidRPr="00B33F94">
        <w:t>Draft policy and procedures for the admission of observers</w:t>
      </w:r>
    </w:p>
    <w:p w14:paraId="2062C163" w14:textId="5BF3BB97" w:rsidR="00D14D0C" w:rsidRPr="00B33F94" w:rsidRDefault="00D14D0C" w:rsidP="00711652">
      <w:pPr>
        <w:pStyle w:val="CH1"/>
      </w:pPr>
      <w:r w:rsidRPr="00B33F94">
        <w:tab/>
        <w:t>I.</w:t>
      </w:r>
      <w:r w:rsidRPr="00B33F94">
        <w:tab/>
        <w:t>Policy for admission of observers to the Plenary of the Intergovernmental Science-Policy Platform on Biodiversity and Ecosystem Services</w:t>
      </w:r>
    </w:p>
    <w:p w14:paraId="529E4E75" w14:textId="5D23C8A6" w:rsidR="00E2639D" w:rsidRPr="00B33F94" w:rsidRDefault="00D14D0C" w:rsidP="00711652">
      <w:pPr>
        <w:pStyle w:val="Normal-pool"/>
        <w:tabs>
          <w:tab w:val="clear" w:pos="1247"/>
          <w:tab w:val="clear" w:pos="1814"/>
          <w:tab w:val="clear" w:pos="2381"/>
          <w:tab w:val="clear" w:pos="2948"/>
          <w:tab w:val="clear" w:pos="3515"/>
          <w:tab w:val="left" w:pos="624"/>
        </w:tabs>
        <w:spacing w:after="120"/>
        <w:ind w:left="1247" w:firstLine="624"/>
      </w:pPr>
      <w:r w:rsidRPr="00B33F94">
        <w:t xml:space="preserve">The following policy for admitting observers to sessions of the Plenary of the Intergovernmental Science-Policy Platform on Biodiversity and Ecosystem Services (IPBES) will apply: </w:t>
      </w:r>
    </w:p>
    <w:p w14:paraId="61583941" w14:textId="40D55FE5" w:rsidR="00D14D0C" w:rsidRPr="00B33F94" w:rsidRDefault="00D14D0C" w:rsidP="00711652">
      <w:pPr>
        <w:pStyle w:val="Normalnumber"/>
        <w:numPr>
          <w:ilvl w:val="0"/>
          <w:numId w:val="30"/>
        </w:numPr>
        <w:ind w:firstLine="624"/>
      </w:pPr>
      <w:r w:rsidRPr="00B33F94">
        <w:t xml:space="preserve">“Observer” means any State not a member of the Platform and </w:t>
      </w:r>
      <w:proofErr w:type="spellStart"/>
      <w:r w:rsidRPr="00B33F94">
        <w:t>any body</w:t>
      </w:r>
      <w:proofErr w:type="spellEnd"/>
      <w:r w:rsidRPr="00B33F94">
        <w:t>, organization or agency, whether national or international, governmental, intergovernmental or non-governmental, including organizations of and representatives of indigenous peoples and local communities, which is qualified in matters covered by the Platform, and which has informed the secretariat of the Platform of its wish to be represented at sessions of the Plenary, subject to the provisions set out in the rules of procedure.</w:t>
      </w:r>
      <w:r w:rsidRPr="00B33F94">
        <w:rPr>
          <w:vertAlign w:val="superscript"/>
        </w:rPr>
        <w:footnoteReference w:id="2"/>
      </w:r>
    </w:p>
    <w:p w14:paraId="10995273" w14:textId="46CED383" w:rsidR="00D14D0C" w:rsidRPr="00B33F94" w:rsidRDefault="00D14D0C" w:rsidP="00D14D0C">
      <w:pPr>
        <w:pStyle w:val="Normalnumber"/>
        <w:numPr>
          <w:ilvl w:val="0"/>
          <w:numId w:val="30"/>
        </w:numPr>
        <w:ind w:firstLine="624"/>
      </w:pPr>
      <w:r w:rsidRPr="00B33F94">
        <w:t>Any Member State of the United Nations or Observer State to the United Nations not a member of the Platform will be considered as admitted by the Plenary as an Observer and need not submit an application or other documentation.</w:t>
      </w:r>
    </w:p>
    <w:p w14:paraId="64FCC577" w14:textId="370C7A18" w:rsidR="00D14D0C" w:rsidRPr="00B33F94" w:rsidRDefault="00D14D0C" w:rsidP="00D14D0C">
      <w:pPr>
        <w:pStyle w:val="Normalnumber"/>
        <w:numPr>
          <w:ilvl w:val="0"/>
          <w:numId w:val="30"/>
        </w:numPr>
        <w:ind w:firstLine="624"/>
      </w:pPr>
      <w:r w:rsidRPr="00B33F94">
        <w:t>United Nations bodies and secretariats of multilateral environment agreements are considered Observers of the Platform and need not submit an application or other documentation.</w:t>
      </w:r>
    </w:p>
    <w:p w14:paraId="50304F34" w14:textId="7FFE9F45" w:rsidR="00D14D0C" w:rsidRPr="00B33F94" w:rsidRDefault="00D14D0C" w:rsidP="00D14D0C">
      <w:pPr>
        <w:pStyle w:val="Normalnumber"/>
        <w:numPr>
          <w:ilvl w:val="0"/>
          <w:numId w:val="30"/>
        </w:numPr>
        <w:ind w:firstLine="624"/>
      </w:pPr>
      <w:r w:rsidRPr="00B33F94">
        <w:t>The decision as to whether an applicant for Observer status is qualified in matters covered by the Platform should be guided by the documents submitted by the respective organization, as listed in paragraph 10 of the present document, as well as by the functions and operating principles of IPBES.</w:t>
      </w:r>
    </w:p>
    <w:p w14:paraId="685B6A16" w14:textId="059B714D" w:rsidR="00D14D0C" w:rsidRPr="00B33F94" w:rsidRDefault="00D14D0C" w:rsidP="00D14D0C">
      <w:pPr>
        <w:pStyle w:val="Normalnumber"/>
        <w:numPr>
          <w:ilvl w:val="0"/>
          <w:numId w:val="30"/>
        </w:numPr>
        <w:ind w:firstLine="624"/>
      </w:pPr>
      <w:r w:rsidRPr="00B33F94">
        <w:t>Bodies, organizations and agencies that already have observer status with or are accredited to the United Nations Environment Programme (UNEP), the United Nations Educational, Scientific and Cultural Organization (UNESCO), the Food and Agriculture Organization of the United Nations (FAO) and the United Nations Development Programme (UNDP) are considered Observers of the Platform if they so request, except as the Plenary otherwise decides.</w:t>
      </w:r>
    </w:p>
    <w:p w14:paraId="1601B2EC" w14:textId="7A0AEF73" w:rsidR="00D14D0C" w:rsidRPr="00B33F94" w:rsidRDefault="00D14D0C" w:rsidP="00D14D0C">
      <w:pPr>
        <w:pStyle w:val="Normalnumber"/>
        <w:numPr>
          <w:ilvl w:val="0"/>
          <w:numId w:val="30"/>
        </w:numPr>
        <w:tabs>
          <w:tab w:val="clear" w:pos="1247"/>
          <w:tab w:val="clear" w:pos="1814"/>
          <w:tab w:val="clear" w:pos="2381"/>
          <w:tab w:val="clear" w:pos="2948"/>
          <w:tab w:val="clear" w:pos="3515"/>
        </w:tabs>
        <w:ind w:firstLine="624"/>
      </w:pPr>
      <w:r w:rsidRPr="00B33F94">
        <w:t>Observers to IPBES-1 will be considered admitted by the Plenary as Observers in subsequent meetings of the Plenary and need not submit an application or other documentation except if the Plenary decides otherwise.</w:t>
      </w:r>
    </w:p>
    <w:p w14:paraId="5A39D4E9" w14:textId="27156F13" w:rsidR="00D14D0C" w:rsidRPr="00B33F94" w:rsidRDefault="00D14D0C" w:rsidP="00D14D0C">
      <w:pPr>
        <w:pStyle w:val="Normalnumber"/>
        <w:numPr>
          <w:ilvl w:val="0"/>
          <w:numId w:val="30"/>
        </w:numPr>
        <w:tabs>
          <w:tab w:val="clear" w:pos="1247"/>
          <w:tab w:val="clear" w:pos="1814"/>
          <w:tab w:val="clear" w:pos="2381"/>
          <w:tab w:val="clear" w:pos="2948"/>
          <w:tab w:val="clear" w:pos="3515"/>
        </w:tabs>
        <w:ind w:firstLine="624"/>
      </w:pPr>
      <w:r w:rsidRPr="00B33F94">
        <w:t xml:space="preserve">Only Observers who have been admitted by the Plenary and have registered for specific sessions may designate representatives to attend sessions of the Plenary. Observers must register their representatives in advance of each session. </w:t>
      </w:r>
    </w:p>
    <w:p w14:paraId="77A9CBED" w14:textId="150ADE7D" w:rsidR="00D14D0C" w:rsidRPr="00B33F94" w:rsidRDefault="00D14D0C" w:rsidP="00D14D0C">
      <w:pPr>
        <w:pStyle w:val="Normalnumber"/>
        <w:numPr>
          <w:ilvl w:val="0"/>
          <w:numId w:val="30"/>
        </w:numPr>
        <w:tabs>
          <w:tab w:val="clear" w:pos="1247"/>
          <w:tab w:val="clear" w:pos="1814"/>
          <w:tab w:val="clear" w:pos="2381"/>
          <w:tab w:val="clear" w:pos="2948"/>
          <w:tab w:val="clear" w:pos="3515"/>
        </w:tabs>
        <w:ind w:firstLine="624"/>
      </w:pPr>
      <w:r w:rsidRPr="00B33F94">
        <w:t xml:space="preserve">The secretariat will notify Observers of sessions of the Plenary. </w:t>
      </w:r>
    </w:p>
    <w:p w14:paraId="480148C5" w14:textId="656F8C72" w:rsidR="00D14D0C" w:rsidRPr="00B33F94" w:rsidRDefault="00D14D0C" w:rsidP="00D14D0C">
      <w:pPr>
        <w:pStyle w:val="Normalnumber"/>
        <w:numPr>
          <w:ilvl w:val="0"/>
          <w:numId w:val="30"/>
        </w:numPr>
        <w:tabs>
          <w:tab w:val="clear" w:pos="1247"/>
          <w:tab w:val="clear" w:pos="1814"/>
          <w:tab w:val="clear" w:pos="2381"/>
          <w:tab w:val="clear" w:pos="2948"/>
          <w:tab w:val="clear" w:pos="3515"/>
        </w:tabs>
        <w:ind w:firstLine="624"/>
      </w:pPr>
      <w:r w:rsidRPr="00B33F94">
        <w:t>United Nations organizations and other international and intergovernmental organizations, as well as other Observers, will be provided with designation plates, where such facilities exist at the meeting venue.</w:t>
      </w:r>
    </w:p>
    <w:p w14:paraId="74518933" w14:textId="036BD047" w:rsidR="00D14D0C" w:rsidRPr="00B33F94" w:rsidRDefault="00D14D0C" w:rsidP="00711652">
      <w:pPr>
        <w:pStyle w:val="CH1"/>
      </w:pPr>
      <w:r w:rsidRPr="00B33F94">
        <w:lastRenderedPageBreak/>
        <w:tab/>
        <w:t>II.</w:t>
      </w:r>
      <w:r w:rsidRPr="00B33F94">
        <w:tab/>
        <w:t>Procedures for admission of observers</w:t>
      </w:r>
    </w:p>
    <w:p w14:paraId="77096F59" w14:textId="2FFCCFC9" w:rsidR="00D14D0C" w:rsidRPr="00B33F94" w:rsidRDefault="00D14D0C" w:rsidP="00E8253C">
      <w:pPr>
        <w:pStyle w:val="Normalnumber"/>
        <w:keepNext/>
        <w:keepLines/>
        <w:numPr>
          <w:ilvl w:val="0"/>
          <w:numId w:val="30"/>
        </w:numPr>
        <w:tabs>
          <w:tab w:val="clear" w:pos="1247"/>
          <w:tab w:val="clear" w:pos="1814"/>
          <w:tab w:val="clear" w:pos="2381"/>
          <w:tab w:val="clear" w:pos="2948"/>
          <w:tab w:val="clear" w:pos="3515"/>
        </w:tabs>
        <w:ind w:firstLine="624"/>
      </w:pPr>
      <w:r w:rsidRPr="00B33F94">
        <w:t>The following admission process applies</w:t>
      </w:r>
      <w:r w:rsidR="00E8253C" w:rsidRPr="00B33F94">
        <w:t>:</w:t>
      </w:r>
    </w:p>
    <w:p w14:paraId="4001930E" w14:textId="26D4C37D" w:rsidR="00D14D0C" w:rsidRPr="00B33F94" w:rsidRDefault="00D14D0C" w:rsidP="00E8253C">
      <w:pPr>
        <w:pStyle w:val="Normalnumber"/>
        <w:keepNext/>
        <w:keepLines/>
        <w:numPr>
          <w:ilvl w:val="0"/>
          <w:numId w:val="30"/>
        </w:numPr>
        <w:tabs>
          <w:tab w:val="clear" w:pos="1247"/>
          <w:tab w:val="clear" w:pos="1814"/>
          <w:tab w:val="clear" w:pos="2381"/>
          <w:tab w:val="clear" w:pos="2948"/>
          <w:tab w:val="clear" w:pos="3515"/>
        </w:tabs>
        <w:ind w:firstLine="624"/>
      </w:pPr>
      <w:r w:rsidRPr="00B33F94">
        <w:t xml:space="preserve">Applicants for Observer status to sessions of the Plenary will, as appropriate, be asked to provide the secretariat with copies of, among other things: </w:t>
      </w:r>
    </w:p>
    <w:p w14:paraId="17736551" w14:textId="6280AF44" w:rsidR="00D14D0C" w:rsidRPr="00B33F94" w:rsidRDefault="00D14D0C" w:rsidP="00E8253C">
      <w:pPr>
        <w:pStyle w:val="Normalnumber"/>
        <w:keepNext/>
        <w:keepLines/>
        <w:numPr>
          <w:ilvl w:val="1"/>
          <w:numId w:val="30"/>
        </w:numPr>
        <w:tabs>
          <w:tab w:val="clear" w:pos="1247"/>
          <w:tab w:val="clear" w:pos="1814"/>
          <w:tab w:val="clear" w:pos="2381"/>
          <w:tab w:val="clear" w:pos="2948"/>
          <w:tab w:val="clear" w:pos="3515"/>
        </w:tabs>
        <w:ind w:firstLine="624"/>
      </w:pPr>
      <w:r w:rsidRPr="00B33F94">
        <w:t xml:space="preserve">Documents describing the mandate, scope and governing structure of the organization, such as the charter/statutes/constitution/by-laws or articles of association; </w:t>
      </w:r>
    </w:p>
    <w:p w14:paraId="4102971D" w14:textId="77777777" w:rsidR="00D14D0C" w:rsidRPr="00B33F94" w:rsidRDefault="00D14D0C" w:rsidP="00E8253C">
      <w:pPr>
        <w:pStyle w:val="Normalnumber"/>
        <w:keepNext/>
        <w:keepLines/>
        <w:numPr>
          <w:ilvl w:val="1"/>
          <w:numId w:val="30"/>
        </w:numPr>
        <w:tabs>
          <w:tab w:val="clear" w:pos="1247"/>
          <w:tab w:val="clear" w:pos="1814"/>
          <w:tab w:val="clear" w:pos="2381"/>
          <w:tab w:val="clear" w:pos="2948"/>
          <w:tab w:val="clear" w:pos="3515"/>
        </w:tabs>
        <w:ind w:firstLine="624"/>
      </w:pPr>
      <w:r w:rsidRPr="00B33F94">
        <w:t xml:space="preserve">Any other information that supports the competence and interest of the organization in matters related to IPBES; </w:t>
      </w:r>
    </w:p>
    <w:p w14:paraId="1B6C0057" w14:textId="7DD0A6FB" w:rsidR="00D14D0C" w:rsidRPr="00B33F94" w:rsidRDefault="00D14D0C" w:rsidP="00E8253C">
      <w:pPr>
        <w:pStyle w:val="Normalnumber"/>
        <w:keepNext/>
        <w:keepLines/>
        <w:numPr>
          <w:ilvl w:val="1"/>
          <w:numId w:val="30"/>
        </w:numPr>
        <w:tabs>
          <w:tab w:val="clear" w:pos="1247"/>
          <w:tab w:val="clear" w:pos="1814"/>
          <w:tab w:val="clear" w:pos="2381"/>
          <w:tab w:val="clear" w:pos="2948"/>
          <w:tab w:val="clear" w:pos="3515"/>
        </w:tabs>
        <w:ind w:firstLine="624"/>
      </w:pPr>
      <w:r w:rsidRPr="00B33F94">
        <w:t xml:space="preserve">Completed form with contact information and website address (if any) of the organization and of a designated focal point (to be updated when necessary). </w:t>
      </w:r>
    </w:p>
    <w:p w14:paraId="1955C40D" w14:textId="437560DD" w:rsidR="00D14D0C" w:rsidRPr="00B33F94" w:rsidRDefault="00D14D0C" w:rsidP="00E8253C">
      <w:pPr>
        <w:pStyle w:val="Normalnumber"/>
        <w:keepNext/>
        <w:keepLines/>
        <w:numPr>
          <w:ilvl w:val="0"/>
          <w:numId w:val="30"/>
        </w:numPr>
        <w:tabs>
          <w:tab w:val="clear" w:pos="1247"/>
          <w:tab w:val="clear" w:pos="1814"/>
          <w:tab w:val="clear" w:pos="2381"/>
          <w:tab w:val="clear" w:pos="2948"/>
          <w:tab w:val="clear" w:pos="3515"/>
        </w:tabs>
        <w:ind w:firstLine="624"/>
      </w:pPr>
      <w:r w:rsidRPr="00B33F94">
        <w:t xml:space="preserve">New requests for admission as an Observer to sessions of the Plenary should be submitted to the secretariat, at least three months before a session of the Plenary. The secretariat of IPBES will maintain the information submitted by such Observers. </w:t>
      </w:r>
    </w:p>
    <w:p w14:paraId="0A4EF447" w14:textId="06E21B1F" w:rsidR="00D14D0C" w:rsidRPr="00B33F94" w:rsidRDefault="00D14D0C" w:rsidP="00E8253C">
      <w:pPr>
        <w:pStyle w:val="Normalnumber"/>
        <w:keepNext/>
        <w:keepLines/>
        <w:numPr>
          <w:ilvl w:val="0"/>
          <w:numId w:val="30"/>
        </w:numPr>
        <w:tabs>
          <w:tab w:val="clear" w:pos="1247"/>
          <w:tab w:val="clear" w:pos="1814"/>
          <w:tab w:val="clear" w:pos="2381"/>
          <w:tab w:val="clear" w:pos="2948"/>
          <w:tab w:val="clear" w:pos="3515"/>
        </w:tabs>
        <w:ind w:firstLine="624"/>
      </w:pPr>
      <w:r w:rsidRPr="00B33F94">
        <w:t xml:space="preserve">The secretariat will analyse the requests according to the documents submitted, as detailed in paragraph 10, and to the functions and operating principles of the Platform, and make such analysis available to be considered by the Bureau. </w:t>
      </w:r>
    </w:p>
    <w:p w14:paraId="11FDFB32" w14:textId="19CAD014" w:rsidR="00D14D0C" w:rsidRPr="00B33F94" w:rsidRDefault="00D14D0C" w:rsidP="00E8253C">
      <w:pPr>
        <w:pStyle w:val="Normalnumber"/>
        <w:keepNext/>
        <w:keepLines/>
        <w:numPr>
          <w:ilvl w:val="0"/>
          <w:numId w:val="30"/>
        </w:numPr>
        <w:tabs>
          <w:tab w:val="clear" w:pos="1247"/>
          <w:tab w:val="clear" w:pos="1814"/>
          <w:tab w:val="clear" w:pos="2381"/>
          <w:tab w:val="clear" w:pos="2948"/>
          <w:tab w:val="clear" w:pos="3515"/>
        </w:tabs>
        <w:ind w:firstLine="624"/>
      </w:pPr>
      <w:r w:rsidRPr="00B33F94">
        <w:t>The list of applicant Observers as reviewed by the Bureau,</w:t>
      </w:r>
      <w:r w:rsidR="00711652" w:rsidRPr="00B33F94">
        <w:t xml:space="preserve"> including any applications not </w:t>
      </w:r>
      <w:r w:rsidRPr="00B33F94">
        <w:t>approved, will be presented at the next session of the Plenary, in accordance with the rules of procedure.</w:t>
      </w:r>
    </w:p>
    <w:p w14:paraId="579A77DE" w14:textId="2D5F2C3C" w:rsidR="00D14D0C" w:rsidRPr="00B33F94" w:rsidRDefault="00D14D0C" w:rsidP="00E8253C">
      <w:pPr>
        <w:pStyle w:val="Normalnumber"/>
        <w:numPr>
          <w:ilvl w:val="0"/>
          <w:numId w:val="0"/>
        </w:numPr>
        <w:ind w:left="1247" w:firstLine="624"/>
      </w:pPr>
      <w:r w:rsidRPr="00B33F94">
        <w:t>[14.</w:t>
      </w:r>
      <w:r w:rsidRPr="00B33F94">
        <w:tab/>
        <w:t xml:space="preserve">The Plenary of the Platform will decide [on the admittance of Observers recommended on the list] on the admission and participation of all Observers in accordance with its rules of procedure, and Observers accepted by the Bureau as detailed in paragraph 13 may be admitted to a meeting of the Plenary and participate in it [as long as no Member of the Platform </w:t>
      </w:r>
      <w:proofErr w:type="gramStart"/>
      <w:r w:rsidRPr="00B33F94">
        <w:t>objects][</w:t>
      </w:r>
      <w:proofErr w:type="gramEnd"/>
      <w:r w:rsidRPr="00B33F94">
        <w:t xml:space="preserve">unless at least one third of the Members present at the meeting object.] </w:t>
      </w:r>
    </w:p>
    <w:p w14:paraId="5BF55D28" w14:textId="6428FFEF" w:rsidR="00D14D0C" w:rsidRPr="00B33F94" w:rsidRDefault="00D14D0C" w:rsidP="00E8253C">
      <w:pPr>
        <w:pStyle w:val="Normalnumber"/>
        <w:keepNext/>
        <w:keepLines/>
        <w:numPr>
          <w:ilvl w:val="0"/>
          <w:numId w:val="30"/>
        </w:numPr>
        <w:tabs>
          <w:tab w:val="clear" w:pos="1247"/>
          <w:tab w:val="clear" w:pos="1814"/>
          <w:tab w:val="clear" w:pos="2381"/>
          <w:tab w:val="clear" w:pos="2948"/>
          <w:tab w:val="clear" w:pos="3515"/>
        </w:tabs>
        <w:ind w:firstLine="624"/>
      </w:pPr>
      <w:r w:rsidRPr="00B33F94">
        <w:t>Admission of new applicants as Observers should be included as a regular agenda item of the Bureau and Plenary, consistent with any applicable rules of procedure.</w:t>
      </w:r>
    </w:p>
    <w:p w14:paraId="6F03BBBE" w14:textId="07951ED6" w:rsidR="00D14D0C" w:rsidRPr="00B33F94" w:rsidRDefault="00D14D0C" w:rsidP="00E8253C">
      <w:pPr>
        <w:pStyle w:val="Normal-pool"/>
        <w:tabs>
          <w:tab w:val="clear" w:pos="1247"/>
          <w:tab w:val="clear" w:pos="1814"/>
          <w:tab w:val="clear" w:pos="2381"/>
          <w:tab w:val="clear" w:pos="2948"/>
          <w:tab w:val="clear" w:pos="3515"/>
          <w:tab w:val="left" w:pos="624"/>
        </w:tabs>
        <w:spacing w:after="120"/>
        <w:ind w:left="1247" w:firstLine="624"/>
      </w:pPr>
      <w:r w:rsidRPr="00B33F94">
        <w:tab/>
      </w:r>
      <w:r w:rsidR="00E8253C" w:rsidRPr="00B33F94">
        <w:t>[</w:t>
      </w:r>
      <w:r w:rsidRPr="00B33F94">
        <w:t>16.</w:t>
      </w:r>
      <w:r w:rsidRPr="00B33F94">
        <w:tab/>
        <w:t>If Observer status has to be withdrawn for any reason, the chair may suspend the Observer status of that observer subject to ratification by the [Bureau][Plenary].]</w:t>
      </w:r>
    </w:p>
    <w:p w14:paraId="7D465DA8" w14:textId="6B088A19" w:rsidR="00320BDB" w:rsidRPr="00B33F94" w:rsidRDefault="00D14D0C" w:rsidP="007D5C8A">
      <w:pPr>
        <w:pStyle w:val="Normalnumber"/>
        <w:keepNext/>
        <w:keepLines/>
        <w:numPr>
          <w:ilvl w:val="0"/>
          <w:numId w:val="40"/>
        </w:numPr>
        <w:tabs>
          <w:tab w:val="clear" w:pos="1247"/>
          <w:tab w:val="clear" w:pos="1814"/>
          <w:tab w:val="clear" w:pos="2381"/>
          <w:tab w:val="clear" w:pos="2948"/>
          <w:tab w:val="clear" w:pos="3515"/>
        </w:tabs>
        <w:ind w:left="1260" w:firstLine="624"/>
      </w:pPr>
      <w:r w:rsidRPr="00B33F94">
        <w:t>Any Observer may retain its status only as long as it satisfies the conditions set out for Observers in the present document and any other relevant rule of procedure for IPBES.]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1966"/>
        <w:gridCol w:w="1966"/>
        <w:gridCol w:w="1966"/>
        <w:gridCol w:w="1967"/>
      </w:tblGrid>
      <w:tr w:rsidR="00830C87" w:rsidRPr="00B33F94" w14:paraId="2A30B01A" w14:textId="77777777" w:rsidTr="00830C87">
        <w:tc>
          <w:tcPr>
            <w:tcW w:w="2009" w:type="dxa"/>
          </w:tcPr>
          <w:p w14:paraId="2630684C" w14:textId="77777777" w:rsidR="00830C87" w:rsidRPr="00B33F94" w:rsidRDefault="00830C87" w:rsidP="00830C87">
            <w:pPr>
              <w:pStyle w:val="Normal-pool"/>
              <w:spacing w:before="520"/>
            </w:pPr>
          </w:p>
        </w:tc>
        <w:tc>
          <w:tcPr>
            <w:tcW w:w="2009" w:type="dxa"/>
          </w:tcPr>
          <w:p w14:paraId="2A1DEF6C" w14:textId="77777777" w:rsidR="00830C87" w:rsidRPr="00B33F94" w:rsidRDefault="00830C87" w:rsidP="00830C87">
            <w:pPr>
              <w:pStyle w:val="Normal-pool"/>
              <w:spacing w:before="520"/>
            </w:pPr>
          </w:p>
        </w:tc>
        <w:tc>
          <w:tcPr>
            <w:tcW w:w="2009" w:type="dxa"/>
            <w:tcBorders>
              <w:bottom w:val="single" w:sz="4" w:space="0" w:color="auto"/>
            </w:tcBorders>
          </w:tcPr>
          <w:p w14:paraId="5976C478" w14:textId="77777777" w:rsidR="00830C87" w:rsidRPr="00B33F94" w:rsidRDefault="00830C87" w:rsidP="00830C87">
            <w:pPr>
              <w:pStyle w:val="Normal-pool"/>
              <w:spacing w:before="520"/>
            </w:pPr>
          </w:p>
        </w:tc>
        <w:tc>
          <w:tcPr>
            <w:tcW w:w="2009" w:type="dxa"/>
          </w:tcPr>
          <w:p w14:paraId="3C5C1F50" w14:textId="77777777" w:rsidR="00830C87" w:rsidRPr="00B33F94" w:rsidRDefault="00830C87" w:rsidP="00830C87">
            <w:pPr>
              <w:pStyle w:val="Normal-pool"/>
              <w:spacing w:before="520"/>
            </w:pPr>
          </w:p>
        </w:tc>
        <w:tc>
          <w:tcPr>
            <w:tcW w:w="2010" w:type="dxa"/>
          </w:tcPr>
          <w:p w14:paraId="352A133C" w14:textId="77777777" w:rsidR="00830C87" w:rsidRPr="00B33F94" w:rsidRDefault="00830C87" w:rsidP="00830C87">
            <w:pPr>
              <w:pStyle w:val="Normal-pool"/>
              <w:spacing w:before="520"/>
            </w:pPr>
          </w:p>
        </w:tc>
      </w:tr>
    </w:tbl>
    <w:p w14:paraId="03441DF5" w14:textId="77777777" w:rsidR="00830C87" w:rsidRPr="00B33F94" w:rsidRDefault="00830C87" w:rsidP="00CA18F4">
      <w:pPr>
        <w:pStyle w:val="Normal-pool"/>
      </w:pPr>
    </w:p>
    <w:sectPr w:rsidR="00830C87" w:rsidRPr="00B33F94" w:rsidSect="00943BDB">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7F33B" w14:textId="77777777" w:rsidR="006B364F" w:rsidRDefault="006B364F">
      <w:r>
        <w:separator/>
      </w:r>
    </w:p>
    <w:p w14:paraId="304ADE33" w14:textId="77777777" w:rsidR="006B364F" w:rsidRDefault="006B364F"/>
    <w:p w14:paraId="0C586AF5" w14:textId="77777777" w:rsidR="00083381" w:rsidRDefault="00083381"/>
  </w:endnote>
  <w:endnote w:type="continuationSeparator" w:id="0">
    <w:p w14:paraId="4C7F37E2" w14:textId="77777777" w:rsidR="006B364F" w:rsidRDefault="006B364F">
      <w:r>
        <w:continuationSeparator/>
      </w:r>
    </w:p>
    <w:p w14:paraId="478FBE68" w14:textId="77777777" w:rsidR="006B364F" w:rsidRDefault="006B364F"/>
    <w:p w14:paraId="59B140FC" w14:textId="77777777" w:rsidR="00083381" w:rsidRDefault="00083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charset w:val="00"/>
    <w:family w:val="swiss"/>
    <w:pitch w:val="variable"/>
    <w:sig w:usb0="80000287" w:usb1="00000000" w:usb2="00000000" w:usb3="00000000" w:csb0="0000000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FEA36" w14:textId="32B28AA7" w:rsidR="00083381" w:rsidRPr="00711652" w:rsidRDefault="00711652" w:rsidP="00711652">
    <w:pPr>
      <w:pStyle w:val="Footer"/>
      <w:rPr>
        <w:b/>
      </w:rPr>
    </w:pPr>
    <w:r w:rsidRPr="00711652">
      <w:rPr>
        <w:b/>
      </w:rPr>
      <w:fldChar w:fldCharType="begin"/>
    </w:r>
    <w:r w:rsidRPr="00711652">
      <w:rPr>
        <w:b/>
      </w:rPr>
      <w:instrText xml:space="preserve"> PAGE   \* MERGEFORMAT </w:instrText>
    </w:r>
    <w:r w:rsidRPr="00711652">
      <w:rPr>
        <w:b/>
      </w:rPr>
      <w:fldChar w:fldCharType="separate"/>
    </w:r>
    <w:r w:rsidR="00296D2F">
      <w:rPr>
        <w:b/>
        <w:noProof/>
      </w:rPr>
      <w:t>2</w:t>
    </w:r>
    <w:r w:rsidRPr="00711652">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65194" w14:textId="2767729D" w:rsidR="00083381" w:rsidRDefault="007F445A" w:rsidP="00711652">
    <w:pPr>
      <w:pStyle w:val="Footer"/>
      <w:jc w:val="right"/>
    </w:pPr>
    <w:r>
      <w:rPr>
        <w:rStyle w:val="PageNumber"/>
      </w:rPr>
      <w:fldChar w:fldCharType="begin"/>
    </w:r>
    <w:r>
      <w:rPr>
        <w:rStyle w:val="PageNumber"/>
      </w:rPr>
      <w:instrText xml:space="preserve"> PAGE </w:instrText>
    </w:r>
    <w:r>
      <w:rPr>
        <w:rStyle w:val="PageNumber"/>
      </w:rPr>
      <w:fldChar w:fldCharType="separate"/>
    </w:r>
    <w:r w:rsidR="00296D2F">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5DD6" w14:textId="351D65F8" w:rsidR="007F445A" w:rsidRPr="00830C87" w:rsidRDefault="00E90887" w:rsidP="007D5C8A">
    <w:pPr>
      <w:pStyle w:val="Footer"/>
      <w:tabs>
        <w:tab w:val="clear" w:pos="1247"/>
        <w:tab w:val="clear" w:pos="1814"/>
        <w:tab w:val="clear" w:pos="2381"/>
        <w:tab w:val="clear" w:pos="2948"/>
        <w:tab w:val="clear" w:pos="3515"/>
        <w:tab w:val="clear" w:pos="4320"/>
        <w:tab w:val="clear" w:pos="8640"/>
        <w:tab w:val="left" w:pos="624"/>
      </w:tabs>
      <w:rPr>
        <w:sz w:val="20"/>
      </w:rPr>
    </w:pPr>
    <w:r w:rsidRPr="00CA18F4">
      <w:rPr>
        <w:sz w:val="20"/>
      </w:rPr>
      <w:t>K1708994</w:t>
    </w:r>
    <w:r w:rsidR="007F445A" w:rsidRPr="00CA18F4">
      <w:rPr>
        <w:sz w:val="20"/>
      </w:rPr>
      <w:tab/>
    </w:r>
    <w:r w:rsidR="00484023">
      <w:rPr>
        <w:sz w:val="20"/>
      </w:rPr>
      <w:t>150118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36B2F" w14:textId="6ACAB29B" w:rsidR="00083381" w:rsidRDefault="006B364F" w:rsidP="00711652">
      <w:pPr>
        <w:spacing w:before="60"/>
        <w:ind w:left="624"/>
      </w:pPr>
      <w:r>
        <w:separator/>
      </w:r>
    </w:p>
  </w:footnote>
  <w:footnote w:type="continuationSeparator" w:id="0">
    <w:p w14:paraId="3008C26D" w14:textId="77777777" w:rsidR="006B364F" w:rsidRDefault="006B364F">
      <w:r>
        <w:continuationSeparator/>
      </w:r>
    </w:p>
    <w:p w14:paraId="5B179EDF" w14:textId="77777777" w:rsidR="006B364F" w:rsidRDefault="006B364F"/>
    <w:p w14:paraId="26FCCBAA" w14:textId="77777777" w:rsidR="00083381" w:rsidRDefault="00083381"/>
  </w:footnote>
  <w:footnote w:id="1">
    <w:p w14:paraId="0AA278A8" w14:textId="77777777" w:rsidR="001B40EE" w:rsidRPr="00CA18F4" w:rsidRDefault="001B40EE" w:rsidP="00711652">
      <w:pPr>
        <w:pStyle w:val="FootnoteText"/>
        <w:tabs>
          <w:tab w:val="left" w:pos="624"/>
        </w:tabs>
        <w:rPr>
          <w:szCs w:val="18"/>
          <w:lang w:val="en-US"/>
        </w:rPr>
      </w:pPr>
      <w:r w:rsidRPr="00CA18F4">
        <w:t>*</w:t>
      </w:r>
      <w:r w:rsidRPr="00CA18F4">
        <w:rPr>
          <w:szCs w:val="18"/>
        </w:rPr>
        <w:t xml:space="preserve"> </w:t>
      </w:r>
      <w:r w:rsidR="00772F40" w:rsidRPr="00CA18F4">
        <w:rPr>
          <w:szCs w:val="18"/>
        </w:rPr>
        <w:t>IPBES/6/1.</w:t>
      </w:r>
    </w:p>
  </w:footnote>
  <w:footnote w:id="2">
    <w:p w14:paraId="15FB75D0" w14:textId="7D7C8051" w:rsidR="00D14D0C" w:rsidRPr="00FC2F39" w:rsidRDefault="00D14D0C" w:rsidP="00711652">
      <w:pPr>
        <w:pStyle w:val="FootnoteText"/>
        <w:tabs>
          <w:tab w:val="clear" w:pos="1247"/>
          <w:tab w:val="clear" w:pos="1814"/>
          <w:tab w:val="clear" w:pos="2381"/>
          <w:tab w:val="clear" w:pos="2948"/>
          <w:tab w:val="clear" w:pos="3515"/>
          <w:tab w:val="left" w:pos="624"/>
        </w:tabs>
        <w:rPr>
          <w:szCs w:val="18"/>
          <w:lang w:val="en-US"/>
        </w:rPr>
      </w:pPr>
      <w:r w:rsidRPr="00711652">
        <w:rPr>
          <w:vertAlign w:val="superscript"/>
        </w:rPr>
        <w:footnoteRef/>
      </w:r>
      <w:r w:rsidRPr="00FC2F39">
        <w:rPr>
          <w:szCs w:val="18"/>
          <w:lang w:val="en-US"/>
        </w:rPr>
        <w:t xml:space="preserve"> In the rules of procedure for the Plenary of the Platform (see UNEP/IPBES.MI/2/9, annex I, appendix II), it is noted that issues of membership and/or participation of regional economic organizations remain under discussion with a view to resolution as soon as possible. It is further noted that participation is open to regional economic integration organizations as observers ad interim.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7BA5" w14:textId="184D857D" w:rsidR="00083381" w:rsidRPr="00711652" w:rsidRDefault="007F445A" w:rsidP="00711652">
    <w:pPr>
      <w:pStyle w:val="Header"/>
      <w:rPr>
        <w:szCs w:val="18"/>
      </w:rPr>
    </w:pPr>
    <w:r w:rsidRPr="00D14D0C">
      <w:rPr>
        <w:szCs w:val="18"/>
      </w:rPr>
      <w:t>IPBES/</w:t>
    </w:r>
    <w:r w:rsidR="00772F40" w:rsidRPr="00D14D0C">
      <w:rPr>
        <w:szCs w:val="18"/>
        <w:lang w:eastAsia="ja-JP"/>
      </w:rPr>
      <w:t>6</w:t>
    </w:r>
    <w:r w:rsidR="00D14D0C" w:rsidRPr="00D14D0C">
      <w:rPr>
        <w:szCs w:val="18"/>
        <w:lang w:eastAsia="ja-JP"/>
      </w:rPr>
      <w:t>/14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6526" w14:textId="7106DAB5" w:rsidR="006F5B20" w:rsidRDefault="007F445A" w:rsidP="00830C87">
    <w:pPr>
      <w:pStyle w:val="Header"/>
      <w:jc w:val="right"/>
    </w:pPr>
    <w:r w:rsidRPr="00D14D0C">
      <w:rPr>
        <w:szCs w:val="18"/>
      </w:rPr>
      <w:t>IPBES/</w:t>
    </w:r>
    <w:r w:rsidR="0059580D" w:rsidRPr="00D14D0C">
      <w:rPr>
        <w:szCs w:val="18"/>
        <w:lang w:eastAsia="ja-JP"/>
      </w:rPr>
      <w:t>6/</w:t>
    </w:r>
    <w:r w:rsidR="00D14D0C" w:rsidRPr="00D14D0C">
      <w:rPr>
        <w:szCs w:val="18"/>
        <w:lang w:eastAsia="ja-JP"/>
      </w:rPr>
      <w:t>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4C65" w14:textId="339939DC" w:rsidR="007F445A" w:rsidRDefault="007F445A" w:rsidP="0049445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968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43AF8"/>
    <w:multiLevelType w:val="hybridMultilevel"/>
    <w:tmpl w:val="B062301A"/>
    <w:lvl w:ilvl="0" w:tplc="E62849D4">
      <w:start w:val="1"/>
      <w:numFmt w:val="upperRoman"/>
      <w:lvlText w:val="%1."/>
      <w:lvlJc w:val="left"/>
      <w:pPr>
        <w:ind w:left="1875" w:hanging="124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5D3CDB"/>
    <w:multiLevelType w:val="hybridMultilevel"/>
    <w:tmpl w:val="DC6A634A"/>
    <w:lvl w:ilvl="0" w:tplc="0409000F">
      <w:start w:val="1"/>
      <w:numFmt w:val="decimal"/>
      <w:lvlText w:val="%1."/>
      <w:lvlJc w:val="left"/>
      <w:pPr>
        <w:ind w:left="2591" w:hanging="360"/>
      </w:pPr>
    </w:lvl>
    <w:lvl w:ilvl="1" w:tplc="04090019" w:tentative="1">
      <w:start w:val="1"/>
      <w:numFmt w:val="lowerLetter"/>
      <w:lvlText w:val="%2."/>
      <w:lvlJc w:val="left"/>
      <w:pPr>
        <w:ind w:left="3311" w:hanging="360"/>
      </w:pPr>
    </w:lvl>
    <w:lvl w:ilvl="2" w:tplc="0409001B" w:tentative="1">
      <w:start w:val="1"/>
      <w:numFmt w:val="lowerRoman"/>
      <w:lvlText w:val="%3."/>
      <w:lvlJc w:val="right"/>
      <w:pPr>
        <w:ind w:left="4031" w:hanging="180"/>
      </w:pPr>
    </w:lvl>
    <w:lvl w:ilvl="3" w:tplc="0409000F" w:tentative="1">
      <w:start w:val="1"/>
      <w:numFmt w:val="decimal"/>
      <w:lvlText w:val="%4."/>
      <w:lvlJc w:val="left"/>
      <w:pPr>
        <w:ind w:left="4751" w:hanging="360"/>
      </w:pPr>
    </w:lvl>
    <w:lvl w:ilvl="4" w:tplc="04090019" w:tentative="1">
      <w:start w:val="1"/>
      <w:numFmt w:val="lowerLetter"/>
      <w:lvlText w:val="%5."/>
      <w:lvlJc w:val="left"/>
      <w:pPr>
        <w:ind w:left="5471" w:hanging="360"/>
      </w:pPr>
    </w:lvl>
    <w:lvl w:ilvl="5" w:tplc="0409001B" w:tentative="1">
      <w:start w:val="1"/>
      <w:numFmt w:val="lowerRoman"/>
      <w:lvlText w:val="%6."/>
      <w:lvlJc w:val="right"/>
      <w:pPr>
        <w:ind w:left="6191" w:hanging="180"/>
      </w:pPr>
    </w:lvl>
    <w:lvl w:ilvl="6" w:tplc="0409000F" w:tentative="1">
      <w:start w:val="1"/>
      <w:numFmt w:val="decimal"/>
      <w:lvlText w:val="%7."/>
      <w:lvlJc w:val="left"/>
      <w:pPr>
        <w:ind w:left="6911" w:hanging="360"/>
      </w:pPr>
    </w:lvl>
    <w:lvl w:ilvl="7" w:tplc="04090019" w:tentative="1">
      <w:start w:val="1"/>
      <w:numFmt w:val="lowerLetter"/>
      <w:lvlText w:val="%8."/>
      <w:lvlJc w:val="left"/>
      <w:pPr>
        <w:ind w:left="7631" w:hanging="360"/>
      </w:pPr>
    </w:lvl>
    <w:lvl w:ilvl="8" w:tplc="0409001B" w:tentative="1">
      <w:start w:val="1"/>
      <w:numFmt w:val="lowerRoman"/>
      <w:lvlText w:val="%9."/>
      <w:lvlJc w:val="right"/>
      <w:pPr>
        <w:ind w:left="8351" w:hanging="180"/>
      </w:pPr>
    </w:lvl>
  </w:abstractNum>
  <w:abstractNum w:abstractNumId="3" w15:restartNumberingAfterBreak="0">
    <w:nsid w:val="0D885A6C"/>
    <w:multiLevelType w:val="hybridMultilevel"/>
    <w:tmpl w:val="250EE074"/>
    <w:lvl w:ilvl="0" w:tplc="0409000F">
      <w:start w:val="1"/>
      <w:numFmt w:val="decimal"/>
      <w:lvlText w:val="%1."/>
      <w:lvlJc w:val="left"/>
      <w:pPr>
        <w:ind w:left="720" w:hanging="720"/>
      </w:pPr>
      <w:rPr>
        <w:rFonts w:hint="default"/>
      </w:rPr>
    </w:lvl>
    <w:lvl w:ilvl="1" w:tplc="7F2663E0">
      <w:start w:val="1"/>
      <w:numFmt w:val="lowerLetter"/>
      <w:lvlText w:val="(%2)"/>
      <w:lvlJc w:val="left"/>
      <w:pPr>
        <w:ind w:left="234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A06E1"/>
    <w:multiLevelType w:val="hybridMultilevel"/>
    <w:tmpl w:val="4E02F434"/>
    <w:lvl w:ilvl="0" w:tplc="04090015">
      <w:start w:val="1"/>
      <w:numFmt w:val="upperLetter"/>
      <w:lvlText w:val="%1."/>
      <w:lvlJc w:val="left"/>
      <w:pPr>
        <w:ind w:left="1976" w:hanging="360"/>
      </w:pPr>
    </w:lvl>
    <w:lvl w:ilvl="1" w:tplc="04090019">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5" w15:restartNumberingAfterBreak="0">
    <w:nsid w:val="171113A7"/>
    <w:multiLevelType w:val="multilevel"/>
    <w:tmpl w:val="48241D10"/>
    <w:numStyleLink w:val="Normallist"/>
  </w:abstractNum>
  <w:abstractNum w:abstractNumId="6"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7" w15:restartNumberingAfterBreak="0">
    <w:nsid w:val="346A0162"/>
    <w:multiLevelType w:val="hybridMultilevel"/>
    <w:tmpl w:val="1DD02688"/>
    <w:lvl w:ilvl="0" w:tplc="A998D5AE">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9"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pStyle w:val="Heading2"/>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0" w15:restartNumberingAfterBreak="0">
    <w:nsid w:val="41A6369C"/>
    <w:multiLevelType w:val="hybridMultilevel"/>
    <w:tmpl w:val="54662A24"/>
    <w:lvl w:ilvl="0" w:tplc="E63649D2">
      <w:start w:val="17"/>
      <w:numFmt w:val="decimal"/>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11" w15:restartNumberingAfterBreak="0">
    <w:nsid w:val="46EF7A42"/>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2"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3" w15:restartNumberingAfterBreak="0">
    <w:nsid w:val="558B7316"/>
    <w:multiLevelType w:val="hybridMultilevel"/>
    <w:tmpl w:val="0B646E8C"/>
    <w:lvl w:ilvl="0" w:tplc="29482764">
      <w:start w:val="1"/>
      <w:numFmt w:val="upperRoman"/>
      <w:pStyle w:val="Heading1"/>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4" w15:restartNumberingAfterBreak="0">
    <w:nsid w:val="61A82D41"/>
    <w:multiLevelType w:val="hybridMultilevel"/>
    <w:tmpl w:val="9398C574"/>
    <w:lvl w:ilvl="0" w:tplc="388A5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A3080"/>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6"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5"/>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6">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7">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8">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9">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10">
    <w:abstractNumId w:val="0"/>
  </w:num>
  <w:num w:numId="11">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12">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13">
    <w:abstractNumId w:val="1"/>
  </w:num>
  <w:num w:numId="14">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15">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16">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17">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18">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19">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20">
    <w:abstractNumId w:val="5"/>
    <w:lvlOverride w:ilvl="0">
      <w:lvl w:ilvl="0">
        <w:start w:val="1"/>
        <w:numFmt w:val="decimal"/>
        <w:pStyle w:val="Normalnumber"/>
        <w:lvlText w:val="%1."/>
        <w:lvlJc w:val="left"/>
        <w:pPr>
          <w:tabs>
            <w:tab w:val="num" w:pos="567"/>
          </w:tabs>
          <w:ind w:left="1247" w:firstLine="0"/>
        </w:pPr>
        <w:rPr>
          <w:rFonts w:hint="default"/>
          <w:b w:val="0"/>
        </w:rPr>
      </w:lvl>
    </w:lvlOverride>
  </w:num>
  <w:num w:numId="21">
    <w:abstractNumId w:val="13"/>
  </w:num>
  <w:num w:numId="22">
    <w:abstractNumId w:val="7"/>
  </w:num>
  <w:num w:numId="23">
    <w:abstractNumId w:val="4"/>
  </w:num>
  <w:num w:numId="24">
    <w:abstractNumId w:val="9"/>
  </w:num>
  <w:num w:numId="25">
    <w:abstractNumId w:val="16"/>
  </w:num>
  <w:num w:numId="26">
    <w:abstractNumId w:val="11"/>
  </w:num>
  <w:num w:numId="27">
    <w:abstractNumId w:val="3"/>
  </w:num>
  <w:num w:numId="28">
    <w:abstractNumId w:val="5"/>
    <w:lvlOverride w:ilvl="0">
      <w:startOverride w:val="1"/>
      <w:lvl w:ilvl="0">
        <w:start w:val="1"/>
        <w:numFmt w:val="decimal"/>
        <w:pStyle w:val="Normalnumber"/>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29">
    <w:abstractNumId w:val="14"/>
  </w:num>
  <w:num w:numId="30">
    <w:abstractNumId w:val="15"/>
  </w:num>
  <w:num w:numId="31">
    <w:abstractNumId w:val="5"/>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2">
    <w:abstractNumId w:val="2"/>
  </w:num>
  <w:num w:numId="33">
    <w:abstractNumId w:val="5"/>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4">
    <w:abstractNumId w:val="5"/>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5">
    <w:abstractNumId w:val="5"/>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6">
    <w:abstractNumId w:val="5"/>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7">
    <w:abstractNumId w:val="5"/>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8">
    <w:abstractNumId w:val="5"/>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9">
    <w:abstractNumId w:val="5"/>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1"/>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24"/>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B"/>
    <w:rsid w:val="000022EE"/>
    <w:rsid w:val="00003059"/>
    <w:rsid w:val="000149E6"/>
    <w:rsid w:val="00023E32"/>
    <w:rsid w:val="000247B0"/>
    <w:rsid w:val="00026997"/>
    <w:rsid w:val="00032DB5"/>
    <w:rsid w:val="00033E0B"/>
    <w:rsid w:val="00035EDE"/>
    <w:rsid w:val="000440BA"/>
    <w:rsid w:val="00045080"/>
    <w:rsid w:val="000458EE"/>
    <w:rsid w:val="0004779A"/>
    <w:rsid w:val="000509B4"/>
    <w:rsid w:val="00055BA7"/>
    <w:rsid w:val="00062885"/>
    <w:rsid w:val="00064C34"/>
    <w:rsid w:val="00067B19"/>
    <w:rsid w:val="00071886"/>
    <w:rsid w:val="00072509"/>
    <w:rsid w:val="000742BC"/>
    <w:rsid w:val="00081E43"/>
    <w:rsid w:val="00082A0C"/>
    <w:rsid w:val="00083381"/>
    <w:rsid w:val="000917E8"/>
    <w:rsid w:val="00094221"/>
    <w:rsid w:val="0009640C"/>
    <w:rsid w:val="000B1C30"/>
    <w:rsid w:val="000B59B2"/>
    <w:rsid w:val="000C665C"/>
    <w:rsid w:val="000D33C0"/>
    <w:rsid w:val="000D523B"/>
    <w:rsid w:val="000E067F"/>
    <w:rsid w:val="000E13EF"/>
    <w:rsid w:val="000E53DF"/>
    <w:rsid w:val="000F3B6C"/>
    <w:rsid w:val="00100602"/>
    <w:rsid w:val="00102111"/>
    <w:rsid w:val="001159BB"/>
    <w:rsid w:val="001202E3"/>
    <w:rsid w:val="00121708"/>
    <w:rsid w:val="0012562E"/>
    <w:rsid w:val="0013059D"/>
    <w:rsid w:val="0013398F"/>
    <w:rsid w:val="0013648B"/>
    <w:rsid w:val="00137580"/>
    <w:rsid w:val="00141A55"/>
    <w:rsid w:val="00151424"/>
    <w:rsid w:val="001554A3"/>
    <w:rsid w:val="00156281"/>
    <w:rsid w:val="0016362C"/>
    <w:rsid w:val="00166FFD"/>
    <w:rsid w:val="001673CF"/>
    <w:rsid w:val="00170D4D"/>
    <w:rsid w:val="001811FA"/>
    <w:rsid w:val="00181BC9"/>
    <w:rsid w:val="00181EC8"/>
    <w:rsid w:val="00182AEE"/>
    <w:rsid w:val="00184349"/>
    <w:rsid w:val="00187A5D"/>
    <w:rsid w:val="0019268D"/>
    <w:rsid w:val="001A64B7"/>
    <w:rsid w:val="001B08F0"/>
    <w:rsid w:val="001B1617"/>
    <w:rsid w:val="001B3588"/>
    <w:rsid w:val="001B40EE"/>
    <w:rsid w:val="001C74C3"/>
    <w:rsid w:val="001D3874"/>
    <w:rsid w:val="001D4810"/>
    <w:rsid w:val="001D7E75"/>
    <w:rsid w:val="001E56D2"/>
    <w:rsid w:val="001E7D56"/>
    <w:rsid w:val="001F034F"/>
    <w:rsid w:val="001F75DE"/>
    <w:rsid w:val="001F765B"/>
    <w:rsid w:val="00200D58"/>
    <w:rsid w:val="002013BE"/>
    <w:rsid w:val="002063A4"/>
    <w:rsid w:val="0021145B"/>
    <w:rsid w:val="0022111D"/>
    <w:rsid w:val="00221AE7"/>
    <w:rsid w:val="00234B58"/>
    <w:rsid w:val="00240473"/>
    <w:rsid w:val="002463AF"/>
    <w:rsid w:val="002464B8"/>
    <w:rsid w:val="00247707"/>
    <w:rsid w:val="00250609"/>
    <w:rsid w:val="00250F52"/>
    <w:rsid w:val="00253901"/>
    <w:rsid w:val="002545F6"/>
    <w:rsid w:val="002620CD"/>
    <w:rsid w:val="002726CF"/>
    <w:rsid w:val="002773E9"/>
    <w:rsid w:val="00286740"/>
    <w:rsid w:val="00287E60"/>
    <w:rsid w:val="002929D8"/>
    <w:rsid w:val="00296D2F"/>
    <w:rsid w:val="002A237D"/>
    <w:rsid w:val="002A4B90"/>
    <w:rsid w:val="002A4C53"/>
    <w:rsid w:val="002A564F"/>
    <w:rsid w:val="002A6A11"/>
    <w:rsid w:val="002B035E"/>
    <w:rsid w:val="002B0737"/>
    <w:rsid w:val="002B56EA"/>
    <w:rsid w:val="002C145D"/>
    <w:rsid w:val="002C2C3E"/>
    <w:rsid w:val="002C3453"/>
    <w:rsid w:val="002C41CA"/>
    <w:rsid w:val="002C533E"/>
    <w:rsid w:val="002C7132"/>
    <w:rsid w:val="002D027F"/>
    <w:rsid w:val="002D146C"/>
    <w:rsid w:val="002D3D4C"/>
    <w:rsid w:val="002D7B60"/>
    <w:rsid w:val="002E0D90"/>
    <w:rsid w:val="002E3EA7"/>
    <w:rsid w:val="002F1F0E"/>
    <w:rsid w:val="002F4761"/>
    <w:rsid w:val="002F5B0F"/>
    <w:rsid w:val="003056C1"/>
    <w:rsid w:val="00306B12"/>
    <w:rsid w:val="003124FF"/>
    <w:rsid w:val="0031413F"/>
    <w:rsid w:val="00320BDB"/>
    <w:rsid w:val="003364FF"/>
    <w:rsid w:val="00336901"/>
    <w:rsid w:val="00337F63"/>
    <w:rsid w:val="00341F94"/>
    <w:rsid w:val="003446B5"/>
    <w:rsid w:val="0034548C"/>
    <w:rsid w:val="003503B6"/>
    <w:rsid w:val="00352F00"/>
    <w:rsid w:val="00355EA9"/>
    <w:rsid w:val="00377EB9"/>
    <w:rsid w:val="00385963"/>
    <w:rsid w:val="00394E92"/>
    <w:rsid w:val="00396257"/>
    <w:rsid w:val="00397909"/>
    <w:rsid w:val="00397EB8"/>
    <w:rsid w:val="003A4FD0"/>
    <w:rsid w:val="003A69D1"/>
    <w:rsid w:val="003A6EF9"/>
    <w:rsid w:val="003B0C0D"/>
    <w:rsid w:val="003B1545"/>
    <w:rsid w:val="003B32FC"/>
    <w:rsid w:val="003B41D2"/>
    <w:rsid w:val="003B7A70"/>
    <w:rsid w:val="003C409D"/>
    <w:rsid w:val="003C4EFB"/>
    <w:rsid w:val="003C670D"/>
    <w:rsid w:val="003D2B36"/>
    <w:rsid w:val="003E05E6"/>
    <w:rsid w:val="003E09A0"/>
    <w:rsid w:val="003E2D2F"/>
    <w:rsid w:val="003E395B"/>
    <w:rsid w:val="003E7728"/>
    <w:rsid w:val="003F0E85"/>
    <w:rsid w:val="003F26BC"/>
    <w:rsid w:val="00400EFD"/>
    <w:rsid w:val="00404648"/>
    <w:rsid w:val="00404965"/>
    <w:rsid w:val="00410C55"/>
    <w:rsid w:val="00417725"/>
    <w:rsid w:val="00425C06"/>
    <w:rsid w:val="00437F26"/>
    <w:rsid w:val="00446EF6"/>
    <w:rsid w:val="00447EF3"/>
    <w:rsid w:val="00450542"/>
    <w:rsid w:val="004510AC"/>
    <w:rsid w:val="00454769"/>
    <w:rsid w:val="00456B79"/>
    <w:rsid w:val="0046429E"/>
    <w:rsid w:val="00466991"/>
    <w:rsid w:val="0047064C"/>
    <w:rsid w:val="00471DFA"/>
    <w:rsid w:val="004827F3"/>
    <w:rsid w:val="00484023"/>
    <w:rsid w:val="00493E19"/>
    <w:rsid w:val="00494455"/>
    <w:rsid w:val="00495289"/>
    <w:rsid w:val="00496EFB"/>
    <w:rsid w:val="004A1438"/>
    <w:rsid w:val="004A36DE"/>
    <w:rsid w:val="004A4744"/>
    <w:rsid w:val="004B5666"/>
    <w:rsid w:val="004C5C96"/>
    <w:rsid w:val="004D06A4"/>
    <w:rsid w:val="004D6638"/>
    <w:rsid w:val="004E6336"/>
    <w:rsid w:val="004F1A81"/>
    <w:rsid w:val="004F2D0E"/>
    <w:rsid w:val="0050619E"/>
    <w:rsid w:val="00507F32"/>
    <w:rsid w:val="0051335F"/>
    <w:rsid w:val="005160EC"/>
    <w:rsid w:val="005218D9"/>
    <w:rsid w:val="005269C4"/>
    <w:rsid w:val="005341C5"/>
    <w:rsid w:val="00535BDA"/>
    <w:rsid w:val="00536186"/>
    <w:rsid w:val="00537EC1"/>
    <w:rsid w:val="00543454"/>
    <w:rsid w:val="005446C7"/>
    <w:rsid w:val="005453ED"/>
    <w:rsid w:val="0055008F"/>
    <w:rsid w:val="00550273"/>
    <w:rsid w:val="00550DF7"/>
    <w:rsid w:val="005628E3"/>
    <w:rsid w:val="00565DCE"/>
    <w:rsid w:val="0057037E"/>
    <w:rsid w:val="00571ED8"/>
    <w:rsid w:val="0057315F"/>
    <w:rsid w:val="00573200"/>
    <w:rsid w:val="00574792"/>
    <w:rsid w:val="00574E93"/>
    <w:rsid w:val="005750B4"/>
    <w:rsid w:val="00584B14"/>
    <w:rsid w:val="0058611F"/>
    <w:rsid w:val="0058768E"/>
    <w:rsid w:val="0059580D"/>
    <w:rsid w:val="005A1B2D"/>
    <w:rsid w:val="005A59FE"/>
    <w:rsid w:val="005B0DDF"/>
    <w:rsid w:val="005B584B"/>
    <w:rsid w:val="005C00D1"/>
    <w:rsid w:val="005C67C8"/>
    <w:rsid w:val="005D0249"/>
    <w:rsid w:val="005D4E57"/>
    <w:rsid w:val="005F05FD"/>
    <w:rsid w:val="005F100C"/>
    <w:rsid w:val="005F1648"/>
    <w:rsid w:val="005F7986"/>
    <w:rsid w:val="005F7B75"/>
    <w:rsid w:val="00607ABA"/>
    <w:rsid w:val="0061054B"/>
    <w:rsid w:val="006119BC"/>
    <w:rsid w:val="0061660A"/>
    <w:rsid w:val="00620F1E"/>
    <w:rsid w:val="00621F9B"/>
    <w:rsid w:val="006231AF"/>
    <w:rsid w:val="00623998"/>
    <w:rsid w:val="006252F5"/>
    <w:rsid w:val="006303B4"/>
    <w:rsid w:val="006370DB"/>
    <w:rsid w:val="00637CE4"/>
    <w:rsid w:val="00641396"/>
    <w:rsid w:val="00641703"/>
    <w:rsid w:val="006421CF"/>
    <w:rsid w:val="006431A6"/>
    <w:rsid w:val="006459F6"/>
    <w:rsid w:val="006474E9"/>
    <w:rsid w:val="006501AD"/>
    <w:rsid w:val="0065086E"/>
    <w:rsid w:val="00651BFA"/>
    <w:rsid w:val="00667141"/>
    <w:rsid w:val="006848C8"/>
    <w:rsid w:val="00686FD9"/>
    <w:rsid w:val="00692E2A"/>
    <w:rsid w:val="006A6838"/>
    <w:rsid w:val="006A76F2"/>
    <w:rsid w:val="006B364F"/>
    <w:rsid w:val="006C3C12"/>
    <w:rsid w:val="006C740F"/>
    <w:rsid w:val="006D3683"/>
    <w:rsid w:val="006D7EFB"/>
    <w:rsid w:val="006E2D3B"/>
    <w:rsid w:val="006E3441"/>
    <w:rsid w:val="006E6722"/>
    <w:rsid w:val="006F5B20"/>
    <w:rsid w:val="006F7C94"/>
    <w:rsid w:val="00700A0F"/>
    <w:rsid w:val="007027B9"/>
    <w:rsid w:val="00705F05"/>
    <w:rsid w:val="00711652"/>
    <w:rsid w:val="00714C5E"/>
    <w:rsid w:val="00715E88"/>
    <w:rsid w:val="00722341"/>
    <w:rsid w:val="0072504C"/>
    <w:rsid w:val="00734CAA"/>
    <w:rsid w:val="007369BE"/>
    <w:rsid w:val="00745F24"/>
    <w:rsid w:val="007532F9"/>
    <w:rsid w:val="00754B14"/>
    <w:rsid w:val="00757581"/>
    <w:rsid w:val="00757CA2"/>
    <w:rsid w:val="0076107C"/>
    <w:rsid w:val="0077008E"/>
    <w:rsid w:val="00772F40"/>
    <w:rsid w:val="007737A8"/>
    <w:rsid w:val="007964D9"/>
    <w:rsid w:val="007A5746"/>
    <w:rsid w:val="007A5C12"/>
    <w:rsid w:val="007B3217"/>
    <w:rsid w:val="007C2541"/>
    <w:rsid w:val="007D5C8A"/>
    <w:rsid w:val="007D5D6C"/>
    <w:rsid w:val="007D7245"/>
    <w:rsid w:val="007E003F"/>
    <w:rsid w:val="007E520A"/>
    <w:rsid w:val="007F154E"/>
    <w:rsid w:val="007F215A"/>
    <w:rsid w:val="007F445A"/>
    <w:rsid w:val="007F72D1"/>
    <w:rsid w:val="008019EB"/>
    <w:rsid w:val="00804B9B"/>
    <w:rsid w:val="00805E39"/>
    <w:rsid w:val="008141B7"/>
    <w:rsid w:val="00815D26"/>
    <w:rsid w:val="00830C87"/>
    <w:rsid w:val="00830E26"/>
    <w:rsid w:val="0083580A"/>
    <w:rsid w:val="008400EB"/>
    <w:rsid w:val="008429B3"/>
    <w:rsid w:val="00843576"/>
    <w:rsid w:val="00843B64"/>
    <w:rsid w:val="00854EB8"/>
    <w:rsid w:val="008556AE"/>
    <w:rsid w:val="00867BFF"/>
    <w:rsid w:val="008739BA"/>
    <w:rsid w:val="00880504"/>
    <w:rsid w:val="00883559"/>
    <w:rsid w:val="0088480A"/>
    <w:rsid w:val="00891B46"/>
    <w:rsid w:val="008926EC"/>
    <w:rsid w:val="008947F5"/>
    <w:rsid w:val="008957DD"/>
    <w:rsid w:val="00897D98"/>
    <w:rsid w:val="008A1781"/>
    <w:rsid w:val="008A2426"/>
    <w:rsid w:val="008A3DE0"/>
    <w:rsid w:val="008A457E"/>
    <w:rsid w:val="008A6562"/>
    <w:rsid w:val="008A6DF2"/>
    <w:rsid w:val="008B6614"/>
    <w:rsid w:val="008B79B4"/>
    <w:rsid w:val="008C005A"/>
    <w:rsid w:val="008C56E6"/>
    <w:rsid w:val="008C6727"/>
    <w:rsid w:val="008D0E23"/>
    <w:rsid w:val="008D37C3"/>
    <w:rsid w:val="008D6BA0"/>
    <w:rsid w:val="008D7C99"/>
    <w:rsid w:val="008E0AD6"/>
    <w:rsid w:val="008E0FCB"/>
    <w:rsid w:val="008F1ECC"/>
    <w:rsid w:val="008F26BC"/>
    <w:rsid w:val="008F5894"/>
    <w:rsid w:val="00901521"/>
    <w:rsid w:val="00911AB0"/>
    <w:rsid w:val="00914084"/>
    <w:rsid w:val="00915498"/>
    <w:rsid w:val="0092178C"/>
    <w:rsid w:val="00940DCC"/>
    <w:rsid w:val="0094179A"/>
    <w:rsid w:val="00943BDB"/>
    <w:rsid w:val="0094459E"/>
    <w:rsid w:val="00944DBC"/>
    <w:rsid w:val="00950977"/>
    <w:rsid w:val="00951A7B"/>
    <w:rsid w:val="00952E29"/>
    <w:rsid w:val="0095574F"/>
    <w:rsid w:val="009564A6"/>
    <w:rsid w:val="00962B5E"/>
    <w:rsid w:val="00963208"/>
    <w:rsid w:val="00970E74"/>
    <w:rsid w:val="0098071E"/>
    <w:rsid w:val="00983EE2"/>
    <w:rsid w:val="0098413D"/>
    <w:rsid w:val="00986F26"/>
    <w:rsid w:val="0098795B"/>
    <w:rsid w:val="009A2923"/>
    <w:rsid w:val="009A4ACC"/>
    <w:rsid w:val="009A6528"/>
    <w:rsid w:val="009B4A0F"/>
    <w:rsid w:val="009B78F6"/>
    <w:rsid w:val="009C1324"/>
    <w:rsid w:val="009C2890"/>
    <w:rsid w:val="009C6D94"/>
    <w:rsid w:val="009D0B63"/>
    <w:rsid w:val="009D3F3B"/>
    <w:rsid w:val="009D59AB"/>
    <w:rsid w:val="009E6DF7"/>
    <w:rsid w:val="00A1348D"/>
    <w:rsid w:val="00A14A1D"/>
    <w:rsid w:val="00A17BA5"/>
    <w:rsid w:val="00A232EE"/>
    <w:rsid w:val="00A25358"/>
    <w:rsid w:val="00A41B84"/>
    <w:rsid w:val="00A42891"/>
    <w:rsid w:val="00A44411"/>
    <w:rsid w:val="00A469FA"/>
    <w:rsid w:val="00A55740"/>
    <w:rsid w:val="00A55B01"/>
    <w:rsid w:val="00A56B5B"/>
    <w:rsid w:val="00A64EE6"/>
    <w:rsid w:val="00A657DD"/>
    <w:rsid w:val="00A659F9"/>
    <w:rsid w:val="00A666A6"/>
    <w:rsid w:val="00A6689A"/>
    <w:rsid w:val="00A676CB"/>
    <w:rsid w:val="00A7486A"/>
    <w:rsid w:val="00A80611"/>
    <w:rsid w:val="00A81CD8"/>
    <w:rsid w:val="00A861C0"/>
    <w:rsid w:val="00A91A56"/>
    <w:rsid w:val="00A92AB4"/>
    <w:rsid w:val="00A93A1D"/>
    <w:rsid w:val="00A9783E"/>
    <w:rsid w:val="00AA31A3"/>
    <w:rsid w:val="00AA3A0E"/>
    <w:rsid w:val="00AA4E66"/>
    <w:rsid w:val="00AB2918"/>
    <w:rsid w:val="00AB5340"/>
    <w:rsid w:val="00AC7790"/>
    <w:rsid w:val="00AC7C96"/>
    <w:rsid w:val="00AD07F8"/>
    <w:rsid w:val="00AD7C9B"/>
    <w:rsid w:val="00AE237D"/>
    <w:rsid w:val="00AE5B98"/>
    <w:rsid w:val="00AE78E0"/>
    <w:rsid w:val="00AE7DFE"/>
    <w:rsid w:val="00AF34B1"/>
    <w:rsid w:val="00AF7249"/>
    <w:rsid w:val="00AF7C07"/>
    <w:rsid w:val="00B02DB7"/>
    <w:rsid w:val="00B04D46"/>
    <w:rsid w:val="00B13586"/>
    <w:rsid w:val="00B17933"/>
    <w:rsid w:val="00B22A15"/>
    <w:rsid w:val="00B25B1B"/>
    <w:rsid w:val="00B275BB"/>
    <w:rsid w:val="00B33F94"/>
    <w:rsid w:val="00B34BBF"/>
    <w:rsid w:val="00B405B7"/>
    <w:rsid w:val="00B4262C"/>
    <w:rsid w:val="00B46490"/>
    <w:rsid w:val="00B66901"/>
    <w:rsid w:val="00B71E6D"/>
    <w:rsid w:val="00B72070"/>
    <w:rsid w:val="00B771A3"/>
    <w:rsid w:val="00B779E1"/>
    <w:rsid w:val="00B82774"/>
    <w:rsid w:val="00B84371"/>
    <w:rsid w:val="00B84486"/>
    <w:rsid w:val="00B85A41"/>
    <w:rsid w:val="00B86EB0"/>
    <w:rsid w:val="00B87967"/>
    <w:rsid w:val="00B96BF7"/>
    <w:rsid w:val="00BA1A67"/>
    <w:rsid w:val="00BA2D85"/>
    <w:rsid w:val="00BB15DE"/>
    <w:rsid w:val="00BB28A6"/>
    <w:rsid w:val="00BB44A6"/>
    <w:rsid w:val="00BB5833"/>
    <w:rsid w:val="00BB7851"/>
    <w:rsid w:val="00BC093D"/>
    <w:rsid w:val="00BD1287"/>
    <w:rsid w:val="00BE2356"/>
    <w:rsid w:val="00BF1300"/>
    <w:rsid w:val="00BF3DE7"/>
    <w:rsid w:val="00BF41EA"/>
    <w:rsid w:val="00BF7A7C"/>
    <w:rsid w:val="00BF7E4E"/>
    <w:rsid w:val="00C0058D"/>
    <w:rsid w:val="00C02585"/>
    <w:rsid w:val="00C209C9"/>
    <w:rsid w:val="00C30C63"/>
    <w:rsid w:val="00C3419C"/>
    <w:rsid w:val="00C41236"/>
    <w:rsid w:val="00C47B77"/>
    <w:rsid w:val="00C51F45"/>
    <w:rsid w:val="00C549DA"/>
    <w:rsid w:val="00C558DA"/>
    <w:rsid w:val="00C57664"/>
    <w:rsid w:val="00C644FB"/>
    <w:rsid w:val="00C67678"/>
    <w:rsid w:val="00C725DC"/>
    <w:rsid w:val="00C84759"/>
    <w:rsid w:val="00C90FDD"/>
    <w:rsid w:val="00C93203"/>
    <w:rsid w:val="00C93A3A"/>
    <w:rsid w:val="00C956B3"/>
    <w:rsid w:val="00C95831"/>
    <w:rsid w:val="00C961BB"/>
    <w:rsid w:val="00CA18F4"/>
    <w:rsid w:val="00CA2A65"/>
    <w:rsid w:val="00CA2CB5"/>
    <w:rsid w:val="00CA3FEB"/>
    <w:rsid w:val="00CA5494"/>
    <w:rsid w:val="00CA6C7F"/>
    <w:rsid w:val="00CB1404"/>
    <w:rsid w:val="00CB5521"/>
    <w:rsid w:val="00CC10A6"/>
    <w:rsid w:val="00CC2354"/>
    <w:rsid w:val="00CD2A97"/>
    <w:rsid w:val="00CD3D68"/>
    <w:rsid w:val="00CD7044"/>
    <w:rsid w:val="00CE2264"/>
    <w:rsid w:val="00CE229D"/>
    <w:rsid w:val="00CE2A2D"/>
    <w:rsid w:val="00CE524C"/>
    <w:rsid w:val="00CE5FCF"/>
    <w:rsid w:val="00CF141F"/>
    <w:rsid w:val="00CF1A24"/>
    <w:rsid w:val="00CF4777"/>
    <w:rsid w:val="00CF7C54"/>
    <w:rsid w:val="00D02075"/>
    <w:rsid w:val="00D023AA"/>
    <w:rsid w:val="00D1252B"/>
    <w:rsid w:val="00D12B2C"/>
    <w:rsid w:val="00D14D0C"/>
    <w:rsid w:val="00D15118"/>
    <w:rsid w:val="00D169AF"/>
    <w:rsid w:val="00D22513"/>
    <w:rsid w:val="00D25249"/>
    <w:rsid w:val="00D25F71"/>
    <w:rsid w:val="00D34988"/>
    <w:rsid w:val="00D44172"/>
    <w:rsid w:val="00D46C05"/>
    <w:rsid w:val="00D50E8C"/>
    <w:rsid w:val="00D539B7"/>
    <w:rsid w:val="00D63B8C"/>
    <w:rsid w:val="00D71D25"/>
    <w:rsid w:val="00D72AE3"/>
    <w:rsid w:val="00D739CC"/>
    <w:rsid w:val="00D8093D"/>
    <w:rsid w:val="00D80A9A"/>
    <w:rsid w:val="00D8108C"/>
    <w:rsid w:val="00D82D20"/>
    <w:rsid w:val="00D842AE"/>
    <w:rsid w:val="00D9211C"/>
    <w:rsid w:val="00D92DE0"/>
    <w:rsid w:val="00D93A0F"/>
    <w:rsid w:val="00D956AE"/>
    <w:rsid w:val="00D96369"/>
    <w:rsid w:val="00D97F1C"/>
    <w:rsid w:val="00DA1BCA"/>
    <w:rsid w:val="00DA400B"/>
    <w:rsid w:val="00DA527D"/>
    <w:rsid w:val="00DA6224"/>
    <w:rsid w:val="00DB1194"/>
    <w:rsid w:val="00DC1277"/>
    <w:rsid w:val="00DC357C"/>
    <w:rsid w:val="00DC46FF"/>
    <w:rsid w:val="00DC53CD"/>
    <w:rsid w:val="00DD1207"/>
    <w:rsid w:val="00DD1A4F"/>
    <w:rsid w:val="00DD226E"/>
    <w:rsid w:val="00DD7C2C"/>
    <w:rsid w:val="00DE7A06"/>
    <w:rsid w:val="00DF33F6"/>
    <w:rsid w:val="00DF59F6"/>
    <w:rsid w:val="00E01CC6"/>
    <w:rsid w:val="00E03F3B"/>
    <w:rsid w:val="00E04301"/>
    <w:rsid w:val="00E06389"/>
    <w:rsid w:val="00E06797"/>
    <w:rsid w:val="00E07216"/>
    <w:rsid w:val="00E076C0"/>
    <w:rsid w:val="00E10FB7"/>
    <w:rsid w:val="00E110C8"/>
    <w:rsid w:val="00E1511C"/>
    <w:rsid w:val="00E17BD4"/>
    <w:rsid w:val="00E215B0"/>
    <w:rsid w:val="00E21C83"/>
    <w:rsid w:val="00E2639D"/>
    <w:rsid w:val="00E2657C"/>
    <w:rsid w:val="00E302D9"/>
    <w:rsid w:val="00E41FB3"/>
    <w:rsid w:val="00E4438D"/>
    <w:rsid w:val="00E45435"/>
    <w:rsid w:val="00E4612E"/>
    <w:rsid w:val="00E46D9A"/>
    <w:rsid w:val="00E47CC4"/>
    <w:rsid w:val="00E529FB"/>
    <w:rsid w:val="00E565FF"/>
    <w:rsid w:val="00E56947"/>
    <w:rsid w:val="00E579BD"/>
    <w:rsid w:val="00E61362"/>
    <w:rsid w:val="00E65388"/>
    <w:rsid w:val="00E730F5"/>
    <w:rsid w:val="00E76253"/>
    <w:rsid w:val="00E81947"/>
    <w:rsid w:val="00E8253C"/>
    <w:rsid w:val="00E85B7D"/>
    <w:rsid w:val="00E90887"/>
    <w:rsid w:val="00E9121B"/>
    <w:rsid w:val="00E92B5F"/>
    <w:rsid w:val="00E96B62"/>
    <w:rsid w:val="00EA0B53"/>
    <w:rsid w:val="00EA0F3E"/>
    <w:rsid w:val="00EA1C2C"/>
    <w:rsid w:val="00EA39E5"/>
    <w:rsid w:val="00EA5E5C"/>
    <w:rsid w:val="00EB1B8B"/>
    <w:rsid w:val="00EC3219"/>
    <w:rsid w:val="00EC388E"/>
    <w:rsid w:val="00EC5A46"/>
    <w:rsid w:val="00EC63E2"/>
    <w:rsid w:val="00EC6548"/>
    <w:rsid w:val="00EF22B3"/>
    <w:rsid w:val="00EF2844"/>
    <w:rsid w:val="00F044F7"/>
    <w:rsid w:val="00F064C1"/>
    <w:rsid w:val="00F113DA"/>
    <w:rsid w:val="00F12540"/>
    <w:rsid w:val="00F17586"/>
    <w:rsid w:val="00F22D44"/>
    <w:rsid w:val="00F32F67"/>
    <w:rsid w:val="00F366DE"/>
    <w:rsid w:val="00F37DC8"/>
    <w:rsid w:val="00F41127"/>
    <w:rsid w:val="00F42017"/>
    <w:rsid w:val="00F47CD5"/>
    <w:rsid w:val="00F5341A"/>
    <w:rsid w:val="00F650C3"/>
    <w:rsid w:val="00F701AE"/>
    <w:rsid w:val="00F71407"/>
    <w:rsid w:val="00F716AD"/>
    <w:rsid w:val="00F8091E"/>
    <w:rsid w:val="00F83F10"/>
    <w:rsid w:val="00F8577F"/>
    <w:rsid w:val="00F8615C"/>
    <w:rsid w:val="00F86FDB"/>
    <w:rsid w:val="00F9516F"/>
    <w:rsid w:val="00F9521B"/>
    <w:rsid w:val="00FA13F7"/>
    <w:rsid w:val="00FA380A"/>
    <w:rsid w:val="00FA7174"/>
    <w:rsid w:val="00FB205C"/>
    <w:rsid w:val="00FB254A"/>
    <w:rsid w:val="00FB6C90"/>
    <w:rsid w:val="00FC47C2"/>
    <w:rsid w:val="00FD3EE8"/>
    <w:rsid w:val="00FD534F"/>
    <w:rsid w:val="00FD5860"/>
    <w:rsid w:val="00FE352D"/>
    <w:rsid w:val="00FE7D62"/>
    <w:rsid w:val="00FF11E9"/>
    <w:rsid w:val="00FF2F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47C178"/>
  <w15:docId w15:val="{27FB81F7-B3F5-4BA2-8A0E-3E026EDA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5"/>
    <w:rPr>
      <w:rFonts w:eastAsia="MS Mincho"/>
      <w:lang w:val="en-GB"/>
    </w:rPr>
  </w:style>
  <w:style w:type="paragraph" w:styleId="Heading1">
    <w:name w:val="heading 1"/>
    <w:basedOn w:val="Normal"/>
    <w:next w:val="Normalnumber"/>
    <w:qFormat/>
    <w:rsid w:val="00062885"/>
    <w:pPr>
      <w:keepNext/>
      <w:numPr>
        <w:numId w:val="21"/>
      </w:numPr>
      <w:tabs>
        <w:tab w:val="left" w:pos="1247"/>
        <w:tab w:val="left" w:pos="1814"/>
      </w:tabs>
      <w:spacing w:before="240" w:after="120"/>
      <w:ind w:hanging="534"/>
      <w:outlineLvl w:val="0"/>
    </w:pPr>
    <w:rPr>
      <w:b/>
      <w:sz w:val="28"/>
    </w:rPr>
  </w:style>
  <w:style w:type="paragraph" w:styleId="Heading2">
    <w:name w:val="heading 2"/>
    <w:basedOn w:val="Normal"/>
    <w:next w:val="Normalnumber"/>
    <w:link w:val="Heading2Char"/>
    <w:qFormat/>
    <w:rsid w:val="003124FF"/>
    <w:pPr>
      <w:keepNext/>
      <w:numPr>
        <w:ilvl w:val="1"/>
        <w:numId w:val="24"/>
      </w:numPr>
      <w:spacing w:before="240" w:after="120"/>
      <w:ind w:left="1276" w:hanging="556"/>
      <w:outlineLvl w:val="1"/>
    </w:pPr>
    <w:rPr>
      <w:b/>
      <w:sz w:val="24"/>
      <w:szCs w:val="24"/>
    </w:rPr>
  </w:style>
  <w:style w:type="paragraph" w:styleId="Heading3">
    <w:name w:val="heading 3"/>
    <w:basedOn w:val="Normal"/>
    <w:next w:val="Normalnumber"/>
    <w:link w:val="Heading3Char"/>
    <w:autoRedefine/>
    <w:qFormat/>
    <w:rsid w:val="007D5C8A"/>
    <w:pPr>
      <w:spacing w:after="120"/>
      <w:ind w:left="1304" w:hanging="680"/>
      <w:outlineLvl w:val="2"/>
    </w:pPr>
    <w:rPr>
      <w:b/>
    </w:rPr>
  </w:style>
  <w:style w:type="paragraph" w:styleId="Heading4">
    <w:name w:val="heading 4"/>
    <w:basedOn w:val="Heading3"/>
    <w:next w:val="Normalnumber"/>
    <w:rsid w:val="00AA4E66"/>
    <w:pPr>
      <w:keepNext/>
      <w:outlineLvl w:val="3"/>
    </w:pPr>
  </w:style>
  <w:style w:type="paragraph" w:styleId="Heading5">
    <w:name w:val="heading 5"/>
    <w:basedOn w:val="Normal"/>
    <w:next w:val="Normal"/>
    <w:rsid w:val="00AA4E66"/>
    <w:pPr>
      <w:keepNext/>
      <w:outlineLvl w:val="4"/>
    </w:pPr>
    <w:rPr>
      <w:rFonts w:ascii="Univers" w:hAnsi="Univers"/>
      <w:b/>
      <w:sz w:val="24"/>
    </w:rPr>
  </w:style>
  <w:style w:type="paragraph" w:styleId="Heading6">
    <w:name w:val="heading 6"/>
    <w:basedOn w:val="Normal"/>
    <w:next w:val="Normal"/>
    <w:rsid w:val="00AA4E66"/>
    <w:pPr>
      <w:keepNext/>
      <w:ind w:left="578"/>
      <w:outlineLvl w:val="5"/>
    </w:pPr>
    <w:rPr>
      <w:b/>
      <w:bCs/>
      <w:sz w:val="24"/>
    </w:rPr>
  </w:style>
  <w:style w:type="paragraph" w:styleId="Heading7">
    <w:name w:val="heading 7"/>
    <w:basedOn w:val="Normal"/>
    <w:next w:val="Normal"/>
    <w:rsid w:val="00AA4E66"/>
    <w:pPr>
      <w:keepNext/>
      <w:widowControl w:val="0"/>
      <w:jc w:val="center"/>
      <w:outlineLvl w:val="6"/>
    </w:pPr>
    <w:rPr>
      <w:snapToGrid w:val="0"/>
      <w:u w:val="single"/>
      <w:lang w:val="en-US"/>
    </w:rPr>
  </w:style>
  <w:style w:type="paragraph" w:styleId="Heading8">
    <w:name w:val="heading 8"/>
    <w:basedOn w:val="Normal"/>
    <w:next w:val="Normal"/>
    <w:rsid w:val="00AA4E66"/>
    <w:pPr>
      <w:keepNext/>
      <w:widowControl w:val="0"/>
      <w:numPr>
        <w:numId w:val="1"/>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rsid w:val="00AA4E66"/>
    <w:pPr>
      <w:keepNext/>
      <w:widowControl w:val="0"/>
      <w:numPr>
        <w:numId w:val="2"/>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A4E66"/>
    <w:rPr>
      <w:rFonts w:ascii="Times New Roman" w:hAnsi="Times New Roman"/>
      <w:b/>
      <w:sz w:val="18"/>
    </w:rPr>
  </w:style>
  <w:style w:type="table" w:customStyle="1" w:styleId="Tabledocright">
    <w:name w:val="Table_doc_right"/>
    <w:basedOn w:val="TableNormal"/>
    <w:rsid w:val="00AA4E6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AA4E66"/>
    <w:pPr>
      <w:ind w:left="1000"/>
    </w:pPr>
    <w:rPr>
      <w:sz w:val="18"/>
      <w:szCs w:val="18"/>
    </w:rPr>
  </w:style>
  <w:style w:type="paragraph" w:styleId="TOC7">
    <w:name w:val="toc 7"/>
    <w:basedOn w:val="Normal"/>
    <w:next w:val="Normal"/>
    <w:autoRedefine/>
    <w:semiHidden/>
    <w:rsid w:val="00AA4E66"/>
    <w:pPr>
      <w:ind w:left="1200"/>
    </w:pPr>
    <w:rPr>
      <w:sz w:val="18"/>
      <w:szCs w:val="18"/>
    </w:rPr>
  </w:style>
  <w:style w:type="paragraph" w:styleId="TOC8">
    <w:name w:val="toc 8"/>
    <w:basedOn w:val="Normal"/>
    <w:next w:val="Normal"/>
    <w:autoRedefine/>
    <w:semiHidden/>
    <w:rsid w:val="00AA4E66"/>
    <w:pPr>
      <w:ind w:left="1400"/>
    </w:pPr>
    <w:rPr>
      <w:sz w:val="18"/>
      <w:szCs w:val="18"/>
    </w:rPr>
  </w:style>
  <w:style w:type="paragraph" w:styleId="TOC9">
    <w:name w:val="toc 9"/>
    <w:basedOn w:val="Normal"/>
    <w:next w:val="Normal"/>
    <w:autoRedefine/>
    <w:semiHidden/>
    <w:rsid w:val="00AA4E66"/>
    <w:pPr>
      <w:ind w:left="1600"/>
    </w:pPr>
    <w:rPr>
      <w:sz w:val="18"/>
      <w:szCs w:val="18"/>
    </w:rPr>
  </w:style>
  <w:style w:type="paragraph" w:customStyle="1" w:styleId="Titlefigure">
    <w:name w:val="Title_figure"/>
    <w:basedOn w:val="Titletable"/>
    <w:next w:val="NormalNonumber"/>
    <w:rsid w:val="00AA4E66"/>
    <w:rPr>
      <w:bCs w:val="0"/>
    </w:rPr>
  </w:style>
  <w:style w:type="paragraph" w:styleId="TableofFigures">
    <w:name w:val="table of figures"/>
    <w:basedOn w:val="Normal"/>
    <w:next w:val="Normal"/>
    <w:autoRedefine/>
    <w:semiHidden/>
    <w:rsid w:val="00AA4E66"/>
    <w:pPr>
      <w:ind w:left="1814" w:hanging="567"/>
    </w:pPr>
  </w:style>
  <w:style w:type="paragraph" w:customStyle="1" w:styleId="CH1">
    <w:name w:val="CH1"/>
    <w:basedOn w:val="Normal-pool"/>
    <w:next w:val="CH2"/>
    <w:qFormat/>
    <w:rsid w:val="00AA4E66"/>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4A36DE"/>
    <w:pPr>
      <w:keepNext/>
      <w:keepLines/>
      <w:tabs>
        <w:tab w:val="right" w:pos="624"/>
        <w:tab w:val="right" w:pos="851"/>
      </w:tabs>
      <w:suppressAutoHyphens/>
      <w:spacing w:before="120" w:after="120"/>
      <w:ind w:left="1871" w:right="284" w:hanging="611"/>
    </w:pPr>
    <w:rPr>
      <w:rFonts w:eastAsia="Gulim"/>
      <w:b/>
      <w:sz w:val="24"/>
      <w:szCs w:val="24"/>
      <w:lang w:eastAsia="ko-KR"/>
    </w:rPr>
  </w:style>
  <w:style w:type="paragraph" w:customStyle="1" w:styleId="CH3">
    <w:name w:val="CH3"/>
    <w:basedOn w:val="Normal-pool"/>
    <w:next w:val="Normalnumber"/>
    <w:rsid w:val="00AA4E66"/>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AA4E66"/>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AA4E6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semiHidden/>
    <w:rsid w:val="00AA4E66"/>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qFormat/>
    <w:rsid w:val="001D4810"/>
    <w:pPr>
      <w:tabs>
        <w:tab w:val="left" w:pos="1247"/>
        <w:tab w:val="left" w:pos="1814"/>
        <w:tab w:val="left" w:pos="2381"/>
        <w:tab w:val="left" w:pos="2948"/>
        <w:tab w:val="left" w:pos="3515"/>
      </w:tabs>
    </w:pPr>
    <w:rPr>
      <w:lang w:val="en-GB"/>
    </w:rPr>
  </w:style>
  <w:style w:type="character" w:customStyle="1" w:styleId="NormalnumberChar">
    <w:name w:val="Normal_number Char"/>
    <w:link w:val="Normalnumber"/>
    <w:rsid w:val="00494455"/>
    <w:rPr>
      <w:lang w:val="en-GB"/>
    </w:rPr>
  </w:style>
  <w:style w:type="paragraph" w:customStyle="1" w:styleId="a">
    <w:name w:val="바탕글"/>
    <w:basedOn w:val="Normal"/>
    <w:rsid w:val="00494455"/>
    <w:pPr>
      <w:snapToGrid w:val="0"/>
      <w:spacing w:line="384" w:lineRule="auto"/>
      <w:jc w:val="both"/>
    </w:pPr>
    <w:rPr>
      <w:rFonts w:ascii="Batang" w:eastAsia="Batang" w:hAnsi="Batang" w:cs="Gulim"/>
      <w:color w:val="000000"/>
      <w:lang w:val="en-US" w:eastAsia="ko-KR"/>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3124FF"/>
    <w:rPr>
      <w:rFonts w:eastAsia="MS Mincho"/>
      <w:b/>
      <w:sz w:val="24"/>
      <w:szCs w:val="24"/>
      <w:lang w:val="en-GB"/>
    </w:rPr>
  </w:style>
  <w:style w:type="paragraph" w:styleId="BalloonText">
    <w:name w:val="Balloon Text"/>
    <w:basedOn w:val="Normal"/>
    <w:link w:val="BalloonTextChar"/>
    <w:semiHidden/>
    <w:unhideWhenUsed/>
    <w:rsid w:val="007D5C8A"/>
    <w:rPr>
      <w:rFonts w:ascii="Tahoma" w:hAnsi="Tahoma" w:cs="Tahoma"/>
      <w:sz w:val="16"/>
      <w:szCs w:val="16"/>
    </w:rPr>
  </w:style>
  <w:style w:type="paragraph" w:styleId="FootnoteText">
    <w:name w:val="footnote text"/>
    <w:basedOn w:val="Normal-pool"/>
    <w:link w:val="FootnoteTextChar"/>
    <w:semiHidden/>
    <w:rsid w:val="00AA4E66"/>
    <w:pPr>
      <w:spacing w:before="20" w:after="40"/>
      <w:ind w:left="1247"/>
    </w:pPr>
    <w:rPr>
      <w:sz w:val="18"/>
    </w:rPr>
  </w:style>
  <w:style w:type="paragraph" w:customStyle="1" w:styleId="ColorfulList-Accent11">
    <w:name w:val="Colorful List - Accent 11"/>
    <w:basedOn w:val="Normal"/>
    <w:uiPriority w:val="34"/>
    <w:rsid w:val="00BC093D"/>
    <w:pPr>
      <w:tabs>
        <w:tab w:val="left" w:pos="1247"/>
        <w:tab w:val="left" w:pos="1814"/>
        <w:tab w:val="left" w:pos="2381"/>
        <w:tab w:val="left" w:pos="2948"/>
        <w:tab w:val="left" w:pos="3515"/>
      </w:tabs>
      <w:ind w:left="720"/>
    </w:pPr>
    <w:rPr>
      <w:rFonts w:eastAsia="Times New Roman"/>
    </w:rPr>
  </w:style>
  <w:style w:type="paragraph" w:styleId="EndnoteText">
    <w:name w:val="endnote text"/>
    <w:basedOn w:val="Normal"/>
    <w:link w:val="EndnoteTextChar"/>
    <w:semiHidden/>
    <w:rsid w:val="00BC093D"/>
    <w:pPr>
      <w:tabs>
        <w:tab w:val="left" w:pos="1247"/>
        <w:tab w:val="left" w:pos="1814"/>
        <w:tab w:val="left" w:pos="2381"/>
        <w:tab w:val="left" w:pos="2948"/>
        <w:tab w:val="left" w:pos="3515"/>
      </w:tabs>
    </w:pPr>
    <w:rPr>
      <w:rFonts w:eastAsia="Times New Roman"/>
    </w:rPr>
  </w:style>
  <w:style w:type="character" w:customStyle="1" w:styleId="EndnoteTextChar">
    <w:name w:val="Endnote Text Char"/>
    <w:link w:val="EndnoteText"/>
    <w:locked/>
    <w:rsid w:val="00BC093D"/>
    <w:rPr>
      <w:lang w:val="en-GB" w:eastAsia="en-US" w:bidi="ar-SA"/>
    </w:rPr>
  </w:style>
  <w:style w:type="character" w:customStyle="1" w:styleId="BalloonTextChar">
    <w:name w:val="Balloon Text Char"/>
    <w:basedOn w:val="DefaultParagraphFont"/>
    <w:link w:val="BalloonText"/>
    <w:semiHidden/>
    <w:rsid w:val="007D5C8A"/>
    <w:rPr>
      <w:rFonts w:ascii="Tahoma" w:eastAsia="MS Mincho" w:hAnsi="Tahoma" w:cs="Tahoma"/>
      <w:sz w:val="16"/>
      <w:szCs w:val="16"/>
      <w:lang w:val="en-GB"/>
    </w:rPr>
  </w:style>
  <w:style w:type="character" w:customStyle="1" w:styleId="Normal-poolChar">
    <w:name w:val="Normal-pool Char"/>
    <w:link w:val="Normal-pool"/>
    <w:rsid w:val="00D71D25"/>
    <w:rPr>
      <w:lang w:val="en-GB" w:eastAsia="en-US" w:bidi="ar-SA"/>
    </w:rPr>
  </w:style>
  <w:style w:type="character" w:customStyle="1" w:styleId="CH2Char">
    <w:name w:val="CH2 Char"/>
    <w:link w:val="CH2"/>
    <w:rsid w:val="004A36DE"/>
    <w:rPr>
      <w:rFonts w:eastAsia="Gulim"/>
      <w:b/>
      <w:sz w:val="24"/>
      <w:szCs w:val="24"/>
      <w:lang w:val="en-GB" w:eastAsia="ko-KR"/>
    </w:rPr>
  </w:style>
  <w:style w:type="paragraph" w:customStyle="1" w:styleId="ZZAnxheader">
    <w:name w:val="ZZ_Anx_header"/>
    <w:basedOn w:val="Normal"/>
    <w:rsid w:val="00711652"/>
    <w:pPr>
      <w:tabs>
        <w:tab w:val="left" w:pos="1247"/>
        <w:tab w:val="left" w:pos="1814"/>
        <w:tab w:val="left" w:pos="2381"/>
        <w:tab w:val="left" w:pos="2948"/>
        <w:tab w:val="left" w:pos="3515"/>
        <w:tab w:val="left" w:pos="4082"/>
      </w:tabs>
    </w:pPr>
    <w:rPr>
      <w:rFonts w:eastAsia="Times New Roman"/>
      <w:b/>
      <w:bCs/>
      <w:sz w:val="28"/>
      <w:szCs w:val="22"/>
    </w:rPr>
  </w:style>
  <w:style w:type="paragraph" w:customStyle="1" w:styleId="XLarge">
    <w:name w:val="XLarge"/>
    <w:basedOn w:val="Normal"/>
    <w:rsid w:val="007D5C8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90" w:lineRule="exact"/>
      <w:outlineLvl w:val="0"/>
    </w:pPr>
    <w:rPr>
      <w:rFonts w:eastAsia="Times New Roman"/>
      <w:b/>
      <w:spacing w:val="-4"/>
      <w:w w:val="98"/>
      <w:kern w:val="14"/>
      <w:sz w:val="40"/>
    </w:rPr>
  </w:style>
  <w:style w:type="character" w:customStyle="1" w:styleId="HeaderChar">
    <w:name w:val="Header Char"/>
    <w:link w:val="Header"/>
    <w:uiPriority w:val="99"/>
    <w:rsid w:val="0004779A"/>
    <w:rPr>
      <w:b/>
      <w:sz w:val="18"/>
      <w:lang w:eastAsia="en-US"/>
    </w:rPr>
  </w:style>
  <w:style w:type="paragraph" w:customStyle="1" w:styleId="ColorfulShading-Accent11">
    <w:name w:val="Colorful Shading - Accent 11"/>
    <w:hidden/>
    <w:rsid w:val="0004779A"/>
    <w:rPr>
      <w:sz w:val="24"/>
      <w:szCs w:val="24"/>
    </w:rPr>
  </w:style>
  <w:style w:type="paragraph" w:customStyle="1" w:styleId="Default">
    <w:name w:val="Default"/>
    <w:rsid w:val="0004779A"/>
    <w:pPr>
      <w:autoSpaceDE w:val="0"/>
      <w:autoSpaceDN w:val="0"/>
      <w:adjustRightInd w:val="0"/>
    </w:pPr>
    <w:rPr>
      <w:rFonts w:ascii="Calibri" w:hAnsi="Calibri" w:cs="Calibri"/>
      <w:color w:val="000000"/>
      <w:sz w:val="24"/>
      <w:szCs w:val="24"/>
    </w:rPr>
  </w:style>
  <w:style w:type="paragraph" w:customStyle="1" w:styleId="ColorfulShading-Accent31">
    <w:name w:val="Colorful Shading - Accent 31"/>
    <w:basedOn w:val="Normal"/>
    <w:uiPriority w:val="34"/>
    <w:rsid w:val="0004779A"/>
    <w:pPr>
      <w:suppressAutoHyphens/>
      <w:spacing w:line="240" w:lineRule="exact"/>
      <w:ind w:left="720"/>
      <w:contextualSpacing/>
    </w:pPr>
    <w:rPr>
      <w:rFonts w:eastAsia="Times New Roman"/>
      <w:spacing w:val="4"/>
      <w:w w:val="103"/>
      <w:kern w:val="14"/>
    </w:rPr>
  </w:style>
  <w:style w:type="paragraph" w:customStyle="1" w:styleId="DarkList-Accent31">
    <w:name w:val="Dark List - Accent 31"/>
    <w:hidden/>
    <w:uiPriority w:val="99"/>
    <w:semiHidden/>
    <w:rsid w:val="0004779A"/>
    <w:rPr>
      <w:spacing w:val="4"/>
      <w:w w:val="103"/>
      <w:kern w:val="14"/>
      <w:lang w:val="en-GB"/>
    </w:rPr>
  </w:style>
  <w:style w:type="character" w:customStyle="1" w:styleId="Heading3Char">
    <w:name w:val="Heading 3 Char"/>
    <w:link w:val="Heading3"/>
    <w:rsid w:val="007D5C8A"/>
    <w:rPr>
      <w:rFonts w:eastAsia="MS Mincho"/>
      <w:b/>
      <w:lang w:val="en-GB"/>
    </w:rPr>
  </w:style>
  <w:style w:type="character" w:customStyle="1" w:styleId="FooterChar">
    <w:name w:val="Footer Char"/>
    <w:link w:val="Footer"/>
    <w:uiPriority w:val="99"/>
    <w:rsid w:val="00943BDB"/>
    <w:rPr>
      <w:sz w:val="18"/>
      <w:lang w:eastAsia="en-US"/>
    </w:rPr>
  </w:style>
  <w:style w:type="paragraph" w:styleId="Title">
    <w:name w:val="Title"/>
    <w:basedOn w:val="BBTitle"/>
    <w:next w:val="Normal"/>
    <w:link w:val="TitleChar"/>
    <w:qFormat/>
    <w:rsid w:val="00062885"/>
    <w:rPr>
      <w:lang w:val="en-US"/>
    </w:rPr>
  </w:style>
  <w:style w:type="character" w:customStyle="1" w:styleId="TitleChar">
    <w:name w:val="Title Char"/>
    <w:link w:val="Title"/>
    <w:rsid w:val="00062885"/>
    <w:rPr>
      <w:b/>
      <w:sz w:val="28"/>
      <w:szCs w:val="28"/>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rsid w:val="00AA4E66"/>
    <w:pPr>
      <w:keepNext/>
      <w:keepLines/>
      <w:suppressAutoHyphens/>
      <w:ind w:right="3402"/>
    </w:pPr>
    <w:rPr>
      <w:b/>
    </w:rPr>
  </w:style>
  <w:style w:type="paragraph" w:customStyle="1" w:styleId="AATitle2">
    <w:name w:val="AA_Title2"/>
    <w:basedOn w:val="AgendaItemTitle"/>
    <w:rsid w:val="00AA4E66"/>
    <w:pPr>
      <w:spacing w:before="120" w:after="120"/>
      <w:ind w:right="1701"/>
    </w:pPr>
  </w:style>
  <w:style w:type="paragraph" w:customStyle="1" w:styleId="BBTitle">
    <w:name w:val="BB_Title"/>
    <w:basedOn w:val="Normal-pool"/>
    <w:rsid w:val="00AA4E66"/>
    <w:pPr>
      <w:keepNext/>
      <w:keepLines/>
      <w:suppressAutoHyphens/>
      <w:spacing w:before="320" w:after="240"/>
      <w:ind w:left="1247" w:right="567"/>
    </w:pPr>
    <w:rPr>
      <w:b/>
      <w:sz w:val="28"/>
      <w:szCs w:val="28"/>
    </w:rPr>
  </w:style>
  <w:style w:type="paragraph" w:styleId="Footer">
    <w:name w:val="footer"/>
    <w:basedOn w:val="Normal-pool"/>
    <w:link w:val="FooterChar"/>
    <w:uiPriority w:val="99"/>
    <w:rsid w:val="00AA4E66"/>
    <w:pPr>
      <w:tabs>
        <w:tab w:val="center" w:pos="4320"/>
        <w:tab w:val="right" w:pos="8640"/>
      </w:tabs>
      <w:spacing w:before="60" w:after="120"/>
    </w:pPr>
    <w:rPr>
      <w:sz w:val="18"/>
    </w:rPr>
  </w:style>
  <w:style w:type="paragraph" w:styleId="Header">
    <w:name w:val="header"/>
    <w:basedOn w:val="Normal-pool"/>
    <w:link w:val="HeaderChar"/>
    <w:uiPriority w:val="99"/>
    <w:rsid w:val="00AA4E66"/>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AA4E66"/>
    <w:rPr>
      <w:rFonts w:ascii="Times New Roman" w:hAnsi="Times New Roman"/>
      <w:color w:val="auto"/>
      <w:sz w:val="20"/>
      <w:szCs w:val="20"/>
      <w:u w:val="none"/>
      <w:lang w:val="fr-FR"/>
    </w:rPr>
  </w:style>
  <w:style w:type="numbering" w:customStyle="1" w:styleId="Normallist">
    <w:name w:val="Normal_list"/>
    <w:basedOn w:val="NoList"/>
    <w:rsid w:val="00AA4E66"/>
    <w:pPr>
      <w:numPr>
        <w:numId w:val="3"/>
      </w:numPr>
    </w:pPr>
  </w:style>
  <w:style w:type="paragraph" w:customStyle="1" w:styleId="NormalNonumber">
    <w:name w:val="Normal_No_number"/>
    <w:basedOn w:val="Normal-pool"/>
    <w:rsid w:val="00AA4E66"/>
    <w:pPr>
      <w:spacing w:after="120"/>
      <w:ind w:left="1247"/>
    </w:pPr>
  </w:style>
  <w:style w:type="paragraph" w:customStyle="1" w:styleId="Normalnumber">
    <w:name w:val="Normal_number"/>
    <w:basedOn w:val="Normal-pool"/>
    <w:link w:val="NormalnumberChar"/>
    <w:qFormat/>
    <w:rsid w:val="00AA4E66"/>
    <w:pPr>
      <w:numPr>
        <w:numId w:val="4"/>
      </w:numPr>
      <w:spacing w:after="120"/>
    </w:pPr>
  </w:style>
  <w:style w:type="paragraph" w:customStyle="1" w:styleId="Titletable">
    <w:name w:val="Title_table"/>
    <w:basedOn w:val="Normal-pool"/>
    <w:next w:val="NormalNonumber"/>
    <w:rsid w:val="00AA4E66"/>
    <w:pPr>
      <w:keepNext/>
      <w:keepLines/>
      <w:suppressAutoHyphens/>
      <w:spacing w:after="60"/>
      <w:ind w:left="1247"/>
    </w:pPr>
    <w:rPr>
      <w:b/>
      <w:bCs/>
    </w:rPr>
  </w:style>
  <w:style w:type="paragraph" w:styleId="TOC1">
    <w:name w:val="toc 1"/>
    <w:basedOn w:val="Normal-pool"/>
    <w:next w:val="Normal-pool"/>
    <w:uiPriority w:val="39"/>
    <w:rsid w:val="00AA4E66"/>
    <w:pPr>
      <w:tabs>
        <w:tab w:val="clear" w:pos="2381"/>
        <w:tab w:val="clear" w:pos="2948"/>
        <w:tab w:val="clear" w:pos="3515"/>
        <w:tab w:val="right" w:leader="dot" w:pos="9486"/>
      </w:tabs>
      <w:spacing w:before="240"/>
      <w:ind w:left="1814" w:hanging="567"/>
    </w:pPr>
    <w:rPr>
      <w:bCs/>
    </w:rPr>
  </w:style>
  <w:style w:type="paragraph" w:styleId="TOC2">
    <w:name w:val="toc 2"/>
    <w:basedOn w:val="Normal-pool"/>
    <w:next w:val="Normal-pool"/>
    <w:uiPriority w:val="39"/>
    <w:rsid w:val="00AA4E66"/>
    <w:pPr>
      <w:tabs>
        <w:tab w:val="clear" w:pos="1814"/>
        <w:tab w:val="clear" w:pos="2948"/>
        <w:tab w:val="clear" w:pos="3515"/>
        <w:tab w:val="right" w:leader="dot" w:pos="9486"/>
      </w:tabs>
      <w:ind w:left="2381" w:hanging="567"/>
    </w:pPr>
  </w:style>
  <w:style w:type="paragraph" w:styleId="TOC3">
    <w:name w:val="toc 3"/>
    <w:basedOn w:val="Normal-pool"/>
    <w:next w:val="Normal-pool"/>
    <w:uiPriority w:val="39"/>
    <w:rsid w:val="00AA4E66"/>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AA4E66"/>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AA4E66"/>
    <w:pPr>
      <w:ind w:left="800"/>
    </w:pPr>
    <w:rPr>
      <w:sz w:val="18"/>
      <w:szCs w:val="18"/>
    </w:rPr>
  </w:style>
  <w:style w:type="paragraph" w:customStyle="1" w:styleId="AnnexTitle">
    <w:name w:val="Annex Title"/>
    <w:basedOn w:val="Normal-pool"/>
    <w:qFormat/>
    <w:rsid w:val="0058611F"/>
    <w:pPr>
      <w:pageBreakBefore/>
    </w:pPr>
    <w:rPr>
      <w:b/>
      <w:bCs/>
      <w:sz w:val="28"/>
      <w:szCs w:val="22"/>
    </w:rPr>
  </w:style>
  <w:style w:type="paragraph" w:customStyle="1" w:styleId="ZZAnxtitle">
    <w:name w:val="ZZ_Anx_title"/>
    <w:basedOn w:val="Normal-pool"/>
    <w:rsid w:val="00AA4E66"/>
    <w:pPr>
      <w:spacing w:before="360" w:after="120"/>
      <w:ind w:left="1247"/>
    </w:pPr>
    <w:rPr>
      <w:b/>
      <w:bCs/>
      <w:sz w:val="28"/>
      <w:szCs w:val="26"/>
    </w:rPr>
  </w:style>
  <w:style w:type="paragraph" w:customStyle="1" w:styleId="AnnexNumbered">
    <w:name w:val="Annex Numbered"/>
    <w:basedOn w:val="AnnexTitle"/>
    <w:qFormat/>
    <w:rsid w:val="004A36DE"/>
    <w:pPr>
      <w:numPr>
        <w:numId w:val="25"/>
      </w:numPr>
    </w:pPr>
    <w:rPr>
      <w:rFonts w:eastAsia="Calibri"/>
      <w:w w:val="103"/>
    </w:rPr>
  </w:style>
  <w:style w:type="paragraph" w:customStyle="1" w:styleId="AATitle">
    <w:name w:val="AA_Title"/>
    <w:basedOn w:val="Normal"/>
    <w:rsid w:val="00EC6548"/>
    <w:pPr>
      <w:keepNext/>
      <w:keepLines/>
      <w:tabs>
        <w:tab w:val="left" w:pos="1247"/>
        <w:tab w:val="left" w:pos="1814"/>
        <w:tab w:val="left" w:pos="2381"/>
        <w:tab w:val="left" w:pos="2948"/>
        <w:tab w:val="left" w:pos="3515"/>
        <w:tab w:val="left" w:pos="4082"/>
      </w:tabs>
      <w:suppressAutoHyphens/>
      <w:ind w:right="5103"/>
    </w:pPr>
    <w:rPr>
      <w:rFonts w:eastAsia="Times New Roman"/>
      <w:b/>
    </w:rPr>
  </w:style>
  <w:style w:type="character" w:customStyle="1" w:styleId="FootnoteTextChar">
    <w:name w:val="Footnote Text Char"/>
    <w:link w:val="FootnoteText"/>
    <w:semiHidden/>
    <w:rsid w:val="00D14D0C"/>
    <w:rPr>
      <w:sz w:val="18"/>
      <w:lang w:val="en-GB"/>
    </w:rPr>
  </w:style>
  <w:style w:type="paragraph" w:styleId="NormalWeb">
    <w:name w:val="Normal (Web)"/>
    <w:basedOn w:val="Normal"/>
    <w:uiPriority w:val="99"/>
    <w:semiHidden/>
    <w:unhideWhenUsed/>
    <w:rsid w:val="00FB205C"/>
    <w:pPr>
      <w:spacing w:before="100" w:beforeAutospacing="1" w:after="100" w:afterAutospacing="1"/>
    </w:pPr>
    <w:rPr>
      <w:rFonts w:ascii="Times" w:eastAsia="Times New Roman" w:hAnsi="Times"/>
    </w:rPr>
  </w:style>
  <w:style w:type="character" w:styleId="Emphasis">
    <w:name w:val="Emphasis"/>
    <w:basedOn w:val="DefaultParagraphFont"/>
    <w:uiPriority w:val="20"/>
    <w:qFormat/>
    <w:rsid w:val="00FB2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 w:id="1642342074">
      <w:bodyDiv w:val="1"/>
      <w:marLeft w:val="0"/>
      <w:marRight w:val="0"/>
      <w:marTop w:val="0"/>
      <w:marBottom w:val="0"/>
      <w:divBdr>
        <w:top w:val="none" w:sz="0" w:space="0" w:color="auto"/>
        <w:left w:val="none" w:sz="0" w:space="0" w:color="auto"/>
        <w:bottom w:val="none" w:sz="0" w:space="0" w:color="auto"/>
        <w:right w:val="none" w:sz="0" w:space="0" w:color="auto"/>
      </w:divBdr>
      <w:divsChild>
        <w:div w:id="51265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ownloads\Template_Working_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4f199e1-8ff6-4421-800c-b60412eeab13">Template</Document_x0020_Status>
    <Job_x0020_Number xmlns="d4f199e1-8ff6-4421-800c-b60412eeab13">tbd</Job_x0020_Number>
    <Document_x0020_Language_x0028_s_x0029_ xmlns="d4f199e1-8ff6-4421-800c-b60412eeab13">English</Document_x0020_Language_x0028_s_x0029_>
    <Document_x0020_Name_ xmlns="9a8f22b8-05ea-4936-a963-5334b0fbdd5f">46</Document_x0020_Nam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17B97D03965E4AAF48B8518C3B9D8C" ma:contentTypeVersion="52" ma:contentTypeDescription="Create a new document." ma:contentTypeScope="" ma:versionID="380abe7deed374b9ee5f9ae76b9369fa">
  <xsd:schema xmlns:xsd="http://www.w3.org/2001/XMLSchema" xmlns:xs="http://www.w3.org/2001/XMLSchema" xmlns:p="http://schemas.microsoft.com/office/2006/metadata/properties" xmlns:ns2="9a8f22b8-05ea-4936-a963-5334b0fbdd5f" xmlns:ns3="d4f199e1-8ff6-4421-800c-b60412eeab13" xmlns:ns4="699a0643-be3a-4930-aa07-4f5905529aa4" targetNamespace="http://schemas.microsoft.com/office/2006/metadata/properties" ma:root="true" ma:fieldsID="9280ef94f79a0566b74145095909fcab" ns2:_="" ns3:_="" ns4:_="">
    <xsd:import namespace="9a8f22b8-05ea-4936-a963-5334b0fbdd5f"/>
    <xsd:import namespace="d4f199e1-8ff6-4421-800c-b60412eeab13"/>
    <xsd:import namespace="699a0643-be3a-4930-aa07-4f5905529aa4"/>
    <xsd:element name="properties">
      <xsd:complexType>
        <xsd:sequence>
          <xsd:element name="documentManagement">
            <xsd:complexType>
              <xsd:all>
                <xsd:element ref="ns2:Document_x0020_Name_" minOccurs="0"/>
                <xsd:element ref="ns3:Document_x0020_Status" minOccurs="0"/>
                <xsd:element ref="ns3:Document_x0020_Language_x0028_s_x0029_" minOccurs="0"/>
                <xsd:element ref="ns3:Job_x0020_Number" minOccurs="0"/>
                <xsd:element ref="ns4:SharedWithUsers" minOccurs="0"/>
                <xsd:element ref="ns4:SharedWithDetails" minOccurs="0"/>
                <xsd:element ref="ns2:Document_x0020_Name_x003a_Document_x0020_Type" minOccurs="0"/>
                <xsd:element ref="ns2:Document_x0020_Name_x003a_Document_x0020_Edit_x0020_Type" minOccurs="0"/>
                <xsd:element ref="ns2:Document_x0020_Name_x003a_Distribution" minOccurs="0"/>
                <xsd:element ref="ns2:Document_x0020_Name_x003a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22b8-05ea-4936-a963-5334b0fbdd5f" elementFormDefault="qualified">
    <xsd:import namespace="http://schemas.microsoft.com/office/2006/documentManagement/types"/>
    <xsd:import namespace="http://schemas.microsoft.com/office/infopath/2007/PartnerControls"/>
    <xsd:element name="Document_x0020_Name_" ma:index="1" nillable="true" ma:displayName="Document Name" ma:indexed="true" ma:list="{4ec6360f-f2a9-4a0b-b5e8-01156924b145}" ma:internalName="Document_x0020_Name_" ma:readOnly="false" ma:showField="Title">
      <xsd:simpleType>
        <xsd:restriction base="dms:Lookup"/>
      </xsd:simpleType>
    </xsd:element>
    <xsd:element name="Document_x0020_Name_x003a_Document_x0020_Type" ma:index="10" nillable="true" ma:displayName="Document Name:Document Type" ma:list="{4ec6360f-f2a9-4a0b-b5e8-01156924b145}" ma:internalName="Document_x0020_Name_x003a_Document_x0020_Type" ma:readOnly="true" ma:showField="Document_x0020_Type_" ma:web="cdcbdaca-403c-4042-b44a-1c4b9866e4b7">
      <xsd:simpleType>
        <xsd:restriction base="dms:Lookup"/>
      </xsd:simpleType>
    </xsd:element>
    <xsd:element name="Document_x0020_Name_x003a_Document_x0020_Edit_x0020_Type" ma:index="11" nillable="true" ma:displayName="Document Name:Document Edit Type" ma:list="{4ec6360f-f2a9-4a0b-b5e8-01156924b145}" ma:internalName="Document_x0020_Name_x003a_Document_x0020_Edit_x0020_Type" ma:readOnly="true" ma:showField="m20d" ma:web="cdcbdaca-403c-4042-b44a-1c4b9866e4b7">
      <xsd:simpleType>
        <xsd:restriction base="dms:Lookup"/>
      </xsd:simpleType>
    </xsd:element>
    <xsd:element name="Document_x0020_Name_x003a_Distribution" ma:index="12" nillable="true" ma:displayName="Document Name:Distribution" ma:list="{4ec6360f-f2a9-4a0b-b5e8-01156924b145}" ma:internalName="Document_x0020_Name_x003a_Distribution" ma:readOnly="true" ma:showField="Distribution_" ma:web="cdcbdaca-403c-4042-b44a-1c4b9866e4b7">
      <xsd:simpleType>
        <xsd:restriction base="dms:Lookup"/>
      </xsd:simpleType>
    </xsd:element>
    <xsd:element name="Document_x0020_Name_x003a_DocumentID" ma:index="13" nillable="true" ma:displayName="Document Name:DocumentID" ma:list="{4ec6360f-f2a9-4a0b-b5e8-01156924b145}" ma:internalName="Document_x0020_Name_x003a_DocumentID" ma:readOnly="true" ma:showField="DocumentID" ma:web="cdcbdaca-403c-4042-b44a-1c4b9866e4b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199e1-8ff6-4421-800c-b60412eeab13" elementFormDefault="qualified">
    <xsd:import namespace="http://schemas.microsoft.com/office/2006/documentManagement/types"/>
    <xsd:import namespace="http://schemas.microsoft.com/office/infopath/2007/PartnerControls"/>
    <xsd:element name="Document_x0020_Status" ma:index="3" nillable="true" ma:displayName="Document Status" ma:description="Status of the document(Draft or Final)" ma:format="RadioButtons" ma:internalName="Document_x0020_Status">
      <xsd:simpleType>
        <xsd:restriction base="dms:Choice">
          <xsd:enumeration value="Template"/>
          <xsd:enumeration value="Draft"/>
          <xsd:enumeration value="Advance"/>
          <xsd:enumeration value="Final"/>
        </xsd:restriction>
      </xsd:simpleType>
    </xsd:element>
    <xsd:element name="Document_x0020_Language_x0028_s_x0029_" ma:index="4" nillable="true" ma:displayName="Document Language(s)" ma:description="Six official UN languages (Arabic, Chinese, English, French, Russian, Spanish)" ma:format="Dropdown" ma:indexed="true" ma:internalName="Document_x0020_Language_x0028_s_x0029_">
      <xsd:simpleType>
        <xsd:restriction base="dms:Choice">
          <xsd:enumeration value="Arabic"/>
          <xsd:enumeration value="Chinese"/>
          <xsd:enumeration value="English"/>
          <xsd:enumeration value="French"/>
          <xsd:enumeration value="Russian"/>
          <xsd:enumeration value="Spanish"/>
        </xsd:restriction>
      </xsd:simpleType>
    </xsd:element>
    <xsd:element name="Job_x0020_Number" ma:index="5" nillable="true" ma:displayName="Job Number" ma:description="The job number is assigned by  Documents Control and it includes the year, month and serial number." ma:internalName="Job_x0020_Number">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99a0643-be3a-4930-aa07-4f5905529a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85A7-04E5-4A45-B2D4-6199A8D3862F}">
  <ds:schemaRefs>
    <ds:schemaRef ds:uri="http://purl.org/dc/terms/"/>
    <ds:schemaRef ds:uri="http://schemas.microsoft.com/office/infopath/2007/PartnerControls"/>
    <ds:schemaRef ds:uri="http://schemas.microsoft.com/office/2006/documentManagement/types"/>
    <ds:schemaRef ds:uri="http://purl.org/dc/elements/1.1/"/>
    <ds:schemaRef ds:uri="9a8f22b8-05ea-4936-a963-5334b0fbdd5f"/>
    <ds:schemaRef ds:uri="699a0643-be3a-4930-aa07-4f5905529aa4"/>
    <ds:schemaRef ds:uri="http://purl.org/dc/dcmitype/"/>
    <ds:schemaRef ds:uri="http://schemas.microsoft.com/office/2006/metadata/properties"/>
    <ds:schemaRef ds:uri="http://schemas.openxmlformats.org/package/2006/metadata/core-properties"/>
    <ds:schemaRef ds:uri="d4f199e1-8ff6-4421-800c-b60412eeab13"/>
    <ds:schemaRef ds:uri="http://www.w3.org/XML/1998/namespace"/>
  </ds:schemaRefs>
</ds:datastoreItem>
</file>

<file path=customXml/itemProps2.xml><?xml version="1.0" encoding="utf-8"?>
<ds:datastoreItem xmlns:ds="http://schemas.openxmlformats.org/officeDocument/2006/customXml" ds:itemID="{29524155-8A34-439C-AEA2-F3593154AC87}">
  <ds:schemaRefs>
    <ds:schemaRef ds:uri="http://schemas.microsoft.com/sharepoint/v3/contenttype/forms"/>
  </ds:schemaRefs>
</ds:datastoreItem>
</file>

<file path=customXml/itemProps3.xml><?xml version="1.0" encoding="utf-8"?>
<ds:datastoreItem xmlns:ds="http://schemas.openxmlformats.org/officeDocument/2006/customXml" ds:itemID="{7DD06B7D-BDA7-4D2A-9400-98F38FBC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22b8-05ea-4936-a963-5334b0fbdd5f"/>
    <ds:schemaRef ds:uri="d4f199e1-8ff6-4421-800c-b60412eeab13"/>
    <ds:schemaRef ds:uri="699a0643-be3a-4930-aa07-4f5905529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3B0FC-4C8C-451B-B2A4-3324D73C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Template_Working_Documents</Template>
  <TotalTime>1</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Benedict Aboki Omare</dc:creator>
  <cp:lastModifiedBy>Sarah Banda-Genchev ( IPBES Secretariat )</cp:lastModifiedBy>
  <cp:revision>2</cp:revision>
  <cp:lastPrinted>2014-11-28T12:25:00Z</cp:lastPrinted>
  <dcterms:created xsi:type="dcterms:W3CDTF">2018-01-16T11:29:00Z</dcterms:created>
  <dcterms:modified xsi:type="dcterms:W3CDTF">2018-01-16T11:29:00Z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0x010100BA17B97D03965E4AAF48B8518C3B9D8C</vt:lpwstr>
  </property>
  <property fmtid="{D5CDD505-2E9C-101B-9397-08002B2CF9AE}" pid="3" name="Document distribution">
    <vt:lpwstr>General</vt:lpwstr>
  </property>
  <property fmtid="{D5CDD505-2E9C-101B-9397-08002B2CF9AE}" pid="4" name="wk4t">
    <vt:lpwstr>IPBES/4/14 - Nomination and selection process and proposals received for members of the Bureau</vt:lpwstr>
  </property>
  <property fmtid="{D5CDD505-2E9C-101B-9397-08002B2CF9AE}" pid="5" name="Document ID">
    <vt:lpwstr>IPBES/4/x</vt:lpwstr>
  </property>
  <property fmtid="{D5CDD505-2E9C-101B-9397-08002B2CF9AE}" pid="6" name="Document Symbol">
    <vt:lpwstr>Working (/.x)</vt:lpwstr>
  </property>
</Properties>
</file>