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right"/>
        <w:tblLayout w:type="fixed"/>
        <w:tblLook w:val="0000" w:firstRow="0" w:lastRow="0" w:firstColumn="0" w:lastColumn="0" w:noHBand="0" w:noVBand="0"/>
      </w:tblPr>
      <w:tblGrid>
        <w:gridCol w:w="1213"/>
        <w:gridCol w:w="1110"/>
        <w:gridCol w:w="1109"/>
        <w:gridCol w:w="1109"/>
        <w:gridCol w:w="972"/>
        <w:gridCol w:w="1246"/>
        <w:gridCol w:w="696"/>
        <w:gridCol w:w="284"/>
        <w:gridCol w:w="1762"/>
      </w:tblGrid>
      <w:tr w:rsidR="00EA6BF9" w:rsidRPr="0081483A" w:rsidTr="00663FF3">
        <w:trPr>
          <w:cantSplit/>
          <w:trHeight w:val="1079"/>
          <w:jc w:val="right"/>
        </w:trPr>
        <w:tc>
          <w:tcPr>
            <w:tcW w:w="1241" w:type="dxa"/>
          </w:tcPr>
          <w:p w:rsidR="00EA6BF9" w:rsidRPr="009D6B28" w:rsidRDefault="00EA6BF9" w:rsidP="00663FF3">
            <w:pPr>
              <w:keepNext/>
              <w:spacing w:before="40" w:after="0" w:line="240" w:lineRule="auto"/>
              <w:outlineLvl w:val="1"/>
              <w:rPr>
                <w:rFonts w:ascii="SimHei" w:eastAsia="SimHei" w:hAnsi="SimHei"/>
                <w:sz w:val="32"/>
                <w:szCs w:val="32"/>
                <w:lang w:val="en-GB" w:eastAsia="zh-CN"/>
              </w:rPr>
            </w:pPr>
            <w:bookmarkStart w:id="0" w:name="_GoBack"/>
            <w:bookmarkEnd w:id="0"/>
            <w:r w:rsidRPr="009D6B28">
              <w:rPr>
                <w:rFonts w:ascii="SimHei" w:eastAsia="SimHei" w:hAnsi="SimHei" w:cs="Arial" w:hint="eastAsia"/>
                <w:b/>
                <w:noProof/>
                <w:sz w:val="32"/>
                <w:szCs w:val="32"/>
                <w:lang w:val="en-GB" w:eastAsia="zh-CN"/>
              </w:rPr>
              <w:t>联合国</w:t>
            </w:r>
          </w:p>
        </w:tc>
        <w:tc>
          <w:tcPr>
            <w:tcW w:w="1135" w:type="dxa"/>
            <w:tcBorders>
              <w:left w:val="nil"/>
            </w:tcBorders>
          </w:tcPr>
          <w:p w:rsidR="00EA6BF9" w:rsidRPr="0081483A" w:rsidRDefault="00EA6BF9" w:rsidP="00663FF3">
            <w:pPr>
              <w:spacing w:after="0" w:line="240" w:lineRule="auto"/>
              <w:jc w:val="center"/>
              <w:rPr>
                <w:rFonts w:ascii="Times New Roman" w:hAnsi="Times New Roman"/>
                <w:sz w:val="20"/>
                <w:szCs w:val="20"/>
                <w:lang w:val="en-GB"/>
              </w:rPr>
            </w:pPr>
            <w:r>
              <w:rPr>
                <w:rFonts w:ascii="Times New Roman" w:hAnsi="Times New Roman"/>
                <w:noProof/>
                <w:sz w:val="20"/>
                <w:szCs w:val="20"/>
                <w:lang w:eastAsia="zh-CN"/>
              </w:rPr>
              <w:drawing>
                <wp:inline distT="0" distB="0" distL="0" distR="0" wp14:anchorId="0CBA4FD1" wp14:editId="6294C5F6">
                  <wp:extent cx="591820" cy="553085"/>
                  <wp:effectExtent l="0" t="0" r="0" b="0"/>
                  <wp:docPr id="2" name="Picture 72" descr="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escription: !UN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20" cy="553085"/>
                          </a:xfrm>
                          <a:prstGeom prst="rect">
                            <a:avLst/>
                          </a:prstGeom>
                          <a:noFill/>
                          <a:ln>
                            <a:noFill/>
                          </a:ln>
                        </pic:spPr>
                      </pic:pic>
                    </a:graphicData>
                  </a:graphic>
                </wp:inline>
              </w:drawing>
            </w:r>
          </w:p>
        </w:tc>
        <w:tc>
          <w:tcPr>
            <w:tcW w:w="1134" w:type="dxa"/>
            <w:tcBorders>
              <w:left w:val="nil"/>
            </w:tcBorders>
          </w:tcPr>
          <w:p w:rsidR="00EA6BF9" w:rsidRPr="0081483A" w:rsidRDefault="00EA6BF9" w:rsidP="00663FF3">
            <w:pPr>
              <w:spacing w:after="0" w:line="240" w:lineRule="auto"/>
              <w:jc w:val="center"/>
              <w:rPr>
                <w:rFonts w:ascii="Times New Roman" w:hAnsi="Times New Roman"/>
                <w:sz w:val="20"/>
                <w:szCs w:val="20"/>
                <w:lang w:val="en-GB"/>
              </w:rPr>
            </w:pPr>
            <w:r>
              <w:rPr>
                <w:noProof/>
                <w:lang w:eastAsia="zh-CN"/>
              </w:rPr>
              <w:drawing>
                <wp:inline distT="0" distB="0" distL="0" distR="0" wp14:anchorId="007B61B0" wp14:editId="185F3EF5">
                  <wp:extent cx="560705" cy="62992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 cy="629920"/>
                          </a:xfrm>
                          <a:prstGeom prst="rect">
                            <a:avLst/>
                          </a:prstGeom>
                          <a:noFill/>
                          <a:ln>
                            <a:noFill/>
                          </a:ln>
                        </pic:spPr>
                      </pic:pic>
                    </a:graphicData>
                  </a:graphic>
                </wp:inline>
              </w:drawing>
            </w:r>
          </w:p>
        </w:tc>
        <w:tc>
          <w:tcPr>
            <w:tcW w:w="1134" w:type="dxa"/>
            <w:tcBorders>
              <w:left w:val="nil"/>
            </w:tcBorders>
          </w:tcPr>
          <w:p w:rsidR="00EA6BF9" w:rsidRPr="0081483A" w:rsidRDefault="00EA6BF9" w:rsidP="00663FF3">
            <w:pPr>
              <w:spacing w:after="0" w:line="240" w:lineRule="auto"/>
              <w:rPr>
                <w:rFonts w:ascii="Times New Roman" w:hAnsi="Times New Roman"/>
                <w:sz w:val="20"/>
                <w:szCs w:val="20"/>
                <w:lang w:val="en-GB"/>
              </w:rPr>
            </w:pPr>
            <w:r>
              <w:rPr>
                <w:rFonts w:ascii="Times New Roman" w:hAnsi="Times New Roman"/>
                <w:noProof/>
                <w:sz w:val="20"/>
                <w:szCs w:val="20"/>
                <w:lang w:eastAsia="zh-CN"/>
              </w:rPr>
              <w:drawing>
                <wp:inline distT="0" distB="0" distL="0" distR="0" wp14:anchorId="18FF0251" wp14:editId="0A089D15">
                  <wp:extent cx="637540" cy="491490"/>
                  <wp:effectExtent l="0" t="0" r="0" b="3810"/>
                  <wp:docPr id="4" name="Picture 70" descr="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Logos\UNESCO (blac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540" cy="491490"/>
                          </a:xfrm>
                          <a:prstGeom prst="rect">
                            <a:avLst/>
                          </a:prstGeom>
                          <a:noFill/>
                          <a:ln>
                            <a:noFill/>
                          </a:ln>
                        </pic:spPr>
                      </pic:pic>
                    </a:graphicData>
                  </a:graphic>
                </wp:inline>
              </w:drawing>
            </w:r>
          </w:p>
        </w:tc>
        <w:tc>
          <w:tcPr>
            <w:tcW w:w="993" w:type="dxa"/>
            <w:tcBorders>
              <w:left w:val="nil"/>
            </w:tcBorders>
          </w:tcPr>
          <w:p w:rsidR="00EA6BF9" w:rsidRPr="0081483A" w:rsidRDefault="00EA6BF9" w:rsidP="00663FF3">
            <w:pPr>
              <w:spacing w:after="0" w:line="240" w:lineRule="auto"/>
              <w:jc w:val="right"/>
              <w:rPr>
                <w:rFonts w:ascii="Times New Roman" w:hAnsi="Times New Roman"/>
                <w:sz w:val="20"/>
                <w:szCs w:val="20"/>
                <w:lang w:val="en-GB"/>
              </w:rPr>
            </w:pPr>
            <w:r>
              <w:rPr>
                <w:rFonts w:ascii="Times New Roman" w:hAnsi="Times New Roman"/>
                <w:noProof/>
                <w:sz w:val="20"/>
                <w:szCs w:val="20"/>
                <w:lang w:eastAsia="zh-CN"/>
              </w:rPr>
              <w:drawing>
                <wp:inline distT="0" distB="0" distL="0" distR="0" wp14:anchorId="077EDA94" wp14:editId="2894147B">
                  <wp:extent cx="545465" cy="545465"/>
                  <wp:effectExtent l="0" t="0" r="6985" b="6985"/>
                  <wp:docPr id="5" name="Picture 69" descr="Description: !OLE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escription: !OLEGE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inline>
              </w:drawing>
            </w:r>
          </w:p>
        </w:tc>
        <w:tc>
          <w:tcPr>
            <w:tcW w:w="1275" w:type="dxa"/>
            <w:tcBorders>
              <w:left w:val="nil"/>
            </w:tcBorders>
          </w:tcPr>
          <w:p w:rsidR="00EA6BF9" w:rsidRPr="00172488" w:rsidRDefault="00EA6BF9" w:rsidP="00B66E51">
            <w:pPr>
              <w:tabs>
                <w:tab w:val="left" w:pos="1247"/>
                <w:tab w:val="left" w:pos="1814"/>
                <w:tab w:val="left" w:pos="2381"/>
                <w:tab w:val="left" w:pos="2948"/>
                <w:tab w:val="left" w:pos="3515"/>
              </w:tabs>
              <w:spacing w:after="0" w:line="240" w:lineRule="auto"/>
              <w:rPr>
                <w:rFonts w:ascii="SimHei" w:eastAsia="SimHei" w:hAnsi="SimHei"/>
                <w:b/>
                <w:sz w:val="24"/>
                <w:szCs w:val="24"/>
                <w:lang w:val="en-GB" w:eastAsia="zh-CN"/>
              </w:rPr>
            </w:pPr>
            <w:r w:rsidRPr="00172488">
              <w:rPr>
                <w:rFonts w:ascii="SimHei" w:eastAsia="SimHei" w:hAnsi="SimHei" w:hint="eastAsia"/>
                <w:b/>
                <w:sz w:val="24"/>
                <w:szCs w:val="24"/>
                <w:lang w:val="en-GB" w:eastAsia="zh-CN"/>
              </w:rPr>
              <w:t>联合国</w:t>
            </w:r>
          </w:p>
          <w:p w:rsidR="00EA6BF9" w:rsidRPr="00172488" w:rsidRDefault="00EA6BF9" w:rsidP="00B66E51">
            <w:pPr>
              <w:tabs>
                <w:tab w:val="left" w:pos="1247"/>
                <w:tab w:val="left" w:pos="1814"/>
                <w:tab w:val="left" w:pos="2381"/>
                <w:tab w:val="left" w:pos="2948"/>
                <w:tab w:val="left" w:pos="3515"/>
              </w:tabs>
              <w:spacing w:after="0" w:line="240" w:lineRule="auto"/>
              <w:rPr>
                <w:rFonts w:ascii="SimHei" w:eastAsia="SimHei" w:hAnsi="SimHei"/>
                <w:b/>
                <w:sz w:val="24"/>
                <w:szCs w:val="24"/>
                <w:lang w:eastAsia="zh-CN"/>
              </w:rPr>
            </w:pPr>
            <w:r w:rsidRPr="00172488">
              <w:rPr>
                <w:rFonts w:ascii="SimHei" w:eastAsia="SimHei" w:hAnsi="SimHei" w:hint="eastAsia"/>
                <w:b/>
                <w:sz w:val="24"/>
                <w:szCs w:val="24"/>
                <w:lang w:val="en-GB" w:eastAsia="zh-CN"/>
              </w:rPr>
              <w:t>粮食及</w:t>
            </w:r>
          </w:p>
          <w:p w:rsidR="00EA6BF9" w:rsidRPr="0081483A" w:rsidRDefault="00EA6BF9" w:rsidP="00B66E51">
            <w:pPr>
              <w:spacing w:after="0" w:line="240" w:lineRule="auto"/>
              <w:rPr>
                <w:rFonts w:ascii="Times New Roman" w:hAnsi="Times New Roman"/>
                <w:sz w:val="20"/>
                <w:szCs w:val="20"/>
                <w:lang w:val="en-GB" w:eastAsia="zh-CN"/>
              </w:rPr>
            </w:pPr>
            <w:r w:rsidRPr="00172488">
              <w:rPr>
                <w:rFonts w:ascii="SimHei" w:eastAsia="SimHei" w:hAnsi="SimHei" w:hint="eastAsia"/>
                <w:b/>
                <w:sz w:val="24"/>
                <w:szCs w:val="24"/>
                <w:lang w:val="en-GB" w:eastAsia="zh-CN"/>
              </w:rPr>
              <w:t>农业组织</w:t>
            </w:r>
          </w:p>
        </w:tc>
        <w:tc>
          <w:tcPr>
            <w:tcW w:w="709" w:type="dxa"/>
            <w:tcBorders>
              <w:left w:val="nil"/>
            </w:tcBorders>
          </w:tcPr>
          <w:p w:rsidR="00EA6BF9" w:rsidRPr="0081483A" w:rsidRDefault="00EA6BF9" w:rsidP="00663FF3">
            <w:pPr>
              <w:spacing w:after="0" w:line="240" w:lineRule="auto"/>
              <w:jc w:val="center"/>
              <w:rPr>
                <w:rFonts w:ascii="Times New Roman" w:hAnsi="Times New Roman"/>
                <w:sz w:val="20"/>
                <w:szCs w:val="20"/>
                <w:lang w:val="en-GB"/>
              </w:rPr>
            </w:pPr>
            <w:r>
              <w:rPr>
                <w:rFonts w:ascii="Times New Roman" w:hAnsi="Times New Roman"/>
                <w:noProof/>
                <w:sz w:val="20"/>
                <w:szCs w:val="20"/>
                <w:lang w:eastAsia="zh-CN"/>
              </w:rPr>
              <w:drawing>
                <wp:inline distT="0" distB="0" distL="0" distR="0" wp14:anchorId="53E2710F" wp14:editId="311841C0">
                  <wp:extent cx="322580" cy="637540"/>
                  <wp:effectExtent l="0" t="0" r="1270" b="0"/>
                  <wp:docPr id="7" name="Picture 68" descr="E:\Logos\UNDP (b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Logos\UNDP (blc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580" cy="637540"/>
                          </a:xfrm>
                          <a:prstGeom prst="rect">
                            <a:avLst/>
                          </a:prstGeom>
                          <a:noFill/>
                          <a:ln>
                            <a:noFill/>
                          </a:ln>
                        </pic:spPr>
                      </pic:pic>
                    </a:graphicData>
                  </a:graphic>
                </wp:inline>
              </w:drawing>
            </w:r>
          </w:p>
        </w:tc>
        <w:tc>
          <w:tcPr>
            <w:tcW w:w="285" w:type="dxa"/>
          </w:tcPr>
          <w:p w:rsidR="00EA6BF9" w:rsidRPr="0081483A" w:rsidRDefault="00EA6BF9" w:rsidP="00663FF3">
            <w:pPr>
              <w:spacing w:after="0" w:line="240" w:lineRule="auto"/>
              <w:jc w:val="center"/>
              <w:rPr>
                <w:rFonts w:ascii="Times New Roman" w:hAnsi="Times New Roman"/>
                <w:sz w:val="20"/>
                <w:szCs w:val="20"/>
                <w:lang w:val="en-GB"/>
              </w:rPr>
            </w:pPr>
          </w:p>
        </w:tc>
        <w:tc>
          <w:tcPr>
            <w:tcW w:w="1806" w:type="dxa"/>
          </w:tcPr>
          <w:p w:rsidR="00EA6BF9" w:rsidRPr="003F1D30" w:rsidRDefault="00EA6BF9" w:rsidP="00663FF3">
            <w:pPr>
              <w:keepNext/>
              <w:spacing w:before="40" w:after="0" w:line="240" w:lineRule="auto"/>
              <w:jc w:val="right"/>
              <w:outlineLvl w:val="1"/>
              <w:rPr>
                <w:rFonts w:ascii="Arial" w:hAnsi="Arial" w:cs="Arial"/>
                <w:b/>
                <w:sz w:val="64"/>
                <w:szCs w:val="64"/>
                <w:lang w:val="en-GB"/>
              </w:rPr>
            </w:pPr>
            <w:r w:rsidRPr="0081483A">
              <w:rPr>
                <w:rFonts w:ascii="Arial" w:hAnsi="Arial" w:cs="Arial"/>
                <w:b/>
                <w:sz w:val="64"/>
                <w:szCs w:val="64"/>
                <w:lang w:val="en-GB"/>
              </w:rPr>
              <w:t>BES</w:t>
            </w:r>
          </w:p>
        </w:tc>
      </w:tr>
      <w:tr w:rsidR="00EA6BF9" w:rsidRPr="0081483A" w:rsidTr="00663FF3">
        <w:trPr>
          <w:cantSplit/>
          <w:trHeight w:val="282"/>
          <w:jc w:val="right"/>
        </w:trPr>
        <w:tc>
          <w:tcPr>
            <w:tcW w:w="1241" w:type="dxa"/>
            <w:tcBorders>
              <w:bottom w:val="single" w:sz="2" w:space="0" w:color="auto"/>
            </w:tcBorders>
          </w:tcPr>
          <w:p w:rsidR="00EA6BF9" w:rsidRPr="0081483A" w:rsidRDefault="00EA6BF9" w:rsidP="00663FF3">
            <w:pPr>
              <w:spacing w:after="0" w:line="240" w:lineRule="auto"/>
              <w:rPr>
                <w:rFonts w:ascii="Times New Roman" w:hAnsi="Times New Roman"/>
                <w:noProof/>
                <w:sz w:val="20"/>
                <w:szCs w:val="20"/>
                <w:lang w:val="en-GB"/>
              </w:rPr>
            </w:pPr>
          </w:p>
        </w:tc>
        <w:tc>
          <w:tcPr>
            <w:tcW w:w="6665" w:type="dxa"/>
            <w:gridSpan w:val="7"/>
            <w:tcBorders>
              <w:bottom w:val="single" w:sz="2" w:space="0" w:color="auto"/>
            </w:tcBorders>
          </w:tcPr>
          <w:p w:rsidR="00EA6BF9" w:rsidRPr="0081483A" w:rsidRDefault="00EA6BF9" w:rsidP="00663FF3">
            <w:pPr>
              <w:spacing w:after="0" w:line="240" w:lineRule="auto"/>
              <w:rPr>
                <w:rFonts w:ascii="Univers" w:hAnsi="Univers"/>
                <w:b/>
                <w:sz w:val="24"/>
                <w:szCs w:val="20"/>
                <w:lang w:val="en-GB"/>
              </w:rPr>
            </w:pPr>
          </w:p>
        </w:tc>
        <w:tc>
          <w:tcPr>
            <w:tcW w:w="1806" w:type="dxa"/>
            <w:tcBorders>
              <w:bottom w:val="single" w:sz="2" w:space="0" w:color="auto"/>
            </w:tcBorders>
          </w:tcPr>
          <w:p w:rsidR="00EA6BF9" w:rsidRPr="0066579B" w:rsidRDefault="00EA6BF9" w:rsidP="00663FF3">
            <w:pPr>
              <w:spacing w:after="0" w:line="240" w:lineRule="auto"/>
              <w:rPr>
                <w:rFonts w:ascii="Times New Roman" w:eastAsiaTheme="minorEastAsia" w:hAnsi="Times New Roman"/>
                <w:b/>
                <w:sz w:val="24"/>
                <w:szCs w:val="24"/>
                <w:lang w:val="en-GB" w:eastAsia="zh-CN"/>
              </w:rPr>
            </w:pPr>
            <w:r w:rsidRPr="00DC1F6A">
              <w:rPr>
                <w:rFonts w:ascii="Times New Roman" w:hAnsi="Times New Roman"/>
                <w:b/>
                <w:sz w:val="28"/>
                <w:szCs w:val="28"/>
                <w:lang w:val="en-GB"/>
              </w:rPr>
              <w:t>IPBES</w:t>
            </w:r>
            <w:r w:rsidRPr="00DC1F6A">
              <w:rPr>
                <w:rFonts w:ascii="Times New Roman" w:hAnsi="Times New Roman"/>
                <w:sz w:val="20"/>
                <w:szCs w:val="20"/>
                <w:lang w:val="en-GB"/>
              </w:rPr>
              <w:t>/6/1</w:t>
            </w:r>
            <w:r w:rsidR="000E3F81" w:rsidRPr="00DC1F6A">
              <w:rPr>
                <w:rStyle w:val="FootnoteReference"/>
                <w:szCs w:val="20"/>
                <w:vertAlign w:val="baseline"/>
                <w:lang w:val="en-GB"/>
              </w:rPr>
              <w:footnoteReference w:customMarkFollows="1" w:id="1"/>
              <w:t>*</w:t>
            </w:r>
          </w:p>
        </w:tc>
      </w:tr>
      <w:tr w:rsidR="00EA6BF9" w:rsidRPr="0081483A" w:rsidTr="00663FF3">
        <w:trPr>
          <w:cantSplit/>
          <w:trHeight w:val="1433"/>
          <w:jc w:val="right"/>
        </w:trPr>
        <w:tc>
          <w:tcPr>
            <w:tcW w:w="2376" w:type="dxa"/>
            <w:gridSpan w:val="2"/>
            <w:tcBorders>
              <w:top w:val="single" w:sz="2" w:space="0" w:color="auto"/>
              <w:bottom w:val="single" w:sz="24" w:space="0" w:color="auto"/>
            </w:tcBorders>
          </w:tcPr>
          <w:p w:rsidR="00EA6BF9" w:rsidRPr="0081483A" w:rsidRDefault="00EA6BF9" w:rsidP="00663FF3">
            <w:pPr>
              <w:spacing w:before="240" w:after="240" w:line="240" w:lineRule="auto"/>
              <w:rPr>
                <w:rFonts w:ascii="Arial" w:hAnsi="Arial" w:cs="Arial"/>
                <w:b/>
                <w:sz w:val="28"/>
                <w:szCs w:val="28"/>
                <w:lang w:val="en-GB"/>
              </w:rPr>
            </w:pPr>
            <w:r>
              <w:rPr>
                <w:rFonts w:ascii="Arial" w:hAnsi="Arial" w:cs="Arial"/>
                <w:b/>
                <w:noProof/>
                <w:sz w:val="28"/>
                <w:szCs w:val="28"/>
                <w:lang w:eastAsia="zh-CN"/>
              </w:rPr>
              <w:drawing>
                <wp:inline distT="0" distB="0" distL="0" distR="0" wp14:anchorId="0A9F3733" wp14:editId="191547D7">
                  <wp:extent cx="1111406" cy="5193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1408" cy="519380"/>
                          </a:xfrm>
                          <a:prstGeom prst="rect">
                            <a:avLst/>
                          </a:prstGeom>
                        </pic:spPr>
                      </pic:pic>
                    </a:graphicData>
                  </a:graphic>
                </wp:inline>
              </w:drawing>
            </w:r>
          </w:p>
        </w:tc>
        <w:tc>
          <w:tcPr>
            <w:tcW w:w="5530" w:type="dxa"/>
            <w:gridSpan w:val="6"/>
            <w:tcBorders>
              <w:top w:val="single" w:sz="2" w:space="0" w:color="auto"/>
              <w:bottom w:val="single" w:sz="24" w:space="0" w:color="auto"/>
            </w:tcBorders>
          </w:tcPr>
          <w:p w:rsidR="00EA6BF9" w:rsidRDefault="00EA6BF9" w:rsidP="00056806">
            <w:pPr>
              <w:snapToGrid w:val="0"/>
              <w:spacing w:before="320" w:after="0" w:line="240" w:lineRule="auto"/>
              <w:rPr>
                <w:rFonts w:ascii="SimHei" w:eastAsia="SimHei" w:hAnsi="SimHei"/>
                <w:b/>
                <w:sz w:val="28"/>
                <w:szCs w:val="28"/>
                <w:lang w:val="en-GB" w:eastAsia="zh-CN"/>
              </w:rPr>
            </w:pPr>
            <w:r w:rsidRPr="004A7329">
              <w:rPr>
                <w:rFonts w:ascii="SimHei" w:eastAsia="SimHei" w:hAnsi="SimHei"/>
                <w:b/>
                <w:sz w:val="28"/>
                <w:szCs w:val="28"/>
                <w:lang w:val="en-GB" w:eastAsia="zh-CN"/>
              </w:rPr>
              <w:t>生物多样性和生态系统服务</w:t>
            </w:r>
          </w:p>
          <w:p w:rsidR="00EA6BF9" w:rsidRPr="0081483A" w:rsidRDefault="00EA6BF9" w:rsidP="0089386C">
            <w:pPr>
              <w:snapToGrid w:val="0"/>
              <w:spacing w:after="0" w:line="240" w:lineRule="auto"/>
              <w:rPr>
                <w:rFonts w:ascii="Arial" w:hAnsi="Arial" w:cs="Arial"/>
                <w:b/>
                <w:sz w:val="28"/>
                <w:szCs w:val="28"/>
                <w:lang w:val="en-GB" w:eastAsia="zh-CN"/>
              </w:rPr>
            </w:pPr>
            <w:r w:rsidRPr="004A7329">
              <w:rPr>
                <w:rFonts w:ascii="SimHei" w:eastAsia="SimHei" w:hAnsi="SimHei"/>
                <w:b/>
                <w:sz w:val="28"/>
                <w:szCs w:val="28"/>
                <w:lang w:val="en-GB" w:eastAsia="zh-CN"/>
              </w:rPr>
              <w:t>政府间科学政策平台</w:t>
            </w:r>
          </w:p>
        </w:tc>
        <w:tc>
          <w:tcPr>
            <w:tcW w:w="1806" w:type="dxa"/>
            <w:tcBorders>
              <w:top w:val="single" w:sz="2" w:space="0" w:color="auto"/>
              <w:bottom w:val="single" w:sz="24" w:space="0" w:color="auto"/>
            </w:tcBorders>
          </w:tcPr>
          <w:p w:rsidR="00EA6BF9" w:rsidRPr="009E78C3" w:rsidRDefault="00EA6BF9" w:rsidP="00663FF3">
            <w:pPr>
              <w:spacing w:beforeLines="50" w:before="120" w:after="0" w:line="240" w:lineRule="auto"/>
              <w:rPr>
                <w:rFonts w:ascii="Times New Roman" w:hAnsi="Times New Roman"/>
                <w:sz w:val="20"/>
                <w:szCs w:val="20"/>
                <w:lang w:val="en-GB"/>
              </w:rPr>
            </w:pPr>
            <w:r w:rsidRPr="003F1D30">
              <w:rPr>
                <w:rFonts w:ascii="Times New Roman" w:hAnsi="Times New Roman"/>
                <w:sz w:val="20"/>
                <w:szCs w:val="20"/>
                <w:lang w:val="en-GB"/>
              </w:rPr>
              <w:t xml:space="preserve">Distr.: </w:t>
            </w:r>
            <w:r w:rsidRPr="009E78C3">
              <w:rPr>
                <w:rFonts w:ascii="Times New Roman" w:hAnsi="Times New Roman"/>
                <w:sz w:val="20"/>
                <w:szCs w:val="20"/>
                <w:lang w:val="en-GB"/>
              </w:rPr>
              <w:t>General</w:t>
            </w:r>
          </w:p>
          <w:p w:rsidR="00EA6BF9" w:rsidRDefault="0032535B" w:rsidP="00663FF3">
            <w:pPr>
              <w:spacing w:after="0" w:line="240" w:lineRule="auto"/>
              <w:rPr>
                <w:rFonts w:ascii="Times New Roman" w:eastAsia="Times New Roman" w:hAnsi="Times New Roman"/>
                <w:sz w:val="20"/>
                <w:szCs w:val="20"/>
                <w:lang w:val="en-GB"/>
              </w:rPr>
            </w:pPr>
            <w:r>
              <w:rPr>
                <w:rFonts w:ascii="Times New Roman" w:eastAsiaTheme="minorEastAsia" w:hAnsi="Times New Roman"/>
                <w:sz w:val="20"/>
                <w:szCs w:val="20"/>
                <w:lang w:val="en-GB" w:eastAsia="zh-CN"/>
              </w:rPr>
              <w:t>21</w:t>
            </w:r>
            <w:r w:rsidR="00927CCB">
              <w:rPr>
                <w:rFonts w:ascii="Times New Roman" w:eastAsiaTheme="minorEastAsia" w:hAnsi="Times New Roman"/>
                <w:sz w:val="20"/>
                <w:szCs w:val="20"/>
                <w:lang w:val="en-GB" w:eastAsia="zh-CN"/>
              </w:rPr>
              <w:t xml:space="preserve"> August</w:t>
            </w:r>
            <w:r w:rsidR="00EA6BF9">
              <w:rPr>
                <w:rFonts w:ascii="Times New Roman" w:eastAsia="Times New Roman" w:hAnsi="Times New Roman"/>
                <w:sz w:val="20"/>
                <w:szCs w:val="20"/>
                <w:lang w:val="en-GB"/>
              </w:rPr>
              <w:t xml:space="preserve"> 2017</w:t>
            </w:r>
          </w:p>
          <w:p w:rsidR="00EA6BF9" w:rsidRDefault="00EA6BF9" w:rsidP="00663FF3">
            <w:pPr>
              <w:spacing w:after="0" w:line="240" w:lineRule="auto"/>
              <w:rPr>
                <w:rFonts w:ascii="Times New Roman" w:eastAsiaTheme="minorEastAsia" w:hAnsi="Times New Roman"/>
                <w:sz w:val="20"/>
                <w:szCs w:val="20"/>
                <w:lang w:val="en-GB" w:eastAsia="zh-CN"/>
              </w:rPr>
            </w:pPr>
          </w:p>
          <w:p w:rsidR="00EA6BF9" w:rsidRDefault="00EA6BF9" w:rsidP="00663FF3">
            <w:pPr>
              <w:spacing w:after="0" w:line="240" w:lineRule="auto"/>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Chinese</w:t>
            </w:r>
          </w:p>
          <w:p w:rsidR="00EA6BF9" w:rsidRPr="009E78C3" w:rsidRDefault="00EA6BF9" w:rsidP="00663FF3">
            <w:pPr>
              <w:spacing w:after="0" w:line="240" w:lineRule="auto"/>
              <w:rPr>
                <w:rFonts w:ascii="Times New Roman" w:hAnsi="Times New Roman"/>
                <w:sz w:val="20"/>
                <w:szCs w:val="20"/>
                <w:lang w:val="en-GB"/>
              </w:rPr>
            </w:pPr>
            <w:r w:rsidRPr="009E78C3">
              <w:rPr>
                <w:rFonts w:ascii="Times New Roman" w:hAnsi="Times New Roman"/>
                <w:sz w:val="20"/>
                <w:szCs w:val="20"/>
                <w:lang w:val="en-GB"/>
              </w:rPr>
              <w:t>Original: English</w:t>
            </w:r>
          </w:p>
        </w:tc>
      </w:tr>
    </w:tbl>
    <w:p w:rsidR="007948E7" w:rsidRDefault="004A7329" w:rsidP="007A2DC4">
      <w:pPr>
        <w:tabs>
          <w:tab w:val="left" w:pos="1247"/>
          <w:tab w:val="left" w:pos="1814"/>
          <w:tab w:val="left" w:pos="2381"/>
          <w:tab w:val="left" w:pos="2948"/>
          <w:tab w:val="left" w:pos="3515"/>
        </w:tabs>
        <w:suppressAutoHyphens/>
        <w:spacing w:after="0" w:line="240" w:lineRule="auto"/>
        <w:ind w:leftChars="64" w:left="141" w:right="3402"/>
        <w:rPr>
          <w:rFonts w:ascii="SimHei" w:eastAsia="SimHei" w:hAnsi="SimHei"/>
          <w:b/>
          <w:sz w:val="24"/>
          <w:szCs w:val="24"/>
          <w:lang w:val="en-GB" w:eastAsia="zh-CN"/>
        </w:rPr>
      </w:pPr>
      <w:r w:rsidRPr="004A7329">
        <w:rPr>
          <w:rFonts w:ascii="SimHei" w:eastAsia="SimHei" w:hAnsi="SimHei"/>
          <w:b/>
          <w:sz w:val="24"/>
          <w:szCs w:val="24"/>
          <w:lang w:val="en-GB" w:eastAsia="zh-CN"/>
        </w:rPr>
        <w:t>生物多样性和生态系统服务政府间</w:t>
      </w:r>
    </w:p>
    <w:p w:rsidR="004A7329" w:rsidRPr="004A7329" w:rsidRDefault="004A7329" w:rsidP="007A2DC4">
      <w:pPr>
        <w:tabs>
          <w:tab w:val="left" w:pos="1247"/>
          <w:tab w:val="left" w:pos="1814"/>
          <w:tab w:val="left" w:pos="2381"/>
          <w:tab w:val="left" w:pos="2948"/>
          <w:tab w:val="left" w:pos="3515"/>
        </w:tabs>
        <w:suppressAutoHyphens/>
        <w:spacing w:after="0" w:line="240" w:lineRule="auto"/>
        <w:ind w:leftChars="64" w:left="141" w:right="3402"/>
        <w:rPr>
          <w:rFonts w:ascii="SimHei" w:eastAsia="SimHei" w:hAnsi="SimHei"/>
          <w:b/>
          <w:sz w:val="24"/>
          <w:szCs w:val="24"/>
          <w:lang w:val="en-GB" w:eastAsia="zh-CN"/>
        </w:rPr>
      </w:pPr>
      <w:r w:rsidRPr="004A7329">
        <w:rPr>
          <w:rFonts w:ascii="SimHei" w:eastAsia="SimHei" w:hAnsi="SimHei"/>
          <w:b/>
          <w:sz w:val="24"/>
          <w:szCs w:val="24"/>
          <w:lang w:val="en-GB" w:eastAsia="zh-CN"/>
        </w:rPr>
        <w:t>科学政策平台全体会议</w:t>
      </w:r>
    </w:p>
    <w:p w:rsidR="004A7329" w:rsidRPr="004A7329" w:rsidRDefault="00BC43A5" w:rsidP="007A2DC4">
      <w:pPr>
        <w:tabs>
          <w:tab w:val="left" w:pos="1247"/>
          <w:tab w:val="left" w:pos="1814"/>
          <w:tab w:val="left" w:pos="2381"/>
          <w:tab w:val="left" w:pos="2948"/>
          <w:tab w:val="left" w:pos="3515"/>
        </w:tabs>
        <w:suppressAutoHyphens/>
        <w:spacing w:after="0" w:line="240" w:lineRule="auto"/>
        <w:ind w:leftChars="64" w:left="141" w:right="3402"/>
        <w:rPr>
          <w:rFonts w:ascii="SimHei" w:eastAsia="SimHei" w:hAnsi="SimHei"/>
          <w:b/>
          <w:sz w:val="24"/>
          <w:szCs w:val="24"/>
          <w:lang w:val="en-GB" w:eastAsia="zh-CN"/>
        </w:rPr>
      </w:pPr>
      <w:r>
        <w:rPr>
          <w:rFonts w:ascii="SimHei" w:eastAsia="SimHei" w:hAnsi="SimHei" w:hint="eastAsia"/>
          <w:b/>
          <w:sz w:val="24"/>
          <w:szCs w:val="24"/>
          <w:lang w:val="en-GB" w:eastAsia="zh-CN"/>
        </w:rPr>
        <w:t>第六</w:t>
      </w:r>
      <w:r w:rsidR="004A7329" w:rsidRPr="004A7329">
        <w:rPr>
          <w:rFonts w:ascii="SimHei" w:eastAsia="SimHei" w:hAnsi="SimHei" w:hint="eastAsia"/>
          <w:b/>
          <w:sz w:val="24"/>
          <w:szCs w:val="24"/>
          <w:lang w:val="en-GB" w:eastAsia="zh-CN"/>
        </w:rPr>
        <w:t>届会议</w:t>
      </w:r>
    </w:p>
    <w:p w:rsidR="007F3540" w:rsidRPr="003A67E2" w:rsidRDefault="00BC43A5" w:rsidP="007A2DC4">
      <w:pPr>
        <w:suppressAutoHyphens/>
        <w:spacing w:after="0" w:line="240" w:lineRule="auto"/>
        <w:ind w:leftChars="64" w:left="141" w:right="3402"/>
        <w:rPr>
          <w:rFonts w:ascii="Times New Roman" w:eastAsia="SimSun" w:hAnsi="Times New Roman"/>
          <w:sz w:val="24"/>
          <w:szCs w:val="24"/>
          <w:lang w:val="en-GB" w:eastAsia="zh-CN"/>
        </w:rPr>
      </w:pPr>
      <w:r w:rsidRPr="003A67E2">
        <w:rPr>
          <w:rFonts w:ascii="Times New Roman" w:eastAsia="SimSun" w:hAnsi="Times New Roman"/>
          <w:sz w:val="24"/>
          <w:szCs w:val="24"/>
          <w:lang w:val="en-GB" w:eastAsia="zh-CN"/>
        </w:rPr>
        <w:t>2018</w:t>
      </w:r>
      <w:r w:rsidR="004A7329" w:rsidRPr="003A67E2">
        <w:rPr>
          <w:rFonts w:ascii="Times New Roman" w:eastAsia="SimSun" w:hAnsi="Times New Roman"/>
          <w:sz w:val="24"/>
          <w:szCs w:val="24"/>
          <w:lang w:val="en-GB" w:eastAsia="zh-CN"/>
        </w:rPr>
        <w:t>年</w:t>
      </w:r>
      <w:r w:rsidR="004A7329" w:rsidRPr="003A67E2">
        <w:rPr>
          <w:rFonts w:ascii="Times New Roman" w:eastAsia="SimSun" w:hAnsi="Times New Roman"/>
          <w:sz w:val="24"/>
          <w:szCs w:val="24"/>
          <w:lang w:val="en-GB" w:eastAsia="zh-CN"/>
        </w:rPr>
        <w:t>3</w:t>
      </w:r>
      <w:r w:rsidR="004A7329" w:rsidRPr="003A67E2">
        <w:rPr>
          <w:rFonts w:ascii="Times New Roman" w:eastAsia="SimSun" w:hAnsi="Times New Roman"/>
          <w:sz w:val="24"/>
          <w:szCs w:val="24"/>
          <w:lang w:val="en-GB" w:eastAsia="zh-CN"/>
        </w:rPr>
        <w:t>月</w:t>
      </w:r>
      <w:r w:rsidRPr="003A67E2">
        <w:rPr>
          <w:rFonts w:ascii="Times New Roman" w:eastAsia="SimSun" w:hAnsi="Times New Roman"/>
          <w:sz w:val="24"/>
          <w:szCs w:val="24"/>
          <w:lang w:val="en-GB" w:eastAsia="zh-CN"/>
        </w:rPr>
        <w:t>1</w:t>
      </w:r>
      <w:r w:rsidR="00E8687D">
        <w:rPr>
          <w:rFonts w:ascii="Times New Roman" w:eastAsia="SimSun" w:hAnsi="Times New Roman"/>
          <w:sz w:val="24"/>
          <w:szCs w:val="24"/>
          <w:lang w:val="en-GB" w:eastAsia="zh-CN"/>
        </w:rPr>
        <w:t>8</w:t>
      </w:r>
      <w:r w:rsidR="004A7329" w:rsidRPr="003A67E2">
        <w:rPr>
          <w:rFonts w:ascii="Times New Roman" w:eastAsia="SimSun" w:hAnsi="Times New Roman"/>
          <w:sz w:val="24"/>
          <w:szCs w:val="24"/>
          <w:lang w:val="en-GB" w:eastAsia="zh-CN"/>
        </w:rPr>
        <w:t>日至</w:t>
      </w:r>
      <w:r w:rsidRPr="003A67E2">
        <w:rPr>
          <w:rFonts w:ascii="Times New Roman" w:eastAsia="SimSun" w:hAnsi="Times New Roman"/>
          <w:sz w:val="24"/>
          <w:szCs w:val="24"/>
          <w:lang w:val="en-GB" w:eastAsia="zh-CN"/>
        </w:rPr>
        <w:t>24</w:t>
      </w:r>
      <w:r w:rsidR="004A7329" w:rsidRPr="003A67E2">
        <w:rPr>
          <w:rFonts w:ascii="Times New Roman" w:eastAsia="SimSun" w:hAnsi="Times New Roman"/>
          <w:sz w:val="24"/>
          <w:szCs w:val="24"/>
          <w:lang w:val="en-GB" w:eastAsia="zh-CN"/>
        </w:rPr>
        <w:t>日，</w:t>
      </w:r>
      <w:r w:rsidRPr="000413AF">
        <w:rPr>
          <w:rFonts w:ascii="Times New Roman" w:eastAsia="SimSun" w:hAnsi="Times New Roman"/>
          <w:sz w:val="24"/>
          <w:szCs w:val="24"/>
          <w:lang w:val="en-GB" w:eastAsia="zh-CN"/>
        </w:rPr>
        <w:t>哥伦比亚麦德林</w:t>
      </w:r>
    </w:p>
    <w:p w:rsidR="007F3540" w:rsidRPr="003061DE" w:rsidRDefault="004A7329" w:rsidP="00947CC2">
      <w:pPr>
        <w:pStyle w:val="BBTitle"/>
        <w:jc w:val="both"/>
        <w:rPr>
          <w:sz w:val="32"/>
          <w:szCs w:val="32"/>
          <w:lang w:eastAsia="zh-CN"/>
        </w:rPr>
      </w:pPr>
      <w:r w:rsidRPr="003061DE">
        <w:rPr>
          <w:rFonts w:ascii="SimHei" w:eastAsia="SimHei" w:hAnsi="SimHei" w:hint="eastAsia"/>
          <w:sz w:val="32"/>
          <w:szCs w:val="32"/>
          <w:lang w:val="en-US" w:eastAsia="zh-CN"/>
        </w:rPr>
        <w:t>临时议程</w:t>
      </w:r>
    </w:p>
    <w:p w:rsidR="007F3540" w:rsidRPr="00F031D4" w:rsidRDefault="004A7329" w:rsidP="00F031D4">
      <w:pPr>
        <w:pStyle w:val="Normalnumber"/>
        <w:jc w:val="both"/>
        <w:rPr>
          <w:rFonts w:eastAsia="SimSun"/>
          <w:sz w:val="24"/>
          <w:szCs w:val="24"/>
        </w:rPr>
      </w:pPr>
      <w:proofErr w:type="spellStart"/>
      <w:r w:rsidRPr="00F031D4">
        <w:rPr>
          <w:rFonts w:eastAsia="SimSun"/>
          <w:sz w:val="24"/>
          <w:szCs w:val="24"/>
          <w:lang w:val="en-US"/>
        </w:rPr>
        <w:t>会议开幕</w:t>
      </w:r>
      <w:proofErr w:type="spellEnd"/>
      <w:r w:rsidRPr="00F031D4">
        <w:rPr>
          <w:rFonts w:eastAsia="SimSun"/>
          <w:sz w:val="24"/>
          <w:szCs w:val="24"/>
          <w:lang w:val="en-US" w:eastAsia="zh-CN"/>
        </w:rPr>
        <w:t>。</w:t>
      </w:r>
    </w:p>
    <w:p w:rsidR="007F3540" w:rsidRPr="00F031D4" w:rsidRDefault="004A7329" w:rsidP="00F031D4">
      <w:pPr>
        <w:pStyle w:val="Normalnumber"/>
        <w:jc w:val="both"/>
        <w:rPr>
          <w:rFonts w:eastAsia="SimSun"/>
          <w:sz w:val="24"/>
          <w:szCs w:val="24"/>
        </w:rPr>
      </w:pPr>
      <w:r w:rsidRPr="00F031D4">
        <w:rPr>
          <w:rFonts w:eastAsia="SimSun"/>
          <w:sz w:val="24"/>
          <w:szCs w:val="24"/>
          <w:lang w:eastAsia="zh-CN"/>
        </w:rPr>
        <w:t>组织事项：</w:t>
      </w:r>
    </w:p>
    <w:p w:rsidR="007F3540" w:rsidRPr="00F031D4" w:rsidRDefault="004A7329" w:rsidP="00F031D4">
      <w:pPr>
        <w:pStyle w:val="Normalnumber"/>
        <w:numPr>
          <w:ilvl w:val="1"/>
          <w:numId w:val="4"/>
        </w:numPr>
        <w:jc w:val="both"/>
        <w:rPr>
          <w:rFonts w:eastAsia="SimSun"/>
          <w:sz w:val="24"/>
          <w:szCs w:val="24"/>
        </w:rPr>
      </w:pPr>
      <w:proofErr w:type="spellStart"/>
      <w:r w:rsidRPr="00F031D4">
        <w:rPr>
          <w:rFonts w:eastAsia="SimSun"/>
          <w:sz w:val="24"/>
          <w:szCs w:val="24"/>
          <w:lang w:val="en-US"/>
        </w:rPr>
        <w:t>通过议程及工作安排</w:t>
      </w:r>
      <w:proofErr w:type="spellEnd"/>
      <w:r w:rsidRPr="00F031D4">
        <w:rPr>
          <w:rFonts w:eastAsia="SimSun"/>
          <w:sz w:val="24"/>
          <w:szCs w:val="24"/>
          <w:lang w:val="en-US" w:eastAsia="zh-CN"/>
        </w:rPr>
        <w:t>；</w:t>
      </w:r>
    </w:p>
    <w:p w:rsidR="007F3540" w:rsidRPr="00F031D4" w:rsidRDefault="004A7329" w:rsidP="00F031D4">
      <w:pPr>
        <w:pStyle w:val="Normalnumber"/>
        <w:numPr>
          <w:ilvl w:val="1"/>
          <w:numId w:val="4"/>
        </w:numPr>
        <w:jc w:val="both"/>
        <w:rPr>
          <w:rFonts w:eastAsia="SimSun"/>
          <w:sz w:val="24"/>
          <w:szCs w:val="24"/>
        </w:rPr>
      </w:pPr>
      <w:proofErr w:type="spellStart"/>
      <w:r w:rsidRPr="00F031D4">
        <w:rPr>
          <w:rFonts w:eastAsia="SimSun"/>
          <w:sz w:val="24"/>
          <w:szCs w:val="24"/>
          <w:lang w:val="en-US"/>
        </w:rPr>
        <w:t>平台成员构成现状</w:t>
      </w:r>
      <w:proofErr w:type="spellEnd"/>
      <w:r w:rsidR="00CA3F0F" w:rsidRPr="00F031D4">
        <w:rPr>
          <w:rFonts w:eastAsia="SimSun"/>
          <w:sz w:val="24"/>
          <w:szCs w:val="24"/>
          <w:lang w:val="en-US" w:eastAsia="zh-CN"/>
        </w:rPr>
        <w:t>；</w:t>
      </w:r>
    </w:p>
    <w:p w:rsidR="0066579B" w:rsidRPr="00F031D4" w:rsidRDefault="0066579B" w:rsidP="00F031D4">
      <w:pPr>
        <w:pStyle w:val="Normalnumber"/>
        <w:numPr>
          <w:ilvl w:val="1"/>
          <w:numId w:val="4"/>
        </w:numPr>
        <w:jc w:val="both"/>
        <w:rPr>
          <w:rFonts w:eastAsia="SimSun"/>
          <w:sz w:val="24"/>
          <w:szCs w:val="24"/>
          <w:lang w:eastAsia="zh-CN"/>
        </w:rPr>
      </w:pPr>
      <w:r w:rsidRPr="00F031D4">
        <w:rPr>
          <w:rFonts w:eastAsia="SimSun"/>
          <w:sz w:val="24"/>
          <w:szCs w:val="24"/>
          <w:lang w:val="en-US" w:eastAsia="zh-CN"/>
        </w:rPr>
        <w:t>选举多学科专家小组成员。</w:t>
      </w:r>
    </w:p>
    <w:p w:rsidR="007F3540" w:rsidRPr="00F031D4" w:rsidRDefault="004A7329" w:rsidP="00F031D4">
      <w:pPr>
        <w:pStyle w:val="Normalnumber"/>
        <w:jc w:val="both"/>
        <w:rPr>
          <w:rFonts w:eastAsia="SimSun"/>
          <w:sz w:val="24"/>
          <w:szCs w:val="24"/>
          <w:lang w:eastAsia="zh-CN"/>
        </w:rPr>
      </w:pPr>
      <w:r w:rsidRPr="00F031D4">
        <w:rPr>
          <w:rFonts w:eastAsia="SimSun"/>
          <w:sz w:val="24"/>
          <w:szCs w:val="24"/>
          <w:lang w:val="en-US" w:eastAsia="zh-CN"/>
        </w:rPr>
        <w:t>接纳观察员出席平台全体会议第</w:t>
      </w:r>
      <w:r w:rsidR="00BC43A5" w:rsidRPr="00F031D4">
        <w:rPr>
          <w:rFonts w:eastAsia="SimSun"/>
          <w:sz w:val="24"/>
          <w:szCs w:val="24"/>
          <w:lang w:val="en-US" w:eastAsia="zh-CN"/>
        </w:rPr>
        <w:t>六</w:t>
      </w:r>
      <w:r w:rsidRPr="00F031D4">
        <w:rPr>
          <w:rFonts w:eastAsia="SimSun"/>
          <w:sz w:val="24"/>
          <w:szCs w:val="24"/>
          <w:lang w:val="en-US" w:eastAsia="zh-CN"/>
        </w:rPr>
        <w:t>届会议。</w:t>
      </w:r>
    </w:p>
    <w:p w:rsidR="007F3540" w:rsidRPr="00F031D4" w:rsidRDefault="004A7329" w:rsidP="00F031D4">
      <w:pPr>
        <w:pStyle w:val="Normalnumber"/>
        <w:jc w:val="both"/>
        <w:rPr>
          <w:rFonts w:eastAsia="SimSun"/>
          <w:sz w:val="24"/>
          <w:szCs w:val="24"/>
        </w:rPr>
      </w:pPr>
      <w:proofErr w:type="spellStart"/>
      <w:r w:rsidRPr="00F031D4">
        <w:rPr>
          <w:rFonts w:eastAsia="SimSun"/>
          <w:sz w:val="24"/>
          <w:szCs w:val="24"/>
          <w:lang w:val="en-US"/>
        </w:rPr>
        <w:t>与会代表的全权证书</w:t>
      </w:r>
      <w:proofErr w:type="spellEnd"/>
      <w:r w:rsidRPr="00F031D4">
        <w:rPr>
          <w:rFonts w:eastAsia="SimSun"/>
          <w:sz w:val="24"/>
          <w:szCs w:val="24"/>
          <w:lang w:val="en-US" w:eastAsia="zh-CN"/>
        </w:rPr>
        <w:t>。</w:t>
      </w:r>
    </w:p>
    <w:p w:rsidR="007F3540" w:rsidRPr="00F031D4" w:rsidRDefault="004A7329" w:rsidP="00F031D4">
      <w:pPr>
        <w:pStyle w:val="Normalnumber"/>
        <w:jc w:val="both"/>
        <w:rPr>
          <w:rFonts w:eastAsia="SimSun"/>
          <w:sz w:val="24"/>
          <w:szCs w:val="24"/>
          <w:lang w:eastAsia="zh-CN"/>
        </w:rPr>
      </w:pPr>
      <w:r w:rsidRPr="00F031D4">
        <w:rPr>
          <w:rFonts w:eastAsia="SimSun"/>
          <w:sz w:val="24"/>
          <w:szCs w:val="24"/>
          <w:lang w:val="en-US" w:eastAsia="zh-CN"/>
        </w:rPr>
        <w:t>执行秘书关于</w:t>
      </w:r>
      <w:r w:rsidRPr="00F031D4">
        <w:rPr>
          <w:rFonts w:eastAsia="SimSun"/>
          <w:sz w:val="24"/>
          <w:szCs w:val="24"/>
          <w:lang w:val="en-US" w:eastAsia="zh-CN"/>
        </w:rPr>
        <w:t>2014–2018</w:t>
      </w:r>
      <w:r w:rsidRPr="00F031D4">
        <w:rPr>
          <w:rFonts w:eastAsia="SimSun"/>
          <w:sz w:val="24"/>
          <w:szCs w:val="24"/>
          <w:lang w:val="en-US" w:eastAsia="zh-CN"/>
        </w:rPr>
        <w:t>年期间</w:t>
      </w:r>
      <w:r w:rsidR="00BC43A5" w:rsidRPr="00F031D4">
        <w:rPr>
          <w:rFonts w:eastAsia="SimSun"/>
          <w:color w:val="333333"/>
          <w:sz w:val="24"/>
          <w:szCs w:val="21"/>
          <w:shd w:val="clear" w:color="auto" w:fill="FFFFFF"/>
          <w:lang w:eastAsia="zh-CN"/>
        </w:rPr>
        <w:t>第一份</w:t>
      </w:r>
      <w:r w:rsidR="00BC43A5" w:rsidRPr="00F031D4">
        <w:rPr>
          <w:rFonts w:eastAsia="SimSun"/>
          <w:sz w:val="24"/>
          <w:szCs w:val="24"/>
          <w:lang w:val="en-US" w:eastAsia="zh-CN"/>
        </w:rPr>
        <w:t>工作方案</w:t>
      </w:r>
      <w:r w:rsidRPr="00F031D4">
        <w:rPr>
          <w:rFonts w:eastAsia="SimSun"/>
          <w:sz w:val="24"/>
          <w:szCs w:val="24"/>
          <w:lang w:val="en-US" w:eastAsia="zh-CN"/>
        </w:rPr>
        <w:t>执行情况的报告。</w:t>
      </w:r>
    </w:p>
    <w:p w:rsidR="007F3540" w:rsidRPr="00F031D4" w:rsidRDefault="00BC43A5" w:rsidP="00F031D4">
      <w:pPr>
        <w:pStyle w:val="Normalnumber"/>
        <w:jc w:val="both"/>
        <w:rPr>
          <w:rFonts w:eastAsia="SimSun"/>
          <w:sz w:val="24"/>
          <w:szCs w:val="24"/>
          <w:lang w:eastAsia="zh-CN"/>
        </w:rPr>
      </w:pPr>
      <w:r w:rsidRPr="00F031D4">
        <w:rPr>
          <w:rFonts w:eastAsia="SimSun"/>
          <w:sz w:val="24"/>
          <w:szCs w:val="24"/>
          <w:lang w:val="en-US" w:eastAsia="zh-CN"/>
        </w:rPr>
        <w:t>生物多样性和生态系统服务</w:t>
      </w:r>
      <w:r w:rsidR="00A132EA" w:rsidRPr="00F031D4">
        <w:rPr>
          <w:rFonts w:eastAsia="SimSun"/>
          <w:sz w:val="24"/>
          <w:szCs w:val="24"/>
          <w:lang w:val="en-US" w:eastAsia="zh-CN"/>
        </w:rPr>
        <w:t>的</w:t>
      </w:r>
      <w:r w:rsidRPr="00F031D4">
        <w:rPr>
          <w:rFonts w:eastAsia="SimSun"/>
          <w:sz w:val="24"/>
          <w:szCs w:val="24"/>
          <w:lang w:val="en-US" w:eastAsia="zh-CN"/>
        </w:rPr>
        <w:t>区域</w:t>
      </w:r>
      <w:r w:rsidR="00927CCB" w:rsidRPr="00F031D4">
        <w:rPr>
          <w:rFonts w:eastAsia="SimSun"/>
          <w:sz w:val="24"/>
          <w:szCs w:val="24"/>
          <w:lang w:val="en-US" w:eastAsia="zh-CN"/>
        </w:rPr>
        <w:t>和次区域</w:t>
      </w:r>
      <w:r w:rsidRPr="00F031D4">
        <w:rPr>
          <w:rFonts w:eastAsia="SimSun"/>
          <w:sz w:val="24"/>
          <w:szCs w:val="24"/>
          <w:lang w:val="en-US" w:eastAsia="zh-CN"/>
        </w:rPr>
        <w:t>评估</w:t>
      </w:r>
      <w:r w:rsidR="004A7329" w:rsidRPr="00F031D4">
        <w:rPr>
          <w:rFonts w:eastAsia="SimSun"/>
          <w:sz w:val="24"/>
          <w:szCs w:val="24"/>
          <w:lang w:val="en-US" w:eastAsia="zh-CN"/>
        </w:rPr>
        <w:t>：</w:t>
      </w:r>
    </w:p>
    <w:p w:rsidR="007F3540" w:rsidRPr="00F031D4" w:rsidRDefault="00BC43A5" w:rsidP="00F031D4">
      <w:pPr>
        <w:pStyle w:val="Normalnumber"/>
        <w:numPr>
          <w:ilvl w:val="1"/>
          <w:numId w:val="4"/>
        </w:numPr>
        <w:tabs>
          <w:tab w:val="clear" w:pos="1134"/>
          <w:tab w:val="clear" w:pos="1247"/>
          <w:tab w:val="clear" w:pos="1814"/>
          <w:tab w:val="clear" w:pos="2381"/>
          <w:tab w:val="clear" w:pos="2948"/>
          <w:tab w:val="clear" w:pos="3515"/>
          <w:tab w:val="clear" w:pos="4082"/>
          <w:tab w:val="num" w:pos="624"/>
        </w:tabs>
        <w:ind w:left="2495" w:hanging="624"/>
        <w:jc w:val="both"/>
        <w:rPr>
          <w:rFonts w:eastAsia="SimSun"/>
          <w:sz w:val="24"/>
          <w:szCs w:val="24"/>
          <w:lang w:eastAsia="zh-CN"/>
        </w:rPr>
      </w:pPr>
      <w:r w:rsidRPr="00F031D4">
        <w:rPr>
          <w:rFonts w:eastAsia="SimSun"/>
          <w:sz w:val="24"/>
          <w:szCs w:val="24"/>
          <w:lang w:val="en-US" w:eastAsia="zh-CN"/>
        </w:rPr>
        <w:t>非洲</w:t>
      </w:r>
      <w:r w:rsidR="00A132EA" w:rsidRPr="00F031D4">
        <w:rPr>
          <w:rFonts w:eastAsia="SimSun"/>
          <w:sz w:val="24"/>
          <w:szCs w:val="24"/>
          <w:lang w:val="en-US" w:eastAsia="zh-CN"/>
        </w:rPr>
        <w:t>的</w:t>
      </w:r>
      <w:r w:rsidRPr="00F031D4">
        <w:rPr>
          <w:rFonts w:eastAsia="SimSun"/>
          <w:sz w:val="24"/>
          <w:szCs w:val="24"/>
          <w:lang w:val="en-US" w:eastAsia="zh-CN"/>
        </w:rPr>
        <w:t>区域</w:t>
      </w:r>
      <w:r w:rsidR="00764BBD" w:rsidRPr="00F031D4">
        <w:rPr>
          <w:rFonts w:eastAsia="SimSun"/>
          <w:sz w:val="24"/>
          <w:szCs w:val="24"/>
          <w:lang w:val="en-US" w:eastAsia="zh-CN"/>
        </w:rPr>
        <w:t>和</w:t>
      </w:r>
      <w:r w:rsidRPr="00F031D4">
        <w:rPr>
          <w:rFonts w:eastAsia="SimSun"/>
          <w:sz w:val="24"/>
          <w:szCs w:val="24"/>
          <w:lang w:val="en-US" w:eastAsia="zh-CN"/>
        </w:rPr>
        <w:t>次区域评估</w:t>
      </w:r>
      <w:r w:rsidR="004A7329" w:rsidRPr="00F031D4">
        <w:rPr>
          <w:rFonts w:eastAsia="SimSun"/>
          <w:sz w:val="24"/>
          <w:szCs w:val="24"/>
          <w:lang w:val="en-US" w:eastAsia="zh-CN"/>
        </w:rPr>
        <w:t>；</w:t>
      </w:r>
    </w:p>
    <w:p w:rsidR="007F3540" w:rsidRPr="00F031D4" w:rsidRDefault="00BC43A5" w:rsidP="00F031D4">
      <w:pPr>
        <w:pStyle w:val="Normalnumber"/>
        <w:numPr>
          <w:ilvl w:val="1"/>
          <w:numId w:val="4"/>
        </w:numPr>
        <w:tabs>
          <w:tab w:val="clear" w:pos="1134"/>
          <w:tab w:val="clear" w:pos="1247"/>
          <w:tab w:val="clear" w:pos="1814"/>
          <w:tab w:val="clear" w:pos="2381"/>
          <w:tab w:val="clear" w:pos="2948"/>
          <w:tab w:val="clear" w:pos="3515"/>
          <w:tab w:val="clear" w:pos="4082"/>
          <w:tab w:val="num" w:pos="624"/>
        </w:tabs>
        <w:ind w:left="2495" w:hanging="624"/>
        <w:jc w:val="both"/>
        <w:rPr>
          <w:rFonts w:eastAsia="SimSun"/>
          <w:sz w:val="24"/>
          <w:szCs w:val="24"/>
          <w:lang w:eastAsia="zh-CN"/>
        </w:rPr>
      </w:pPr>
      <w:r w:rsidRPr="00F031D4">
        <w:rPr>
          <w:rFonts w:eastAsia="SimSun"/>
          <w:sz w:val="24"/>
          <w:szCs w:val="24"/>
          <w:lang w:val="en-US" w:eastAsia="zh-CN"/>
        </w:rPr>
        <w:t>美洲</w:t>
      </w:r>
      <w:r w:rsidR="00A132EA" w:rsidRPr="00F031D4">
        <w:rPr>
          <w:rFonts w:eastAsia="SimSun"/>
          <w:sz w:val="24"/>
          <w:szCs w:val="24"/>
          <w:lang w:val="en-US" w:eastAsia="zh-CN"/>
        </w:rPr>
        <w:t>的</w:t>
      </w:r>
      <w:r w:rsidRPr="00F031D4">
        <w:rPr>
          <w:rFonts w:eastAsia="SimSun"/>
          <w:sz w:val="24"/>
          <w:szCs w:val="24"/>
          <w:lang w:val="en-US" w:eastAsia="zh-CN"/>
        </w:rPr>
        <w:t>区域</w:t>
      </w:r>
      <w:r w:rsidR="00764BBD" w:rsidRPr="00F031D4">
        <w:rPr>
          <w:rFonts w:eastAsia="SimSun"/>
          <w:sz w:val="24"/>
          <w:szCs w:val="24"/>
          <w:lang w:val="en-US" w:eastAsia="zh-CN"/>
        </w:rPr>
        <w:t>和</w:t>
      </w:r>
      <w:r w:rsidRPr="00F031D4">
        <w:rPr>
          <w:rFonts w:eastAsia="SimSun"/>
          <w:sz w:val="24"/>
          <w:szCs w:val="24"/>
          <w:lang w:val="en-US" w:eastAsia="zh-CN"/>
        </w:rPr>
        <w:t>次区域评估</w:t>
      </w:r>
      <w:r w:rsidR="004A7329" w:rsidRPr="00F031D4">
        <w:rPr>
          <w:rFonts w:eastAsia="SimSun"/>
          <w:sz w:val="24"/>
          <w:szCs w:val="24"/>
          <w:lang w:val="en-US" w:eastAsia="zh-CN"/>
        </w:rPr>
        <w:t>；</w:t>
      </w:r>
    </w:p>
    <w:p w:rsidR="007F3540" w:rsidRPr="00F031D4" w:rsidRDefault="00BC43A5" w:rsidP="00F031D4">
      <w:pPr>
        <w:pStyle w:val="Normalnumber"/>
        <w:numPr>
          <w:ilvl w:val="1"/>
          <w:numId w:val="4"/>
        </w:numPr>
        <w:tabs>
          <w:tab w:val="clear" w:pos="1134"/>
          <w:tab w:val="clear" w:pos="1247"/>
          <w:tab w:val="clear" w:pos="1814"/>
          <w:tab w:val="clear" w:pos="2381"/>
          <w:tab w:val="clear" w:pos="2948"/>
          <w:tab w:val="clear" w:pos="3515"/>
          <w:tab w:val="clear" w:pos="4082"/>
          <w:tab w:val="num" w:pos="624"/>
        </w:tabs>
        <w:ind w:left="2495" w:hanging="624"/>
        <w:jc w:val="both"/>
        <w:rPr>
          <w:rFonts w:eastAsia="SimSun"/>
          <w:sz w:val="24"/>
          <w:szCs w:val="24"/>
          <w:lang w:eastAsia="zh-CN"/>
        </w:rPr>
      </w:pPr>
      <w:r w:rsidRPr="00F031D4">
        <w:rPr>
          <w:rFonts w:eastAsia="SimSun"/>
          <w:sz w:val="24"/>
          <w:szCs w:val="24"/>
          <w:lang w:eastAsia="zh-CN"/>
        </w:rPr>
        <w:t>亚洲及太平洋</w:t>
      </w:r>
      <w:r w:rsidR="00A132EA" w:rsidRPr="00F031D4">
        <w:rPr>
          <w:rFonts w:eastAsia="SimSun"/>
          <w:sz w:val="24"/>
          <w:szCs w:val="24"/>
          <w:lang w:eastAsia="zh-CN"/>
        </w:rPr>
        <w:t>的</w:t>
      </w:r>
      <w:r w:rsidRPr="00F031D4">
        <w:rPr>
          <w:rFonts w:eastAsia="SimSun"/>
          <w:sz w:val="24"/>
          <w:szCs w:val="24"/>
          <w:lang w:val="en-US" w:eastAsia="zh-CN"/>
        </w:rPr>
        <w:t>区域</w:t>
      </w:r>
      <w:r w:rsidR="00764BBD" w:rsidRPr="00F031D4">
        <w:rPr>
          <w:rFonts w:eastAsia="SimSun"/>
          <w:sz w:val="24"/>
          <w:szCs w:val="24"/>
          <w:lang w:val="en-US" w:eastAsia="zh-CN"/>
        </w:rPr>
        <w:t>和</w:t>
      </w:r>
      <w:r w:rsidRPr="00F031D4">
        <w:rPr>
          <w:rFonts w:eastAsia="SimSun"/>
          <w:sz w:val="24"/>
          <w:szCs w:val="24"/>
          <w:lang w:val="en-US" w:eastAsia="zh-CN"/>
        </w:rPr>
        <w:t>次区域评估</w:t>
      </w:r>
      <w:r w:rsidR="004A7329" w:rsidRPr="00F031D4">
        <w:rPr>
          <w:rFonts w:eastAsia="SimSun"/>
          <w:sz w:val="24"/>
          <w:szCs w:val="24"/>
          <w:lang w:eastAsia="zh-CN"/>
        </w:rPr>
        <w:t>；</w:t>
      </w:r>
    </w:p>
    <w:p w:rsidR="007F3540" w:rsidRPr="00F031D4" w:rsidRDefault="00BC43A5" w:rsidP="00F031D4">
      <w:pPr>
        <w:pStyle w:val="Normalnumber"/>
        <w:numPr>
          <w:ilvl w:val="1"/>
          <w:numId w:val="4"/>
        </w:numPr>
        <w:tabs>
          <w:tab w:val="clear" w:pos="1134"/>
          <w:tab w:val="clear" w:pos="1247"/>
          <w:tab w:val="clear" w:pos="1814"/>
          <w:tab w:val="clear" w:pos="2381"/>
          <w:tab w:val="clear" w:pos="2948"/>
          <w:tab w:val="clear" w:pos="3515"/>
          <w:tab w:val="clear" w:pos="4082"/>
          <w:tab w:val="num" w:pos="624"/>
        </w:tabs>
        <w:ind w:left="2495" w:hanging="624"/>
        <w:jc w:val="both"/>
        <w:rPr>
          <w:rFonts w:eastAsia="SimSun"/>
          <w:sz w:val="24"/>
          <w:szCs w:val="24"/>
          <w:lang w:eastAsia="zh-CN"/>
        </w:rPr>
      </w:pPr>
      <w:r w:rsidRPr="00F031D4">
        <w:rPr>
          <w:rFonts w:eastAsia="SimSun"/>
          <w:sz w:val="24"/>
          <w:szCs w:val="24"/>
          <w:lang w:val="en-US" w:eastAsia="zh-CN"/>
        </w:rPr>
        <w:t>欧洲和中亚</w:t>
      </w:r>
      <w:r w:rsidR="00A132EA" w:rsidRPr="00F031D4">
        <w:rPr>
          <w:rFonts w:eastAsia="SimSun"/>
          <w:sz w:val="24"/>
          <w:szCs w:val="24"/>
          <w:lang w:val="en-US" w:eastAsia="zh-CN"/>
        </w:rPr>
        <w:t>的</w:t>
      </w:r>
      <w:r w:rsidR="00764BBD" w:rsidRPr="00F031D4">
        <w:rPr>
          <w:rFonts w:eastAsia="SimSun"/>
          <w:sz w:val="24"/>
          <w:szCs w:val="24"/>
          <w:lang w:val="en-US" w:eastAsia="zh-CN"/>
        </w:rPr>
        <w:t>区域和次区域评估。</w:t>
      </w:r>
      <w:r w:rsidR="007F3540" w:rsidRPr="00F031D4">
        <w:rPr>
          <w:rFonts w:eastAsia="SimSun"/>
          <w:sz w:val="24"/>
          <w:szCs w:val="24"/>
          <w:lang w:eastAsia="zh-CN"/>
        </w:rPr>
        <w:t xml:space="preserve"> </w:t>
      </w:r>
    </w:p>
    <w:p w:rsidR="00764BBD" w:rsidRPr="00F031D4" w:rsidRDefault="00764BBD" w:rsidP="00F031D4">
      <w:pPr>
        <w:pStyle w:val="Normalnumber"/>
        <w:jc w:val="both"/>
        <w:rPr>
          <w:rFonts w:eastAsia="SimSun"/>
          <w:sz w:val="24"/>
          <w:szCs w:val="24"/>
          <w:lang w:eastAsia="zh-CN"/>
        </w:rPr>
      </w:pPr>
      <w:r w:rsidRPr="00F031D4">
        <w:rPr>
          <w:rFonts w:eastAsia="SimSun"/>
          <w:sz w:val="24"/>
          <w:szCs w:val="24"/>
          <w:lang w:val="en-US" w:eastAsia="zh-CN"/>
        </w:rPr>
        <w:t>土地退化和恢复专题评估。</w:t>
      </w:r>
    </w:p>
    <w:p w:rsidR="00764BBD" w:rsidRPr="00F031D4" w:rsidRDefault="00764BBD" w:rsidP="00F031D4">
      <w:pPr>
        <w:pStyle w:val="Normalnumber"/>
        <w:tabs>
          <w:tab w:val="clear" w:pos="1247"/>
          <w:tab w:val="clear" w:pos="1814"/>
          <w:tab w:val="left" w:pos="1800"/>
        </w:tabs>
        <w:ind w:left="1800" w:hanging="553"/>
        <w:jc w:val="both"/>
        <w:rPr>
          <w:rFonts w:eastAsia="SimSun"/>
          <w:sz w:val="24"/>
          <w:szCs w:val="24"/>
          <w:lang w:eastAsia="zh-CN"/>
        </w:rPr>
      </w:pPr>
      <w:r w:rsidRPr="00F031D4">
        <w:rPr>
          <w:rFonts w:eastAsia="SimSun"/>
          <w:sz w:val="24"/>
          <w:szCs w:val="24"/>
          <w:lang w:val="en-US" w:eastAsia="zh-CN"/>
        </w:rPr>
        <w:t>待开展的评估：野生物种可持续利用的专题评估、自然及其惠益所具多重价值之多元概念化的方法评估以及外来入侵物种的专题评估。</w:t>
      </w:r>
    </w:p>
    <w:p w:rsidR="007F3540" w:rsidRPr="00F031D4" w:rsidRDefault="00D36862" w:rsidP="00F031D4">
      <w:pPr>
        <w:pStyle w:val="Normalnumber"/>
        <w:jc w:val="both"/>
        <w:rPr>
          <w:rFonts w:eastAsia="SimSun"/>
          <w:sz w:val="24"/>
          <w:szCs w:val="24"/>
          <w:lang w:eastAsia="zh-CN"/>
        </w:rPr>
      </w:pPr>
      <w:r w:rsidRPr="00F031D4">
        <w:rPr>
          <w:rFonts w:eastAsia="SimSun"/>
          <w:sz w:val="24"/>
          <w:szCs w:val="24"/>
          <w:lang w:val="en-US" w:eastAsia="zh-CN"/>
        </w:rPr>
        <w:t>平台的财政和预算安排：</w:t>
      </w:r>
    </w:p>
    <w:p w:rsidR="007F3540" w:rsidRPr="00F031D4" w:rsidRDefault="00764BBD" w:rsidP="00F031D4">
      <w:pPr>
        <w:pStyle w:val="Normalnumber"/>
        <w:numPr>
          <w:ilvl w:val="1"/>
          <w:numId w:val="4"/>
        </w:numPr>
        <w:tabs>
          <w:tab w:val="clear" w:pos="1134"/>
          <w:tab w:val="clear" w:pos="1247"/>
          <w:tab w:val="clear" w:pos="1814"/>
          <w:tab w:val="clear" w:pos="2381"/>
          <w:tab w:val="clear" w:pos="2948"/>
          <w:tab w:val="clear" w:pos="3515"/>
          <w:tab w:val="clear" w:pos="4082"/>
          <w:tab w:val="num" w:pos="624"/>
        </w:tabs>
        <w:ind w:left="2495" w:hanging="624"/>
        <w:jc w:val="both"/>
        <w:rPr>
          <w:rFonts w:eastAsia="SimSun"/>
          <w:sz w:val="24"/>
          <w:szCs w:val="24"/>
          <w:lang w:eastAsia="zh-CN"/>
        </w:rPr>
      </w:pPr>
      <w:r w:rsidRPr="00F031D4">
        <w:rPr>
          <w:rFonts w:eastAsia="SimSun"/>
          <w:sz w:val="24"/>
          <w:szCs w:val="24"/>
          <w:lang w:val="en-US" w:eastAsia="zh-CN"/>
        </w:rPr>
        <w:t>2014–2019</w:t>
      </w:r>
      <w:r w:rsidR="00D36862" w:rsidRPr="00F031D4">
        <w:rPr>
          <w:rFonts w:eastAsia="SimSun"/>
          <w:sz w:val="24"/>
          <w:szCs w:val="24"/>
          <w:lang w:val="en-US" w:eastAsia="zh-CN"/>
        </w:rPr>
        <w:t>年期间的预算和支出</w:t>
      </w:r>
      <w:r w:rsidR="00E7507F" w:rsidRPr="00F031D4">
        <w:rPr>
          <w:rFonts w:eastAsia="SimSun"/>
          <w:sz w:val="24"/>
          <w:szCs w:val="24"/>
          <w:lang w:eastAsia="zh-CN"/>
        </w:rPr>
        <w:t>；</w:t>
      </w:r>
    </w:p>
    <w:p w:rsidR="007F3540" w:rsidRPr="00F031D4" w:rsidRDefault="00764BBD" w:rsidP="00F031D4">
      <w:pPr>
        <w:pStyle w:val="Normalnumber"/>
        <w:numPr>
          <w:ilvl w:val="1"/>
          <w:numId w:val="4"/>
        </w:numPr>
        <w:tabs>
          <w:tab w:val="clear" w:pos="1134"/>
          <w:tab w:val="clear" w:pos="1247"/>
          <w:tab w:val="clear" w:pos="1814"/>
          <w:tab w:val="clear" w:pos="2381"/>
          <w:tab w:val="clear" w:pos="2948"/>
          <w:tab w:val="clear" w:pos="3515"/>
          <w:tab w:val="clear" w:pos="4082"/>
          <w:tab w:val="num" w:pos="624"/>
        </w:tabs>
        <w:ind w:left="2495" w:hanging="624"/>
        <w:jc w:val="both"/>
        <w:rPr>
          <w:rFonts w:eastAsia="SimSun"/>
          <w:sz w:val="24"/>
          <w:szCs w:val="24"/>
        </w:rPr>
      </w:pPr>
      <w:r w:rsidRPr="00F031D4">
        <w:rPr>
          <w:rFonts w:eastAsia="SimSun"/>
          <w:sz w:val="24"/>
          <w:szCs w:val="24"/>
          <w:lang w:eastAsia="zh-CN"/>
        </w:rPr>
        <w:t>筹资活动</w:t>
      </w:r>
      <w:r w:rsidR="00D36862" w:rsidRPr="00F031D4">
        <w:rPr>
          <w:rFonts w:eastAsia="SimSun"/>
          <w:sz w:val="24"/>
          <w:szCs w:val="24"/>
          <w:lang w:eastAsia="zh-CN"/>
        </w:rPr>
        <w:t>。</w:t>
      </w:r>
    </w:p>
    <w:p w:rsidR="007F3540" w:rsidRPr="00911F63" w:rsidRDefault="00D36862" w:rsidP="00F031D4">
      <w:pPr>
        <w:pStyle w:val="Normalnumber"/>
        <w:tabs>
          <w:tab w:val="clear" w:pos="1134"/>
          <w:tab w:val="clear" w:pos="1247"/>
          <w:tab w:val="clear" w:pos="1814"/>
          <w:tab w:val="clear" w:pos="2381"/>
          <w:tab w:val="clear" w:pos="2948"/>
          <w:tab w:val="clear" w:pos="3515"/>
          <w:tab w:val="clear" w:pos="4082"/>
          <w:tab w:val="left" w:pos="624"/>
        </w:tabs>
        <w:ind w:left="1871" w:hanging="624"/>
        <w:jc w:val="both"/>
        <w:rPr>
          <w:rFonts w:eastAsia="SimSun"/>
          <w:sz w:val="24"/>
          <w:szCs w:val="24"/>
        </w:rPr>
      </w:pPr>
      <w:r w:rsidRPr="00F031D4">
        <w:rPr>
          <w:rFonts w:eastAsia="SimSun"/>
          <w:sz w:val="24"/>
          <w:szCs w:val="24"/>
          <w:lang w:eastAsia="zh-CN"/>
        </w:rPr>
        <w:t>对平台的审查</w:t>
      </w:r>
      <w:r w:rsidRPr="00911F63">
        <w:rPr>
          <w:rFonts w:eastAsia="SimSun"/>
          <w:sz w:val="24"/>
          <w:szCs w:val="24"/>
          <w:lang w:eastAsia="zh-CN"/>
        </w:rPr>
        <w:t>。</w:t>
      </w:r>
    </w:p>
    <w:p w:rsidR="00764BBD" w:rsidRPr="00911F63" w:rsidRDefault="00764BBD" w:rsidP="00947CC2">
      <w:pPr>
        <w:pStyle w:val="Normalnumber"/>
        <w:tabs>
          <w:tab w:val="clear" w:pos="1134"/>
          <w:tab w:val="clear" w:pos="1247"/>
          <w:tab w:val="clear" w:pos="1814"/>
          <w:tab w:val="clear" w:pos="2381"/>
          <w:tab w:val="clear" w:pos="2948"/>
          <w:tab w:val="clear" w:pos="3515"/>
          <w:tab w:val="clear" w:pos="4082"/>
          <w:tab w:val="left" w:pos="624"/>
        </w:tabs>
        <w:ind w:left="1871" w:hanging="624"/>
        <w:jc w:val="both"/>
        <w:rPr>
          <w:rFonts w:eastAsia="SimSun"/>
          <w:sz w:val="24"/>
          <w:szCs w:val="24"/>
        </w:rPr>
      </w:pPr>
      <w:proofErr w:type="spellStart"/>
      <w:r w:rsidRPr="00911F63">
        <w:rPr>
          <w:rFonts w:eastAsia="SimSun"/>
          <w:sz w:val="24"/>
          <w:szCs w:val="24"/>
          <w:lang w:val="en-US"/>
        </w:rPr>
        <w:lastRenderedPageBreak/>
        <w:t>第二份工作方案的制定</w:t>
      </w:r>
      <w:proofErr w:type="spellEnd"/>
      <w:r w:rsidRPr="00911F63">
        <w:rPr>
          <w:rFonts w:eastAsia="SimSun"/>
          <w:sz w:val="24"/>
          <w:szCs w:val="24"/>
          <w:lang w:val="en-US" w:eastAsia="zh-CN"/>
        </w:rPr>
        <w:t>工作。</w:t>
      </w:r>
    </w:p>
    <w:p w:rsidR="0066579B" w:rsidRPr="00911F63" w:rsidRDefault="00D36862" w:rsidP="00764BBD">
      <w:pPr>
        <w:pStyle w:val="Normalnumber"/>
        <w:tabs>
          <w:tab w:val="clear" w:pos="1134"/>
          <w:tab w:val="clear" w:pos="1247"/>
          <w:tab w:val="clear" w:pos="1814"/>
          <w:tab w:val="clear" w:pos="2381"/>
          <w:tab w:val="clear" w:pos="2948"/>
          <w:tab w:val="clear" w:pos="3515"/>
          <w:tab w:val="clear" w:pos="4082"/>
          <w:tab w:val="left" w:pos="624"/>
        </w:tabs>
        <w:ind w:left="1871" w:hanging="624"/>
        <w:jc w:val="both"/>
        <w:rPr>
          <w:rFonts w:eastAsia="SimSun"/>
          <w:sz w:val="24"/>
          <w:szCs w:val="24"/>
          <w:lang w:eastAsia="zh-CN"/>
        </w:rPr>
      </w:pPr>
      <w:r w:rsidRPr="00911F63">
        <w:rPr>
          <w:rFonts w:eastAsia="SimSun"/>
          <w:sz w:val="24"/>
          <w:szCs w:val="24"/>
          <w:lang w:val="en-US" w:eastAsia="zh-CN"/>
        </w:rPr>
        <w:t>全体会议今后届会的</w:t>
      </w:r>
      <w:r w:rsidR="00764BBD" w:rsidRPr="00911F63">
        <w:rPr>
          <w:rFonts w:eastAsia="SimSun"/>
          <w:sz w:val="24"/>
          <w:szCs w:val="24"/>
          <w:lang w:val="en-US" w:eastAsia="zh-CN"/>
        </w:rPr>
        <w:t>日期和地点</w:t>
      </w:r>
      <w:r w:rsidR="0066579B" w:rsidRPr="00911F63">
        <w:rPr>
          <w:rFonts w:eastAsia="SimSun"/>
          <w:sz w:val="24"/>
          <w:szCs w:val="24"/>
          <w:lang w:eastAsia="zh-CN"/>
        </w:rPr>
        <w:t>。</w:t>
      </w:r>
    </w:p>
    <w:p w:rsidR="007F3540" w:rsidRPr="00911F63" w:rsidRDefault="00D36862" w:rsidP="00947CC2">
      <w:pPr>
        <w:pStyle w:val="Normalnumber"/>
        <w:tabs>
          <w:tab w:val="clear" w:pos="1134"/>
          <w:tab w:val="clear" w:pos="1247"/>
          <w:tab w:val="clear" w:pos="1814"/>
          <w:tab w:val="clear" w:pos="2381"/>
          <w:tab w:val="clear" w:pos="2948"/>
          <w:tab w:val="clear" w:pos="3515"/>
          <w:tab w:val="clear" w:pos="4082"/>
          <w:tab w:val="left" w:pos="624"/>
        </w:tabs>
        <w:ind w:left="1871" w:hanging="624"/>
        <w:jc w:val="both"/>
        <w:rPr>
          <w:rFonts w:eastAsia="SimSun"/>
          <w:sz w:val="24"/>
          <w:szCs w:val="24"/>
          <w:lang w:eastAsia="zh-CN"/>
        </w:rPr>
      </w:pPr>
      <w:r w:rsidRPr="00911F63">
        <w:rPr>
          <w:rFonts w:eastAsia="SimSun"/>
          <w:sz w:val="24"/>
          <w:szCs w:val="24"/>
          <w:lang w:val="en-US" w:eastAsia="zh-CN"/>
        </w:rPr>
        <w:t>机制安排：关于平台及其秘书处工作的联合国协作伙伴关系安排。</w:t>
      </w:r>
    </w:p>
    <w:p w:rsidR="007F3540" w:rsidRPr="00911F63" w:rsidRDefault="00D36862" w:rsidP="00947CC2">
      <w:pPr>
        <w:pStyle w:val="Normalnumber"/>
        <w:tabs>
          <w:tab w:val="clear" w:pos="1134"/>
          <w:tab w:val="clear" w:pos="1247"/>
          <w:tab w:val="clear" w:pos="1814"/>
          <w:tab w:val="clear" w:pos="2381"/>
          <w:tab w:val="clear" w:pos="2948"/>
          <w:tab w:val="clear" w:pos="3515"/>
          <w:tab w:val="clear" w:pos="4082"/>
          <w:tab w:val="left" w:pos="624"/>
        </w:tabs>
        <w:ind w:left="1871" w:hanging="624"/>
        <w:jc w:val="both"/>
        <w:rPr>
          <w:rFonts w:eastAsia="SimSun"/>
          <w:sz w:val="24"/>
          <w:szCs w:val="24"/>
          <w:lang w:eastAsia="zh-CN"/>
        </w:rPr>
      </w:pPr>
      <w:r w:rsidRPr="00911F63">
        <w:rPr>
          <w:rFonts w:eastAsia="SimSun"/>
          <w:sz w:val="24"/>
          <w:szCs w:val="24"/>
          <w:lang w:val="en-US" w:eastAsia="zh-CN"/>
        </w:rPr>
        <w:t>通过本届会议的各项决定和报告。</w:t>
      </w:r>
    </w:p>
    <w:p w:rsidR="007F3540" w:rsidRPr="00911F63" w:rsidRDefault="00D36862" w:rsidP="00947CC2">
      <w:pPr>
        <w:pStyle w:val="Normalnumber"/>
        <w:tabs>
          <w:tab w:val="clear" w:pos="1134"/>
          <w:tab w:val="clear" w:pos="1247"/>
          <w:tab w:val="clear" w:pos="1814"/>
          <w:tab w:val="clear" w:pos="2381"/>
          <w:tab w:val="clear" w:pos="2948"/>
          <w:tab w:val="clear" w:pos="3515"/>
          <w:tab w:val="clear" w:pos="4082"/>
          <w:tab w:val="left" w:pos="624"/>
        </w:tabs>
        <w:ind w:left="1871" w:hanging="624"/>
        <w:jc w:val="both"/>
        <w:rPr>
          <w:rFonts w:eastAsia="SimSun"/>
          <w:sz w:val="24"/>
          <w:szCs w:val="24"/>
        </w:rPr>
      </w:pPr>
      <w:r w:rsidRPr="00911F63">
        <w:rPr>
          <w:rFonts w:eastAsia="SimSun"/>
          <w:sz w:val="24"/>
          <w:szCs w:val="24"/>
          <w:lang w:eastAsia="zh-CN"/>
        </w:rPr>
        <w:t>会议闭幕。</w:t>
      </w:r>
    </w:p>
    <w:tbl>
      <w:tblPr>
        <w:tblStyle w:val="Tabledocr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gridCol w:w="1899"/>
        <w:gridCol w:w="1900"/>
        <w:gridCol w:w="1901"/>
        <w:gridCol w:w="1901"/>
      </w:tblGrid>
      <w:tr w:rsidR="007F3540" w:rsidRPr="004A7329" w:rsidTr="00C443E3">
        <w:trPr>
          <w:trHeight w:val="919"/>
        </w:trPr>
        <w:tc>
          <w:tcPr>
            <w:tcW w:w="1921" w:type="dxa"/>
          </w:tcPr>
          <w:p w:rsidR="007F3540" w:rsidRPr="004A7329" w:rsidRDefault="007F3540" w:rsidP="003F1D30">
            <w:pPr>
              <w:pStyle w:val="Normal-pool"/>
              <w:spacing w:before="0" w:after="0"/>
              <w:contextualSpacing/>
              <w:rPr>
                <w:sz w:val="24"/>
                <w:szCs w:val="24"/>
              </w:rPr>
            </w:pPr>
          </w:p>
        </w:tc>
        <w:tc>
          <w:tcPr>
            <w:tcW w:w="1921" w:type="dxa"/>
          </w:tcPr>
          <w:p w:rsidR="007F3540" w:rsidRPr="004A7329" w:rsidRDefault="007F3540" w:rsidP="003F1D30">
            <w:pPr>
              <w:pStyle w:val="Normal-pool"/>
              <w:spacing w:before="0" w:after="0"/>
              <w:contextualSpacing/>
              <w:rPr>
                <w:sz w:val="24"/>
                <w:szCs w:val="24"/>
              </w:rPr>
            </w:pPr>
          </w:p>
        </w:tc>
        <w:tc>
          <w:tcPr>
            <w:tcW w:w="1922" w:type="dxa"/>
            <w:tcBorders>
              <w:bottom w:val="single" w:sz="4" w:space="0" w:color="auto"/>
            </w:tcBorders>
          </w:tcPr>
          <w:p w:rsidR="007F3540" w:rsidRPr="004A7329" w:rsidRDefault="007F3540" w:rsidP="003F1D30">
            <w:pPr>
              <w:pStyle w:val="Normal-pool"/>
              <w:spacing w:before="0" w:after="0"/>
              <w:contextualSpacing/>
              <w:rPr>
                <w:sz w:val="24"/>
                <w:szCs w:val="24"/>
              </w:rPr>
            </w:pPr>
          </w:p>
        </w:tc>
        <w:tc>
          <w:tcPr>
            <w:tcW w:w="1923" w:type="dxa"/>
          </w:tcPr>
          <w:p w:rsidR="007F3540" w:rsidRPr="004A7329" w:rsidRDefault="007F3540" w:rsidP="003F1D30">
            <w:pPr>
              <w:pStyle w:val="Normal-pool"/>
              <w:spacing w:before="0" w:after="0"/>
              <w:contextualSpacing/>
              <w:rPr>
                <w:sz w:val="24"/>
                <w:szCs w:val="24"/>
              </w:rPr>
            </w:pPr>
          </w:p>
        </w:tc>
        <w:tc>
          <w:tcPr>
            <w:tcW w:w="1923" w:type="dxa"/>
          </w:tcPr>
          <w:p w:rsidR="007F3540" w:rsidRPr="004A7329" w:rsidRDefault="007F3540" w:rsidP="003F1D30">
            <w:pPr>
              <w:pStyle w:val="Normal-pool"/>
              <w:spacing w:before="0" w:after="0"/>
              <w:contextualSpacing/>
              <w:rPr>
                <w:sz w:val="24"/>
                <w:szCs w:val="24"/>
              </w:rPr>
            </w:pPr>
          </w:p>
        </w:tc>
      </w:tr>
    </w:tbl>
    <w:p w:rsidR="003F1D30" w:rsidRPr="003F1D30" w:rsidRDefault="003F1D30" w:rsidP="003F1D30">
      <w:pPr>
        <w:pStyle w:val="Normal-pool"/>
        <w:rPr>
          <w:sz w:val="6"/>
          <w:szCs w:val="6"/>
        </w:rPr>
      </w:pPr>
    </w:p>
    <w:sectPr w:rsidR="003F1D30" w:rsidRPr="003F1D30" w:rsidSect="00446BD6">
      <w:headerReference w:type="even" r:id="rId14"/>
      <w:footerReference w:type="even" r:id="rId15"/>
      <w:footerReference w:type="default" r:id="rId16"/>
      <w:footerReference w:type="first" r:id="rId17"/>
      <w:type w:val="continuous"/>
      <w:pgSz w:w="11906" w:h="16838" w:code="9"/>
      <w:pgMar w:top="907" w:right="994" w:bottom="1411" w:left="1411" w:header="533" w:footer="97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643" w:rsidRDefault="00150643">
      <w:r>
        <w:separator/>
      </w:r>
    </w:p>
  </w:endnote>
  <w:endnote w:type="continuationSeparator" w:id="0">
    <w:p w:rsidR="00150643" w:rsidRDefault="0015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699" w:rsidRPr="00AE611E" w:rsidRDefault="00123699">
    <w:pPr>
      <w:pStyle w:val="Footer"/>
      <w:rPr>
        <w:sz w:val="20"/>
        <w:szCs w:val="20"/>
      </w:rPr>
    </w:pPr>
    <w:r w:rsidRPr="00AE611E">
      <w:rPr>
        <w:rStyle w:val="PageNumber"/>
        <w:sz w:val="20"/>
        <w:szCs w:val="20"/>
      </w:rPr>
      <w:fldChar w:fldCharType="begin"/>
    </w:r>
    <w:r w:rsidRPr="00AE611E">
      <w:rPr>
        <w:rStyle w:val="PageNumber"/>
        <w:sz w:val="20"/>
        <w:szCs w:val="20"/>
      </w:rPr>
      <w:instrText xml:space="preserve"> PAGE </w:instrText>
    </w:r>
    <w:r w:rsidRPr="00AE611E">
      <w:rPr>
        <w:rStyle w:val="PageNumber"/>
        <w:sz w:val="20"/>
        <w:szCs w:val="20"/>
      </w:rPr>
      <w:fldChar w:fldCharType="separate"/>
    </w:r>
    <w:r w:rsidR="006E53D8">
      <w:rPr>
        <w:rStyle w:val="PageNumber"/>
        <w:noProof/>
        <w:sz w:val="20"/>
        <w:szCs w:val="20"/>
      </w:rPr>
      <w:t>2</w:t>
    </w:r>
    <w:r w:rsidRPr="00AE611E">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78" w:rsidRPr="001E581D" w:rsidRDefault="00274678" w:rsidP="00274678">
    <w:pPr>
      <w:pStyle w:val="Footer"/>
      <w:tabs>
        <w:tab w:val="clear" w:pos="4320"/>
        <w:tab w:val="clear" w:pos="8640"/>
        <w:tab w:val="left" w:pos="624"/>
      </w:tabs>
      <w:spacing w:line="240" w:lineRule="auto"/>
      <w:rPr>
        <w:rFonts w:ascii="Times New Roman" w:hAnsi="Times New Roman"/>
        <w:b/>
        <w:sz w:val="20"/>
        <w:szCs w:val="20"/>
      </w:rPr>
    </w:pPr>
    <w:r w:rsidRPr="001E581D">
      <w:rPr>
        <w:rFonts w:ascii="Times New Roman" w:hAnsi="Times New Roman"/>
        <w:b/>
        <w:sz w:val="20"/>
        <w:szCs w:val="20"/>
      </w:rPr>
      <w:t>K1</w:t>
    </w:r>
    <w:r w:rsidR="006B425A">
      <w:rPr>
        <w:rFonts w:ascii="Times New Roman" w:hAnsi="Times New Roman"/>
        <w:b/>
        <w:sz w:val="20"/>
        <w:szCs w:val="20"/>
      </w:rPr>
      <w:t>707271</w:t>
    </w:r>
    <w:r w:rsidRPr="001E581D">
      <w:rPr>
        <w:rFonts w:ascii="Times New Roman" w:hAnsi="Times New Roman"/>
        <w:b/>
        <w:sz w:val="20"/>
        <w:szCs w:val="20"/>
      </w:rPr>
      <w:tab/>
    </w:r>
    <w:r>
      <w:rPr>
        <w:rFonts w:ascii="Times New Roman" w:eastAsiaTheme="minorEastAsia" w:hAnsi="Times New Roman"/>
        <w:b/>
        <w:sz w:val="20"/>
        <w:szCs w:val="20"/>
        <w:lang w:eastAsia="zh-CN"/>
      </w:rPr>
      <w:t>180</w:t>
    </w:r>
    <w:r w:rsidR="006B425A">
      <w:rPr>
        <w:rFonts w:ascii="Times New Roman" w:eastAsiaTheme="minorEastAsia" w:hAnsi="Times New Roman"/>
        <w:b/>
        <w:sz w:val="20"/>
        <w:szCs w:val="20"/>
        <w:lang w:eastAsia="zh-CN"/>
      </w:rPr>
      <w:t>7</w:t>
    </w:r>
    <w:r>
      <w:rPr>
        <w:rFonts w:ascii="Times New Roman" w:hAnsi="Times New Roman"/>
        <w:b/>
        <w:sz w:val="20"/>
        <w:szCs w:val="20"/>
      </w:rPr>
      <w:t>17</w:t>
    </w:r>
  </w:p>
  <w:p w:rsidR="00123699" w:rsidRPr="00274678" w:rsidRDefault="00123699" w:rsidP="00274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40" w:rsidRPr="004436F2" w:rsidRDefault="00E7507F" w:rsidP="00E7507F">
    <w:pPr>
      <w:pStyle w:val="Normal-pool"/>
      <w:tabs>
        <w:tab w:val="clear" w:pos="1247"/>
        <w:tab w:val="clear" w:pos="1814"/>
        <w:tab w:val="clear" w:pos="2381"/>
        <w:tab w:val="clear" w:pos="2948"/>
        <w:tab w:val="clear" w:pos="3515"/>
        <w:tab w:val="clear" w:pos="4082"/>
        <w:tab w:val="left" w:pos="624"/>
      </w:tabs>
      <w:rPr>
        <w:b/>
      </w:rPr>
    </w:pPr>
    <w:r w:rsidRPr="004436F2">
      <w:rPr>
        <w:b/>
      </w:rPr>
      <w:t>K1709181</w:t>
    </w:r>
    <w:r w:rsidRPr="004436F2">
      <w:rPr>
        <w:b/>
      </w:rPr>
      <w:tab/>
      <w:t>0</w:t>
    </w:r>
    <w:r w:rsidR="004436F2" w:rsidRPr="004436F2">
      <w:rPr>
        <w:rFonts w:hint="eastAsia"/>
        <w:b/>
        <w:lang w:eastAsia="zh-CN"/>
      </w:rPr>
      <w:t>812</w:t>
    </w:r>
    <w:r w:rsidRPr="004436F2">
      <w:rPr>
        <w:b/>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643" w:rsidRDefault="00150643" w:rsidP="00B24C67">
      <w:pPr>
        <w:spacing w:after="0" w:line="240" w:lineRule="auto"/>
        <w:ind w:left="624"/>
      </w:pPr>
      <w:r>
        <w:separator/>
      </w:r>
    </w:p>
  </w:footnote>
  <w:footnote w:type="continuationSeparator" w:id="0">
    <w:p w:rsidR="00150643" w:rsidRDefault="00150643">
      <w:r>
        <w:continuationSeparator/>
      </w:r>
    </w:p>
  </w:footnote>
  <w:footnote w:id="1">
    <w:p w:rsidR="000E3F81" w:rsidRPr="00ED0014" w:rsidRDefault="000E3F81" w:rsidP="00ED0014">
      <w:pPr>
        <w:pStyle w:val="FootnoteText"/>
        <w:ind w:left="1253"/>
        <w:rPr>
          <w:sz w:val="20"/>
          <w:lang w:eastAsia="zh-CN"/>
        </w:rPr>
      </w:pPr>
      <w:r w:rsidRPr="00C16C43">
        <w:rPr>
          <w:rFonts w:eastAsia="SimSun"/>
          <w:sz w:val="20"/>
          <w:lang w:eastAsia="zh-CN"/>
        </w:rPr>
        <w:t xml:space="preserve">* </w:t>
      </w:r>
      <w:r w:rsidRPr="00C16C43">
        <w:rPr>
          <w:rFonts w:eastAsia="SimSun"/>
          <w:sz w:val="20"/>
          <w:lang w:eastAsia="zh-CN"/>
        </w:rPr>
        <w:t>由于技术原因于</w:t>
      </w:r>
      <w:r w:rsidRPr="00C16C43">
        <w:rPr>
          <w:rFonts w:eastAsia="SimSun"/>
          <w:sz w:val="20"/>
          <w:lang w:eastAsia="zh-CN"/>
        </w:rPr>
        <w:t>2017</w:t>
      </w:r>
      <w:r w:rsidRPr="00C16C43">
        <w:rPr>
          <w:rFonts w:eastAsia="SimSun"/>
          <w:sz w:val="20"/>
          <w:lang w:eastAsia="zh-CN"/>
        </w:rPr>
        <w:t>年</w:t>
      </w:r>
      <w:r w:rsidRPr="00C16C43">
        <w:rPr>
          <w:rFonts w:eastAsia="SimSun"/>
          <w:sz w:val="20"/>
          <w:lang w:eastAsia="zh-CN"/>
        </w:rPr>
        <w:t>12</w:t>
      </w:r>
      <w:r w:rsidRPr="00C16C43">
        <w:rPr>
          <w:rFonts w:eastAsia="SimSun"/>
          <w:sz w:val="20"/>
          <w:lang w:eastAsia="zh-CN"/>
        </w:rPr>
        <w:t>月</w:t>
      </w:r>
      <w:r w:rsidRPr="00C16C43">
        <w:rPr>
          <w:rFonts w:eastAsia="SimSun"/>
          <w:sz w:val="20"/>
          <w:lang w:eastAsia="zh-CN"/>
        </w:rPr>
        <w:t>5</w:t>
      </w:r>
      <w:r w:rsidRPr="00C16C43">
        <w:rPr>
          <w:rFonts w:eastAsia="SimSun"/>
          <w:sz w:val="20"/>
          <w:lang w:eastAsia="zh-CN"/>
        </w:rPr>
        <w:t>日重发</w:t>
      </w:r>
      <w:r w:rsidRPr="00ED0014">
        <w:rPr>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9B4" w:rsidRPr="00C16C43" w:rsidRDefault="005859B4" w:rsidP="00C16C43">
    <w:pPr>
      <w:pStyle w:val="Header"/>
      <w:spacing w:after="0" w:line="240" w:lineRule="auto"/>
      <w:rPr>
        <w:rFonts w:eastAsiaTheme="minorEastAsia"/>
        <w:sz w:val="20"/>
        <w:szCs w:val="20"/>
        <w:lang w:eastAsia="zh-CN"/>
      </w:rPr>
    </w:pPr>
    <w:r w:rsidRPr="000269B5">
      <w:rPr>
        <w:rFonts w:ascii="Times New Roman" w:hAnsi="Times New Roman"/>
        <w:sz w:val="20"/>
        <w:szCs w:val="20"/>
        <w:lang w:val="en-GB"/>
      </w:rPr>
      <w:t>IPBES/</w:t>
    </w:r>
    <w:r w:rsidR="00764BBD">
      <w:rPr>
        <w:rFonts w:ascii="Times New Roman" w:hAnsi="Times New Roman"/>
        <w:sz w:val="20"/>
        <w:szCs w:val="20"/>
        <w:lang w:val="en-GB"/>
      </w:rPr>
      <w:t>6</w:t>
    </w:r>
    <w:r w:rsidRPr="000269B5">
      <w:rPr>
        <w:rFonts w:ascii="Times New Roman" w:hAnsi="Times New Roman"/>
        <w:sz w:val="20"/>
        <w:szCs w:val="20"/>
        <w:lang w:val="en-GB"/>
      </w:rPr>
      <w:t>/1</w:t>
    </w:r>
    <w:r w:rsidR="00C16C43" w:rsidRPr="00C16C43">
      <w:rPr>
        <w:rStyle w:val="FootnoteReference"/>
        <w:sz w:val="22"/>
        <w:szCs w:val="22"/>
        <w:vertAlign w:val="baseline"/>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1"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2" w15:restartNumberingAfterBreak="0">
    <w:nsid w:val="52A66A9D"/>
    <w:multiLevelType w:val="multilevel"/>
    <w:tmpl w:val="77464750"/>
    <w:styleLink w:val="Normallist"/>
    <w:lvl w:ilvl="0">
      <w:start w:val="1"/>
      <w:numFmt w:val="decimal"/>
      <w:pStyle w:val="Normalnumb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num w:numId="1">
    <w:abstractNumId w:val="0"/>
  </w:num>
  <w:num w:numId="2">
    <w:abstractNumId w:val="1"/>
  </w:num>
  <w:num w:numId="3">
    <w:abstractNumId w:val="2"/>
  </w:num>
  <w:num w:numId="4">
    <w:abstractNumId w:val="2"/>
    <w:lvlOverride w:ilvl="1">
      <w:lvl w:ilvl="1">
        <w:start w:val="1"/>
        <w:numFmt w:val="lowerLetter"/>
        <w:lvlText w:val="(%2)"/>
        <w:lvlJc w:val="left"/>
        <w:pPr>
          <w:tabs>
            <w:tab w:val="num" w:pos="1134"/>
          </w:tabs>
          <w:ind w:left="1247" w:firstLine="567"/>
        </w:pPr>
        <w:rPr>
          <w:rFonts w:hint="default"/>
          <w:sz w:val="24"/>
          <w:szCs w:val="24"/>
        </w:rPr>
      </w:lvl>
    </w:lvlOverride>
  </w:num>
  <w:num w:numId="5">
    <w:abstractNumId w:val="2"/>
    <w:lvlOverride w:ilvl="1">
      <w:lvl w:ilvl="1">
        <w:start w:val="1"/>
        <w:numFmt w:val="lowerLetter"/>
        <w:lvlText w:val="(%2)"/>
        <w:lvlJc w:val="left"/>
        <w:pPr>
          <w:tabs>
            <w:tab w:val="num" w:pos="1134"/>
          </w:tabs>
          <w:ind w:left="1247" w:firstLine="567"/>
        </w:pPr>
        <w:rPr>
          <w:rFonts w:hint="default"/>
          <w:sz w:val="24"/>
          <w:szCs w:val="24"/>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0" w:nlCheck="1" w:checkStyle="0"/>
  <w:activeWritingStyle w:appName="MSWord" w:lang="en-US" w:vendorID="64" w:dllVersion="0" w:nlCheck="1" w:checkStyle="1"/>
  <w:activeWritingStyle w:appName="MSWord" w:lang="en-GB" w:vendorID="64" w:dllVersion="0" w:nlCheck="1" w:checkStyle="1"/>
  <w:activeWritingStyle w:appName="MSWord" w:lang="es-ES" w:vendorID="64" w:dllVersion="0" w:nlCheck="1" w:checkStyle="1"/>
  <w:activeWritingStyle w:appName="MSWord" w:lang="zh-CN" w:vendorID="64" w:dllVersion="0" w:nlCheck="1" w:checkStyle="1"/>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619"/>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40"/>
    <w:rsid w:val="00005AC8"/>
    <w:rsid w:val="000149E6"/>
    <w:rsid w:val="000247B0"/>
    <w:rsid w:val="00026997"/>
    <w:rsid w:val="000269B5"/>
    <w:rsid w:val="00026B2B"/>
    <w:rsid w:val="0002730E"/>
    <w:rsid w:val="00033E0B"/>
    <w:rsid w:val="00035EDE"/>
    <w:rsid w:val="000413AF"/>
    <w:rsid w:val="000509B4"/>
    <w:rsid w:val="00056806"/>
    <w:rsid w:val="0006035B"/>
    <w:rsid w:val="000702FF"/>
    <w:rsid w:val="00071886"/>
    <w:rsid w:val="000742BC"/>
    <w:rsid w:val="00082A0C"/>
    <w:rsid w:val="00083504"/>
    <w:rsid w:val="0009640C"/>
    <w:rsid w:val="000B22A2"/>
    <w:rsid w:val="000C2A52"/>
    <w:rsid w:val="000D33C0"/>
    <w:rsid w:val="000D6941"/>
    <w:rsid w:val="000E3F81"/>
    <w:rsid w:val="000F3157"/>
    <w:rsid w:val="000F4909"/>
    <w:rsid w:val="001160AD"/>
    <w:rsid w:val="001202E3"/>
    <w:rsid w:val="001230AF"/>
    <w:rsid w:val="0012362D"/>
    <w:rsid w:val="00123699"/>
    <w:rsid w:val="0013059D"/>
    <w:rsid w:val="00141A55"/>
    <w:rsid w:val="00142524"/>
    <w:rsid w:val="001446A3"/>
    <w:rsid w:val="00150643"/>
    <w:rsid w:val="00153A77"/>
    <w:rsid w:val="00155395"/>
    <w:rsid w:val="00160D74"/>
    <w:rsid w:val="00167D02"/>
    <w:rsid w:val="00172488"/>
    <w:rsid w:val="00181EC8"/>
    <w:rsid w:val="00184349"/>
    <w:rsid w:val="00186DCC"/>
    <w:rsid w:val="001947D5"/>
    <w:rsid w:val="00195F33"/>
    <w:rsid w:val="001B1617"/>
    <w:rsid w:val="001B504B"/>
    <w:rsid w:val="001C55B8"/>
    <w:rsid w:val="001D3874"/>
    <w:rsid w:val="001D703D"/>
    <w:rsid w:val="001D77C2"/>
    <w:rsid w:val="001D7E75"/>
    <w:rsid w:val="001E56D2"/>
    <w:rsid w:val="001E581D"/>
    <w:rsid w:val="001E7D56"/>
    <w:rsid w:val="001F75DE"/>
    <w:rsid w:val="00200D58"/>
    <w:rsid w:val="002013BE"/>
    <w:rsid w:val="00201A70"/>
    <w:rsid w:val="002063A4"/>
    <w:rsid w:val="00206ADE"/>
    <w:rsid w:val="002102BA"/>
    <w:rsid w:val="002105B1"/>
    <w:rsid w:val="0021145B"/>
    <w:rsid w:val="00243D36"/>
    <w:rsid w:val="00247707"/>
    <w:rsid w:val="002521F2"/>
    <w:rsid w:val="0026018E"/>
    <w:rsid w:val="00274678"/>
    <w:rsid w:val="00286740"/>
    <w:rsid w:val="002929D8"/>
    <w:rsid w:val="002A237D"/>
    <w:rsid w:val="002A4C53"/>
    <w:rsid w:val="002A704F"/>
    <w:rsid w:val="002B0672"/>
    <w:rsid w:val="002B247F"/>
    <w:rsid w:val="002B6079"/>
    <w:rsid w:val="002C0B9A"/>
    <w:rsid w:val="002C145D"/>
    <w:rsid w:val="002C2C3E"/>
    <w:rsid w:val="002C533E"/>
    <w:rsid w:val="002D027F"/>
    <w:rsid w:val="002D7A85"/>
    <w:rsid w:val="002D7B60"/>
    <w:rsid w:val="002F1EF8"/>
    <w:rsid w:val="002F4761"/>
    <w:rsid w:val="002F5C79"/>
    <w:rsid w:val="003019E2"/>
    <w:rsid w:val="003061DE"/>
    <w:rsid w:val="0031413F"/>
    <w:rsid w:val="003148BB"/>
    <w:rsid w:val="00317976"/>
    <w:rsid w:val="0032535B"/>
    <w:rsid w:val="00334B22"/>
    <w:rsid w:val="00355EA9"/>
    <w:rsid w:val="003578DE"/>
    <w:rsid w:val="003653C3"/>
    <w:rsid w:val="00396257"/>
    <w:rsid w:val="00397EB8"/>
    <w:rsid w:val="003A4FD0"/>
    <w:rsid w:val="003A67E2"/>
    <w:rsid w:val="003A69D1"/>
    <w:rsid w:val="003A7705"/>
    <w:rsid w:val="003A77F1"/>
    <w:rsid w:val="003B1545"/>
    <w:rsid w:val="003B2255"/>
    <w:rsid w:val="003C409D"/>
    <w:rsid w:val="003C5BA6"/>
    <w:rsid w:val="003D1D01"/>
    <w:rsid w:val="003D2A3A"/>
    <w:rsid w:val="003D2C28"/>
    <w:rsid w:val="003D3942"/>
    <w:rsid w:val="003E3152"/>
    <w:rsid w:val="003F0E85"/>
    <w:rsid w:val="003F1D30"/>
    <w:rsid w:val="00410C55"/>
    <w:rsid w:val="00416854"/>
    <w:rsid w:val="00417725"/>
    <w:rsid w:val="00420EC5"/>
    <w:rsid w:val="004338BD"/>
    <w:rsid w:val="00437F26"/>
    <w:rsid w:val="00441610"/>
    <w:rsid w:val="004436F2"/>
    <w:rsid w:val="00444097"/>
    <w:rsid w:val="00445487"/>
    <w:rsid w:val="00446BD6"/>
    <w:rsid w:val="004516E6"/>
    <w:rsid w:val="00454769"/>
    <w:rsid w:val="00466991"/>
    <w:rsid w:val="0047064C"/>
    <w:rsid w:val="004A34F1"/>
    <w:rsid w:val="004A42E1"/>
    <w:rsid w:val="004A7329"/>
    <w:rsid w:val="004B162C"/>
    <w:rsid w:val="004B7816"/>
    <w:rsid w:val="004C3DBE"/>
    <w:rsid w:val="004C5C96"/>
    <w:rsid w:val="004D06A4"/>
    <w:rsid w:val="004F1A81"/>
    <w:rsid w:val="00500FD2"/>
    <w:rsid w:val="005218D9"/>
    <w:rsid w:val="00536186"/>
    <w:rsid w:val="00543B3F"/>
    <w:rsid w:val="00544CBB"/>
    <w:rsid w:val="00564B81"/>
    <w:rsid w:val="0057315F"/>
    <w:rsid w:val="00576104"/>
    <w:rsid w:val="005859B4"/>
    <w:rsid w:val="0059080D"/>
    <w:rsid w:val="005B2B7B"/>
    <w:rsid w:val="005C67C8"/>
    <w:rsid w:val="005C787A"/>
    <w:rsid w:val="005D0249"/>
    <w:rsid w:val="005D6E8C"/>
    <w:rsid w:val="005F100C"/>
    <w:rsid w:val="005F68DA"/>
    <w:rsid w:val="0060773B"/>
    <w:rsid w:val="006157B5"/>
    <w:rsid w:val="00626FC6"/>
    <w:rsid w:val="006303B4"/>
    <w:rsid w:val="00633D3D"/>
    <w:rsid w:val="00641703"/>
    <w:rsid w:val="006431A6"/>
    <w:rsid w:val="006459F6"/>
    <w:rsid w:val="006501AD"/>
    <w:rsid w:val="00650C41"/>
    <w:rsid w:val="00651BFA"/>
    <w:rsid w:val="00654475"/>
    <w:rsid w:val="0066579B"/>
    <w:rsid w:val="00665A4B"/>
    <w:rsid w:val="006872D6"/>
    <w:rsid w:val="00691CFF"/>
    <w:rsid w:val="00692E2A"/>
    <w:rsid w:val="006A76F2"/>
    <w:rsid w:val="006B22B1"/>
    <w:rsid w:val="006B425A"/>
    <w:rsid w:val="006B6EFC"/>
    <w:rsid w:val="006D70DD"/>
    <w:rsid w:val="006D7EFB"/>
    <w:rsid w:val="006E53D8"/>
    <w:rsid w:val="006E6672"/>
    <w:rsid w:val="006E6722"/>
    <w:rsid w:val="007027B9"/>
    <w:rsid w:val="00715E88"/>
    <w:rsid w:val="00734CAA"/>
    <w:rsid w:val="007354AD"/>
    <w:rsid w:val="00752DDC"/>
    <w:rsid w:val="0075533C"/>
    <w:rsid w:val="00757581"/>
    <w:rsid w:val="007608E8"/>
    <w:rsid w:val="007611A0"/>
    <w:rsid w:val="00764AA1"/>
    <w:rsid w:val="00764BBD"/>
    <w:rsid w:val="007937EB"/>
    <w:rsid w:val="007948E7"/>
    <w:rsid w:val="00796D3F"/>
    <w:rsid w:val="007A1683"/>
    <w:rsid w:val="007A2DC4"/>
    <w:rsid w:val="007A5C12"/>
    <w:rsid w:val="007A7CB0"/>
    <w:rsid w:val="007B68A3"/>
    <w:rsid w:val="007B74D5"/>
    <w:rsid w:val="007C2541"/>
    <w:rsid w:val="007D66A8"/>
    <w:rsid w:val="007E003F"/>
    <w:rsid w:val="007F3540"/>
    <w:rsid w:val="007F6F57"/>
    <w:rsid w:val="008164F2"/>
    <w:rsid w:val="00821395"/>
    <w:rsid w:val="00830E26"/>
    <w:rsid w:val="00842912"/>
    <w:rsid w:val="00843576"/>
    <w:rsid w:val="00843B64"/>
    <w:rsid w:val="008478FC"/>
    <w:rsid w:val="00855DE4"/>
    <w:rsid w:val="00867486"/>
    <w:rsid w:val="00867BFF"/>
    <w:rsid w:val="0088480A"/>
    <w:rsid w:val="0088757A"/>
    <w:rsid w:val="00891C2A"/>
    <w:rsid w:val="0089386C"/>
    <w:rsid w:val="008957DD"/>
    <w:rsid w:val="00897D98"/>
    <w:rsid w:val="008A6DF2"/>
    <w:rsid w:val="008A7807"/>
    <w:rsid w:val="008B4CC9"/>
    <w:rsid w:val="008D7C99"/>
    <w:rsid w:val="008E0FCB"/>
    <w:rsid w:val="008E4E6A"/>
    <w:rsid w:val="008F4AB8"/>
    <w:rsid w:val="009010C4"/>
    <w:rsid w:val="00911F63"/>
    <w:rsid w:val="0092178C"/>
    <w:rsid w:val="00927CCB"/>
    <w:rsid w:val="00930B88"/>
    <w:rsid w:val="00936053"/>
    <w:rsid w:val="00940DCC"/>
    <w:rsid w:val="0094179A"/>
    <w:rsid w:val="0094459E"/>
    <w:rsid w:val="00944DBC"/>
    <w:rsid w:val="0094617E"/>
    <w:rsid w:val="00947CC2"/>
    <w:rsid w:val="00950977"/>
    <w:rsid w:val="00951A7B"/>
    <w:rsid w:val="009564A6"/>
    <w:rsid w:val="00967621"/>
    <w:rsid w:val="00967E6A"/>
    <w:rsid w:val="009B4A0F"/>
    <w:rsid w:val="009B61EE"/>
    <w:rsid w:val="009C11D2"/>
    <w:rsid w:val="009C6C70"/>
    <w:rsid w:val="009D0B63"/>
    <w:rsid w:val="009D4A54"/>
    <w:rsid w:val="009D6B28"/>
    <w:rsid w:val="009E307E"/>
    <w:rsid w:val="009E78C3"/>
    <w:rsid w:val="00A05A1A"/>
    <w:rsid w:val="00A07870"/>
    <w:rsid w:val="00A07F19"/>
    <w:rsid w:val="00A132EA"/>
    <w:rsid w:val="00A1348D"/>
    <w:rsid w:val="00A232EE"/>
    <w:rsid w:val="00A4175F"/>
    <w:rsid w:val="00A44411"/>
    <w:rsid w:val="00A469FA"/>
    <w:rsid w:val="00A55B01"/>
    <w:rsid w:val="00A56B5B"/>
    <w:rsid w:val="00A603FF"/>
    <w:rsid w:val="00A657DD"/>
    <w:rsid w:val="00A666A6"/>
    <w:rsid w:val="00A675FD"/>
    <w:rsid w:val="00A72437"/>
    <w:rsid w:val="00A80611"/>
    <w:rsid w:val="00A949BF"/>
    <w:rsid w:val="00AA0C30"/>
    <w:rsid w:val="00AA59D9"/>
    <w:rsid w:val="00AB5340"/>
    <w:rsid w:val="00AC0A89"/>
    <w:rsid w:val="00AC12E1"/>
    <w:rsid w:val="00AC2B12"/>
    <w:rsid w:val="00AC5D91"/>
    <w:rsid w:val="00AC7C96"/>
    <w:rsid w:val="00AE237D"/>
    <w:rsid w:val="00AE502A"/>
    <w:rsid w:val="00AE611E"/>
    <w:rsid w:val="00AF7C07"/>
    <w:rsid w:val="00B030AE"/>
    <w:rsid w:val="00B22C93"/>
    <w:rsid w:val="00B2454B"/>
    <w:rsid w:val="00B24C67"/>
    <w:rsid w:val="00B27589"/>
    <w:rsid w:val="00B405B7"/>
    <w:rsid w:val="00B407D4"/>
    <w:rsid w:val="00B470CC"/>
    <w:rsid w:val="00B52222"/>
    <w:rsid w:val="00B54FE7"/>
    <w:rsid w:val="00B55EE6"/>
    <w:rsid w:val="00B56B5B"/>
    <w:rsid w:val="00B6343B"/>
    <w:rsid w:val="00B66901"/>
    <w:rsid w:val="00B66E51"/>
    <w:rsid w:val="00B7071A"/>
    <w:rsid w:val="00B71E6D"/>
    <w:rsid w:val="00B72070"/>
    <w:rsid w:val="00B779E1"/>
    <w:rsid w:val="00B81A5B"/>
    <w:rsid w:val="00B91EE1"/>
    <w:rsid w:val="00BA0090"/>
    <w:rsid w:val="00BA1A67"/>
    <w:rsid w:val="00BB3877"/>
    <w:rsid w:val="00BB70DC"/>
    <w:rsid w:val="00BC2540"/>
    <w:rsid w:val="00BC43A5"/>
    <w:rsid w:val="00BE5B5F"/>
    <w:rsid w:val="00BF7558"/>
    <w:rsid w:val="00BF7F37"/>
    <w:rsid w:val="00C16C43"/>
    <w:rsid w:val="00C26F55"/>
    <w:rsid w:val="00C30C63"/>
    <w:rsid w:val="00C36B8B"/>
    <w:rsid w:val="00C415C1"/>
    <w:rsid w:val="00C443E3"/>
    <w:rsid w:val="00C47DBF"/>
    <w:rsid w:val="00C50D92"/>
    <w:rsid w:val="00C552FF"/>
    <w:rsid w:val="00C558DA"/>
    <w:rsid w:val="00C55AF3"/>
    <w:rsid w:val="00C63641"/>
    <w:rsid w:val="00C66B96"/>
    <w:rsid w:val="00C84759"/>
    <w:rsid w:val="00CA06BB"/>
    <w:rsid w:val="00CA3F0F"/>
    <w:rsid w:val="00CA6C7F"/>
    <w:rsid w:val="00CB5038"/>
    <w:rsid w:val="00CC10A6"/>
    <w:rsid w:val="00CD5EB8"/>
    <w:rsid w:val="00CD7044"/>
    <w:rsid w:val="00CE08B9"/>
    <w:rsid w:val="00CE524C"/>
    <w:rsid w:val="00CF141F"/>
    <w:rsid w:val="00CF4777"/>
    <w:rsid w:val="00D067BB"/>
    <w:rsid w:val="00D1352A"/>
    <w:rsid w:val="00D169AF"/>
    <w:rsid w:val="00D25249"/>
    <w:rsid w:val="00D36862"/>
    <w:rsid w:val="00D44172"/>
    <w:rsid w:val="00D52CD8"/>
    <w:rsid w:val="00D63B8C"/>
    <w:rsid w:val="00D72A69"/>
    <w:rsid w:val="00D739CC"/>
    <w:rsid w:val="00D765C8"/>
    <w:rsid w:val="00D8093D"/>
    <w:rsid w:val="00D8108C"/>
    <w:rsid w:val="00D842AE"/>
    <w:rsid w:val="00D9211C"/>
    <w:rsid w:val="00D92DE0"/>
    <w:rsid w:val="00D92FEF"/>
    <w:rsid w:val="00D93A0F"/>
    <w:rsid w:val="00D94F6E"/>
    <w:rsid w:val="00DA1BCA"/>
    <w:rsid w:val="00DC1F6A"/>
    <w:rsid w:val="00DC46FF"/>
    <w:rsid w:val="00DC5254"/>
    <w:rsid w:val="00DC5702"/>
    <w:rsid w:val="00DC6735"/>
    <w:rsid w:val="00DD021C"/>
    <w:rsid w:val="00DD1A4F"/>
    <w:rsid w:val="00DD3107"/>
    <w:rsid w:val="00DD7C2C"/>
    <w:rsid w:val="00E06797"/>
    <w:rsid w:val="00E1265B"/>
    <w:rsid w:val="00E13B48"/>
    <w:rsid w:val="00E1404F"/>
    <w:rsid w:val="00E179D4"/>
    <w:rsid w:val="00E21C83"/>
    <w:rsid w:val="00E24ADA"/>
    <w:rsid w:val="00E32F59"/>
    <w:rsid w:val="00E46D9A"/>
    <w:rsid w:val="00E55D2D"/>
    <w:rsid w:val="00E565FF"/>
    <w:rsid w:val="00E65388"/>
    <w:rsid w:val="00E6638A"/>
    <w:rsid w:val="00E7507F"/>
    <w:rsid w:val="00E85B7D"/>
    <w:rsid w:val="00E8687D"/>
    <w:rsid w:val="00E9121B"/>
    <w:rsid w:val="00E969AF"/>
    <w:rsid w:val="00EA0AE2"/>
    <w:rsid w:val="00EA39E5"/>
    <w:rsid w:val="00EA6BF9"/>
    <w:rsid w:val="00EC5A46"/>
    <w:rsid w:val="00EC63E2"/>
    <w:rsid w:val="00ED0014"/>
    <w:rsid w:val="00ED6D16"/>
    <w:rsid w:val="00EF22B3"/>
    <w:rsid w:val="00F031D4"/>
    <w:rsid w:val="00F03B69"/>
    <w:rsid w:val="00F03B82"/>
    <w:rsid w:val="00F07A50"/>
    <w:rsid w:val="00F113DA"/>
    <w:rsid w:val="00F12B44"/>
    <w:rsid w:val="00F14BE0"/>
    <w:rsid w:val="00F33BCA"/>
    <w:rsid w:val="00F34941"/>
    <w:rsid w:val="00F35099"/>
    <w:rsid w:val="00F37DC8"/>
    <w:rsid w:val="00F4114E"/>
    <w:rsid w:val="00F439B3"/>
    <w:rsid w:val="00F650C3"/>
    <w:rsid w:val="00F65D85"/>
    <w:rsid w:val="00F701D3"/>
    <w:rsid w:val="00F74C3E"/>
    <w:rsid w:val="00F8091E"/>
    <w:rsid w:val="00F80F0F"/>
    <w:rsid w:val="00F8615C"/>
    <w:rsid w:val="00F969E5"/>
    <w:rsid w:val="00FA5BA4"/>
    <w:rsid w:val="00FA6BB0"/>
    <w:rsid w:val="00FB10A1"/>
    <w:rsid w:val="00FD2A19"/>
    <w:rsid w:val="00FD5860"/>
    <w:rsid w:val="00FE352D"/>
    <w:rsid w:val="00FE40EB"/>
    <w:rsid w:val="00FE4D02"/>
    <w:rsid w:val="00FE5AA7"/>
    <w:rsid w:val="00FE7D62"/>
    <w:rsid w:val="00FF3819"/>
    <w:rsid w:val="00FF6B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77A9E13-284F-4A53-B9CF-479734BE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3540"/>
    <w:pPr>
      <w:spacing w:after="200" w:line="276" w:lineRule="auto"/>
    </w:pPr>
    <w:rPr>
      <w:rFonts w:ascii="Calibri" w:eastAsia="MS Mincho" w:hAnsi="Calibri"/>
      <w:sz w:val="22"/>
      <w:szCs w:val="22"/>
    </w:rPr>
  </w:style>
  <w:style w:type="paragraph" w:styleId="Heading1">
    <w:name w:val="heading 1"/>
    <w:basedOn w:val="Normal"/>
    <w:next w:val="Normalnumber"/>
    <w:qFormat/>
    <w:rsid w:val="000D6941"/>
    <w:pPr>
      <w:keepNext/>
      <w:tabs>
        <w:tab w:val="left" w:pos="1247"/>
        <w:tab w:val="left" w:pos="1814"/>
      </w:tabs>
      <w:spacing w:before="240" w:after="120"/>
      <w:ind w:left="1247" w:hanging="680"/>
      <w:outlineLvl w:val="0"/>
    </w:pPr>
    <w:rPr>
      <w:b/>
      <w:sz w:val="28"/>
    </w:rPr>
  </w:style>
  <w:style w:type="paragraph" w:styleId="Heading2">
    <w:name w:val="heading 2"/>
    <w:basedOn w:val="Normal"/>
    <w:next w:val="Normalnumber"/>
    <w:qFormat/>
    <w:rsid w:val="000D6941"/>
    <w:pPr>
      <w:keepNext/>
      <w:spacing w:before="240" w:after="120"/>
      <w:ind w:left="1247" w:hanging="680"/>
      <w:outlineLvl w:val="1"/>
    </w:pPr>
    <w:rPr>
      <w:b/>
      <w:sz w:val="24"/>
      <w:szCs w:val="24"/>
    </w:rPr>
  </w:style>
  <w:style w:type="paragraph" w:styleId="Heading3">
    <w:name w:val="heading 3"/>
    <w:basedOn w:val="Normal"/>
    <w:next w:val="Normalnumber"/>
    <w:qFormat/>
    <w:rsid w:val="000D6941"/>
    <w:pPr>
      <w:spacing w:after="120"/>
      <w:ind w:left="1247" w:hanging="680"/>
      <w:outlineLvl w:val="2"/>
    </w:pPr>
    <w:rPr>
      <w:b/>
    </w:rPr>
  </w:style>
  <w:style w:type="paragraph" w:styleId="Heading4">
    <w:name w:val="heading 4"/>
    <w:basedOn w:val="Heading3"/>
    <w:next w:val="Normalnumber"/>
    <w:qFormat/>
    <w:rsid w:val="000D6941"/>
    <w:pPr>
      <w:keepNext/>
      <w:outlineLvl w:val="3"/>
    </w:pPr>
  </w:style>
  <w:style w:type="paragraph" w:styleId="Heading5">
    <w:name w:val="heading 5"/>
    <w:basedOn w:val="Normal"/>
    <w:next w:val="Normal"/>
    <w:qFormat/>
    <w:rsid w:val="000D6941"/>
    <w:pPr>
      <w:keepNext/>
      <w:outlineLvl w:val="4"/>
    </w:pPr>
    <w:rPr>
      <w:rFonts w:ascii="Univers" w:hAnsi="Univers"/>
      <w:b/>
      <w:sz w:val="24"/>
    </w:rPr>
  </w:style>
  <w:style w:type="paragraph" w:styleId="Heading6">
    <w:name w:val="heading 6"/>
    <w:basedOn w:val="Normal"/>
    <w:next w:val="Normal"/>
    <w:qFormat/>
    <w:rsid w:val="000D6941"/>
    <w:pPr>
      <w:keepNext/>
      <w:ind w:left="578"/>
      <w:outlineLvl w:val="5"/>
    </w:pPr>
    <w:rPr>
      <w:b/>
      <w:bCs/>
      <w:sz w:val="24"/>
    </w:rPr>
  </w:style>
  <w:style w:type="paragraph" w:styleId="Heading7">
    <w:name w:val="heading 7"/>
    <w:basedOn w:val="Normal"/>
    <w:next w:val="Normal"/>
    <w:qFormat/>
    <w:rsid w:val="000D6941"/>
    <w:pPr>
      <w:keepNext/>
      <w:widowControl w:val="0"/>
      <w:jc w:val="center"/>
      <w:outlineLvl w:val="6"/>
    </w:pPr>
    <w:rPr>
      <w:snapToGrid w:val="0"/>
      <w:u w:val="single"/>
    </w:rPr>
  </w:style>
  <w:style w:type="paragraph" w:styleId="Heading8">
    <w:name w:val="heading 8"/>
    <w:basedOn w:val="Normal"/>
    <w:next w:val="Normal"/>
    <w:qFormat/>
    <w:rsid w:val="000D6941"/>
    <w:pPr>
      <w:keepNext/>
      <w:widowControl w:val="0"/>
      <w:numPr>
        <w:numId w:val="1"/>
      </w:numPr>
      <w:tabs>
        <w:tab w:val="left" w:pos="-1440"/>
        <w:tab w:val="left" w:pos="-720"/>
      </w:tabs>
      <w:suppressAutoHyphens/>
      <w:jc w:val="center"/>
      <w:outlineLvl w:val="7"/>
    </w:pPr>
    <w:rPr>
      <w:snapToGrid w:val="0"/>
      <w:u w:val="single"/>
    </w:rPr>
  </w:style>
  <w:style w:type="paragraph" w:styleId="Heading9">
    <w:name w:val="heading 9"/>
    <w:basedOn w:val="Normal"/>
    <w:next w:val="Normal"/>
    <w:qFormat/>
    <w:rsid w:val="000D6941"/>
    <w:pPr>
      <w:keepNext/>
      <w:widowControl w:val="0"/>
      <w:numPr>
        <w:numId w:val="2"/>
      </w:numPr>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0D6941"/>
    <w:rPr>
      <w:rFonts w:ascii="Times New Roman" w:hAnsi="Times New Roman"/>
      <w:b/>
      <w:sz w:val="18"/>
    </w:rPr>
  </w:style>
  <w:style w:type="table" w:customStyle="1" w:styleId="Tabledocright">
    <w:name w:val="Table_doc_right"/>
    <w:basedOn w:val="TableNormal"/>
    <w:rsid w:val="003A77F1"/>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ind w:left="1000"/>
    </w:pPr>
    <w:rPr>
      <w:sz w:val="18"/>
      <w:szCs w:val="18"/>
    </w:rPr>
  </w:style>
  <w:style w:type="paragraph" w:styleId="TOC7">
    <w:name w:val="toc 7"/>
    <w:basedOn w:val="Normal"/>
    <w:next w:val="Normal"/>
    <w:autoRedefine/>
    <w:semiHidden/>
    <w:rsid w:val="000D6941"/>
    <w:pPr>
      <w:ind w:left="1200"/>
    </w:pPr>
    <w:rPr>
      <w:sz w:val="18"/>
      <w:szCs w:val="18"/>
    </w:rPr>
  </w:style>
  <w:style w:type="paragraph" w:styleId="TOC8">
    <w:name w:val="toc 8"/>
    <w:basedOn w:val="Normal"/>
    <w:next w:val="Normal"/>
    <w:autoRedefine/>
    <w:semiHidden/>
    <w:rsid w:val="000D6941"/>
    <w:pPr>
      <w:ind w:left="1400"/>
    </w:pPr>
    <w:rPr>
      <w:sz w:val="18"/>
      <w:szCs w:val="18"/>
    </w:rPr>
  </w:style>
  <w:style w:type="paragraph" w:styleId="TOC9">
    <w:name w:val="toc 9"/>
    <w:basedOn w:val="Normal"/>
    <w:next w:val="Normal"/>
    <w:autoRedefine/>
    <w:semiHidden/>
    <w:rsid w:val="000D6941"/>
    <w:pPr>
      <w:ind w:left="1600"/>
    </w:pPr>
    <w:rPr>
      <w:sz w:val="18"/>
      <w:szCs w:val="18"/>
    </w:rPr>
  </w:style>
  <w:style w:type="paragraph" w:customStyle="1" w:styleId="Titlefigure">
    <w:name w:val="Title_figure"/>
    <w:basedOn w:val="Titletable"/>
    <w:next w:val="NormalNonumber"/>
    <w:rsid w:val="003A77F1"/>
    <w:rPr>
      <w:bCs w:val="0"/>
    </w:rPr>
  </w:style>
  <w:style w:type="paragraph" w:styleId="TableofFigures">
    <w:name w:val="table of figures"/>
    <w:basedOn w:val="Normal"/>
    <w:next w:val="Normal"/>
    <w:autoRedefine/>
    <w:semiHidden/>
    <w:rsid w:val="000D6941"/>
    <w:pPr>
      <w:ind w:left="1814" w:hanging="567"/>
    </w:pPr>
  </w:style>
  <w:style w:type="paragraph" w:customStyle="1" w:styleId="CH1">
    <w:name w:val="CH1"/>
    <w:basedOn w:val="Normalpool"/>
    <w:next w:val="CH2"/>
    <w:rsid w:val="00160D74"/>
    <w:pPr>
      <w:keepNext/>
      <w:keepLines/>
      <w:tabs>
        <w:tab w:val="right" w:pos="851"/>
      </w:tabs>
      <w:suppressAutoHyphens/>
      <w:spacing w:before="240" w:after="120"/>
      <w:ind w:left="1247" w:right="284" w:hanging="1247"/>
    </w:pPr>
    <w:rPr>
      <w:b/>
      <w:sz w:val="28"/>
      <w:szCs w:val="28"/>
      <w:lang w:val="en-GB"/>
    </w:rPr>
  </w:style>
  <w:style w:type="paragraph" w:customStyle="1" w:styleId="CH2">
    <w:name w:val="CH2"/>
    <w:basedOn w:val="Normalpool"/>
    <w:next w:val="Normalnumber"/>
    <w:rsid w:val="00160D74"/>
    <w:pPr>
      <w:keepNext/>
      <w:keepLines/>
      <w:tabs>
        <w:tab w:val="right" w:pos="851"/>
      </w:tabs>
      <w:suppressAutoHyphens/>
      <w:spacing w:before="80" w:after="120"/>
      <w:ind w:left="1247" w:right="284" w:hanging="1247"/>
    </w:pPr>
    <w:rPr>
      <w:b/>
      <w:sz w:val="24"/>
      <w:szCs w:val="24"/>
      <w:lang w:val="en-GB"/>
    </w:rPr>
  </w:style>
  <w:style w:type="paragraph" w:customStyle="1" w:styleId="CH3">
    <w:name w:val="CH3"/>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CH4">
    <w:name w:val="CH4"/>
    <w:basedOn w:val="Normalpool"/>
    <w:next w:val="Normalnumber"/>
    <w:rsid w:val="00160D74"/>
    <w:pPr>
      <w:keepNext/>
      <w:keepLines/>
      <w:tabs>
        <w:tab w:val="right" w:pos="851"/>
      </w:tabs>
      <w:suppressAutoHyphens/>
      <w:spacing w:after="120"/>
      <w:ind w:left="1247" w:right="284" w:hanging="1247"/>
    </w:pPr>
    <w:rPr>
      <w:b/>
      <w:lang w:val="en-GB"/>
    </w:rPr>
  </w:style>
  <w:style w:type="table" w:customStyle="1" w:styleId="Footertable">
    <w:name w:val="Footer_table"/>
    <w:basedOn w:val="TableNormal"/>
    <w:semiHidden/>
    <w:rsid w:val="003A77F1"/>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Footerpool">
    <w:name w:val="Footer_pool"/>
    <w:basedOn w:val="Normal"/>
    <w:next w:val="Normal"/>
    <w:semiHidden/>
    <w:rsid w:val="003A77F1"/>
    <w:pPr>
      <w:tabs>
        <w:tab w:val="left" w:pos="4321"/>
        <w:tab w:val="right" w:pos="8641"/>
      </w:tabs>
      <w:spacing w:before="60" w:after="120"/>
    </w:pPr>
    <w:rPr>
      <w:b/>
      <w:sz w:val="18"/>
    </w:rPr>
  </w:style>
  <w:style w:type="paragraph" w:customStyle="1" w:styleId="Headerpool">
    <w:name w:val="Header_pool"/>
    <w:basedOn w:val="Normal"/>
    <w:next w:val="Normal"/>
    <w:semiHidden/>
    <w:rsid w:val="003A77F1"/>
    <w:pPr>
      <w:pBdr>
        <w:bottom w:val="single" w:sz="4" w:space="1" w:color="auto"/>
      </w:pBdr>
      <w:tabs>
        <w:tab w:val="center" w:pos="4536"/>
        <w:tab w:val="right" w:pos="9072"/>
      </w:tabs>
      <w:spacing w:after="120"/>
    </w:pPr>
    <w:rPr>
      <w:b/>
      <w:sz w:val="18"/>
    </w:rPr>
  </w:style>
  <w:style w:type="paragraph" w:customStyle="1" w:styleId="Normalpool">
    <w:name w:val="Normal_pool"/>
    <w:semiHidden/>
    <w:rsid w:val="003A77F1"/>
    <w:pPr>
      <w:tabs>
        <w:tab w:val="left" w:pos="1247"/>
        <w:tab w:val="left" w:pos="1814"/>
        <w:tab w:val="left" w:pos="2381"/>
        <w:tab w:val="left" w:pos="2948"/>
        <w:tab w:val="left" w:pos="3515"/>
        <w:tab w:val="left" w:pos="4082"/>
      </w:tabs>
    </w:pPr>
    <w:rPr>
      <w:lang w:val="fr-FR"/>
    </w:rPr>
  </w:style>
  <w:style w:type="paragraph" w:customStyle="1" w:styleId="Footer-pool">
    <w:name w:val="Footer-pool"/>
    <w:basedOn w:val="Normal-pool"/>
    <w:next w:val="Normal-pool"/>
    <w:rsid w:val="003A77F1"/>
    <w:pPr>
      <w:tabs>
        <w:tab w:val="left" w:pos="4321"/>
        <w:tab w:val="right" w:pos="8641"/>
      </w:tabs>
      <w:spacing w:before="60" w:after="120"/>
    </w:pPr>
    <w:rPr>
      <w:b/>
      <w:sz w:val="18"/>
    </w:rPr>
  </w:style>
  <w:style w:type="paragraph" w:customStyle="1" w:styleId="Header-pool">
    <w:name w:val="Header-pool"/>
    <w:basedOn w:val="Normal-pool"/>
    <w:next w:val="Normal-pool"/>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qFormat/>
    <w:rsid w:val="00160D74"/>
    <w:pPr>
      <w:tabs>
        <w:tab w:val="left" w:pos="1247"/>
        <w:tab w:val="left" w:pos="1814"/>
        <w:tab w:val="left" w:pos="2381"/>
        <w:tab w:val="left" w:pos="2948"/>
        <w:tab w:val="left" w:pos="3515"/>
        <w:tab w:val="left" w:pos="4082"/>
      </w:tabs>
    </w:pPr>
    <w:rPr>
      <w:lang w:val="en-GB"/>
    </w:rPr>
  </w:style>
  <w:style w:type="character" w:styleId="FootnoteReference">
    <w:name w:val="footnote reference"/>
    <w:aliases w:val="ftref,16 Point,Superscript 6 Point,number,SUPERS,Footnote Reference Superscript,(Ref. de nota al pie)"/>
    <w:basedOn w:val="DefaultParagraphFont"/>
    <w:uiPriority w:val="99"/>
    <w:rsid w:val="000D6941"/>
    <w:rPr>
      <w:rFonts w:ascii="Times New Roman" w:hAnsi="Times New Roman"/>
      <w:color w:val="auto"/>
      <w:sz w:val="20"/>
      <w:szCs w:val="18"/>
      <w:vertAlign w:val="superscript"/>
    </w:rPr>
  </w:style>
  <w:style w:type="paragraph" w:styleId="FootnoteText">
    <w:name w:val="footnote text"/>
    <w:basedOn w:val="Normalpool"/>
    <w:semiHidden/>
    <w:rsid w:val="000D6941"/>
    <w:pPr>
      <w:spacing w:before="20" w:after="40"/>
      <w:ind w:left="1247"/>
    </w:pPr>
    <w:rPr>
      <w:sz w:val="18"/>
    </w:rPr>
  </w:style>
  <w:style w:type="table" w:customStyle="1" w:styleId="AATable">
    <w:name w:val="AA_Table"/>
    <w:basedOn w:val="TableNormal"/>
    <w:semiHidden/>
    <w:rsid w:val="003A77F1"/>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160D74"/>
    <w:pPr>
      <w:keepNext/>
      <w:keepLines/>
      <w:suppressAutoHyphens/>
      <w:ind w:right="5103"/>
    </w:pPr>
    <w:rPr>
      <w:b/>
      <w:lang w:val="en-GB"/>
    </w:rPr>
  </w:style>
  <w:style w:type="paragraph" w:customStyle="1" w:styleId="AATitle2">
    <w:name w:val="AA_Title2"/>
    <w:basedOn w:val="AATitle"/>
    <w:rsid w:val="00160D74"/>
    <w:pPr>
      <w:tabs>
        <w:tab w:val="clear" w:pos="4082"/>
      </w:tabs>
      <w:spacing w:before="120" w:after="120"/>
      <w:ind w:right="4536"/>
    </w:pPr>
  </w:style>
  <w:style w:type="paragraph" w:customStyle="1" w:styleId="BBTitle">
    <w:name w:val="BB_Title"/>
    <w:basedOn w:val="Normalpool"/>
    <w:rsid w:val="00160D74"/>
    <w:pPr>
      <w:keepNext/>
      <w:keepLines/>
      <w:suppressAutoHyphens/>
      <w:spacing w:before="320" w:after="240"/>
      <w:ind w:left="1247" w:right="567"/>
    </w:pPr>
    <w:rPr>
      <w:b/>
      <w:sz w:val="28"/>
      <w:szCs w:val="28"/>
      <w:lang w:val="en-GB"/>
    </w:rPr>
  </w:style>
  <w:style w:type="paragraph" w:styleId="Footer">
    <w:name w:val="footer"/>
    <w:basedOn w:val="Normal"/>
    <w:link w:val="FooterChar"/>
    <w:semiHidden/>
    <w:rsid w:val="00821395"/>
    <w:pPr>
      <w:tabs>
        <w:tab w:val="center" w:pos="4320"/>
        <w:tab w:val="right" w:pos="8640"/>
      </w:tabs>
      <w:spacing w:before="60" w:after="120"/>
    </w:pPr>
    <w:rPr>
      <w:sz w:val="18"/>
    </w:rPr>
  </w:style>
  <w:style w:type="paragraph" w:styleId="Header">
    <w:name w:val="header"/>
    <w:basedOn w:val="Normal"/>
    <w:semiHidden/>
    <w:rsid w:val="000D6941"/>
    <w:pPr>
      <w:pBdr>
        <w:bottom w:val="single" w:sz="4" w:space="1" w:color="auto"/>
      </w:pBdr>
      <w:tabs>
        <w:tab w:val="center" w:pos="4536"/>
        <w:tab w:val="right" w:pos="9072"/>
      </w:tabs>
      <w:spacing w:after="120"/>
    </w:pPr>
    <w:rPr>
      <w:b/>
      <w:sz w:val="18"/>
    </w:rPr>
  </w:style>
  <w:style w:type="character" w:styleId="Hyperlink">
    <w:name w:val="Hyperlink"/>
    <w:basedOn w:val="DefaultParagraphFont"/>
    <w:semiHidden/>
    <w:rsid w:val="000D6941"/>
    <w:rPr>
      <w:rFonts w:ascii="Times New Roman" w:hAnsi="Times New Roman"/>
      <w:color w:val="auto"/>
      <w:sz w:val="20"/>
      <w:szCs w:val="20"/>
      <w:u w:val="none"/>
      <w:lang w:val="fr-FR"/>
    </w:rPr>
  </w:style>
  <w:style w:type="numbering" w:customStyle="1" w:styleId="Normallist">
    <w:name w:val="Normal_list"/>
    <w:basedOn w:val="NoList"/>
    <w:semiHidden/>
    <w:rsid w:val="003A77F1"/>
    <w:pPr>
      <w:numPr>
        <w:numId w:val="3"/>
      </w:numPr>
    </w:pPr>
  </w:style>
  <w:style w:type="paragraph" w:customStyle="1" w:styleId="NormalNonumber">
    <w:name w:val="Normal_No_number"/>
    <w:basedOn w:val="Normalpool"/>
    <w:rsid w:val="00160D74"/>
    <w:pPr>
      <w:spacing w:after="120"/>
      <w:ind w:left="1247"/>
    </w:pPr>
    <w:rPr>
      <w:lang w:val="en-GB"/>
    </w:rPr>
  </w:style>
  <w:style w:type="paragraph" w:customStyle="1" w:styleId="Normalnumber">
    <w:name w:val="Normal_number"/>
    <w:basedOn w:val="Normalpool"/>
    <w:rsid w:val="00160D74"/>
    <w:pPr>
      <w:numPr>
        <w:numId w:val="4"/>
      </w:numPr>
      <w:spacing w:after="120"/>
    </w:pPr>
    <w:rPr>
      <w:lang w:val="en-GB"/>
    </w:rPr>
  </w:style>
  <w:style w:type="paragraph" w:customStyle="1" w:styleId="Titletable">
    <w:name w:val="Title_table"/>
    <w:basedOn w:val="Normalpool"/>
    <w:rsid w:val="00160D74"/>
    <w:pPr>
      <w:keepNext/>
      <w:keepLines/>
      <w:suppressAutoHyphens/>
      <w:spacing w:after="60"/>
      <w:ind w:left="1247"/>
    </w:pPr>
    <w:rPr>
      <w:b/>
      <w:bCs/>
      <w:lang w:val="en-GB"/>
    </w:rPr>
  </w:style>
  <w:style w:type="paragraph" w:styleId="TOC1">
    <w:name w:val="toc 1"/>
    <w:basedOn w:val="Normalpool"/>
    <w:next w:val="Normalpool"/>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ind w:left="800"/>
    </w:pPr>
    <w:rPr>
      <w:sz w:val="18"/>
      <w:szCs w:val="18"/>
    </w:rPr>
  </w:style>
  <w:style w:type="paragraph" w:customStyle="1" w:styleId="ZZAnxheader">
    <w:name w:val="ZZ_Anx_header"/>
    <w:basedOn w:val="Normalpool"/>
    <w:rsid w:val="00160D74"/>
    <w:rPr>
      <w:b/>
      <w:bCs/>
      <w:sz w:val="28"/>
      <w:szCs w:val="22"/>
      <w:lang w:val="en-GB"/>
    </w:rPr>
  </w:style>
  <w:style w:type="paragraph" w:customStyle="1" w:styleId="ZZAnxtitle">
    <w:name w:val="ZZ_Anx_title"/>
    <w:basedOn w:val="Normalpool"/>
    <w:rsid w:val="00160D74"/>
    <w:pPr>
      <w:spacing w:before="360" w:after="120"/>
      <w:ind w:left="1247"/>
    </w:pPr>
    <w:rPr>
      <w:b/>
      <w:bCs/>
      <w:sz w:val="28"/>
      <w:szCs w:val="26"/>
      <w:lang w:val="en-GB"/>
    </w:rPr>
  </w:style>
  <w:style w:type="paragraph" w:styleId="BalloonText">
    <w:name w:val="Balloon Text"/>
    <w:basedOn w:val="Normal"/>
    <w:link w:val="BalloonTextChar"/>
    <w:rsid w:val="009E7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E78C3"/>
    <w:rPr>
      <w:rFonts w:ascii="Tahoma" w:eastAsia="MS Mincho" w:hAnsi="Tahoma" w:cs="Tahoma"/>
      <w:sz w:val="16"/>
      <w:szCs w:val="16"/>
    </w:rPr>
  </w:style>
  <w:style w:type="character" w:customStyle="1" w:styleId="FooterChar">
    <w:name w:val="Footer Char"/>
    <w:basedOn w:val="DefaultParagraphFont"/>
    <w:link w:val="Footer"/>
    <w:semiHidden/>
    <w:rsid w:val="00274678"/>
    <w:rPr>
      <w:rFonts w:ascii="Calibri" w:eastAsia="MS Mincho" w:hAnsi="Calibri"/>
      <w:sz w:val="18"/>
      <w:szCs w:val="22"/>
    </w:rPr>
  </w:style>
  <w:style w:type="character" w:customStyle="1" w:styleId="Normal-poolChar">
    <w:name w:val="Normal-pool Char"/>
    <w:link w:val="Normal-pool"/>
    <w:rsid w:val="00E7507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4F13E-A9E2-46CF-A06F-432638B6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119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Cynthia Mwanza</dc:creator>
  <cp:lastModifiedBy>Sarah Banda-Genchev ( IPBES Secretariat )</cp:lastModifiedBy>
  <cp:revision>2</cp:revision>
  <cp:lastPrinted>2016-09-14T10:01:00Z</cp:lastPrinted>
  <dcterms:created xsi:type="dcterms:W3CDTF">2017-12-11T10:32:00Z</dcterms:created>
  <dcterms:modified xsi:type="dcterms:W3CDTF">2017-12-11T10:32:00Z</dcterms:modified>
</cp:coreProperties>
</file>