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399"/>
        <w:gridCol w:w="586"/>
        <w:gridCol w:w="4819"/>
        <w:gridCol w:w="1154"/>
        <w:gridCol w:w="1538"/>
      </w:tblGrid>
      <w:tr w:rsidR="00A36574" w:rsidRPr="005355CB" w14:paraId="288444F3" w14:textId="77777777" w:rsidTr="000D0F2A">
        <w:trPr>
          <w:cantSplit/>
          <w:trHeight w:val="57"/>
          <w:jc w:val="right"/>
        </w:trPr>
        <w:tc>
          <w:tcPr>
            <w:tcW w:w="1399" w:type="dxa"/>
          </w:tcPr>
          <w:p w14:paraId="2DF59284" w14:textId="77777777" w:rsidR="00A36574" w:rsidRPr="005355CB" w:rsidRDefault="00A36574" w:rsidP="00A336BE">
            <w:pPr>
              <w:pStyle w:val="AUnitedNations"/>
              <w:ind w:right="-57"/>
            </w:pPr>
            <w:r w:rsidRPr="005355CB">
              <w:t>NATIONS</w:t>
            </w:r>
            <w:r w:rsidR="00CB3965" w:rsidRPr="005355CB">
              <w:t xml:space="preserve"> </w:t>
            </w:r>
            <w:r w:rsidR="00CB3965" w:rsidRPr="005355CB">
              <w:br/>
              <w:t>UNIES</w:t>
            </w:r>
          </w:p>
        </w:tc>
        <w:tc>
          <w:tcPr>
            <w:tcW w:w="6559" w:type="dxa"/>
            <w:gridSpan w:val="3"/>
          </w:tcPr>
          <w:p w14:paraId="4102ACB1" w14:textId="77777777" w:rsidR="00A36574" w:rsidRPr="005355CB" w:rsidRDefault="00A336BE" w:rsidP="000D0F2A">
            <w:pPr>
              <w:pStyle w:val="AText"/>
              <w:spacing w:before="20"/>
              <w:ind w:left="-170" w:right="-170"/>
              <w:jc w:val="both"/>
            </w:pPr>
            <w:r w:rsidRPr="005355CB">
              <w:rPr>
                <w:noProof/>
              </w:rPr>
              <w:drawing>
                <wp:inline distT="0" distB="0" distL="0" distR="0" wp14:anchorId="0A9ADAE7" wp14:editId="69483F16">
                  <wp:extent cx="4163424"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UNEP-UNESCO-FAO-UNDP_F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1247" cy="458059"/>
                          </a:xfrm>
                          <a:prstGeom prst="rect">
                            <a:avLst/>
                          </a:prstGeom>
                        </pic:spPr>
                      </pic:pic>
                    </a:graphicData>
                  </a:graphic>
                </wp:inline>
              </w:drawing>
            </w:r>
          </w:p>
        </w:tc>
        <w:tc>
          <w:tcPr>
            <w:tcW w:w="1538" w:type="dxa"/>
          </w:tcPr>
          <w:p w14:paraId="1EA7DADE" w14:textId="77777777" w:rsidR="00A36574" w:rsidRPr="005355CB" w:rsidRDefault="00A36574" w:rsidP="00A36574">
            <w:pPr>
              <w:pStyle w:val="ATwoLetters"/>
              <w:rPr>
                <w:sz w:val="24"/>
                <w:szCs w:val="24"/>
              </w:rPr>
            </w:pPr>
            <w:r w:rsidRPr="005355CB">
              <w:t>BES</w:t>
            </w:r>
          </w:p>
        </w:tc>
      </w:tr>
      <w:tr w:rsidR="00A36574" w:rsidRPr="005355CB" w14:paraId="7A1DA0DE" w14:textId="77777777" w:rsidTr="00543A53">
        <w:trPr>
          <w:cantSplit/>
          <w:trHeight w:val="57"/>
          <w:jc w:val="right"/>
        </w:trPr>
        <w:tc>
          <w:tcPr>
            <w:tcW w:w="1985" w:type="dxa"/>
            <w:gridSpan w:val="2"/>
            <w:tcBorders>
              <w:bottom w:val="single" w:sz="4" w:space="0" w:color="auto"/>
            </w:tcBorders>
          </w:tcPr>
          <w:p w14:paraId="7555F0FF" w14:textId="77777777" w:rsidR="00A36574" w:rsidRPr="005355CB" w:rsidRDefault="00A36574" w:rsidP="00543A53">
            <w:pPr>
              <w:pStyle w:val="Normal-pool"/>
            </w:pPr>
          </w:p>
        </w:tc>
        <w:tc>
          <w:tcPr>
            <w:tcW w:w="4819" w:type="dxa"/>
            <w:tcBorders>
              <w:bottom w:val="single" w:sz="4" w:space="0" w:color="auto"/>
            </w:tcBorders>
          </w:tcPr>
          <w:p w14:paraId="7D0B54DA" w14:textId="77777777" w:rsidR="00A36574" w:rsidRPr="005355CB" w:rsidRDefault="00A36574" w:rsidP="00543A53">
            <w:pPr>
              <w:pStyle w:val="Normal-pool"/>
            </w:pPr>
          </w:p>
        </w:tc>
        <w:tc>
          <w:tcPr>
            <w:tcW w:w="2692" w:type="dxa"/>
            <w:gridSpan w:val="2"/>
            <w:tcBorders>
              <w:bottom w:val="single" w:sz="4" w:space="0" w:color="auto"/>
            </w:tcBorders>
          </w:tcPr>
          <w:p w14:paraId="36C336E4" w14:textId="4DD909FA" w:rsidR="00A36574" w:rsidRPr="005355CB" w:rsidRDefault="00A36574" w:rsidP="00A336BE">
            <w:pPr>
              <w:pStyle w:val="ASymbol"/>
              <w:rPr>
                <w:lang w:val="fr-FR"/>
              </w:rPr>
            </w:pPr>
            <w:r w:rsidRPr="005355CB">
              <w:rPr>
                <w:b/>
                <w:sz w:val="28"/>
                <w:szCs w:val="28"/>
                <w:lang w:val="fr-FR"/>
              </w:rPr>
              <w:t>IPBES</w:t>
            </w:r>
            <w:r w:rsidRPr="005355CB">
              <w:rPr>
                <w:lang w:val="fr-FR"/>
              </w:rPr>
              <w:t>/</w:t>
            </w:r>
            <w:r w:rsidR="00FA1F59" w:rsidRPr="005355CB">
              <w:rPr>
                <w:lang w:val="fr-FR"/>
              </w:rPr>
              <w:t>9</w:t>
            </w:r>
            <w:r w:rsidRPr="005355CB">
              <w:rPr>
                <w:lang w:val="fr-FR"/>
              </w:rPr>
              <w:t>/</w:t>
            </w:r>
            <w:r w:rsidR="00C31574" w:rsidRPr="005355CB">
              <w:rPr>
                <w:lang w:val="fr-FR"/>
              </w:rPr>
              <w:t>8</w:t>
            </w:r>
          </w:p>
        </w:tc>
      </w:tr>
      <w:tr w:rsidR="00A36574" w:rsidRPr="005355CB" w14:paraId="66833BB4" w14:textId="77777777" w:rsidTr="00543A53">
        <w:trPr>
          <w:cantSplit/>
          <w:trHeight w:val="2098"/>
          <w:jc w:val="right"/>
        </w:trPr>
        <w:tc>
          <w:tcPr>
            <w:tcW w:w="1985" w:type="dxa"/>
            <w:gridSpan w:val="2"/>
            <w:tcBorders>
              <w:top w:val="single" w:sz="4" w:space="0" w:color="auto"/>
              <w:bottom w:val="single" w:sz="24" w:space="0" w:color="auto"/>
            </w:tcBorders>
          </w:tcPr>
          <w:p w14:paraId="5DB14EE5" w14:textId="77777777" w:rsidR="00A36574" w:rsidRPr="005355CB" w:rsidRDefault="00A36574" w:rsidP="00A36574">
            <w:pPr>
              <w:pStyle w:val="AText"/>
              <w:spacing w:before="160"/>
            </w:pPr>
            <w:r w:rsidRPr="005355CB">
              <w:rPr>
                <w:noProof/>
              </w:rPr>
              <w:drawing>
                <wp:inline distT="0" distB="0" distL="0" distR="0" wp14:anchorId="4B80C664" wp14:editId="2647D51A">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762C96E8" w14:textId="77777777" w:rsidR="00A36574" w:rsidRPr="005355CB" w:rsidRDefault="00CB3965" w:rsidP="00A36574">
            <w:pPr>
              <w:pStyle w:val="AConvName"/>
              <w:spacing w:before="120"/>
              <w:rPr>
                <w:lang w:val="fr-FR"/>
              </w:rPr>
            </w:pPr>
            <w:r w:rsidRPr="005355CB">
              <w:rPr>
                <w:lang w:val="fr-FR"/>
              </w:rPr>
              <w:t xml:space="preserve">Plateforme intergouvernementale </w:t>
            </w:r>
            <w:r w:rsidRPr="005355CB">
              <w:rPr>
                <w:lang w:val="fr-FR"/>
              </w:rPr>
              <w:br/>
              <w:t xml:space="preserve">scientifique et politique sur la </w:t>
            </w:r>
            <w:r w:rsidRPr="005355CB">
              <w:rPr>
                <w:lang w:val="fr-FR"/>
              </w:rPr>
              <w:br/>
              <w:t xml:space="preserve">biodiversité et les services </w:t>
            </w:r>
            <w:r w:rsidRPr="005355CB">
              <w:rPr>
                <w:lang w:val="fr-FR"/>
              </w:rPr>
              <w:br/>
              <w:t>écosystémiques</w:t>
            </w:r>
          </w:p>
        </w:tc>
        <w:tc>
          <w:tcPr>
            <w:tcW w:w="2692" w:type="dxa"/>
            <w:gridSpan w:val="2"/>
            <w:tcBorders>
              <w:top w:val="single" w:sz="4" w:space="0" w:color="auto"/>
              <w:bottom w:val="single" w:sz="24" w:space="0" w:color="auto"/>
            </w:tcBorders>
          </w:tcPr>
          <w:p w14:paraId="27A63BD1" w14:textId="5823485C" w:rsidR="00A36574" w:rsidRPr="005355CB" w:rsidRDefault="00A36574" w:rsidP="00A61EFC">
            <w:pPr>
              <w:pStyle w:val="AText"/>
              <w:rPr>
                <w:lang w:val="fr-FR"/>
              </w:rPr>
            </w:pPr>
            <w:proofErr w:type="spellStart"/>
            <w:r w:rsidRPr="005355CB">
              <w:rPr>
                <w:lang w:val="fr-FR"/>
              </w:rPr>
              <w:t>Distr</w:t>
            </w:r>
            <w:proofErr w:type="spellEnd"/>
            <w:r w:rsidR="000D0F2A" w:rsidRPr="005355CB">
              <w:rPr>
                <w:lang w:val="fr-FR"/>
              </w:rPr>
              <w:t>.</w:t>
            </w:r>
            <w:r w:rsidR="00007F87">
              <w:rPr>
                <w:lang w:val="fr-FR"/>
              </w:rPr>
              <w:t> </w:t>
            </w:r>
            <w:r w:rsidR="00EE2393" w:rsidRPr="005355CB">
              <w:rPr>
                <w:lang w:val="fr-FR"/>
              </w:rPr>
              <w:t>générale</w:t>
            </w:r>
            <w:r w:rsidR="00FA1F59" w:rsidRPr="005355CB">
              <w:rPr>
                <w:lang w:val="fr-FR"/>
              </w:rPr>
              <w:t xml:space="preserve"> </w:t>
            </w:r>
            <w:r w:rsidRPr="005355CB">
              <w:rPr>
                <w:lang w:val="fr-FR"/>
              </w:rPr>
              <w:br/>
            </w:r>
            <w:r w:rsidR="00AE1CEB" w:rsidRPr="005355CB">
              <w:rPr>
                <w:lang w:val="fr-FR"/>
              </w:rPr>
              <w:t xml:space="preserve">9 avril </w:t>
            </w:r>
            <w:r w:rsidR="0004072F" w:rsidRPr="005355CB">
              <w:rPr>
                <w:lang w:val="fr-FR"/>
              </w:rPr>
              <w:t>2022</w:t>
            </w:r>
          </w:p>
          <w:p w14:paraId="2F518C61" w14:textId="77777777" w:rsidR="00A36574" w:rsidRPr="005355CB" w:rsidRDefault="00CB3965" w:rsidP="00A61EFC">
            <w:pPr>
              <w:pStyle w:val="AText"/>
              <w:rPr>
                <w:lang w:val="fr-FR"/>
              </w:rPr>
            </w:pPr>
            <w:r w:rsidRPr="005355CB">
              <w:rPr>
                <w:lang w:val="fr-FR"/>
              </w:rPr>
              <w:t xml:space="preserve">Français </w:t>
            </w:r>
            <w:r w:rsidRPr="005355CB">
              <w:rPr>
                <w:lang w:val="fr-FR"/>
              </w:rPr>
              <w:br/>
            </w:r>
            <w:r w:rsidR="00A36574" w:rsidRPr="005355CB">
              <w:rPr>
                <w:lang w:val="fr-FR"/>
              </w:rPr>
              <w:t>Original</w:t>
            </w:r>
            <w:r w:rsidRPr="005355CB">
              <w:rPr>
                <w:lang w:val="fr-FR"/>
              </w:rPr>
              <w:t> </w:t>
            </w:r>
            <w:r w:rsidR="00A36574" w:rsidRPr="005355CB">
              <w:rPr>
                <w:lang w:val="fr-FR"/>
              </w:rPr>
              <w:t xml:space="preserve">: </w:t>
            </w:r>
            <w:r w:rsidRPr="005355CB">
              <w:rPr>
                <w:lang w:val="fr-FR"/>
              </w:rPr>
              <w:t>anglais</w:t>
            </w:r>
          </w:p>
        </w:tc>
      </w:tr>
    </w:tbl>
    <w:p w14:paraId="539659C2" w14:textId="77777777" w:rsidR="007A5FCD" w:rsidRPr="005355CB" w:rsidRDefault="00CB3965" w:rsidP="00A36574">
      <w:pPr>
        <w:pStyle w:val="AATitle"/>
        <w:rPr>
          <w:lang w:val="fr-FR"/>
        </w:rPr>
      </w:pPr>
      <w:r w:rsidRPr="005355CB">
        <w:rPr>
          <w:noProof/>
          <w:lang w:val="fr-FR"/>
        </w:rPr>
        <w:t xml:space="preserve">Plénière de la Plateforme intergouvernementale </w:t>
      </w:r>
      <w:r w:rsidRPr="005355CB">
        <w:rPr>
          <w:noProof/>
          <w:lang w:val="fr-FR"/>
        </w:rPr>
        <w:br/>
        <w:t xml:space="preserve">scientifique et politique sur la biodiversité et </w:t>
      </w:r>
      <w:r w:rsidRPr="005355CB">
        <w:rPr>
          <w:noProof/>
          <w:lang w:val="fr-FR"/>
        </w:rPr>
        <w:br/>
        <w:t>les services écosystémiques</w:t>
      </w:r>
      <w:r w:rsidRPr="005355CB">
        <w:rPr>
          <w:lang w:val="fr-FR"/>
        </w:rPr>
        <w:t xml:space="preserve"> </w:t>
      </w:r>
    </w:p>
    <w:p w14:paraId="49FE3A7F" w14:textId="77777777" w:rsidR="007A5FCD" w:rsidRPr="005355CB" w:rsidRDefault="00CB3965" w:rsidP="007A5FCD">
      <w:pPr>
        <w:pStyle w:val="AATitle"/>
        <w:rPr>
          <w:lang w:val="fr-FR"/>
        </w:rPr>
      </w:pPr>
      <w:r w:rsidRPr="005355CB">
        <w:rPr>
          <w:lang w:val="fr-FR"/>
        </w:rPr>
        <w:t xml:space="preserve">Neuvième </w:t>
      </w:r>
      <w:r w:rsidR="007A5FCD" w:rsidRPr="005355CB">
        <w:rPr>
          <w:lang w:val="fr-FR"/>
        </w:rPr>
        <w:t>session</w:t>
      </w:r>
    </w:p>
    <w:p w14:paraId="3916FDDE" w14:textId="3504A494" w:rsidR="007A5FCD" w:rsidRPr="005355CB" w:rsidRDefault="00FA1F59" w:rsidP="007A5FCD">
      <w:pPr>
        <w:pStyle w:val="AATitle"/>
        <w:rPr>
          <w:b w:val="0"/>
          <w:lang w:val="fr-FR"/>
        </w:rPr>
      </w:pPr>
      <w:r w:rsidRPr="005355CB">
        <w:rPr>
          <w:b w:val="0"/>
          <w:lang w:val="fr-FR" w:eastAsia="ja-JP"/>
        </w:rPr>
        <w:t>Bonn</w:t>
      </w:r>
      <w:r w:rsidR="00A336BE" w:rsidRPr="005355CB">
        <w:rPr>
          <w:b w:val="0"/>
          <w:lang w:val="fr-FR" w:eastAsia="ja-JP"/>
        </w:rPr>
        <w:t xml:space="preserve"> (Allemagne)</w:t>
      </w:r>
      <w:r w:rsidRPr="005355CB">
        <w:rPr>
          <w:b w:val="0"/>
          <w:lang w:val="fr-FR" w:eastAsia="ja-JP"/>
        </w:rPr>
        <w:t>, 3</w:t>
      </w:r>
      <w:r w:rsidR="007A5FCD" w:rsidRPr="005355CB">
        <w:rPr>
          <w:b w:val="0"/>
          <w:lang w:val="fr-FR" w:eastAsia="ja-JP"/>
        </w:rPr>
        <w:t>–</w:t>
      </w:r>
      <w:r w:rsidRPr="005355CB">
        <w:rPr>
          <w:b w:val="0"/>
          <w:lang w:val="fr-FR" w:eastAsia="ja-JP"/>
        </w:rPr>
        <w:t>9</w:t>
      </w:r>
      <w:r w:rsidR="00FC63B6">
        <w:rPr>
          <w:b w:val="0"/>
          <w:lang w:val="fr-FR" w:eastAsia="ja-JP"/>
        </w:rPr>
        <w:t> </w:t>
      </w:r>
      <w:r w:rsidR="00A336BE" w:rsidRPr="005355CB">
        <w:rPr>
          <w:b w:val="0"/>
          <w:lang w:val="fr-FR" w:eastAsia="ja-JP"/>
        </w:rPr>
        <w:t xml:space="preserve">juillet </w:t>
      </w:r>
      <w:r w:rsidR="007A5FCD" w:rsidRPr="005355CB">
        <w:rPr>
          <w:b w:val="0"/>
          <w:lang w:val="fr-FR" w:eastAsia="ja-JP"/>
        </w:rPr>
        <w:t>202</w:t>
      </w:r>
      <w:r w:rsidRPr="005355CB">
        <w:rPr>
          <w:b w:val="0"/>
          <w:lang w:val="fr-FR" w:eastAsia="ja-JP"/>
        </w:rPr>
        <w:t>2</w:t>
      </w:r>
    </w:p>
    <w:p w14:paraId="4215FE6C" w14:textId="0E2A93E4" w:rsidR="00B2156E" w:rsidRPr="005355CB" w:rsidRDefault="00A336BE" w:rsidP="003805DB">
      <w:pPr>
        <w:pStyle w:val="AATitle"/>
        <w:rPr>
          <w:b w:val="0"/>
          <w:szCs w:val="18"/>
          <w:lang w:val="fr-FR"/>
        </w:rPr>
      </w:pPr>
      <w:r w:rsidRPr="005355CB">
        <w:rPr>
          <w:b w:val="0"/>
          <w:lang w:val="fr-FR"/>
        </w:rPr>
        <w:t>Point</w:t>
      </w:r>
      <w:r w:rsidR="0075303C" w:rsidRPr="005355CB">
        <w:rPr>
          <w:b w:val="0"/>
          <w:lang w:val="fr-FR"/>
        </w:rPr>
        <w:t> 7</w:t>
      </w:r>
      <w:r w:rsidR="00FC63B6">
        <w:rPr>
          <w:b w:val="0"/>
          <w:lang w:val="fr-FR"/>
        </w:rPr>
        <w:t> </w:t>
      </w:r>
      <w:r w:rsidR="0075303C" w:rsidRPr="005355CB">
        <w:rPr>
          <w:b w:val="0"/>
          <w:lang w:val="fr-FR"/>
        </w:rPr>
        <w:t xml:space="preserve">c) </w:t>
      </w:r>
      <w:r w:rsidRPr="005355CB">
        <w:rPr>
          <w:b w:val="0"/>
          <w:lang w:val="fr-FR"/>
        </w:rPr>
        <w:t>de l’ordre du jour provisoire</w:t>
      </w:r>
      <w:r w:rsidR="00B2156E" w:rsidRPr="005355CB">
        <w:rPr>
          <w:b w:val="0"/>
          <w:szCs w:val="18"/>
          <w:lang w:val="fr-FR"/>
        </w:rPr>
        <w:footnoteReference w:customMarkFollows="1" w:id="2"/>
        <w:t>*</w:t>
      </w:r>
    </w:p>
    <w:p w14:paraId="60CE47BB" w14:textId="62931E18" w:rsidR="003442DB" w:rsidRPr="005355CB" w:rsidRDefault="00F65F26" w:rsidP="008E340B">
      <w:pPr>
        <w:pStyle w:val="AATitle2"/>
        <w:rPr>
          <w:lang w:val="fr-FR"/>
        </w:rPr>
      </w:pPr>
      <w:r w:rsidRPr="005355CB">
        <w:rPr>
          <w:bCs/>
          <w:lang w:val="fr-FR"/>
        </w:rPr>
        <w:t>Évaluation des connaissances : rapport de cadrage pour une évaluation méthodologique de l’impact et de la dépendance des entreprises à l’égard de la biodiversité et des contributions de la nature aux populations</w:t>
      </w:r>
    </w:p>
    <w:p w14:paraId="2A45A46F" w14:textId="3E59B748" w:rsidR="00C92B04" w:rsidRPr="005355CB" w:rsidRDefault="00C92B04" w:rsidP="00C92B04">
      <w:pPr>
        <w:pStyle w:val="BBTitle"/>
        <w:rPr>
          <w:lang w:val="fr-FR"/>
        </w:rPr>
      </w:pPr>
      <w:bookmarkStart w:id="0" w:name="_Hlk92712998"/>
      <w:r w:rsidRPr="005355CB">
        <w:rPr>
          <w:bCs/>
          <w:lang w:val="fr-FR"/>
        </w:rPr>
        <w:t xml:space="preserve">Rapport de cadrage pour une évaluation méthodologique </w:t>
      </w:r>
      <w:r w:rsidR="00150EEA" w:rsidRPr="005355CB">
        <w:rPr>
          <w:bCs/>
          <w:lang w:val="fr-FR"/>
        </w:rPr>
        <w:t xml:space="preserve">des conséquences de l’activité des entreprises sur la biodiversité et sur les </w:t>
      </w:r>
      <w:r w:rsidR="00C64FD7">
        <w:rPr>
          <w:bCs/>
          <w:lang w:val="fr-FR"/>
        </w:rPr>
        <w:t>contributions de</w:t>
      </w:r>
      <w:r w:rsidR="00150EEA" w:rsidRPr="005355CB">
        <w:rPr>
          <w:bCs/>
          <w:lang w:val="fr-FR"/>
        </w:rPr>
        <w:t xml:space="preserve"> la nature aux populations et de la dépendance des entreprises à leur égard</w:t>
      </w:r>
      <w:r w:rsidRPr="005355CB">
        <w:rPr>
          <w:bCs/>
          <w:lang w:val="fr-FR"/>
        </w:rPr>
        <w:t>, et</w:t>
      </w:r>
      <w:r w:rsidR="00A6275B" w:rsidRPr="005355CB">
        <w:rPr>
          <w:bCs/>
          <w:lang w:val="fr-FR"/>
        </w:rPr>
        <w:t> </w:t>
      </w:r>
      <w:r w:rsidRPr="005355CB">
        <w:rPr>
          <w:bCs/>
          <w:lang w:val="fr-FR"/>
        </w:rPr>
        <w:t>propositions pour rationaliser les futurs processus de cadrage dans le cadre de la Plateforme</w:t>
      </w:r>
    </w:p>
    <w:bookmarkEnd w:id="0"/>
    <w:p w14:paraId="4CC1F351" w14:textId="2822ABEC" w:rsidR="00C92B04" w:rsidRPr="005355CB" w:rsidRDefault="00C92B04" w:rsidP="00C92B04">
      <w:pPr>
        <w:pStyle w:val="CH2"/>
      </w:pPr>
      <w:r w:rsidRPr="005355CB">
        <w:rPr>
          <w:lang w:val="fr-FR"/>
        </w:rPr>
        <w:tab/>
      </w:r>
      <w:r w:rsidRPr="005355CB">
        <w:rPr>
          <w:lang w:val="fr-FR"/>
        </w:rPr>
        <w:tab/>
      </w:r>
      <w:r w:rsidR="00413067" w:rsidRPr="005355CB">
        <w:rPr>
          <w:lang w:val="fr-FR"/>
        </w:rPr>
        <w:tab/>
      </w:r>
      <w:r w:rsidRPr="005355CB">
        <w:rPr>
          <w:bCs/>
          <w:lang w:val="fr-FR"/>
        </w:rPr>
        <w:t>Note du secrétariat</w:t>
      </w:r>
    </w:p>
    <w:p w14:paraId="47A03EB8" w14:textId="6DE11392" w:rsidR="00C92B04" w:rsidRPr="005355CB" w:rsidRDefault="00C92B04" w:rsidP="00C92B04">
      <w:pPr>
        <w:pStyle w:val="CH1"/>
      </w:pPr>
      <w:r w:rsidRPr="005355CB">
        <w:rPr>
          <w:lang w:val="fr-FR"/>
        </w:rPr>
        <w:tab/>
      </w:r>
      <w:r w:rsidR="00413067" w:rsidRPr="005355CB">
        <w:rPr>
          <w:lang w:val="fr-FR"/>
        </w:rPr>
        <w:tab/>
      </w:r>
      <w:r w:rsidRPr="005355CB">
        <w:rPr>
          <w:lang w:val="fr-FR"/>
        </w:rPr>
        <w:tab/>
      </w:r>
      <w:r w:rsidRPr="005355CB">
        <w:rPr>
          <w:bCs/>
          <w:lang w:val="fr-FR"/>
        </w:rPr>
        <w:t>Introduction</w:t>
      </w:r>
    </w:p>
    <w:p w14:paraId="6992FFF1" w14:textId="466E50A7"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Au paragraphe</w:t>
      </w:r>
      <w:r w:rsidR="00007F87">
        <w:rPr>
          <w:lang w:val="fr-FR"/>
        </w:rPr>
        <w:t> </w:t>
      </w:r>
      <w:r w:rsidRPr="005355CB">
        <w:rPr>
          <w:lang w:val="fr-FR"/>
        </w:rPr>
        <w:t>4 de la section</w:t>
      </w:r>
      <w:r w:rsidR="00007F87">
        <w:rPr>
          <w:lang w:val="fr-FR"/>
        </w:rPr>
        <w:t> </w:t>
      </w:r>
      <w:r w:rsidRPr="005355CB">
        <w:rPr>
          <w:lang w:val="fr-FR"/>
        </w:rPr>
        <w:t>II de la décision</w:t>
      </w:r>
      <w:r w:rsidR="00007F87">
        <w:rPr>
          <w:lang w:val="fr-FR"/>
        </w:rPr>
        <w:t> </w:t>
      </w:r>
      <w:r w:rsidRPr="005355CB">
        <w:rPr>
          <w:lang w:val="fr-FR"/>
        </w:rPr>
        <w:t xml:space="preserve">IPBES-7/1, la Plénière a approuvé le processus de cadrage pour une évaluation méthodologique </w:t>
      </w:r>
      <w:r w:rsidR="0011422B" w:rsidRPr="005355CB">
        <w:rPr>
          <w:lang w:val="fr-FR"/>
        </w:rPr>
        <w:t xml:space="preserve">des conséquences de l’activité des entreprises sur la biodiversité et sur les </w:t>
      </w:r>
      <w:r w:rsidR="00C64FD7">
        <w:rPr>
          <w:lang w:val="fr-FR"/>
        </w:rPr>
        <w:t>contributions de</w:t>
      </w:r>
      <w:r w:rsidR="0011422B" w:rsidRPr="005355CB">
        <w:rPr>
          <w:lang w:val="fr-FR"/>
        </w:rPr>
        <w:t xml:space="preserve"> la nature aux populations et de la dépendance des entreprises à leur égard</w:t>
      </w:r>
      <w:r w:rsidRPr="005355CB">
        <w:rPr>
          <w:lang w:val="fr-FR"/>
        </w:rPr>
        <w:t xml:space="preserve"> (ci-après dénommée « évaluation des entreprises et de la biodiversité »), conformément aux procédures d’établissement des produits de la Plateforme, définies à l’annexe</w:t>
      </w:r>
      <w:r w:rsidR="00051828">
        <w:rPr>
          <w:lang w:val="fr-FR"/>
        </w:rPr>
        <w:t> </w:t>
      </w:r>
      <w:r w:rsidRPr="005355CB">
        <w:rPr>
          <w:lang w:val="fr-FR"/>
        </w:rPr>
        <w:t>I de la décision</w:t>
      </w:r>
      <w:r w:rsidR="00007F87">
        <w:rPr>
          <w:lang w:val="fr-FR"/>
        </w:rPr>
        <w:t> </w:t>
      </w:r>
      <w:r w:rsidRPr="005355CB">
        <w:rPr>
          <w:lang w:val="fr-FR"/>
        </w:rPr>
        <w:t>IPBES-3/3</w:t>
      </w:r>
      <w:r w:rsidR="003F3446" w:rsidRPr="005355CB">
        <w:rPr>
          <w:lang w:val="fr-FR"/>
        </w:rPr>
        <w:t>,</w:t>
      </w:r>
      <w:r w:rsidRPr="005355CB">
        <w:rPr>
          <w:lang w:val="fr-FR"/>
        </w:rPr>
        <w:t xml:space="preserve"> et sur la base du rapport initial de cadrage de l’évaluation, présenté à la section</w:t>
      </w:r>
      <w:r w:rsidR="00051828">
        <w:rPr>
          <w:lang w:val="fr-FR"/>
        </w:rPr>
        <w:t> </w:t>
      </w:r>
      <w:r w:rsidRPr="005355CB">
        <w:rPr>
          <w:lang w:val="fr-FR"/>
        </w:rPr>
        <w:t>IV de l’appendice</w:t>
      </w:r>
      <w:r w:rsidR="00004FEF">
        <w:rPr>
          <w:lang w:val="fr-FR"/>
        </w:rPr>
        <w:t> </w:t>
      </w:r>
      <w:r w:rsidRPr="005355CB">
        <w:rPr>
          <w:lang w:val="fr-FR"/>
        </w:rPr>
        <w:t>II du document</w:t>
      </w:r>
      <w:r w:rsidR="00004FEF">
        <w:rPr>
          <w:lang w:val="fr-FR"/>
        </w:rPr>
        <w:t> </w:t>
      </w:r>
      <w:r w:rsidRPr="005355CB">
        <w:rPr>
          <w:lang w:val="fr-FR"/>
        </w:rPr>
        <w:t xml:space="preserve">IPBES/7/6, et </w:t>
      </w:r>
      <w:r w:rsidR="003F3446" w:rsidRPr="005355CB">
        <w:rPr>
          <w:lang w:val="fr-FR"/>
        </w:rPr>
        <w:t xml:space="preserve">a </w:t>
      </w:r>
      <w:r w:rsidRPr="005355CB">
        <w:rPr>
          <w:lang w:val="fr-FR"/>
        </w:rPr>
        <w:t>décidé d’envisager de conduire cette évaluation sur une période de deux ans, selon une méthode accélérée.</w:t>
      </w:r>
    </w:p>
    <w:p w14:paraId="4771BE5B" w14:textId="121A7146"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Au paragraphe</w:t>
      </w:r>
      <w:r w:rsidR="00004FEF">
        <w:rPr>
          <w:lang w:val="fr-FR"/>
        </w:rPr>
        <w:t> </w:t>
      </w:r>
      <w:r w:rsidRPr="005355CB">
        <w:rPr>
          <w:lang w:val="fr-FR"/>
        </w:rPr>
        <w:t>6 de la section</w:t>
      </w:r>
      <w:r w:rsidR="00004FEF">
        <w:rPr>
          <w:lang w:val="fr-FR"/>
        </w:rPr>
        <w:t> </w:t>
      </w:r>
      <w:r w:rsidRPr="005355CB">
        <w:rPr>
          <w:lang w:val="fr-FR"/>
        </w:rPr>
        <w:t>II de la décision</w:t>
      </w:r>
      <w:r w:rsidR="00004FEF">
        <w:rPr>
          <w:lang w:val="fr-FR"/>
        </w:rPr>
        <w:t> </w:t>
      </w:r>
      <w:r w:rsidRPr="005355CB">
        <w:rPr>
          <w:lang w:val="fr-FR"/>
        </w:rPr>
        <w:t>IPBES-8/1, la Plénière a prié le Bureau, en consultation avec le Groupe d’experts multidisciplinaire, d’examiner les processus de cadrage dans d’autres organes tels que le Groupe d’experts intergouvernemental sur l’évolution du climat, en vue de faire des propositions pour rationaliser les futurs processus de cadrage dans le cadre de la Plateforme.</w:t>
      </w:r>
    </w:p>
    <w:p w14:paraId="71A081EC" w14:textId="23CA21A5"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La Plénière sera invitée à prendre note des propositions pour rationaliser les futurs processus de cadrage dans le cadre de la Plateforme, énoncées dans la section</w:t>
      </w:r>
      <w:r w:rsidR="00004FEF">
        <w:rPr>
          <w:lang w:val="fr-FR"/>
        </w:rPr>
        <w:t> </w:t>
      </w:r>
      <w:r w:rsidRPr="005355CB">
        <w:rPr>
          <w:lang w:val="fr-FR"/>
        </w:rPr>
        <w:t xml:space="preserve">I ci-dessous, à examiner le rapport de cadrage figurant </w:t>
      </w:r>
      <w:r w:rsidR="007F2C6D">
        <w:rPr>
          <w:lang w:val="fr-FR"/>
        </w:rPr>
        <w:t>dans l’</w:t>
      </w:r>
      <w:r w:rsidRPr="005355CB">
        <w:rPr>
          <w:lang w:val="fr-FR"/>
        </w:rPr>
        <w:t xml:space="preserve">annexe </w:t>
      </w:r>
      <w:r w:rsidR="007F2C6D">
        <w:rPr>
          <w:lang w:val="fr-FR"/>
        </w:rPr>
        <w:t>de</w:t>
      </w:r>
      <w:r w:rsidR="007F2C6D" w:rsidRPr="005355CB">
        <w:rPr>
          <w:lang w:val="fr-FR"/>
        </w:rPr>
        <w:t xml:space="preserve"> </w:t>
      </w:r>
      <w:r w:rsidRPr="005355CB">
        <w:rPr>
          <w:lang w:val="fr-FR"/>
        </w:rPr>
        <w:t>la présente note et à décider du début de la réalisation de l’évaluation.</w:t>
      </w:r>
    </w:p>
    <w:p w14:paraId="35A524E9" w14:textId="777885EB" w:rsidR="00C92B04" w:rsidRPr="005355CB" w:rsidRDefault="00C92B04" w:rsidP="005F3590">
      <w:pPr>
        <w:pStyle w:val="CH1"/>
        <w:numPr>
          <w:ilvl w:val="0"/>
          <w:numId w:val="4"/>
        </w:numPr>
        <w:tabs>
          <w:tab w:val="clear" w:pos="851"/>
          <w:tab w:val="clear" w:pos="1247"/>
        </w:tabs>
        <w:ind w:left="1260"/>
        <w:rPr>
          <w:lang w:val="fr-FR"/>
        </w:rPr>
      </w:pPr>
      <w:r w:rsidRPr="005355CB">
        <w:rPr>
          <w:bCs/>
          <w:lang w:val="fr-FR"/>
        </w:rPr>
        <w:lastRenderedPageBreak/>
        <w:t>Propositions pour rationaliser les futurs processus de cadrage dans le cadre de la Plateforme</w:t>
      </w:r>
    </w:p>
    <w:p w14:paraId="1B85C0F5" w14:textId="323DF559"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bookmarkStart w:id="1" w:name="_Toc13482798"/>
      <w:r w:rsidRPr="005355CB">
        <w:rPr>
          <w:lang w:val="fr-FR"/>
        </w:rPr>
        <w:t xml:space="preserve">En réponse à la requête de la Plénière, le Bureau, en consultation avec le Groupe d’experts multidisciplinaire, a comparé la forme et la structure des rapports de cadrage de l’évaluation thématique des liens entre la biodiversité, l’eau, l’alimentation et la santé (évaluation des </w:t>
      </w:r>
      <w:r w:rsidR="009E64FD" w:rsidRPr="005355CB">
        <w:rPr>
          <w:lang w:val="fr-FR"/>
        </w:rPr>
        <w:t>interdépendances</w:t>
      </w:r>
      <w:r w:rsidRPr="005355CB">
        <w:rPr>
          <w:lang w:val="fr-FR"/>
        </w:rPr>
        <w:t xml:space="preserve">) et </w:t>
      </w:r>
      <w:r w:rsidR="00324D2F">
        <w:rPr>
          <w:lang w:val="fr-FR"/>
        </w:rPr>
        <w:t xml:space="preserve">de </w:t>
      </w:r>
      <w:r w:rsidR="007B16F9" w:rsidRPr="005355CB">
        <w:rPr>
          <w:lang w:val="fr-FR"/>
        </w:rPr>
        <w:t xml:space="preserve">l’évaluation thématique des causes sous-jacentes de la perte de biodiversité et des déterminants du changement transformateur, ainsi que des solutions possibles afin de réaliser la </w:t>
      </w:r>
      <w:r w:rsidR="00C64FD7" w:rsidRPr="005355CB">
        <w:rPr>
          <w:lang w:val="fr-FR"/>
        </w:rPr>
        <w:t xml:space="preserve">Vision </w:t>
      </w:r>
      <w:r w:rsidR="00C64FD7">
        <w:rPr>
          <w:lang w:val="fr-FR"/>
        </w:rPr>
        <w:t xml:space="preserve">à l’horizon </w:t>
      </w:r>
      <w:r w:rsidR="00C64FD7" w:rsidRPr="005355CB">
        <w:rPr>
          <w:lang w:val="fr-FR"/>
        </w:rPr>
        <w:t xml:space="preserve">2050 pour la </w:t>
      </w:r>
      <w:r w:rsidR="00C64FD7">
        <w:rPr>
          <w:lang w:val="fr-FR"/>
        </w:rPr>
        <w:t>biodiversité</w:t>
      </w:r>
      <w:r w:rsidR="00C64FD7" w:rsidRPr="005355CB" w:rsidDel="00C64FD7">
        <w:rPr>
          <w:lang w:val="fr-FR"/>
        </w:rPr>
        <w:t xml:space="preserve"> </w:t>
      </w:r>
      <w:r w:rsidRPr="005355CB">
        <w:rPr>
          <w:lang w:val="fr-FR"/>
        </w:rPr>
        <w:t xml:space="preserve">(évaluation </w:t>
      </w:r>
      <w:r w:rsidR="0051560A" w:rsidRPr="005355CB">
        <w:rPr>
          <w:lang w:val="fr-FR"/>
        </w:rPr>
        <w:t>du changement transformateur</w:t>
      </w:r>
      <w:r w:rsidRPr="005355CB">
        <w:rPr>
          <w:lang w:val="fr-FR"/>
        </w:rPr>
        <w:t>)</w:t>
      </w:r>
      <w:r w:rsidR="00324D2F">
        <w:rPr>
          <w:lang w:val="fr-FR"/>
        </w:rPr>
        <w:t xml:space="preserve">, ainsi que </w:t>
      </w:r>
      <w:r w:rsidRPr="005355CB">
        <w:rPr>
          <w:lang w:val="fr-FR"/>
        </w:rPr>
        <w:t>des évaluations réalisées antérieurement par la Plateforme</w:t>
      </w:r>
      <w:r w:rsidR="00324D2F">
        <w:rPr>
          <w:lang w:val="fr-FR"/>
        </w:rPr>
        <w:t>,</w:t>
      </w:r>
      <w:r w:rsidRPr="005355CB">
        <w:rPr>
          <w:lang w:val="fr-FR"/>
        </w:rPr>
        <w:t xml:space="preserve"> avec </w:t>
      </w:r>
      <w:r w:rsidR="00324D2F">
        <w:rPr>
          <w:lang w:val="fr-FR"/>
        </w:rPr>
        <w:t>les</w:t>
      </w:r>
      <w:r w:rsidR="00324D2F" w:rsidRPr="005355CB">
        <w:rPr>
          <w:lang w:val="fr-FR"/>
        </w:rPr>
        <w:t xml:space="preserve"> </w:t>
      </w:r>
      <w:r w:rsidRPr="005355CB">
        <w:rPr>
          <w:lang w:val="fr-FR"/>
        </w:rPr>
        <w:t>aperçu</w:t>
      </w:r>
      <w:r w:rsidR="00324D2F">
        <w:rPr>
          <w:lang w:val="fr-FR"/>
        </w:rPr>
        <w:t>s</w:t>
      </w:r>
      <w:r w:rsidRPr="005355CB">
        <w:rPr>
          <w:lang w:val="fr-FR"/>
        </w:rPr>
        <w:t xml:space="preserve"> des chapitres </w:t>
      </w:r>
      <w:r w:rsidR="0057768E">
        <w:rPr>
          <w:lang w:val="fr-FR"/>
        </w:rPr>
        <w:t xml:space="preserve">relatifs aux </w:t>
      </w:r>
      <w:r w:rsidRPr="005355CB">
        <w:rPr>
          <w:lang w:val="fr-FR"/>
        </w:rPr>
        <w:t>contributions des groupes de travail</w:t>
      </w:r>
      <w:r w:rsidR="001C0E4C">
        <w:rPr>
          <w:lang w:val="fr-FR"/>
        </w:rPr>
        <w:t> </w:t>
      </w:r>
      <w:r w:rsidRPr="005355CB">
        <w:rPr>
          <w:lang w:val="fr-FR"/>
        </w:rPr>
        <w:t>I et II au Sixième rapport d’évaluation du Groupe d’experts intergouvernemental sur l’évolution du climat (ci-après dénommé</w:t>
      </w:r>
      <w:r w:rsidR="00324D2F">
        <w:rPr>
          <w:lang w:val="fr-FR"/>
        </w:rPr>
        <w:t>s</w:t>
      </w:r>
      <w:r w:rsidRPr="005355CB">
        <w:rPr>
          <w:lang w:val="fr-FR"/>
        </w:rPr>
        <w:t xml:space="preserve"> « aperçu</w:t>
      </w:r>
      <w:r w:rsidR="00324D2F">
        <w:rPr>
          <w:lang w:val="fr-FR"/>
        </w:rPr>
        <w:t>s</w:t>
      </w:r>
      <w:r w:rsidRPr="005355CB">
        <w:rPr>
          <w:lang w:val="fr-FR"/>
        </w:rPr>
        <w:t xml:space="preserve"> des chapitres »), qui servent de rapports de cadrage.</w:t>
      </w:r>
    </w:p>
    <w:p w14:paraId="75484753" w14:textId="090AB95D"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 xml:space="preserve">Les cinq grandes différences </w:t>
      </w:r>
      <w:r w:rsidR="00324D2F">
        <w:rPr>
          <w:lang w:val="fr-FR"/>
        </w:rPr>
        <w:t xml:space="preserve">suivantes ont été </w:t>
      </w:r>
      <w:r w:rsidR="00D63CB2" w:rsidRPr="005355CB">
        <w:rPr>
          <w:lang w:val="fr-FR"/>
        </w:rPr>
        <w:t>re</w:t>
      </w:r>
      <w:r w:rsidR="00324D2F">
        <w:rPr>
          <w:lang w:val="fr-FR"/>
        </w:rPr>
        <w:t>lev</w:t>
      </w:r>
      <w:r w:rsidR="00D63CB2" w:rsidRPr="005355CB">
        <w:rPr>
          <w:lang w:val="fr-FR"/>
        </w:rPr>
        <w:t>ées</w:t>
      </w:r>
      <w:r w:rsidR="00324D2F">
        <w:rPr>
          <w:lang w:val="fr-FR"/>
        </w:rPr>
        <w:t> :</w:t>
      </w:r>
    </w:p>
    <w:p w14:paraId="70E53090" w14:textId="039E9EFD"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Les aperçus des chapitres précisent qu’ils doivent être considérés par les auteurs comme indicatifs. Les documents de cadrage de la Plateforme n’incluent pas de note de ce type</w:t>
      </w:r>
      <w:r w:rsidR="001941D4">
        <w:rPr>
          <w:lang w:val="fr-FR"/>
        </w:rPr>
        <w:t> </w:t>
      </w:r>
      <w:r w:rsidRPr="005355CB">
        <w:rPr>
          <w:lang w:val="fr-FR"/>
        </w:rPr>
        <w:t>;</w:t>
      </w:r>
    </w:p>
    <w:p w14:paraId="2384F66E" w14:textId="7A0E5B6E"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Les aperçus des chapitres sont très succincts et constituent une liste de points clefs, fournissant les thèmes de chaque chapitre et section, sans ordre particulier. Les aperçus des chapitres relatifs aux contributions des groupes de travail</w:t>
      </w:r>
      <w:r w:rsidR="001941D4">
        <w:rPr>
          <w:lang w:val="fr-FR"/>
        </w:rPr>
        <w:t> </w:t>
      </w:r>
      <w:r w:rsidRPr="005355CB">
        <w:rPr>
          <w:lang w:val="fr-FR"/>
        </w:rPr>
        <w:t>I et II comprenaient quelque 1</w:t>
      </w:r>
      <w:r w:rsidR="001941D4">
        <w:rPr>
          <w:lang w:val="fr-FR"/>
        </w:rPr>
        <w:t> </w:t>
      </w:r>
      <w:r w:rsidRPr="005355CB">
        <w:rPr>
          <w:lang w:val="fr-FR"/>
        </w:rPr>
        <w:t>200 et 2</w:t>
      </w:r>
      <w:r w:rsidR="001941D4">
        <w:rPr>
          <w:lang w:val="fr-FR"/>
        </w:rPr>
        <w:t> </w:t>
      </w:r>
      <w:r w:rsidRPr="005355CB">
        <w:rPr>
          <w:lang w:val="fr-FR"/>
        </w:rPr>
        <w:t>000</w:t>
      </w:r>
      <w:r w:rsidR="001941D4">
        <w:rPr>
          <w:lang w:val="fr-FR"/>
        </w:rPr>
        <w:t> </w:t>
      </w:r>
      <w:r w:rsidRPr="005355CB">
        <w:rPr>
          <w:lang w:val="fr-FR"/>
        </w:rPr>
        <w:t xml:space="preserve">mots, respectivement. Par comparaison, les rapports de cadrage de l’évaluation des </w:t>
      </w:r>
      <w:r w:rsidR="008A3160" w:rsidRPr="005355CB">
        <w:rPr>
          <w:lang w:val="fr-FR"/>
        </w:rPr>
        <w:t xml:space="preserve">interdépendances </w:t>
      </w:r>
      <w:r w:rsidRPr="005355CB">
        <w:rPr>
          <w:lang w:val="fr-FR"/>
        </w:rPr>
        <w:t xml:space="preserve">et de l’évaluation </w:t>
      </w:r>
      <w:r w:rsidR="0051560A" w:rsidRPr="005355CB">
        <w:rPr>
          <w:lang w:val="fr-FR"/>
        </w:rPr>
        <w:t>du changement transformateur</w:t>
      </w:r>
      <w:r w:rsidRPr="005355CB">
        <w:rPr>
          <w:lang w:val="fr-FR"/>
        </w:rPr>
        <w:t xml:space="preserve"> contenaient quelque 6</w:t>
      </w:r>
      <w:r w:rsidR="001941D4">
        <w:rPr>
          <w:lang w:val="fr-FR"/>
        </w:rPr>
        <w:t> </w:t>
      </w:r>
      <w:r w:rsidRPr="005355CB">
        <w:rPr>
          <w:lang w:val="fr-FR"/>
        </w:rPr>
        <w:t>200</w:t>
      </w:r>
      <w:r w:rsidR="001941D4">
        <w:rPr>
          <w:lang w:val="fr-FR"/>
        </w:rPr>
        <w:t> </w:t>
      </w:r>
      <w:r w:rsidRPr="005355CB">
        <w:rPr>
          <w:lang w:val="fr-FR"/>
        </w:rPr>
        <w:t>mots chacun ;</w:t>
      </w:r>
    </w:p>
    <w:p w14:paraId="3EEEA603" w14:textId="7DD9DD91"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 xml:space="preserve">L’aperçu </w:t>
      </w:r>
      <w:r w:rsidR="0051560A" w:rsidRPr="005355CB">
        <w:rPr>
          <w:lang w:val="fr-FR"/>
        </w:rPr>
        <w:t xml:space="preserve">des chapitres </w:t>
      </w:r>
      <w:r w:rsidR="0057768E">
        <w:rPr>
          <w:lang w:val="fr-FR"/>
        </w:rPr>
        <w:t xml:space="preserve">relatifs à </w:t>
      </w:r>
      <w:r w:rsidRPr="005355CB">
        <w:rPr>
          <w:lang w:val="fr-FR"/>
        </w:rPr>
        <w:t>la contribution du groupe de travail</w:t>
      </w:r>
      <w:r w:rsidR="00FE363F">
        <w:rPr>
          <w:lang w:val="fr-FR"/>
        </w:rPr>
        <w:t> </w:t>
      </w:r>
      <w:r w:rsidRPr="005355CB">
        <w:rPr>
          <w:lang w:val="fr-FR"/>
        </w:rPr>
        <w:t>II fixe un nombre maximal de pages pour chacune des sections de ladite contribution. À ce jour, les rapports de cadrage de la Plateforme n’ont pas fourni d’informations de ce genre ;</w:t>
      </w:r>
    </w:p>
    <w:p w14:paraId="6463A8F0" w14:textId="77777777"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Les aperçus des chapitres contiennent les annexes suggérées, dont une annexe comprenant la liste des auteurs et des examinateurs de l’évaluation. À ce jour, les rapports de cadrage de la Plateforme n’incluent pas de telles informations.</w:t>
      </w:r>
    </w:p>
    <w:p w14:paraId="5E54F5F3" w14:textId="1CCF4E34"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Le rapport de cadrage de l’</w:t>
      </w:r>
      <w:r w:rsidRPr="005355CB">
        <w:rPr>
          <w:i/>
          <w:iCs/>
          <w:lang w:val="fr-FR"/>
        </w:rPr>
        <w:t>Évaluation mondiale de la biodiversité et des services écosystémiques</w:t>
      </w:r>
      <w:r w:rsidRPr="005355CB">
        <w:rPr>
          <w:lang w:val="fr-FR"/>
        </w:rPr>
        <w:t xml:space="preserve"> (voir </w:t>
      </w:r>
      <w:r w:rsidR="00FC4C98">
        <w:rPr>
          <w:lang w:val="fr-FR"/>
        </w:rPr>
        <w:t xml:space="preserve">la </w:t>
      </w:r>
      <w:r w:rsidRPr="005355CB">
        <w:rPr>
          <w:lang w:val="fr-FR"/>
        </w:rPr>
        <w:t>décision</w:t>
      </w:r>
      <w:r w:rsidR="00DC0056">
        <w:rPr>
          <w:lang w:val="fr-FR"/>
        </w:rPr>
        <w:t> </w:t>
      </w:r>
      <w:r w:rsidRPr="005355CB">
        <w:rPr>
          <w:lang w:val="fr-FR"/>
        </w:rPr>
        <w:t>IPBES-4/1, annexe</w:t>
      </w:r>
      <w:r w:rsidR="00DC0056">
        <w:rPr>
          <w:lang w:val="fr-FR"/>
        </w:rPr>
        <w:t> </w:t>
      </w:r>
      <w:r w:rsidRPr="005355CB">
        <w:rPr>
          <w:lang w:val="fr-FR"/>
        </w:rPr>
        <w:t>I) était, avec environ 6</w:t>
      </w:r>
      <w:r w:rsidR="00DC0056">
        <w:rPr>
          <w:lang w:val="fr-FR"/>
        </w:rPr>
        <w:t> </w:t>
      </w:r>
      <w:r w:rsidRPr="005355CB">
        <w:rPr>
          <w:lang w:val="fr-FR"/>
        </w:rPr>
        <w:t>000</w:t>
      </w:r>
      <w:r w:rsidR="00DC0056">
        <w:rPr>
          <w:lang w:val="fr-FR"/>
        </w:rPr>
        <w:t> </w:t>
      </w:r>
      <w:r w:rsidRPr="005355CB">
        <w:rPr>
          <w:lang w:val="fr-FR"/>
        </w:rPr>
        <w:t xml:space="preserve">mots, d’une longueur comparable aux évaluations des </w:t>
      </w:r>
      <w:r w:rsidR="0051560A" w:rsidRPr="005355CB">
        <w:rPr>
          <w:lang w:val="fr-FR"/>
        </w:rPr>
        <w:t xml:space="preserve">interdépendances </w:t>
      </w:r>
      <w:r w:rsidRPr="005355CB">
        <w:rPr>
          <w:lang w:val="fr-FR"/>
        </w:rPr>
        <w:t xml:space="preserve">et </w:t>
      </w:r>
      <w:r w:rsidR="0051560A" w:rsidRPr="005355CB">
        <w:rPr>
          <w:lang w:val="fr-FR"/>
        </w:rPr>
        <w:t>du changement transformateur</w:t>
      </w:r>
      <w:r w:rsidRPr="005355CB">
        <w:rPr>
          <w:lang w:val="fr-FR"/>
        </w:rPr>
        <w:t>. Les rapports initiaux de cadrage établis par le Groupe d’experts multidisciplinaire pour l’</w:t>
      </w:r>
      <w:r w:rsidRPr="005355CB">
        <w:rPr>
          <w:i/>
          <w:iCs/>
          <w:lang w:val="fr-FR"/>
        </w:rPr>
        <w:t>Évaluation sur les pollinisateurs, la pollinisation et la production alimentaire</w:t>
      </w:r>
      <w:r w:rsidRPr="005355CB">
        <w:rPr>
          <w:lang w:val="fr-FR"/>
        </w:rPr>
        <w:t xml:space="preserve"> et pour l’</w:t>
      </w:r>
      <w:r w:rsidRPr="005355CB">
        <w:rPr>
          <w:i/>
          <w:iCs/>
          <w:lang w:val="fr-FR"/>
        </w:rPr>
        <w:t>Évaluation des scénarios et des modèles de la biodiversité et des services écosystémiques</w:t>
      </w:r>
      <w:r w:rsidRPr="005355CB">
        <w:rPr>
          <w:lang w:val="fr-FR"/>
        </w:rPr>
        <w:t xml:space="preserve"> étaient plus concis, </w:t>
      </w:r>
      <w:r w:rsidR="00547B93">
        <w:rPr>
          <w:lang w:val="fr-FR"/>
        </w:rPr>
        <w:t>comptant</w:t>
      </w:r>
      <w:r w:rsidR="00547B93" w:rsidRPr="005355CB">
        <w:rPr>
          <w:lang w:val="fr-FR"/>
        </w:rPr>
        <w:t xml:space="preserve"> </w:t>
      </w:r>
      <w:r w:rsidRPr="005355CB">
        <w:rPr>
          <w:lang w:val="fr-FR"/>
        </w:rPr>
        <w:t>quelque 1</w:t>
      </w:r>
      <w:r w:rsidR="00006073">
        <w:rPr>
          <w:lang w:val="fr-FR"/>
        </w:rPr>
        <w:t> </w:t>
      </w:r>
      <w:r w:rsidRPr="005355CB">
        <w:rPr>
          <w:lang w:val="fr-FR"/>
        </w:rPr>
        <w:t>700</w:t>
      </w:r>
      <w:r w:rsidR="00006073">
        <w:rPr>
          <w:lang w:val="fr-FR"/>
        </w:rPr>
        <w:t> </w:t>
      </w:r>
      <w:r w:rsidRPr="005355CB">
        <w:rPr>
          <w:lang w:val="fr-FR"/>
        </w:rPr>
        <w:t>mots chacun. Ils comprenaient des sections sur la portée, les fondements, les hypothèses</w:t>
      </w:r>
      <w:r w:rsidR="000B7EBB">
        <w:rPr>
          <w:lang w:val="fr-FR"/>
        </w:rPr>
        <w:t xml:space="preserve"> et</w:t>
      </w:r>
      <w:r w:rsidR="000B7EBB" w:rsidRPr="005355CB">
        <w:rPr>
          <w:lang w:val="fr-FR"/>
        </w:rPr>
        <w:t xml:space="preserve"> </w:t>
      </w:r>
      <w:r w:rsidRPr="005355CB">
        <w:rPr>
          <w:lang w:val="fr-FR"/>
        </w:rPr>
        <w:t xml:space="preserve">l’utilité (dans le cas de </w:t>
      </w:r>
      <w:r w:rsidR="000B7EBB" w:rsidRPr="005355CB">
        <w:rPr>
          <w:lang w:val="fr-FR"/>
        </w:rPr>
        <w:t>l’</w:t>
      </w:r>
      <w:r w:rsidR="000B7EBB">
        <w:rPr>
          <w:lang w:val="fr-FR"/>
        </w:rPr>
        <w:t>é</w:t>
      </w:r>
      <w:r w:rsidR="000B7EBB" w:rsidRPr="005355CB">
        <w:rPr>
          <w:lang w:val="fr-FR"/>
        </w:rPr>
        <w:t xml:space="preserve">valuation </w:t>
      </w:r>
      <w:r w:rsidRPr="005355CB">
        <w:rPr>
          <w:lang w:val="fr-FR"/>
        </w:rPr>
        <w:t>sur la pollinisation)</w:t>
      </w:r>
      <w:r w:rsidR="000B7EBB">
        <w:rPr>
          <w:lang w:val="fr-FR"/>
        </w:rPr>
        <w:t>,</w:t>
      </w:r>
      <w:r w:rsidRPr="005355CB">
        <w:rPr>
          <w:lang w:val="fr-FR"/>
        </w:rPr>
        <w:t xml:space="preserve"> ainsi qu’un aperçu des chapitres, dont un bref paragraphe sur le contenu de chaque chapitre. Ils ne comprenaient pas de section sur les questions générales (incluse pour la première fois dans le rapport de cadrage de </w:t>
      </w:r>
      <w:r w:rsidR="003C7365" w:rsidRPr="005355CB">
        <w:rPr>
          <w:lang w:val="fr-FR"/>
        </w:rPr>
        <w:t>l’</w:t>
      </w:r>
      <w:r w:rsidR="003C7365">
        <w:rPr>
          <w:lang w:val="fr-FR"/>
        </w:rPr>
        <w:t>é</w:t>
      </w:r>
      <w:r w:rsidR="003C7365" w:rsidRPr="005355CB">
        <w:rPr>
          <w:lang w:val="fr-FR"/>
        </w:rPr>
        <w:t xml:space="preserve">valuation </w:t>
      </w:r>
      <w:r w:rsidRPr="005355CB">
        <w:rPr>
          <w:lang w:val="fr-FR"/>
        </w:rPr>
        <w:t xml:space="preserve">mondiale) ou sur l’approche méthodologique (incluse pour la première fois dans le rapport de cadrage de l’évaluation </w:t>
      </w:r>
      <w:r w:rsidR="000B7EBB">
        <w:rPr>
          <w:lang w:val="fr-FR"/>
        </w:rPr>
        <w:t>de</w:t>
      </w:r>
      <w:r w:rsidR="000B7EBB" w:rsidRPr="005355CB">
        <w:rPr>
          <w:lang w:val="fr-FR"/>
        </w:rPr>
        <w:t xml:space="preserve"> </w:t>
      </w:r>
      <w:r w:rsidRPr="005355CB">
        <w:rPr>
          <w:lang w:val="fr-FR"/>
        </w:rPr>
        <w:t>l’utilisation durable des espèces sauvages).</w:t>
      </w:r>
      <w:bookmarkStart w:id="2" w:name="_Hlk101438721"/>
      <w:bookmarkEnd w:id="2"/>
    </w:p>
    <w:p w14:paraId="7C6C414B" w14:textId="77777777"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Sur la base des informations présentées dans les paragraphes précédents, le Bureau, en consultation avec le Groupe d’experts multidisciplinaire, recommande que les futurs rapports de cadrage :</w:t>
      </w:r>
    </w:p>
    <w:p w14:paraId="6011C82A" w14:textId="2749AD78"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Soient plus courts (quelque 3</w:t>
      </w:r>
      <w:r w:rsidR="008F4992">
        <w:rPr>
          <w:lang w:val="fr-FR"/>
        </w:rPr>
        <w:t> </w:t>
      </w:r>
      <w:r w:rsidRPr="005355CB">
        <w:rPr>
          <w:lang w:val="fr-FR"/>
        </w:rPr>
        <w:t>000</w:t>
      </w:r>
      <w:r w:rsidR="008F4992">
        <w:rPr>
          <w:lang w:val="fr-FR"/>
        </w:rPr>
        <w:t> </w:t>
      </w:r>
      <w:r w:rsidRPr="005355CB">
        <w:rPr>
          <w:lang w:val="fr-FR"/>
        </w:rPr>
        <w:t>mots maximum, par exemple), avec des sections moins nombreuses et plus succinctes</w:t>
      </w:r>
      <w:r w:rsidR="008F4992">
        <w:rPr>
          <w:lang w:val="fr-FR"/>
        </w:rPr>
        <w:t> </w:t>
      </w:r>
      <w:r w:rsidRPr="005355CB">
        <w:rPr>
          <w:lang w:val="fr-FR"/>
        </w:rPr>
        <w:t>;</w:t>
      </w:r>
    </w:p>
    <w:p w14:paraId="2538DF15" w14:textId="7B888620" w:rsidR="00C92B04" w:rsidRPr="005355CB" w:rsidRDefault="003E480E"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Pr>
          <w:lang w:val="fr-FR"/>
        </w:rPr>
        <w:t>Suggèrent des limites</w:t>
      </w:r>
      <w:r w:rsidR="00C92B04" w:rsidRPr="005355CB">
        <w:rPr>
          <w:lang w:val="fr-FR"/>
        </w:rPr>
        <w:t xml:space="preserve"> concernant la longueur du résumé à l’intention des décideurs </w:t>
      </w:r>
      <w:r>
        <w:rPr>
          <w:lang w:val="fr-FR"/>
        </w:rPr>
        <w:t>et</w:t>
      </w:r>
      <w:r w:rsidR="00C92B04" w:rsidRPr="005355CB">
        <w:rPr>
          <w:lang w:val="fr-FR"/>
        </w:rPr>
        <w:t xml:space="preserve"> des chapitres, </w:t>
      </w:r>
      <w:r w:rsidR="00312D4C">
        <w:rPr>
          <w:lang w:val="fr-FR"/>
        </w:rPr>
        <w:t>en fonction de</w:t>
      </w:r>
      <w:r w:rsidR="00C92B04" w:rsidRPr="005355CB">
        <w:rPr>
          <w:lang w:val="fr-FR"/>
        </w:rPr>
        <w:t xml:space="preserve"> la nature de l’évaluation.</w:t>
      </w:r>
    </w:p>
    <w:p w14:paraId="11D2EAB8" w14:textId="4629BDDB"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 xml:space="preserve">Des rapports de cadrage plus courts </w:t>
      </w:r>
      <w:r w:rsidR="008242D8">
        <w:rPr>
          <w:lang w:val="fr-FR"/>
        </w:rPr>
        <w:t>donn</w:t>
      </w:r>
      <w:r w:rsidR="00C8218A">
        <w:rPr>
          <w:lang w:val="fr-FR"/>
        </w:rPr>
        <w:t xml:space="preserve">eraient une plus grande marge de manœuvre aux auteurs pour </w:t>
      </w:r>
      <w:r w:rsidRPr="005355CB">
        <w:rPr>
          <w:lang w:val="fr-FR"/>
        </w:rPr>
        <w:t>élaborer une évaluation qui reflète les dernières données scientifiques disponibles, tout en réduisant le temps nécessaire à l’examen et l’approbation des rapports par la Plénière.</w:t>
      </w:r>
    </w:p>
    <w:bookmarkEnd w:id="1"/>
    <w:p w14:paraId="63835043" w14:textId="034ED7B1"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 xml:space="preserve">Les recommandations ci-dessus ont déjà été appliquées au projet de rapport de cadrage pour l’évaluation des entreprises et de la biodiversité (voir </w:t>
      </w:r>
      <w:r w:rsidR="0047516B">
        <w:rPr>
          <w:lang w:val="fr-FR"/>
        </w:rPr>
        <w:t>l’</w:t>
      </w:r>
      <w:r w:rsidRPr="005355CB">
        <w:rPr>
          <w:lang w:val="fr-FR"/>
        </w:rPr>
        <w:t xml:space="preserve">annexe </w:t>
      </w:r>
      <w:r w:rsidR="00653300">
        <w:rPr>
          <w:lang w:val="fr-FR"/>
        </w:rPr>
        <w:t>d</w:t>
      </w:r>
      <w:r w:rsidRPr="005355CB">
        <w:rPr>
          <w:lang w:val="fr-FR"/>
        </w:rPr>
        <w:t>u présent document).</w:t>
      </w:r>
    </w:p>
    <w:p w14:paraId="3FAAF5C1" w14:textId="4ED8D486" w:rsidR="00C92B04" w:rsidRPr="005355CB" w:rsidRDefault="00413067" w:rsidP="00413067">
      <w:pPr>
        <w:pStyle w:val="CH1"/>
        <w:rPr>
          <w:lang w:val="fr-FR"/>
        </w:rPr>
      </w:pPr>
      <w:r w:rsidRPr="005355CB">
        <w:rPr>
          <w:lang w:val="fr-FR"/>
        </w:rPr>
        <w:lastRenderedPageBreak/>
        <w:tab/>
      </w:r>
      <w:r w:rsidR="00C92B04" w:rsidRPr="005355CB">
        <w:rPr>
          <w:lang w:val="fr-FR"/>
        </w:rPr>
        <w:t>II.</w:t>
      </w:r>
      <w:r w:rsidR="00C92B04" w:rsidRPr="005355CB">
        <w:rPr>
          <w:lang w:val="fr-FR"/>
        </w:rPr>
        <w:tab/>
        <w:t>Cadrage d’une évaluation méthodologique de l’impact et de</w:t>
      </w:r>
      <w:r w:rsidR="00A6275B" w:rsidRPr="005355CB">
        <w:rPr>
          <w:lang w:val="fr-FR"/>
        </w:rPr>
        <w:t> </w:t>
      </w:r>
      <w:r w:rsidR="00C92B04" w:rsidRPr="005355CB">
        <w:rPr>
          <w:lang w:val="fr-FR"/>
        </w:rPr>
        <w:t>la</w:t>
      </w:r>
      <w:r w:rsidR="00A6275B" w:rsidRPr="005355CB">
        <w:rPr>
          <w:lang w:val="fr-FR"/>
        </w:rPr>
        <w:t> </w:t>
      </w:r>
      <w:r w:rsidR="00C92B04" w:rsidRPr="005355CB">
        <w:rPr>
          <w:lang w:val="fr-FR"/>
        </w:rPr>
        <w:t>dépendance des entreprises à l’égard de la biodiversité et</w:t>
      </w:r>
      <w:r w:rsidR="00A6275B" w:rsidRPr="005355CB">
        <w:rPr>
          <w:lang w:val="fr-FR"/>
        </w:rPr>
        <w:t> </w:t>
      </w:r>
      <w:r w:rsidR="00C92B04" w:rsidRPr="005355CB">
        <w:rPr>
          <w:lang w:val="fr-FR"/>
        </w:rPr>
        <w:t>des</w:t>
      </w:r>
      <w:r w:rsidR="00A6275B" w:rsidRPr="005355CB">
        <w:rPr>
          <w:lang w:val="fr-FR"/>
        </w:rPr>
        <w:t> </w:t>
      </w:r>
      <w:r w:rsidR="00C92B04" w:rsidRPr="005355CB">
        <w:rPr>
          <w:lang w:val="fr-FR"/>
        </w:rPr>
        <w:t>contributions de la nature aux populations</w:t>
      </w:r>
    </w:p>
    <w:p w14:paraId="1CA2B7AB" w14:textId="61EB14C9"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En réponse au paragraphe</w:t>
      </w:r>
      <w:r w:rsidR="00A15E46">
        <w:rPr>
          <w:lang w:val="fr-FR"/>
        </w:rPr>
        <w:t> </w:t>
      </w:r>
      <w:r w:rsidRPr="005355CB">
        <w:rPr>
          <w:lang w:val="fr-FR"/>
        </w:rPr>
        <w:t>4 de la section</w:t>
      </w:r>
      <w:r w:rsidR="00A15E46">
        <w:rPr>
          <w:lang w:val="fr-FR"/>
        </w:rPr>
        <w:t> </w:t>
      </w:r>
      <w:r w:rsidRPr="005355CB">
        <w:rPr>
          <w:lang w:val="fr-FR"/>
        </w:rPr>
        <w:t>II de la décision</w:t>
      </w:r>
      <w:r w:rsidR="00A15E46">
        <w:rPr>
          <w:lang w:val="fr-FR"/>
        </w:rPr>
        <w:t> </w:t>
      </w:r>
      <w:r w:rsidRPr="005355CB">
        <w:rPr>
          <w:lang w:val="fr-FR"/>
        </w:rPr>
        <w:t>IPBES-7/1, le Groupe d’experts multidisciplinaire, assisté par un groupe de spécialistes, a établi le rapport de cadrage pour l’évaluation des entreprises et de la biodiversité, qui figure dans l’annexe à la présente note. Un aperçu du processus suivi pour la production du rapport de cadrage figure dans le document</w:t>
      </w:r>
      <w:r w:rsidR="00872DD9">
        <w:rPr>
          <w:lang w:val="fr-FR"/>
        </w:rPr>
        <w:t> </w:t>
      </w:r>
      <w:r w:rsidRPr="005355CB">
        <w:rPr>
          <w:lang w:val="fr-FR"/>
        </w:rPr>
        <w:t>IPBES/9/INF/10.</w:t>
      </w:r>
    </w:p>
    <w:p w14:paraId="296CEAB2" w14:textId="79609692"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Comme déjà indiqué dans le document</w:t>
      </w:r>
      <w:r w:rsidR="00872DD9">
        <w:rPr>
          <w:lang w:val="fr-FR"/>
        </w:rPr>
        <w:t> </w:t>
      </w:r>
      <w:r w:rsidRPr="005355CB">
        <w:rPr>
          <w:lang w:val="fr-FR"/>
        </w:rPr>
        <w:t xml:space="preserve">IPBES/8/INF/7 sur l’état d’avancement du cadrage de l’évaluation méthodologique </w:t>
      </w:r>
      <w:r w:rsidR="00C82C31" w:rsidRPr="00C82C31">
        <w:rPr>
          <w:lang w:val="fr-FR"/>
        </w:rPr>
        <w:t xml:space="preserve">des conséquences de l’activité des entreprises sur la biodiversité et sur les contributions </w:t>
      </w:r>
      <w:r w:rsidR="00C64FD7">
        <w:rPr>
          <w:lang w:val="fr-FR"/>
        </w:rPr>
        <w:t>de</w:t>
      </w:r>
      <w:r w:rsidR="00C82C31" w:rsidRPr="00C82C31">
        <w:rPr>
          <w:lang w:val="fr-FR"/>
        </w:rPr>
        <w:t xml:space="preserve"> la nature aux populations et de la dépendance des entreprises à leur égard</w:t>
      </w:r>
      <w:r w:rsidRPr="005355CB">
        <w:rPr>
          <w:lang w:val="fr-FR"/>
        </w:rPr>
        <w:t xml:space="preserve">, il a été suggéré que </w:t>
      </w:r>
      <w:r w:rsidR="00956896">
        <w:rPr>
          <w:lang w:val="fr-FR"/>
        </w:rPr>
        <w:t>le lancement</w:t>
      </w:r>
      <w:r w:rsidRPr="005355CB">
        <w:rPr>
          <w:lang w:val="fr-FR"/>
        </w:rPr>
        <w:t xml:space="preserve"> de l’évaluation des entreprises et de la biodiversité soit reporté à la dixième session de la Plénière. Un calendrier potentiel des évaluations jusqu’en 2030 figure dans le document</w:t>
      </w:r>
      <w:r w:rsidR="00872DD9">
        <w:rPr>
          <w:lang w:val="fr-FR"/>
        </w:rPr>
        <w:t> </w:t>
      </w:r>
      <w:r w:rsidRPr="005355CB">
        <w:rPr>
          <w:lang w:val="fr-FR"/>
        </w:rPr>
        <w:t>IPBES/9/12.</w:t>
      </w:r>
    </w:p>
    <w:p w14:paraId="527484C2" w14:textId="77777777" w:rsidR="00C92B04" w:rsidRPr="005355CB" w:rsidRDefault="00C92B04" w:rsidP="00C92B04">
      <w:pPr>
        <w:pStyle w:val="Normalnumber"/>
        <w:numPr>
          <w:ilvl w:val="0"/>
          <w:numId w:val="0"/>
        </w:numPr>
        <w:rPr>
          <w:rFonts w:eastAsia="SimSun"/>
        </w:rPr>
        <w:sectPr w:rsidR="00C92B04" w:rsidRPr="005355CB" w:rsidSect="00E71C28">
          <w:headerReference w:type="even" r:id="rId13"/>
          <w:headerReference w:type="default" r:id="rId14"/>
          <w:footerReference w:type="even" r:id="rId15"/>
          <w:footerReference w:type="default" r:id="rId16"/>
          <w:footerReference w:type="first" r:id="rId17"/>
          <w:pgSz w:w="11906" w:h="16838" w:code="9"/>
          <w:pgMar w:top="907" w:right="992" w:bottom="1418" w:left="1418" w:header="539" w:footer="975" w:gutter="0"/>
          <w:cols w:space="539"/>
          <w:titlePg/>
          <w:docGrid w:linePitch="360"/>
        </w:sectPr>
      </w:pPr>
    </w:p>
    <w:p w14:paraId="5B15D500" w14:textId="77777777" w:rsidR="00C92B04" w:rsidRPr="005355CB" w:rsidRDefault="00C92B04" w:rsidP="00413067">
      <w:pPr>
        <w:pStyle w:val="ZZAnxheader"/>
        <w:rPr>
          <w:lang w:val="fr-FR"/>
        </w:rPr>
      </w:pPr>
      <w:r w:rsidRPr="005355CB">
        <w:rPr>
          <w:lang w:val="fr-FR"/>
        </w:rPr>
        <w:lastRenderedPageBreak/>
        <w:t xml:space="preserve">Annexe </w:t>
      </w:r>
    </w:p>
    <w:p w14:paraId="6F9948A0" w14:textId="04EB1AE3" w:rsidR="00C92B04" w:rsidRPr="005355CB" w:rsidRDefault="00C92B04" w:rsidP="00413067">
      <w:pPr>
        <w:pStyle w:val="ZZAnxtitle"/>
        <w:rPr>
          <w:lang w:val="fr-FR"/>
        </w:rPr>
      </w:pPr>
      <w:r w:rsidRPr="005355CB">
        <w:rPr>
          <w:lang w:val="fr-FR"/>
        </w:rPr>
        <w:t xml:space="preserve">Rapport de cadrage pour une évaluation méthodologique </w:t>
      </w:r>
      <w:r w:rsidR="00B3062B" w:rsidRPr="00B3062B">
        <w:rPr>
          <w:lang w:val="fr-FR"/>
        </w:rPr>
        <w:t xml:space="preserve">des conséquences de l’activité des entreprises sur la biodiversité et sur les contributions </w:t>
      </w:r>
      <w:r w:rsidR="00C64FD7">
        <w:rPr>
          <w:lang w:val="fr-FR"/>
        </w:rPr>
        <w:t>de</w:t>
      </w:r>
      <w:r w:rsidR="00B3062B" w:rsidRPr="00B3062B">
        <w:rPr>
          <w:lang w:val="fr-FR"/>
        </w:rPr>
        <w:t xml:space="preserve"> la nature aux populations et de la dépendance des entreprises à leur égard</w:t>
      </w:r>
    </w:p>
    <w:p w14:paraId="668403FB" w14:textId="73E38D17" w:rsidR="00C92B04" w:rsidRPr="00A16065" w:rsidRDefault="00413067" w:rsidP="00413067">
      <w:pPr>
        <w:pStyle w:val="CH1"/>
        <w:rPr>
          <w:lang w:val="fr-FR"/>
        </w:rPr>
      </w:pPr>
      <w:r w:rsidRPr="005355CB">
        <w:rPr>
          <w:lang w:val="fr-FR"/>
        </w:rPr>
        <w:tab/>
      </w:r>
      <w:r w:rsidR="00C92B04" w:rsidRPr="005355CB">
        <w:rPr>
          <w:lang w:val="fr-FR"/>
        </w:rPr>
        <w:t>I.</w:t>
      </w:r>
      <w:r w:rsidR="00C92B04" w:rsidRPr="005355CB">
        <w:rPr>
          <w:lang w:val="fr-FR"/>
        </w:rPr>
        <w:tab/>
      </w:r>
      <w:r w:rsidRPr="005355CB">
        <w:rPr>
          <w:lang w:val="fr-FR"/>
        </w:rPr>
        <w:tab/>
      </w:r>
      <w:r w:rsidR="00C92B04" w:rsidRPr="005355CB">
        <w:rPr>
          <w:lang w:val="fr-FR"/>
        </w:rPr>
        <w:t>Portée, fondements, calendrier et couverture géographique et</w:t>
      </w:r>
      <w:r w:rsidR="00A6275B" w:rsidRPr="005355CB">
        <w:rPr>
          <w:lang w:val="fr-FR"/>
        </w:rPr>
        <w:t> </w:t>
      </w:r>
      <w:r w:rsidR="00C92B04" w:rsidRPr="005355CB">
        <w:rPr>
          <w:lang w:val="fr-FR"/>
        </w:rPr>
        <w:t>approche méthodologique</w:t>
      </w:r>
    </w:p>
    <w:p w14:paraId="719996B6" w14:textId="50F5196D" w:rsidR="00C92B04" w:rsidRPr="005355CB" w:rsidRDefault="00413067" w:rsidP="00C92B04">
      <w:pPr>
        <w:pStyle w:val="CH2"/>
      </w:pPr>
      <w:r w:rsidRPr="005355CB">
        <w:rPr>
          <w:bCs/>
          <w:lang w:val="fr-FR"/>
        </w:rPr>
        <w:tab/>
      </w:r>
      <w:r w:rsidR="00C92B04" w:rsidRPr="005355CB">
        <w:rPr>
          <w:bCs/>
          <w:lang w:val="fr-FR"/>
        </w:rPr>
        <w:t>A.</w:t>
      </w:r>
      <w:r w:rsidR="00C92B04" w:rsidRPr="005355CB">
        <w:rPr>
          <w:lang w:val="fr-FR"/>
        </w:rPr>
        <w:tab/>
      </w:r>
      <w:r w:rsidR="00C92B04" w:rsidRPr="005355CB">
        <w:rPr>
          <w:bCs/>
          <w:lang w:val="fr-FR"/>
        </w:rPr>
        <w:t>Portée</w:t>
      </w:r>
    </w:p>
    <w:p w14:paraId="2C37BEDA" w14:textId="08E4F9F7" w:rsidR="00C92B04" w:rsidRPr="005355CB" w:rsidRDefault="00C92B04" w:rsidP="005F3590">
      <w:pPr>
        <w:pStyle w:val="Normalnumber"/>
        <w:numPr>
          <w:ilvl w:val="0"/>
          <w:numId w:val="2"/>
        </w:numPr>
        <w:tabs>
          <w:tab w:val="clear" w:pos="1247"/>
          <w:tab w:val="clear" w:pos="1814"/>
          <w:tab w:val="clear" w:pos="2381"/>
          <w:tab w:val="clear" w:pos="2948"/>
          <w:tab w:val="clear" w:pos="3515"/>
          <w:tab w:val="clear" w:pos="4082"/>
          <w:tab w:val="left" w:pos="624"/>
        </w:tabs>
        <w:rPr>
          <w:rFonts w:eastAsia="MS Mincho"/>
        </w:rPr>
      </w:pPr>
      <w:r w:rsidRPr="005355CB">
        <w:rPr>
          <w:lang w:val="fr-FR"/>
        </w:rPr>
        <w:t xml:space="preserve">L’objectif de cette évaluation méthodologique est de renforcer la base de connaissances à l’appui des efforts déployés par les entreprises pour réaliser la Vision </w:t>
      </w:r>
      <w:r w:rsidR="00441842">
        <w:rPr>
          <w:lang w:val="fr-FR"/>
        </w:rPr>
        <w:t xml:space="preserve">à l’horizon </w:t>
      </w:r>
      <w:r w:rsidRPr="005355CB">
        <w:rPr>
          <w:lang w:val="fr-FR"/>
        </w:rPr>
        <w:t xml:space="preserve">2050 pour la </w:t>
      </w:r>
      <w:r w:rsidR="00441842">
        <w:rPr>
          <w:lang w:val="fr-FR"/>
        </w:rPr>
        <w:t>bio</w:t>
      </w:r>
      <w:r w:rsidR="0088556D">
        <w:rPr>
          <w:lang w:val="fr-FR"/>
        </w:rPr>
        <w:t>diversité</w:t>
      </w:r>
      <w:r w:rsidR="0088556D" w:rsidRPr="005355CB">
        <w:rPr>
          <w:lang w:val="fr-FR"/>
        </w:rPr>
        <w:t xml:space="preserve"> </w:t>
      </w:r>
      <w:r w:rsidRPr="005355CB">
        <w:rPr>
          <w:lang w:val="fr-FR"/>
        </w:rPr>
        <w:t>et les objectifs de développement durable et d’éclairer les accords multilatéraux sur l’environnement liés à la biodiversité</w:t>
      </w:r>
      <w:r w:rsidR="0088556D">
        <w:rPr>
          <w:lang w:val="fr-FR"/>
        </w:rPr>
        <w:t>,</w:t>
      </w:r>
      <w:r w:rsidRPr="005355CB">
        <w:rPr>
          <w:lang w:val="fr-FR"/>
        </w:rPr>
        <w:t xml:space="preserve"> ainsi que les processus et les efforts menés dans ce cadre. L’évaluation permettra de classer les</w:t>
      </w:r>
      <w:r w:rsidR="00952B41">
        <w:rPr>
          <w:lang w:val="fr-FR"/>
        </w:rPr>
        <w:t xml:space="preserve"> différents types de</w:t>
      </w:r>
      <w:r w:rsidRPr="005355CB">
        <w:rPr>
          <w:lang w:val="fr-FR"/>
        </w:rPr>
        <w:t xml:space="preserve"> </w:t>
      </w:r>
      <w:r w:rsidR="00952B41" w:rsidRPr="00952B41">
        <w:rPr>
          <w:lang w:val="fr-FR"/>
        </w:rPr>
        <w:t xml:space="preserve">conséquences de l’activité des entreprises sur la biodiversité et sur les contributions </w:t>
      </w:r>
      <w:r w:rsidR="00C64FD7">
        <w:rPr>
          <w:lang w:val="fr-FR"/>
        </w:rPr>
        <w:t>de</w:t>
      </w:r>
      <w:r w:rsidR="00952B41" w:rsidRPr="00952B41">
        <w:rPr>
          <w:lang w:val="fr-FR"/>
        </w:rPr>
        <w:t xml:space="preserve"> la nature aux populations et de dépendance des entreprises à leur égard</w:t>
      </w:r>
      <w:r w:rsidRPr="005355CB">
        <w:rPr>
          <w:lang w:val="fr-FR"/>
        </w:rPr>
        <w:t xml:space="preserve">, lesquelles incluent les services écosystémiques et autres concepts analogues ; de jauger les critères et les indicateurs permettant de mesurer </w:t>
      </w:r>
      <w:r w:rsidR="00CE1BC4">
        <w:rPr>
          <w:lang w:val="fr-FR"/>
        </w:rPr>
        <w:t>cette dépendance et ces conséquences</w:t>
      </w:r>
      <w:r w:rsidRPr="005355CB">
        <w:rPr>
          <w:lang w:val="fr-FR"/>
        </w:rPr>
        <w:t> ; d’examiner les possibles moyens d’action des entreprises et des autres parties, notamment les gouvernements, le secteur financier et la société civile, qui interagissent avec les entreprises.</w:t>
      </w:r>
    </w:p>
    <w:p w14:paraId="71A1790D" w14:textId="305F330A" w:rsidR="00C92B04" w:rsidRPr="005355CB" w:rsidRDefault="00413067" w:rsidP="00C92B04">
      <w:pPr>
        <w:pStyle w:val="CH2"/>
        <w:rPr>
          <w:b w:val="0"/>
          <w:color w:val="000000"/>
        </w:rPr>
      </w:pPr>
      <w:r w:rsidRPr="005355CB">
        <w:rPr>
          <w:bCs/>
          <w:lang w:val="fr-FR"/>
        </w:rPr>
        <w:tab/>
      </w:r>
      <w:r w:rsidR="00C92B04" w:rsidRPr="005355CB">
        <w:rPr>
          <w:bCs/>
          <w:lang w:val="fr-FR"/>
        </w:rPr>
        <w:t>B.</w:t>
      </w:r>
      <w:r w:rsidR="00C92B04" w:rsidRPr="005355CB">
        <w:rPr>
          <w:lang w:val="fr-FR"/>
        </w:rPr>
        <w:tab/>
      </w:r>
      <w:r w:rsidRPr="005355CB">
        <w:rPr>
          <w:lang w:val="fr-FR"/>
        </w:rPr>
        <w:tab/>
      </w:r>
      <w:r w:rsidR="00C92B04" w:rsidRPr="005355CB">
        <w:rPr>
          <w:bCs/>
          <w:lang w:val="fr-FR"/>
        </w:rPr>
        <w:t>Fondements</w:t>
      </w:r>
    </w:p>
    <w:p w14:paraId="5AADC8FA" w14:textId="0B889C91" w:rsidR="00C92B04" w:rsidRPr="005355CB" w:rsidRDefault="00C92B04" w:rsidP="005F3590">
      <w:pPr>
        <w:pStyle w:val="Normalnumber"/>
        <w:numPr>
          <w:ilvl w:val="0"/>
          <w:numId w:val="2"/>
        </w:numPr>
        <w:tabs>
          <w:tab w:val="clear" w:pos="1247"/>
          <w:tab w:val="clear" w:pos="1814"/>
          <w:tab w:val="clear" w:pos="2381"/>
          <w:tab w:val="clear" w:pos="2948"/>
          <w:tab w:val="clear" w:pos="3515"/>
          <w:tab w:val="clear" w:pos="4082"/>
          <w:tab w:val="left" w:pos="624"/>
        </w:tabs>
        <w:rPr>
          <w:rFonts w:eastAsia="MS Mincho"/>
        </w:rPr>
      </w:pPr>
      <w:r w:rsidRPr="005355CB">
        <w:rPr>
          <w:lang w:val="fr-FR"/>
        </w:rPr>
        <w:t xml:space="preserve">La participation des entreprises et du secteur financier aux efforts de conservation et d’utilisation durable de la biodiversité et des contributions </w:t>
      </w:r>
      <w:r w:rsidR="00C64FD7">
        <w:rPr>
          <w:lang w:val="fr-FR"/>
        </w:rPr>
        <w:t>de</w:t>
      </w:r>
      <w:r w:rsidR="006D6DF6" w:rsidRPr="005355CB">
        <w:rPr>
          <w:lang w:val="fr-FR"/>
        </w:rPr>
        <w:t xml:space="preserve"> </w:t>
      </w:r>
      <w:r w:rsidRPr="005355CB">
        <w:rPr>
          <w:lang w:val="fr-FR"/>
        </w:rPr>
        <w:t xml:space="preserve">la nature aux populations est essentielle pour atteindre les objectifs de développement durable et réaliser la </w:t>
      </w:r>
      <w:r w:rsidR="00441842" w:rsidRPr="005355CB">
        <w:rPr>
          <w:lang w:val="fr-FR"/>
        </w:rPr>
        <w:t xml:space="preserve">Vision </w:t>
      </w:r>
      <w:r w:rsidR="00441842">
        <w:rPr>
          <w:lang w:val="fr-FR"/>
        </w:rPr>
        <w:t xml:space="preserve">à l’horizon </w:t>
      </w:r>
      <w:r w:rsidR="00441842" w:rsidRPr="005355CB">
        <w:rPr>
          <w:lang w:val="fr-FR"/>
        </w:rPr>
        <w:t xml:space="preserve">2050 pour la </w:t>
      </w:r>
      <w:r w:rsidR="00441842">
        <w:rPr>
          <w:lang w:val="fr-FR"/>
        </w:rPr>
        <w:t>biodiversité</w:t>
      </w:r>
      <w:r w:rsidRPr="005355CB">
        <w:rPr>
          <w:lang w:val="fr-FR"/>
        </w:rPr>
        <w:t xml:space="preserve">, le cadre mondial de la biodiversité pour l’après-2020 ainsi que d’autres engagements liés à la biodiversité. Les différents secteurs d’activité dépendent et bénéficient de la biodiversité et des contributions </w:t>
      </w:r>
      <w:r w:rsidR="00C64FD7">
        <w:rPr>
          <w:lang w:val="fr-FR"/>
        </w:rPr>
        <w:t xml:space="preserve">de </w:t>
      </w:r>
      <w:r w:rsidRPr="005355CB">
        <w:rPr>
          <w:lang w:val="fr-FR"/>
        </w:rPr>
        <w:t xml:space="preserve">la nature aux populations de différentes manières et à des degrés divers et </w:t>
      </w:r>
      <w:r w:rsidR="00FF7ED8">
        <w:rPr>
          <w:lang w:val="fr-FR"/>
        </w:rPr>
        <w:t>o</w:t>
      </w:r>
      <w:r w:rsidR="000F366A">
        <w:rPr>
          <w:lang w:val="fr-FR"/>
        </w:rPr>
        <w:t>nt</w:t>
      </w:r>
      <w:r w:rsidRPr="005355CB">
        <w:rPr>
          <w:lang w:val="fr-FR"/>
        </w:rPr>
        <w:t xml:space="preserve"> tout un éventail d’incidences positives et négatives sur la biodiversité et les contributions </w:t>
      </w:r>
      <w:r w:rsidR="00C64FD7">
        <w:rPr>
          <w:lang w:val="fr-FR"/>
        </w:rPr>
        <w:t>de</w:t>
      </w:r>
      <w:r w:rsidR="000F366A" w:rsidRPr="005355CB">
        <w:rPr>
          <w:lang w:val="fr-FR"/>
        </w:rPr>
        <w:t xml:space="preserve"> </w:t>
      </w:r>
      <w:r w:rsidRPr="005355CB">
        <w:rPr>
          <w:lang w:val="fr-FR"/>
        </w:rPr>
        <w:t>la nature aux populations.</w:t>
      </w:r>
    </w:p>
    <w:p w14:paraId="58041654" w14:textId="4AE5BC6F"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 xml:space="preserve">Une meilleure compréhension et une meilleure prise de conscience concernant les </w:t>
      </w:r>
      <w:r w:rsidR="00ED1DF5" w:rsidRPr="00ED1DF5">
        <w:rPr>
          <w:lang w:val="fr-FR"/>
        </w:rPr>
        <w:t xml:space="preserve">conséquences de l’activité des entreprises sur la biodiversité et </w:t>
      </w:r>
      <w:r w:rsidR="00ED1DF5">
        <w:rPr>
          <w:lang w:val="fr-FR"/>
        </w:rPr>
        <w:t>la</w:t>
      </w:r>
      <w:r w:rsidR="00ED1DF5" w:rsidRPr="00ED1DF5">
        <w:rPr>
          <w:lang w:val="fr-FR"/>
        </w:rPr>
        <w:t xml:space="preserve"> dépendance des entreprises à leur égard</w:t>
      </w:r>
      <w:r w:rsidRPr="005355CB">
        <w:rPr>
          <w:lang w:val="fr-FR"/>
        </w:rPr>
        <w:t xml:space="preserve">, ainsi que de meilleurs concepts et méthodologies, dont des outils pour mesurer et faire connaître </w:t>
      </w:r>
      <w:r w:rsidR="00A409EC">
        <w:rPr>
          <w:lang w:val="fr-FR"/>
        </w:rPr>
        <w:t>cette dépendance</w:t>
      </w:r>
      <w:r w:rsidRPr="005355CB">
        <w:rPr>
          <w:lang w:val="fr-FR"/>
        </w:rPr>
        <w:t xml:space="preserve"> et ces </w:t>
      </w:r>
      <w:r w:rsidR="00A409EC">
        <w:rPr>
          <w:lang w:val="fr-FR"/>
        </w:rPr>
        <w:t>conséquences</w:t>
      </w:r>
      <w:r w:rsidRPr="005355CB">
        <w:rPr>
          <w:lang w:val="fr-FR"/>
        </w:rPr>
        <w:t xml:space="preserve">, sont importants pour permettre aux entreprises de comprendre les risques (physiques, transitoires et systémiques) et les opportunités, ainsi que d’évaluer et de suivre leur </w:t>
      </w:r>
      <w:r w:rsidR="00D33A10">
        <w:rPr>
          <w:lang w:val="fr-FR"/>
        </w:rPr>
        <w:t>progression</w:t>
      </w:r>
      <w:r w:rsidRPr="005355CB">
        <w:rPr>
          <w:lang w:val="fr-FR"/>
        </w:rPr>
        <w:t xml:space="preserve">. Une meilleure compréhension et </w:t>
      </w:r>
      <w:r w:rsidR="00B908D3">
        <w:rPr>
          <w:lang w:val="fr-FR"/>
        </w:rPr>
        <w:t>une communication systématique des informations</w:t>
      </w:r>
      <w:r w:rsidRPr="005355CB">
        <w:rPr>
          <w:lang w:val="fr-FR"/>
        </w:rPr>
        <w:t xml:space="preserve"> sont important</w:t>
      </w:r>
      <w:r w:rsidR="004B1FDC">
        <w:rPr>
          <w:lang w:val="fr-FR"/>
        </w:rPr>
        <w:t>e</w:t>
      </w:r>
      <w:r w:rsidRPr="005355CB">
        <w:rPr>
          <w:lang w:val="fr-FR"/>
        </w:rPr>
        <w:t xml:space="preserve">s pour promouvoir la responsabilité publique et la transparence, élargir les connaissances des consommateurs relatives </w:t>
      </w:r>
      <w:r w:rsidR="00B908D3">
        <w:rPr>
          <w:lang w:val="fr-FR"/>
        </w:rPr>
        <w:t>à la dépendance et aux conséquences</w:t>
      </w:r>
      <w:r w:rsidRPr="005355CB">
        <w:rPr>
          <w:lang w:val="fr-FR"/>
        </w:rPr>
        <w:t xml:space="preserve">, créer un environnement politique favorable, informer les agences de réglementation et orienter les décisions de financement et les investissements. Des initiatives ont vu le jour qui soutiennent ces efforts, mais les approches sont contradictoires, les lacunes nombreuses et aucune norme n’a été fixée pour traiter les </w:t>
      </w:r>
      <w:r w:rsidR="00B908D3">
        <w:rPr>
          <w:lang w:val="fr-FR"/>
        </w:rPr>
        <w:t>conséquences</w:t>
      </w:r>
      <w:r w:rsidRPr="005355CB">
        <w:rPr>
          <w:lang w:val="fr-FR"/>
        </w:rPr>
        <w:t xml:space="preserve"> sur la biodiversité</w:t>
      </w:r>
      <w:r w:rsidR="00B908D3">
        <w:rPr>
          <w:lang w:val="fr-FR"/>
        </w:rPr>
        <w:t xml:space="preserve"> et la dépendance à son égard</w:t>
      </w:r>
      <w:r w:rsidRPr="005355CB">
        <w:rPr>
          <w:lang w:val="fr-FR"/>
        </w:rPr>
        <w:t xml:space="preserve">, </w:t>
      </w:r>
      <w:r w:rsidR="00CC26EB">
        <w:rPr>
          <w:lang w:val="fr-FR"/>
        </w:rPr>
        <w:t xml:space="preserve">les conséquences </w:t>
      </w:r>
      <w:r w:rsidR="00380564">
        <w:rPr>
          <w:lang w:val="fr-FR"/>
        </w:rPr>
        <w:t>cumulative</w:t>
      </w:r>
      <w:r w:rsidR="00CC26EB">
        <w:rPr>
          <w:lang w:val="fr-FR"/>
        </w:rPr>
        <w:t>s</w:t>
      </w:r>
      <w:r w:rsidR="00380564">
        <w:rPr>
          <w:lang w:val="fr-FR"/>
        </w:rPr>
        <w:t xml:space="preserve"> et </w:t>
      </w:r>
      <w:r w:rsidR="00CC26EB">
        <w:rPr>
          <w:lang w:val="fr-FR"/>
        </w:rPr>
        <w:t>les conséquences</w:t>
      </w:r>
      <w:r w:rsidR="00380564">
        <w:rPr>
          <w:lang w:val="fr-FR"/>
        </w:rPr>
        <w:t xml:space="preserve"> indirecte</w:t>
      </w:r>
      <w:r w:rsidR="00CC26EB">
        <w:rPr>
          <w:lang w:val="fr-FR"/>
        </w:rPr>
        <w:t>s</w:t>
      </w:r>
      <w:r w:rsidRPr="005355CB">
        <w:rPr>
          <w:lang w:val="fr-FR"/>
        </w:rPr>
        <w:t xml:space="preserve"> </w:t>
      </w:r>
      <w:r w:rsidR="00CC26EB">
        <w:rPr>
          <w:lang w:val="fr-FR"/>
        </w:rPr>
        <w:t>résultant</w:t>
      </w:r>
      <w:r w:rsidR="00380564">
        <w:rPr>
          <w:lang w:val="fr-FR"/>
        </w:rPr>
        <w:t xml:space="preserve"> des</w:t>
      </w:r>
      <w:r w:rsidRPr="005355CB">
        <w:rPr>
          <w:lang w:val="fr-FR"/>
        </w:rPr>
        <w:t xml:space="preserve"> chaînes d’approvisionnement, </w:t>
      </w:r>
      <w:r w:rsidR="00CC26EB">
        <w:rPr>
          <w:lang w:val="fr-FR"/>
        </w:rPr>
        <w:t xml:space="preserve">du </w:t>
      </w:r>
      <w:r w:rsidRPr="005355CB">
        <w:rPr>
          <w:lang w:val="fr-FR"/>
        </w:rPr>
        <w:t xml:space="preserve">commerce ou </w:t>
      </w:r>
      <w:r w:rsidR="00CC26EB">
        <w:rPr>
          <w:lang w:val="fr-FR"/>
        </w:rPr>
        <w:t>d</w:t>
      </w:r>
      <w:r w:rsidRPr="005355CB">
        <w:rPr>
          <w:lang w:val="fr-FR"/>
        </w:rPr>
        <w:t>es effets de substitution.</w:t>
      </w:r>
    </w:p>
    <w:p w14:paraId="2FD989DB" w14:textId="1CA73324"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 xml:space="preserve">La cohérence </w:t>
      </w:r>
      <w:r w:rsidR="004B1FDC">
        <w:rPr>
          <w:lang w:val="fr-FR"/>
        </w:rPr>
        <w:t>de la communication d’informations sur</w:t>
      </w:r>
      <w:r w:rsidR="008C6086">
        <w:rPr>
          <w:lang w:val="fr-FR"/>
        </w:rPr>
        <w:t xml:space="preserve"> la dépendance et </w:t>
      </w:r>
      <w:r w:rsidR="004B1FDC">
        <w:rPr>
          <w:lang w:val="fr-FR"/>
        </w:rPr>
        <w:t>l</w:t>
      </w:r>
      <w:r w:rsidR="008C6086">
        <w:rPr>
          <w:lang w:val="fr-FR"/>
        </w:rPr>
        <w:t>es conséquence</w:t>
      </w:r>
      <w:r w:rsidR="0032471F">
        <w:rPr>
          <w:lang w:val="fr-FR"/>
        </w:rPr>
        <w:t>s</w:t>
      </w:r>
      <w:r w:rsidR="008C6086">
        <w:rPr>
          <w:lang w:val="fr-FR"/>
        </w:rPr>
        <w:t xml:space="preserve"> découlant de</w:t>
      </w:r>
      <w:r w:rsidRPr="005355CB">
        <w:rPr>
          <w:lang w:val="fr-FR"/>
        </w:rPr>
        <w:t xml:space="preserve"> facteurs </w:t>
      </w:r>
      <w:r w:rsidR="0032471F">
        <w:rPr>
          <w:lang w:val="fr-FR"/>
        </w:rPr>
        <w:t>propres</w:t>
      </w:r>
      <w:r w:rsidR="0032471F" w:rsidRPr="005355CB">
        <w:rPr>
          <w:lang w:val="fr-FR"/>
        </w:rPr>
        <w:t xml:space="preserve"> </w:t>
      </w:r>
      <w:r w:rsidRPr="005355CB">
        <w:rPr>
          <w:lang w:val="fr-FR"/>
        </w:rPr>
        <w:t xml:space="preserve">aux régions et aux entreprises permet de comparer la performance des entreprises </w:t>
      </w:r>
      <w:r w:rsidR="00654EAF">
        <w:rPr>
          <w:lang w:val="fr-FR"/>
        </w:rPr>
        <w:t xml:space="preserve">dans le temps </w:t>
      </w:r>
      <w:r w:rsidRPr="005355CB">
        <w:rPr>
          <w:lang w:val="fr-FR"/>
        </w:rPr>
        <w:t xml:space="preserve">par rapport aux buts et objectifs liés à la biodiversité, ainsi que de comparer les différents acteurs et activités. Des paramètres et des indicateurs validés, normalisés et </w:t>
      </w:r>
      <w:r w:rsidR="005F4E0C">
        <w:rPr>
          <w:lang w:val="fr-FR"/>
        </w:rPr>
        <w:t>propres</w:t>
      </w:r>
      <w:r w:rsidR="005F4E0C" w:rsidRPr="005355CB">
        <w:rPr>
          <w:lang w:val="fr-FR"/>
        </w:rPr>
        <w:t xml:space="preserve"> </w:t>
      </w:r>
      <w:r w:rsidRPr="005355CB">
        <w:rPr>
          <w:lang w:val="fr-FR"/>
        </w:rPr>
        <w:t>au secteur sont importants pour assurer une gouvernance environnementale efficace, transparente et solide.</w:t>
      </w:r>
    </w:p>
    <w:p w14:paraId="478A5B45" w14:textId="6A8F7D4F" w:rsidR="00C92B04" w:rsidRPr="005355CB" w:rsidRDefault="00413067" w:rsidP="00C92B04">
      <w:pPr>
        <w:pStyle w:val="CH2"/>
        <w:rPr>
          <w:b w:val="0"/>
          <w:color w:val="000000"/>
        </w:rPr>
      </w:pPr>
      <w:r w:rsidRPr="005355CB">
        <w:rPr>
          <w:bCs/>
          <w:lang w:val="fr-FR"/>
        </w:rPr>
        <w:tab/>
      </w:r>
      <w:r w:rsidR="00C92B04" w:rsidRPr="005355CB">
        <w:rPr>
          <w:bCs/>
          <w:lang w:val="fr-FR"/>
        </w:rPr>
        <w:t>C.</w:t>
      </w:r>
      <w:r w:rsidR="00C92B04" w:rsidRPr="005355CB">
        <w:rPr>
          <w:lang w:val="fr-FR"/>
        </w:rPr>
        <w:tab/>
      </w:r>
      <w:r w:rsidR="00C92B04" w:rsidRPr="005355CB">
        <w:rPr>
          <w:bCs/>
          <w:lang w:val="fr-FR"/>
        </w:rPr>
        <w:t>Calendrier et couverture géographique</w:t>
      </w:r>
      <w:r w:rsidR="00C92B04" w:rsidRPr="005355CB">
        <w:rPr>
          <w:lang w:val="fr-FR"/>
        </w:rPr>
        <w:t xml:space="preserve"> </w:t>
      </w:r>
    </w:p>
    <w:p w14:paraId="21DC2F33" w14:textId="237AE670"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 xml:space="preserve">L’évaluation aura une portée mondiale et abordera des questions liées à tous les grands secteurs et types d’entreprises. Les adaptations et applications régionales, </w:t>
      </w:r>
      <w:r w:rsidR="000F6831">
        <w:rPr>
          <w:lang w:val="fr-FR"/>
        </w:rPr>
        <w:t>accompagnées d’</w:t>
      </w:r>
      <w:r w:rsidRPr="005355CB">
        <w:rPr>
          <w:lang w:val="fr-FR"/>
        </w:rPr>
        <w:t>exemples tirés du passé et du présent, seront également examinées.</w:t>
      </w:r>
    </w:p>
    <w:p w14:paraId="170B75CC" w14:textId="77777777"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rsidRPr="005355CB">
        <w:rPr>
          <w:lang w:val="fr-FR"/>
        </w:rPr>
        <w:lastRenderedPageBreak/>
        <w:t xml:space="preserve">L’évaluation sera réalisée sur une période de deux ans. </w:t>
      </w:r>
    </w:p>
    <w:p w14:paraId="2DB2C46A" w14:textId="156DCE33" w:rsidR="00C92B04" w:rsidRPr="005355CB" w:rsidRDefault="00413067" w:rsidP="00C92B04">
      <w:pPr>
        <w:pStyle w:val="CH2"/>
        <w:rPr>
          <w:b w:val="0"/>
          <w:color w:val="000000"/>
        </w:rPr>
      </w:pPr>
      <w:r w:rsidRPr="005355CB">
        <w:rPr>
          <w:bCs/>
          <w:lang w:val="fr-FR"/>
        </w:rPr>
        <w:tab/>
      </w:r>
      <w:r w:rsidR="00C92B04" w:rsidRPr="005355CB">
        <w:rPr>
          <w:bCs/>
          <w:lang w:val="fr-FR"/>
        </w:rPr>
        <w:t>D.</w:t>
      </w:r>
      <w:r w:rsidR="00C92B04" w:rsidRPr="005355CB">
        <w:rPr>
          <w:lang w:val="fr-FR"/>
        </w:rPr>
        <w:tab/>
      </w:r>
      <w:r w:rsidR="00C92B04" w:rsidRPr="005355CB">
        <w:rPr>
          <w:bCs/>
          <w:lang w:val="fr-FR"/>
        </w:rPr>
        <w:t>Approche méthodologique</w:t>
      </w:r>
      <w:r w:rsidR="00C92B04" w:rsidRPr="005355CB">
        <w:rPr>
          <w:lang w:val="fr-FR"/>
        </w:rPr>
        <w:t xml:space="preserve"> </w:t>
      </w:r>
    </w:p>
    <w:p w14:paraId="3E25DDEA" w14:textId="61C0198E"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 xml:space="preserve">Le rapport d’évaluation </w:t>
      </w:r>
      <w:r w:rsidR="00FC70C1">
        <w:rPr>
          <w:lang w:val="fr-FR"/>
        </w:rPr>
        <w:t>comprendra</w:t>
      </w:r>
      <w:r w:rsidRPr="005355CB">
        <w:rPr>
          <w:lang w:val="fr-FR"/>
        </w:rPr>
        <w:t xml:space="preserve"> un résumé à l’intention des décideurs et six chapitres, chacun comportant un résumé analytique des résultats les plus utiles pour les décideurs des secteurs tant public que privé. L’évaluation portera également sur les principales lacunes en matière de connaissances, de méthodologies et de normes de </w:t>
      </w:r>
      <w:r w:rsidR="00A743D4">
        <w:rPr>
          <w:lang w:val="fr-FR"/>
        </w:rPr>
        <w:t>communication des informations</w:t>
      </w:r>
      <w:r w:rsidRPr="005355CB">
        <w:rPr>
          <w:lang w:val="fr-FR"/>
        </w:rPr>
        <w:t>.</w:t>
      </w:r>
    </w:p>
    <w:p w14:paraId="4DBF37D1" w14:textId="72CCE1C5"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bookmarkStart w:id="4" w:name="_Hlk94608591"/>
      <w:r w:rsidRPr="005355CB">
        <w:rPr>
          <w:lang w:val="fr-FR"/>
        </w:rPr>
        <w:t>L’évaluation s’appuiera sur les publications scientifiques, le</w:t>
      </w:r>
      <w:r w:rsidR="00A87B88">
        <w:rPr>
          <w:lang w:val="fr-FR"/>
        </w:rPr>
        <w:t>s</w:t>
      </w:r>
      <w:r w:rsidRPr="005355CB">
        <w:rPr>
          <w:lang w:val="fr-FR"/>
        </w:rPr>
        <w:t xml:space="preserve"> savoir</w:t>
      </w:r>
      <w:r w:rsidR="00A87B88">
        <w:rPr>
          <w:lang w:val="fr-FR"/>
        </w:rPr>
        <w:t>s</w:t>
      </w:r>
      <w:r w:rsidRPr="005355CB">
        <w:rPr>
          <w:lang w:val="fr-FR"/>
        </w:rPr>
        <w:t xml:space="preserve"> autochtone</w:t>
      </w:r>
      <w:r w:rsidR="00125F82">
        <w:rPr>
          <w:lang w:val="fr-FR"/>
        </w:rPr>
        <w:t>s</w:t>
      </w:r>
      <w:r w:rsidRPr="005355CB">
        <w:rPr>
          <w:lang w:val="fr-FR"/>
        </w:rPr>
        <w:t xml:space="preserve"> et </w:t>
      </w:r>
      <w:r w:rsidR="00A87B88" w:rsidRPr="005355CB">
        <w:rPr>
          <w:lang w:val="fr-FR"/>
        </w:rPr>
        <w:t>loca</w:t>
      </w:r>
      <w:r w:rsidR="00A87B88">
        <w:rPr>
          <w:lang w:val="fr-FR"/>
        </w:rPr>
        <w:t>ux</w:t>
      </w:r>
      <w:r w:rsidR="00A87B88" w:rsidRPr="005355CB">
        <w:rPr>
          <w:lang w:val="fr-FR"/>
        </w:rPr>
        <w:t xml:space="preserve"> </w:t>
      </w:r>
      <w:r w:rsidRPr="005355CB">
        <w:rPr>
          <w:lang w:val="fr-FR"/>
        </w:rPr>
        <w:t>et la documentation grise, conformément aux procédures d’établissement des produits de la Plateforme</w:t>
      </w:r>
      <w:r w:rsidRPr="005355CB">
        <w:rPr>
          <w:vertAlign w:val="superscript"/>
          <w:lang w:val="fr-FR"/>
        </w:rPr>
        <w:footnoteReference w:id="3"/>
      </w:r>
      <w:r w:rsidRPr="005355CB">
        <w:rPr>
          <w:lang w:val="fr-FR"/>
        </w:rPr>
        <w:t>, y</w:t>
      </w:r>
      <w:r w:rsidR="00A6275B" w:rsidRPr="005355CB">
        <w:rPr>
          <w:lang w:val="fr-FR"/>
        </w:rPr>
        <w:t> </w:t>
      </w:r>
      <w:r w:rsidRPr="005355CB">
        <w:rPr>
          <w:lang w:val="fr-FR"/>
        </w:rPr>
        <w:t>compris les évaluations et rapports utiles de la Plateforme ou autre</w:t>
      </w:r>
      <w:r w:rsidR="00125F82">
        <w:rPr>
          <w:lang w:val="fr-FR"/>
        </w:rPr>
        <w:t>s</w:t>
      </w:r>
      <w:r w:rsidRPr="005355CB">
        <w:rPr>
          <w:lang w:val="fr-FR"/>
        </w:rPr>
        <w:t xml:space="preserve"> </w:t>
      </w:r>
      <w:r w:rsidR="00125F82">
        <w:rPr>
          <w:lang w:val="fr-FR"/>
        </w:rPr>
        <w:t>documents</w:t>
      </w:r>
      <w:r w:rsidR="00125F82" w:rsidRPr="005355CB">
        <w:rPr>
          <w:lang w:val="fr-FR"/>
        </w:rPr>
        <w:t xml:space="preserve"> </w:t>
      </w:r>
      <w:r w:rsidR="00BD21E4">
        <w:rPr>
          <w:lang w:val="fr-FR"/>
        </w:rPr>
        <w:t>établis par</w:t>
      </w:r>
      <w:r w:rsidR="00BD21E4" w:rsidRPr="005355CB">
        <w:rPr>
          <w:lang w:val="fr-FR"/>
        </w:rPr>
        <w:t xml:space="preserve"> </w:t>
      </w:r>
      <w:r w:rsidRPr="005355CB">
        <w:rPr>
          <w:lang w:val="fr-FR"/>
        </w:rPr>
        <w:t xml:space="preserve">des initiatives existantes </w:t>
      </w:r>
      <w:r w:rsidR="00125F82">
        <w:rPr>
          <w:lang w:val="fr-FR"/>
        </w:rPr>
        <w:t xml:space="preserve">de communication des informations, </w:t>
      </w:r>
      <w:r w:rsidRPr="005355CB">
        <w:rPr>
          <w:lang w:val="fr-FR"/>
        </w:rPr>
        <w:t xml:space="preserve">ainsi que </w:t>
      </w:r>
      <w:r w:rsidR="00805D7A">
        <w:rPr>
          <w:lang w:val="fr-FR"/>
        </w:rPr>
        <w:t xml:space="preserve">par </w:t>
      </w:r>
      <w:r w:rsidR="00BD21E4">
        <w:rPr>
          <w:lang w:val="fr-FR"/>
        </w:rPr>
        <w:t xml:space="preserve">des </w:t>
      </w:r>
      <w:r w:rsidR="00BD21E4" w:rsidRPr="005355CB">
        <w:rPr>
          <w:lang w:val="fr-FR"/>
        </w:rPr>
        <w:t xml:space="preserve">entités </w:t>
      </w:r>
      <w:r w:rsidRPr="005355CB">
        <w:rPr>
          <w:lang w:val="fr-FR"/>
        </w:rPr>
        <w:t>publiques et privées. L’évaluation présentera des études de cas pertinentes à différentes échelles, selon qu’il conviendra.</w:t>
      </w:r>
    </w:p>
    <w:bookmarkEnd w:id="4"/>
    <w:p w14:paraId="3BCD36A6" w14:textId="77777777"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L’évaluation sera conforme au cadre conceptuel de la Plateforme</w:t>
      </w:r>
      <w:r w:rsidRPr="005355CB">
        <w:rPr>
          <w:szCs w:val="18"/>
          <w:vertAlign w:val="superscript"/>
          <w:lang w:val="fr-FR"/>
        </w:rPr>
        <w:footnoteReference w:id="4"/>
      </w:r>
      <w:r w:rsidRPr="005355CB">
        <w:rPr>
          <w:lang w:val="fr-FR"/>
        </w:rPr>
        <w:t>.</w:t>
      </w:r>
    </w:p>
    <w:p w14:paraId="4AB66375" w14:textId="0619437A"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rsidRPr="005355CB">
        <w:rPr>
          <w:lang w:val="fr-FR"/>
        </w:rPr>
        <w:t xml:space="preserve">Les travaux seront menés par une équipe d’experts hautement interdisciplinaire, comprenant des praticiens spécialisés dans </w:t>
      </w:r>
      <w:r w:rsidR="00320F18">
        <w:rPr>
          <w:lang w:val="fr-FR"/>
        </w:rPr>
        <w:t xml:space="preserve">les </w:t>
      </w:r>
      <w:r w:rsidR="00320F18" w:rsidRPr="00B3062B">
        <w:rPr>
          <w:lang w:val="fr-FR"/>
        </w:rPr>
        <w:t xml:space="preserve">conséquences </w:t>
      </w:r>
      <w:r w:rsidR="002B6320" w:rsidRPr="00B3062B">
        <w:rPr>
          <w:lang w:val="fr-FR"/>
        </w:rPr>
        <w:t xml:space="preserve">de l’activité des entreprises </w:t>
      </w:r>
      <w:r w:rsidR="00320F18" w:rsidRPr="00B3062B">
        <w:rPr>
          <w:lang w:val="fr-FR"/>
        </w:rPr>
        <w:t xml:space="preserve">sur la biodiversité et sur les contributions </w:t>
      </w:r>
      <w:r w:rsidR="00C64FD7">
        <w:rPr>
          <w:lang w:val="fr-FR"/>
        </w:rPr>
        <w:t>de</w:t>
      </w:r>
      <w:r w:rsidR="00320F18" w:rsidRPr="00B3062B">
        <w:rPr>
          <w:lang w:val="fr-FR"/>
        </w:rPr>
        <w:t xml:space="preserve"> la nature aux populations et la dépendance </w:t>
      </w:r>
      <w:r w:rsidR="002B6320">
        <w:rPr>
          <w:lang w:val="fr-FR"/>
        </w:rPr>
        <w:t>des entreprises à leur égard</w:t>
      </w:r>
      <w:r w:rsidRPr="005355CB">
        <w:rPr>
          <w:lang w:val="fr-FR"/>
        </w:rPr>
        <w:t xml:space="preserve"> dans différents secteurs d’activité (formels et informels), tels que la sylviculture, l’agriculture et les systèmes alimentaires, la pêche en mer et en eau douce et autres utilisations des espèces sauvages, l’eau, le tourisme, les produits pharmaceutiques, l’énergie, </w:t>
      </w:r>
      <w:r w:rsidR="00F83D12" w:rsidRPr="005355CB">
        <w:rPr>
          <w:lang w:val="fr-FR"/>
        </w:rPr>
        <w:t>l</w:t>
      </w:r>
      <w:r w:rsidR="00F83D12">
        <w:rPr>
          <w:lang w:val="fr-FR"/>
        </w:rPr>
        <w:t xml:space="preserve">es </w:t>
      </w:r>
      <w:r w:rsidR="00F83D12" w:rsidRPr="005355CB">
        <w:rPr>
          <w:lang w:val="fr-FR"/>
        </w:rPr>
        <w:t>infrastructure</w:t>
      </w:r>
      <w:r w:rsidR="00F83D12">
        <w:rPr>
          <w:lang w:val="fr-FR"/>
        </w:rPr>
        <w:t>s</w:t>
      </w:r>
      <w:r w:rsidR="00F83D12" w:rsidRPr="005355CB">
        <w:rPr>
          <w:lang w:val="fr-FR"/>
        </w:rPr>
        <w:t xml:space="preserve"> </w:t>
      </w:r>
      <w:r w:rsidRPr="005355CB">
        <w:rPr>
          <w:lang w:val="fr-FR"/>
        </w:rPr>
        <w:t>et l’extraction minière. L’équipe d’experts sera issue d’horizons divers, par exemple le monde académique, le monde des affaires et l’industrie, l</w:t>
      </w:r>
      <w:r w:rsidR="009A30F2">
        <w:rPr>
          <w:lang w:val="fr-FR"/>
        </w:rPr>
        <w:t>’administration publique</w:t>
      </w:r>
      <w:r w:rsidRPr="005355CB">
        <w:rPr>
          <w:lang w:val="fr-FR"/>
        </w:rPr>
        <w:t xml:space="preserve"> et la société civile, et représentera un large éventail de disciplines, </w:t>
      </w:r>
      <w:r w:rsidR="001F5467">
        <w:rPr>
          <w:lang w:val="fr-FR"/>
        </w:rPr>
        <w:t>telles que</w:t>
      </w:r>
      <w:r w:rsidRPr="005355CB">
        <w:rPr>
          <w:lang w:val="fr-FR"/>
        </w:rPr>
        <w:t xml:space="preserve"> la comptabilité, la climatologie, l’écologie, l’économie, la finance, les études de genre, l’hydrologie, le droit, l’étude de la gestion, la conception et l’ingénierie, la santé publique et l’évaluation des risques. L’équipe interdisciplinaire s’appuiera sur diverses sources de connaissances, par exemple les connaissances commerciales et financières, les connaissances en matière de politique</w:t>
      </w:r>
      <w:r w:rsidR="006F7309">
        <w:rPr>
          <w:lang w:val="fr-FR"/>
        </w:rPr>
        <w:t>s</w:t>
      </w:r>
      <w:r w:rsidRPr="005355CB">
        <w:rPr>
          <w:lang w:val="fr-FR"/>
        </w:rPr>
        <w:t xml:space="preserve"> gouvernementale</w:t>
      </w:r>
      <w:r w:rsidR="006F7309">
        <w:rPr>
          <w:lang w:val="fr-FR"/>
        </w:rPr>
        <w:t>s</w:t>
      </w:r>
      <w:r w:rsidRPr="005355CB">
        <w:rPr>
          <w:lang w:val="fr-FR"/>
        </w:rPr>
        <w:t xml:space="preserve"> et de réglementation, le</w:t>
      </w:r>
      <w:r w:rsidR="00A87B88">
        <w:rPr>
          <w:lang w:val="fr-FR"/>
        </w:rPr>
        <w:t>s</w:t>
      </w:r>
      <w:r w:rsidRPr="005355CB">
        <w:rPr>
          <w:lang w:val="fr-FR"/>
        </w:rPr>
        <w:t xml:space="preserve"> savoir</w:t>
      </w:r>
      <w:r w:rsidR="00A87B88">
        <w:rPr>
          <w:lang w:val="fr-FR"/>
        </w:rPr>
        <w:t>s</w:t>
      </w:r>
      <w:r w:rsidRPr="005355CB">
        <w:rPr>
          <w:lang w:val="fr-FR"/>
        </w:rPr>
        <w:t xml:space="preserve"> autochtone</w:t>
      </w:r>
      <w:r w:rsidR="006D10A4">
        <w:rPr>
          <w:lang w:val="fr-FR"/>
        </w:rPr>
        <w:t>s</w:t>
      </w:r>
      <w:r w:rsidRPr="005355CB">
        <w:rPr>
          <w:lang w:val="fr-FR"/>
        </w:rPr>
        <w:t xml:space="preserve"> et </w:t>
      </w:r>
      <w:r w:rsidR="00A87B88" w:rsidRPr="005355CB">
        <w:rPr>
          <w:lang w:val="fr-FR"/>
        </w:rPr>
        <w:t>loca</w:t>
      </w:r>
      <w:r w:rsidR="00A87B88">
        <w:rPr>
          <w:lang w:val="fr-FR"/>
        </w:rPr>
        <w:t>ux</w:t>
      </w:r>
      <w:r w:rsidRPr="005355CB">
        <w:rPr>
          <w:lang w:val="fr-FR"/>
        </w:rPr>
        <w:t>, ainsi que les connaissances et l’expertise relatives aux sciences naturelles et sociales.</w:t>
      </w:r>
    </w:p>
    <w:p w14:paraId="52126196" w14:textId="07FE12E9"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 xml:space="preserve">L’équipe spéciale sur les connaissances et les données soutiendra les experts dans leurs travaux sur les données et les informations et dans leur recensement des lacunes en matière de connaissances et elle encouragera, une fois l’évaluation approuvée, la production de connaissances tendant à combler les lacunes </w:t>
      </w:r>
      <w:r w:rsidR="00BB2047">
        <w:rPr>
          <w:lang w:val="fr-FR"/>
        </w:rPr>
        <w:t>recensées</w:t>
      </w:r>
      <w:r w:rsidRPr="005355CB">
        <w:rPr>
          <w:szCs w:val="18"/>
          <w:vertAlign w:val="superscript"/>
          <w:lang w:val="fr-FR"/>
        </w:rPr>
        <w:footnoteReference w:id="5"/>
      </w:r>
      <w:r w:rsidRPr="005355CB">
        <w:rPr>
          <w:lang w:val="fr-FR"/>
        </w:rPr>
        <w:t>.</w:t>
      </w:r>
    </w:p>
    <w:p w14:paraId="2636886B" w14:textId="2F6D0B73"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La prise en considération et l’utilisation des savoirs autochtones et locaux dans l’évaluation seront conformes à l’approche visant à reconnaître et à utiliser les savoirs autochtones et locaux</w:t>
      </w:r>
      <w:r w:rsidRPr="005355CB">
        <w:rPr>
          <w:szCs w:val="18"/>
          <w:vertAlign w:val="superscript"/>
          <w:lang w:val="fr-FR"/>
        </w:rPr>
        <w:footnoteReference w:id="6"/>
      </w:r>
      <w:r w:rsidRPr="005355CB">
        <w:rPr>
          <w:lang w:val="fr-FR"/>
        </w:rPr>
        <w:t xml:space="preserve"> </w:t>
      </w:r>
      <w:r w:rsidR="001914A0">
        <w:rPr>
          <w:lang w:val="fr-FR"/>
        </w:rPr>
        <w:t>dans les travaux</w:t>
      </w:r>
      <w:r w:rsidRPr="005355CB">
        <w:rPr>
          <w:lang w:val="fr-FR"/>
        </w:rPr>
        <w:t xml:space="preserve"> de la Plateforme et aux orientations pertinentes concernant sa mise en œuvre fournies par l’équipe spéciale sur les savoirs autochtones et locaux</w:t>
      </w:r>
      <w:r w:rsidRPr="005355CB">
        <w:rPr>
          <w:szCs w:val="18"/>
          <w:vertAlign w:val="superscript"/>
          <w:lang w:val="fr-FR"/>
        </w:rPr>
        <w:footnoteReference w:id="7"/>
      </w:r>
      <w:r w:rsidRPr="005355CB">
        <w:rPr>
          <w:lang w:val="fr-FR"/>
        </w:rPr>
        <w:t>.</w:t>
      </w:r>
    </w:p>
    <w:p w14:paraId="151C2AF2" w14:textId="7EEA745D"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L’équipe spéciale sur le renforcement des capacités soutiendra l’élaboration et l’adoption de l’évaluation, conformément à l’objectif</w:t>
      </w:r>
      <w:r w:rsidR="00ED40FB">
        <w:rPr>
          <w:lang w:val="fr-FR"/>
        </w:rPr>
        <w:t> </w:t>
      </w:r>
      <w:r w:rsidRPr="005355CB">
        <w:rPr>
          <w:lang w:val="fr-FR"/>
        </w:rPr>
        <w:t>2 relatif au renforcement des capacités du programme de travail de la Plateforme pour la période allant jusqu’en 2030 et au plan glissant en matière de renforcement des capacités</w:t>
      </w:r>
      <w:r w:rsidRPr="005355CB">
        <w:rPr>
          <w:szCs w:val="18"/>
          <w:vertAlign w:val="superscript"/>
          <w:lang w:val="fr-FR"/>
        </w:rPr>
        <w:footnoteReference w:id="8"/>
      </w:r>
      <w:r w:rsidRPr="005355CB">
        <w:rPr>
          <w:lang w:val="fr-FR"/>
        </w:rPr>
        <w:t>.</w:t>
      </w:r>
      <w:bookmarkStart w:id="5" w:name="_Hlk101447172"/>
      <w:bookmarkEnd w:id="5"/>
    </w:p>
    <w:p w14:paraId="74A8309F" w14:textId="09EE7DA6"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 xml:space="preserve">L’équipe spéciale sur les outils et méthodes d’élaboration des politiques œuvrera pour </w:t>
      </w:r>
      <w:r w:rsidR="00013636">
        <w:rPr>
          <w:lang w:val="fr-FR"/>
        </w:rPr>
        <w:t>recenser</w:t>
      </w:r>
      <w:r w:rsidR="00013636" w:rsidRPr="005355CB">
        <w:rPr>
          <w:lang w:val="fr-FR"/>
        </w:rPr>
        <w:t xml:space="preserve"> </w:t>
      </w:r>
      <w:r w:rsidRPr="005355CB">
        <w:rPr>
          <w:lang w:val="fr-FR"/>
        </w:rPr>
        <w:t>et évaluer les outils et cadres stratégiques utiles et pour accroître la pertinence de l’évaluation en vue de l’élaboration de politiques et par rapport aux entreprises</w:t>
      </w:r>
      <w:r w:rsidR="00013636">
        <w:rPr>
          <w:lang w:val="fr-FR"/>
        </w:rPr>
        <w:t>,</w:t>
      </w:r>
      <w:r w:rsidRPr="005355CB">
        <w:rPr>
          <w:lang w:val="fr-FR"/>
        </w:rPr>
        <w:t xml:space="preserve"> ainsi que son utilisation dans la prise de décisions, une fois approuvée</w:t>
      </w:r>
      <w:r w:rsidRPr="005355CB">
        <w:rPr>
          <w:vertAlign w:val="superscript"/>
          <w:lang w:val="fr-FR"/>
        </w:rPr>
        <w:footnoteReference w:id="9"/>
      </w:r>
      <w:r w:rsidRPr="005355CB">
        <w:rPr>
          <w:lang w:val="fr-FR"/>
        </w:rPr>
        <w:t>.</w:t>
      </w:r>
      <w:bookmarkStart w:id="6" w:name="_Hlk101447340"/>
      <w:bookmarkEnd w:id="6"/>
    </w:p>
    <w:p w14:paraId="735E3221" w14:textId="13829FEF"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 xml:space="preserve">L’équipe spéciale sur les scénarios et les modèles soutiendra l’utilisation de modèles et de scénarios pour évaluer </w:t>
      </w:r>
      <w:r w:rsidR="00013636">
        <w:rPr>
          <w:lang w:val="fr-FR"/>
        </w:rPr>
        <w:t>les conséquences de l’activité</w:t>
      </w:r>
      <w:r w:rsidR="00013636" w:rsidRPr="005355CB">
        <w:rPr>
          <w:lang w:val="fr-FR"/>
        </w:rPr>
        <w:t xml:space="preserve"> </w:t>
      </w:r>
      <w:r w:rsidRPr="005355CB">
        <w:rPr>
          <w:lang w:val="fr-FR"/>
        </w:rPr>
        <w:t xml:space="preserve">des entreprises sur la biodiversité, </w:t>
      </w:r>
      <w:r w:rsidR="00013636">
        <w:rPr>
          <w:lang w:val="fr-FR"/>
        </w:rPr>
        <w:t>ainsi que</w:t>
      </w:r>
      <w:r w:rsidR="00013636" w:rsidRPr="005355CB">
        <w:rPr>
          <w:lang w:val="fr-FR"/>
        </w:rPr>
        <w:t xml:space="preserve"> </w:t>
      </w:r>
      <w:r w:rsidRPr="005355CB">
        <w:rPr>
          <w:lang w:val="fr-FR"/>
        </w:rPr>
        <w:t>le recours à des approches transformatrices pour de meilleurs résultats concernant la biodiversité et les entreprises.</w:t>
      </w:r>
    </w:p>
    <w:p w14:paraId="7FB60B41" w14:textId="4435EBB8"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lastRenderedPageBreak/>
        <w:t xml:space="preserve">Coordination et facilitation seront assurées entre cette évaluation, l’évaluation des </w:t>
      </w:r>
      <w:r w:rsidR="00751E20">
        <w:rPr>
          <w:lang w:val="fr-FR"/>
        </w:rPr>
        <w:t>interdépendances</w:t>
      </w:r>
      <w:r w:rsidR="00751E20" w:rsidRPr="005355CB">
        <w:rPr>
          <w:lang w:val="fr-FR"/>
        </w:rPr>
        <w:t xml:space="preserve"> </w:t>
      </w:r>
      <w:r w:rsidRPr="005355CB">
        <w:rPr>
          <w:lang w:val="fr-FR"/>
        </w:rPr>
        <w:t xml:space="preserve">et l’évaluation </w:t>
      </w:r>
      <w:r w:rsidR="00751E20">
        <w:rPr>
          <w:lang w:val="fr-FR"/>
        </w:rPr>
        <w:t>du</w:t>
      </w:r>
      <w:r w:rsidR="00751E20" w:rsidRPr="005355CB">
        <w:rPr>
          <w:lang w:val="fr-FR"/>
        </w:rPr>
        <w:t xml:space="preserve"> </w:t>
      </w:r>
      <w:r w:rsidRPr="005355CB">
        <w:rPr>
          <w:lang w:val="fr-FR"/>
        </w:rPr>
        <w:t>changement transformateur</w:t>
      </w:r>
      <w:r w:rsidR="00751E20">
        <w:rPr>
          <w:lang w:val="fr-FR"/>
        </w:rPr>
        <w:t>,</w:t>
      </w:r>
      <w:r w:rsidRPr="005355CB">
        <w:rPr>
          <w:lang w:val="fr-FR"/>
        </w:rPr>
        <w:t xml:space="preserve"> </w:t>
      </w:r>
      <w:r w:rsidR="00751E20">
        <w:rPr>
          <w:lang w:val="fr-FR"/>
        </w:rPr>
        <w:t>afin</w:t>
      </w:r>
      <w:r w:rsidRPr="005355CB">
        <w:rPr>
          <w:lang w:val="fr-FR"/>
        </w:rPr>
        <w:t xml:space="preserve"> d’encourager les synergies et la complémentarité et d’éviter une duplication de la portée et des travaux.</w:t>
      </w:r>
    </w:p>
    <w:p w14:paraId="05DAB2C7" w14:textId="283B932E"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Le résumé à l’intention des décideurs des secteurs tant public que privé sera disponible dans les six langues officielles de l’Organisation des Nations Unies et imprimé sur demande, sous réserve des ressources disponibles.</w:t>
      </w:r>
    </w:p>
    <w:p w14:paraId="32094101" w14:textId="58949F61"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 xml:space="preserve">La taille du résumé à l’intention des décideurs </w:t>
      </w:r>
      <w:r w:rsidR="00535544">
        <w:rPr>
          <w:lang w:val="fr-FR"/>
        </w:rPr>
        <w:t>devra</w:t>
      </w:r>
      <w:r w:rsidR="00535544" w:rsidRPr="005355CB">
        <w:rPr>
          <w:lang w:val="fr-FR"/>
        </w:rPr>
        <w:t xml:space="preserve"> </w:t>
      </w:r>
      <w:r w:rsidRPr="005355CB">
        <w:rPr>
          <w:lang w:val="fr-FR"/>
        </w:rPr>
        <w:t>être inférieure à 8</w:t>
      </w:r>
      <w:r w:rsidR="00DD022A">
        <w:rPr>
          <w:lang w:val="fr-FR"/>
        </w:rPr>
        <w:t> </w:t>
      </w:r>
      <w:r w:rsidRPr="005355CB">
        <w:rPr>
          <w:lang w:val="fr-FR"/>
        </w:rPr>
        <w:t>500</w:t>
      </w:r>
      <w:r w:rsidR="00DD022A">
        <w:rPr>
          <w:lang w:val="fr-FR"/>
        </w:rPr>
        <w:t> </w:t>
      </w:r>
      <w:r w:rsidRPr="005355CB">
        <w:rPr>
          <w:lang w:val="fr-FR"/>
        </w:rPr>
        <w:t>mots environ (information fournie à titre indicatif)</w:t>
      </w:r>
      <w:r w:rsidRPr="005355CB">
        <w:rPr>
          <w:szCs w:val="18"/>
          <w:vertAlign w:val="superscript"/>
          <w:lang w:val="fr-FR"/>
        </w:rPr>
        <w:footnoteReference w:id="10"/>
      </w:r>
      <w:r w:rsidRPr="005355CB">
        <w:rPr>
          <w:lang w:val="fr-FR"/>
        </w:rPr>
        <w:t xml:space="preserve">. </w:t>
      </w:r>
      <w:r w:rsidR="00535544">
        <w:rPr>
          <w:lang w:val="fr-FR"/>
        </w:rPr>
        <w:t>Des</w:t>
      </w:r>
      <w:r w:rsidR="00535544" w:rsidRPr="005355CB">
        <w:rPr>
          <w:lang w:val="fr-FR"/>
        </w:rPr>
        <w:t xml:space="preserve"> </w:t>
      </w:r>
      <w:r w:rsidRPr="005355CB">
        <w:rPr>
          <w:lang w:val="fr-FR"/>
        </w:rPr>
        <w:t xml:space="preserve">limites pour le nombre de mots sont également fournies pour chaque chapitre </w:t>
      </w:r>
      <w:r w:rsidR="00305C84">
        <w:rPr>
          <w:lang w:val="fr-FR"/>
        </w:rPr>
        <w:t>dans</w:t>
      </w:r>
      <w:r w:rsidRPr="005355CB">
        <w:rPr>
          <w:lang w:val="fr-FR"/>
        </w:rPr>
        <w:t xml:space="preserve"> la section</w:t>
      </w:r>
      <w:r w:rsidR="003837D0">
        <w:rPr>
          <w:lang w:val="fr-FR"/>
        </w:rPr>
        <w:t> </w:t>
      </w:r>
      <w:r w:rsidRPr="005355CB">
        <w:rPr>
          <w:lang w:val="fr-FR"/>
        </w:rPr>
        <w:t>II ci-dessous.</w:t>
      </w:r>
    </w:p>
    <w:p w14:paraId="280F8C7F" w14:textId="221E80FF"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La communication et la sensibilisation seront assurées dès le début de l’évaluation et tout au long de son déroulement</w:t>
      </w:r>
      <w:r w:rsidR="006E5898">
        <w:rPr>
          <w:lang w:val="fr-FR"/>
        </w:rPr>
        <w:t>,</w:t>
      </w:r>
      <w:r w:rsidRPr="005355CB">
        <w:rPr>
          <w:lang w:val="fr-FR"/>
        </w:rPr>
        <w:t xml:space="preserve"> afin de susciter l’engagement de la communauté du savoir au sens large et des utilisateurs finaux de l’évaluation.</w:t>
      </w:r>
    </w:p>
    <w:p w14:paraId="778DA266" w14:textId="55F281C0"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Un appui technique sera fourni par un groupe d’appui technique, lequel travaillera en étroite collaboration avec les groupes d’experts produisant d’autres évaluations de la Plateforme et avec les équipes spéciales de la Plateforme et leurs groupes d’appui technique respectifs.</w:t>
      </w:r>
    </w:p>
    <w:p w14:paraId="0F9C2116" w14:textId="2A27FB07" w:rsidR="00C92B04" w:rsidRPr="005355CB" w:rsidRDefault="00413067" w:rsidP="00C92B04">
      <w:pPr>
        <w:pStyle w:val="CH1"/>
      </w:pPr>
      <w:r w:rsidRPr="005355CB">
        <w:rPr>
          <w:bCs/>
          <w:lang w:val="fr-FR"/>
        </w:rPr>
        <w:tab/>
      </w:r>
      <w:r w:rsidR="00C92B04" w:rsidRPr="005355CB">
        <w:rPr>
          <w:bCs/>
          <w:lang w:val="fr-FR"/>
        </w:rPr>
        <w:t>II.</w:t>
      </w:r>
      <w:r w:rsidR="00C92B04" w:rsidRPr="005355CB">
        <w:rPr>
          <w:lang w:val="fr-FR"/>
        </w:rPr>
        <w:tab/>
      </w:r>
      <w:r w:rsidR="00C92B04" w:rsidRPr="005355CB">
        <w:rPr>
          <w:bCs/>
          <w:lang w:val="fr-FR"/>
        </w:rPr>
        <w:t>Aperçu des chapitres</w:t>
      </w:r>
    </w:p>
    <w:p w14:paraId="73AE108C" w14:textId="4CB4AB44"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b/>
          <w:bCs/>
          <w:lang w:val="fr-FR"/>
        </w:rPr>
        <w:t>Chapitre</w:t>
      </w:r>
      <w:r w:rsidR="007D73C8">
        <w:rPr>
          <w:b/>
          <w:bCs/>
          <w:lang w:val="fr-FR"/>
        </w:rPr>
        <w:t> </w:t>
      </w:r>
      <w:r w:rsidRPr="005355CB">
        <w:rPr>
          <w:b/>
          <w:bCs/>
          <w:lang w:val="fr-FR"/>
        </w:rPr>
        <w:t>1</w:t>
      </w:r>
      <w:r w:rsidR="001F1459">
        <w:rPr>
          <w:b/>
          <w:bCs/>
          <w:lang w:val="fr-FR"/>
        </w:rPr>
        <w:t> </w:t>
      </w:r>
      <w:r w:rsidRPr="005355CB">
        <w:rPr>
          <w:b/>
          <w:bCs/>
          <w:lang w:val="fr-FR"/>
        </w:rPr>
        <w:t>: Planter le décor.</w:t>
      </w:r>
      <w:r w:rsidRPr="005355CB">
        <w:rPr>
          <w:lang w:val="fr-FR"/>
        </w:rPr>
        <w:t xml:space="preserve"> (</w:t>
      </w:r>
      <w:r w:rsidRPr="005355CB">
        <w:rPr>
          <w:i/>
          <w:iCs/>
          <w:lang w:val="fr-FR"/>
        </w:rPr>
        <w:t>Longueur suggérée</w:t>
      </w:r>
      <w:r w:rsidR="00C02159">
        <w:rPr>
          <w:i/>
          <w:iCs/>
          <w:lang w:val="fr-FR"/>
        </w:rPr>
        <w:t xml:space="preserve"> : environ </w:t>
      </w:r>
      <w:r w:rsidRPr="005355CB">
        <w:rPr>
          <w:i/>
          <w:iCs/>
          <w:lang w:val="fr-FR"/>
        </w:rPr>
        <w:t>10 200 mots</w:t>
      </w:r>
      <w:r w:rsidRPr="005355CB">
        <w:rPr>
          <w:lang w:val="fr-FR"/>
        </w:rPr>
        <w:t>) Le chapitre</w:t>
      </w:r>
      <w:r w:rsidR="001F1459">
        <w:rPr>
          <w:lang w:val="fr-FR"/>
        </w:rPr>
        <w:t> </w:t>
      </w:r>
      <w:r w:rsidRPr="005355CB">
        <w:rPr>
          <w:lang w:val="fr-FR"/>
        </w:rPr>
        <w:t xml:space="preserve">1 décrit le but de l’évaluation et le public visé. Il présentera les questions à évaluer dans les chapitres suivants et examinera les liens entre cette évaluation et les autres évaluations pertinentes de la Plateforme, ainsi que la manière dont cette évaluation s’inscrit dans le cadre conceptuel de la Plateforme et dans la réalisation de la </w:t>
      </w:r>
      <w:r w:rsidR="00C64FD7" w:rsidRPr="005355CB">
        <w:rPr>
          <w:lang w:val="fr-FR"/>
        </w:rPr>
        <w:t xml:space="preserve">Vision </w:t>
      </w:r>
      <w:r w:rsidR="00C64FD7">
        <w:rPr>
          <w:lang w:val="fr-FR"/>
        </w:rPr>
        <w:t xml:space="preserve">à l’horizon </w:t>
      </w:r>
      <w:r w:rsidR="00C64FD7" w:rsidRPr="005355CB">
        <w:rPr>
          <w:lang w:val="fr-FR"/>
        </w:rPr>
        <w:t xml:space="preserve">2050 pour la </w:t>
      </w:r>
      <w:r w:rsidR="00C64FD7">
        <w:rPr>
          <w:lang w:val="fr-FR"/>
        </w:rPr>
        <w:t>biodiversité</w:t>
      </w:r>
      <w:r w:rsidR="00C64FD7" w:rsidRPr="005355CB" w:rsidDel="00C64FD7">
        <w:rPr>
          <w:lang w:val="fr-FR"/>
        </w:rPr>
        <w:t xml:space="preserve"> </w:t>
      </w:r>
      <w:r w:rsidRPr="005355CB">
        <w:rPr>
          <w:lang w:val="fr-FR"/>
        </w:rPr>
        <w:t>et des objectifs de développement durable.</w:t>
      </w:r>
    </w:p>
    <w:p w14:paraId="77BDB69A" w14:textId="040CBA3E"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rsidRPr="005355CB">
        <w:rPr>
          <w:lang w:val="fr-FR"/>
        </w:rPr>
        <w:t>Le chapitre</w:t>
      </w:r>
      <w:r w:rsidR="00EE3A7E">
        <w:rPr>
          <w:lang w:val="fr-FR"/>
        </w:rPr>
        <w:t> </w:t>
      </w:r>
      <w:r w:rsidRPr="005355CB">
        <w:rPr>
          <w:lang w:val="fr-FR"/>
        </w:rPr>
        <w:t xml:space="preserve">1 présentera également une typologie des différents secteurs d’activité, qui couvrira les secteurs économiques tant formel qu’informel et sera utilisée tout au long de l’évaluation, en se référant aux typologies existantes. Il présentera la structure de la relation entre </w:t>
      </w:r>
      <w:r w:rsidR="002E3AB5">
        <w:rPr>
          <w:lang w:val="fr-FR"/>
        </w:rPr>
        <w:t xml:space="preserve">les </w:t>
      </w:r>
      <w:r w:rsidR="002E3AB5" w:rsidRPr="00B3062B">
        <w:rPr>
          <w:lang w:val="fr-FR"/>
        </w:rPr>
        <w:t xml:space="preserve">conséquences de l’activité des entreprises sur la biodiversité et sur les contributions </w:t>
      </w:r>
      <w:r w:rsidR="00C64FD7">
        <w:rPr>
          <w:lang w:val="fr-FR"/>
        </w:rPr>
        <w:t>de</w:t>
      </w:r>
      <w:r w:rsidR="002E3AB5" w:rsidRPr="00B3062B">
        <w:rPr>
          <w:lang w:val="fr-FR"/>
        </w:rPr>
        <w:t xml:space="preserve"> la nature aux populations et la dépendance des entreprises à leur égard</w:t>
      </w:r>
      <w:r w:rsidRPr="005355CB">
        <w:rPr>
          <w:lang w:val="fr-FR"/>
        </w:rPr>
        <w:t>, mais laissera aux chapitres suivants le soin de développer pleinement les typologies de dépendance (chapitre</w:t>
      </w:r>
      <w:r w:rsidR="006D03C1">
        <w:rPr>
          <w:lang w:val="fr-FR"/>
        </w:rPr>
        <w:t> </w:t>
      </w:r>
      <w:r w:rsidRPr="005355CB">
        <w:rPr>
          <w:lang w:val="fr-FR"/>
        </w:rPr>
        <w:t xml:space="preserve">2) et </w:t>
      </w:r>
      <w:r w:rsidR="002E3AB5">
        <w:rPr>
          <w:lang w:val="fr-FR"/>
        </w:rPr>
        <w:t>de conséquences</w:t>
      </w:r>
      <w:r w:rsidR="002E3AB5" w:rsidRPr="005355CB">
        <w:rPr>
          <w:lang w:val="fr-FR"/>
        </w:rPr>
        <w:t xml:space="preserve"> </w:t>
      </w:r>
      <w:r w:rsidRPr="005355CB">
        <w:rPr>
          <w:lang w:val="fr-FR"/>
        </w:rPr>
        <w:t>(chapitre</w:t>
      </w:r>
      <w:r w:rsidR="006D03C1">
        <w:rPr>
          <w:lang w:val="fr-FR"/>
        </w:rPr>
        <w:t> </w:t>
      </w:r>
      <w:r w:rsidRPr="005355CB">
        <w:rPr>
          <w:lang w:val="fr-FR"/>
        </w:rPr>
        <w:t>3). Il mettra en exergue les questions clefs et définira les termes importants dans le contexte de leur utilisation dans l’évaluation, par exemple, le terme « dépendance directe et indirecte ».</w:t>
      </w:r>
    </w:p>
    <w:p w14:paraId="441339F1" w14:textId="5BC529B2"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rsidRPr="005355CB">
        <w:rPr>
          <w:b/>
          <w:bCs/>
          <w:lang w:val="fr-FR"/>
        </w:rPr>
        <w:t>Chapitre</w:t>
      </w:r>
      <w:r w:rsidR="006D03C1">
        <w:rPr>
          <w:b/>
          <w:bCs/>
          <w:lang w:val="fr-FR"/>
        </w:rPr>
        <w:t> </w:t>
      </w:r>
      <w:r w:rsidRPr="005355CB">
        <w:rPr>
          <w:b/>
          <w:bCs/>
          <w:lang w:val="fr-FR"/>
        </w:rPr>
        <w:t>2</w:t>
      </w:r>
      <w:r w:rsidR="006D03C1">
        <w:rPr>
          <w:b/>
          <w:bCs/>
          <w:lang w:val="fr-FR"/>
        </w:rPr>
        <w:t> </w:t>
      </w:r>
      <w:r w:rsidRPr="005355CB">
        <w:rPr>
          <w:b/>
          <w:bCs/>
          <w:lang w:val="fr-FR"/>
        </w:rPr>
        <w:t>: En quoi les entreprises dépendent-elles de la biodiversité ?</w:t>
      </w:r>
      <w:r w:rsidRPr="005355CB">
        <w:rPr>
          <w:lang w:val="fr-FR"/>
        </w:rPr>
        <w:t xml:space="preserve"> (</w:t>
      </w:r>
      <w:r w:rsidRPr="005355CB">
        <w:rPr>
          <w:i/>
          <w:iCs/>
          <w:lang w:val="fr-FR"/>
        </w:rPr>
        <w:t>Longueur suggérée</w:t>
      </w:r>
      <w:r w:rsidR="00C02159">
        <w:rPr>
          <w:i/>
          <w:iCs/>
          <w:lang w:val="fr-FR"/>
        </w:rPr>
        <w:t xml:space="preserve"> : environ </w:t>
      </w:r>
      <w:r w:rsidRPr="005355CB">
        <w:rPr>
          <w:i/>
          <w:iCs/>
          <w:lang w:val="fr-FR"/>
        </w:rPr>
        <w:t>12</w:t>
      </w:r>
      <w:r w:rsidR="006D03C1">
        <w:rPr>
          <w:i/>
          <w:iCs/>
          <w:lang w:val="fr-FR"/>
        </w:rPr>
        <w:t> </w:t>
      </w:r>
      <w:r w:rsidRPr="005355CB">
        <w:rPr>
          <w:i/>
          <w:iCs/>
          <w:lang w:val="fr-FR"/>
        </w:rPr>
        <w:t>750</w:t>
      </w:r>
      <w:r w:rsidR="006D03C1">
        <w:rPr>
          <w:i/>
          <w:iCs/>
          <w:lang w:val="fr-FR"/>
        </w:rPr>
        <w:t> </w:t>
      </w:r>
      <w:r w:rsidRPr="005355CB">
        <w:rPr>
          <w:i/>
          <w:iCs/>
          <w:lang w:val="fr-FR"/>
        </w:rPr>
        <w:t>mots</w:t>
      </w:r>
      <w:r w:rsidRPr="005355CB">
        <w:rPr>
          <w:lang w:val="fr-FR"/>
        </w:rPr>
        <w:t>) Le chapitre</w:t>
      </w:r>
      <w:r w:rsidR="00B75F4A">
        <w:rPr>
          <w:lang w:val="fr-FR"/>
        </w:rPr>
        <w:t> </w:t>
      </w:r>
      <w:r w:rsidRPr="005355CB">
        <w:rPr>
          <w:lang w:val="fr-FR"/>
        </w:rPr>
        <w:t xml:space="preserve">2 décrit les différentes manières dont les entreprises dépendent de la biodiversité et des contributions </w:t>
      </w:r>
      <w:r w:rsidR="00C64FD7">
        <w:rPr>
          <w:lang w:val="fr-FR"/>
        </w:rPr>
        <w:t>de</w:t>
      </w:r>
      <w:r w:rsidR="00AA7407" w:rsidRPr="005355CB">
        <w:rPr>
          <w:lang w:val="fr-FR"/>
        </w:rPr>
        <w:t xml:space="preserve"> </w:t>
      </w:r>
      <w:r w:rsidRPr="005355CB">
        <w:rPr>
          <w:lang w:val="fr-FR"/>
        </w:rPr>
        <w:t xml:space="preserve">la nature aux populations, tout en soulignant les synergies et les compromis potentiels avec d’autres objectifs sociétaux. Il présentera des exemples concrets de dépendance tant qualitative que quantitative et décrira comment la conservation et l’utilisation durable de la biodiversité peuvent </w:t>
      </w:r>
      <w:r w:rsidR="00593459">
        <w:rPr>
          <w:lang w:val="fr-FR"/>
        </w:rPr>
        <w:t>fournir</w:t>
      </w:r>
      <w:r w:rsidR="00593459" w:rsidRPr="005355CB">
        <w:rPr>
          <w:lang w:val="fr-FR"/>
        </w:rPr>
        <w:t xml:space="preserve"> </w:t>
      </w:r>
      <w:r w:rsidRPr="005355CB">
        <w:rPr>
          <w:lang w:val="fr-FR"/>
        </w:rPr>
        <w:t xml:space="preserve">des avantages et </w:t>
      </w:r>
      <w:r w:rsidR="00593459">
        <w:rPr>
          <w:lang w:val="fr-FR"/>
        </w:rPr>
        <w:t xml:space="preserve">ouvrir </w:t>
      </w:r>
      <w:r w:rsidRPr="005355CB">
        <w:rPr>
          <w:lang w:val="fr-FR"/>
        </w:rPr>
        <w:t xml:space="preserve">des </w:t>
      </w:r>
      <w:r w:rsidR="00593459">
        <w:rPr>
          <w:lang w:val="fr-FR"/>
        </w:rPr>
        <w:t>perspectives</w:t>
      </w:r>
      <w:r w:rsidR="00593459" w:rsidRPr="005355CB">
        <w:rPr>
          <w:lang w:val="fr-FR"/>
        </w:rPr>
        <w:t xml:space="preserve"> </w:t>
      </w:r>
      <w:r w:rsidRPr="005355CB">
        <w:rPr>
          <w:lang w:val="fr-FR"/>
        </w:rPr>
        <w:t xml:space="preserve">pour la durabilité à long terme des entreprises, de la société et de l’environnement, et comment la perte de la biodiversité et des contributions </w:t>
      </w:r>
      <w:r w:rsidR="00C64FD7">
        <w:rPr>
          <w:lang w:val="fr-FR"/>
        </w:rPr>
        <w:t>de</w:t>
      </w:r>
      <w:r w:rsidR="00E20634" w:rsidRPr="005355CB">
        <w:rPr>
          <w:lang w:val="fr-FR"/>
        </w:rPr>
        <w:t xml:space="preserve"> </w:t>
      </w:r>
      <w:r w:rsidRPr="005355CB">
        <w:rPr>
          <w:lang w:val="fr-FR"/>
        </w:rPr>
        <w:t xml:space="preserve">la nature aux populations génère des risques pour les entreprises, la finance et la société. Il fournira également une typologie de la dépendance des entreprises de différents types et tailles à l’égard de la biodiversité et des contributions </w:t>
      </w:r>
      <w:r w:rsidR="00C64FD7">
        <w:rPr>
          <w:lang w:val="fr-FR"/>
        </w:rPr>
        <w:t>de</w:t>
      </w:r>
      <w:r w:rsidR="00E20634" w:rsidRPr="005355CB">
        <w:rPr>
          <w:lang w:val="fr-FR"/>
        </w:rPr>
        <w:t xml:space="preserve"> </w:t>
      </w:r>
      <w:r w:rsidRPr="005355CB">
        <w:rPr>
          <w:lang w:val="fr-FR"/>
        </w:rPr>
        <w:t>la nature aux populations. Ce</w:t>
      </w:r>
      <w:r w:rsidR="00A14A91">
        <w:rPr>
          <w:lang w:val="fr-FR"/>
        </w:rPr>
        <w:t> </w:t>
      </w:r>
      <w:r w:rsidRPr="005355CB">
        <w:rPr>
          <w:lang w:val="fr-FR"/>
        </w:rPr>
        <w:t xml:space="preserve">chapitre décrira les différentes méthodes et approches existantes qui peuvent être ou ont été utilisées pour </w:t>
      </w:r>
      <w:r w:rsidR="00C02159">
        <w:rPr>
          <w:lang w:val="fr-FR"/>
        </w:rPr>
        <w:t>déterminer</w:t>
      </w:r>
      <w:r w:rsidR="00E20634" w:rsidRPr="005355CB">
        <w:rPr>
          <w:lang w:val="fr-FR"/>
        </w:rPr>
        <w:t xml:space="preserve"> </w:t>
      </w:r>
      <w:r w:rsidRPr="005355CB">
        <w:rPr>
          <w:lang w:val="fr-FR"/>
        </w:rPr>
        <w:t xml:space="preserve">la dépendance et l’interdépendance des entreprises à l’égard de la biodiversité et des contributions </w:t>
      </w:r>
      <w:r w:rsidR="00C64FD7">
        <w:rPr>
          <w:lang w:val="fr-FR"/>
        </w:rPr>
        <w:t xml:space="preserve">de </w:t>
      </w:r>
      <w:r w:rsidRPr="005355CB">
        <w:rPr>
          <w:lang w:val="fr-FR"/>
        </w:rPr>
        <w:t xml:space="preserve">la nature aux populations. Il </w:t>
      </w:r>
      <w:r w:rsidR="00C02159">
        <w:rPr>
          <w:lang w:val="fr-FR"/>
        </w:rPr>
        <w:t>établira</w:t>
      </w:r>
      <w:r w:rsidR="00C02159" w:rsidRPr="005355CB">
        <w:rPr>
          <w:lang w:val="fr-FR"/>
        </w:rPr>
        <w:t xml:space="preserve"> </w:t>
      </w:r>
      <w:r w:rsidRPr="005355CB">
        <w:rPr>
          <w:lang w:val="fr-FR"/>
        </w:rPr>
        <w:t xml:space="preserve">les caractéristiques communes de ces approches, les différences importantes en </w:t>
      </w:r>
      <w:r w:rsidR="00B442B0">
        <w:rPr>
          <w:lang w:val="fr-FR"/>
        </w:rPr>
        <w:t>matière</w:t>
      </w:r>
      <w:r w:rsidR="00B442B0" w:rsidRPr="005355CB">
        <w:rPr>
          <w:lang w:val="fr-FR"/>
        </w:rPr>
        <w:t xml:space="preserve"> </w:t>
      </w:r>
      <w:r w:rsidRPr="005355CB">
        <w:rPr>
          <w:lang w:val="fr-FR"/>
        </w:rPr>
        <w:t>de cadrage et de définitions, les exigences en matière de données et les ensembles communs de données, leur utilisation à ce jour et les implications pour la prise de décisions par les entreprises, les investisseurs, les consommateurs, les gouvernements et la société civile.</w:t>
      </w:r>
      <w:bookmarkStart w:id="7" w:name="_Hlk94608383"/>
      <w:bookmarkEnd w:id="7"/>
    </w:p>
    <w:p w14:paraId="30A2A01A" w14:textId="39A2AD39"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lang w:val="fr-FR"/>
        </w:rPr>
        <w:t>Le chapitre</w:t>
      </w:r>
      <w:r w:rsidR="001A3388">
        <w:rPr>
          <w:lang w:val="fr-FR"/>
        </w:rPr>
        <w:t> </w:t>
      </w:r>
      <w:r w:rsidRPr="005355CB">
        <w:rPr>
          <w:lang w:val="fr-FR"/>
        </w:rPr>
        <w:t xml:space="preserve">2 présentera également les questions qui se posent lors de la caractérisation de la dépendance, comme la caractérisation de la dépendance directe et indirecte, la dépendance qui apparaît le long d’une chaîne d’approvisionnement, la manière dont la dépendance est influencée ou créée par </w:t>
      </w:r>
      <w:r w:rsidRPr="005355CB">
        <w:rPr>
          <w:lang w:val="fr-FR"/>
        </w:rPr>
        <w:lastRenderedPageBreak/>
        <w:t xml:space="preserve">les politiques et les réglementations, le comportement des consommateurs, les échelles spatiales et temporelles de la dépendance, les conflits potentiels entre la dépendance à l’égard des contributions </w:t>
      </w:r>
      <w:r w:rsidR="00C64FD7">
        <w:rPr>
          <w:lang w:val="fr-FR"/>
        </w:rPr>
        <w:t>de</w:t>
      </w:r>
      <w:r w:rsidR="00F6514A" w:rsidRPr="005355CB">
        <w:rPr>
          <w:lang w:val="fr-FR"/>
        </w:rPr>
        <w:t xml:space="preserve"> </w:t>
      </w:r>
      <w:r w:rsidRPr="005355CB">
        <w:rPr>
          <w:lang w:val="fr-FR"/>
        </w:rPr>
        <w:t xml:space="preserve">la nature aux populations, la conservation et la restauration de la biodiversité, et les manières de traiter les questions de justice environnementale, d’égalité et d’équité </w:t>
      </w:r>
      <w:r w:rsidR="0097177D">
        <w:rPr>
          <w:lang w:val="fr-FR"/>
        </w:rPr>
        <w:t xml:space="preserve">soulevées </w:t>
      </w:r>
      <w:r w:rsidR="005F6AB2">
        <w:rPr>
          <w:lang w:val="fr-FR"/>
        </w:rPr>
        <w:t>par</w:t>
      </w:r>
      <w:r w:rsidRPr="005355CB">
        <w:rPr>
          <w:lang w:val="fr-FR"/>
        </w:rPr>
        <w:t xml:space="preserve"> la dépendance.</w:t>
      </w:r>
    </w:p>
    <w:p w14:paraId="69E4DF35" w14:textId="357F5F21"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5355CB">
        <w:rPr>
          <w:b/>
          <w:bCs/>
          <w:lang w:val="fr-FR"/>
        </w:rPr>
        <w:t>Chapitre</w:t>
      </w:r>
      <w:r w:rsidR="009A6B72">
        <w:rPr>
          <w:b/>
          <w:bCs/>
          <w:lang w:val="fr-FR"/>
        </w:rPr>
        <w:t> </w:t>
      </w:r>
      <w:r w:rsidRPr="005355CB">
        <w:rPr>
          <w:b/>
          <w:bCs/>
          <w:lang w:val="fr-FR"/>
        </w:rPr>
        <w:t>3</w:t>
      </w:r>
      <w:r w:rsidR="009A6B72">
        <w:rPr>
          <w:b/>
          <w:bCs/>
          <w:lang w:val="fr-FR"/>
        </w:rPr>
        <w:t> </w:t>
      </w:r>
      <w:r w:rsidRPr="005355CB">
        <w:rPr>
          <w:b/>
          <w:bCs/>
          <w:lang w:val="fr-FR"/>
        </w:rPr>
        <w:t>: En quoi l</w:t>
      </w:r>
      <w:r w:rsidR="00306A07">
        <w:rPr>
          <w:b/>
          <w:bCs/>
          <w:lang w:val="fr-FR"/>
        </w:rPr>
        <w:t>’</w:t>
      </w:r>
      <w:r w:rsidR="004A0E88">
        <w:rPr>
          <w:b/>
          <w:bCs/>
          <w:lang w:val="fr-FR"/>
        </w:rPr>
        <w:t xml:space="preserve">activité des </w:t>
      </w:r>
      <w:r w:rsidRPr="005355CB">
        <w:rPr>
          <w:b/>
          <w:bCs/>
          <w:lang w:val="fr-FR"/>
        </w:rPr>
        <w:t xml:space="preserve">entreprises </w:t>
      </w:r>
      <w:r w:rsidR="00306A07">
        <w:rPr>
          <w:b/>
          <w:bCs/>
          <w:lang w:val="fr-FR"/>
        </w:rPr>
        <w:t>a-</w:t>
      </w:r>
      <w:r w:rsidR="00306A07" w:rsidRPr="005355CB">
        <w:rPr>
          <w:b/>
          <w:bCs/>
          <w:lang w:val="fr-FR"/>
        </w:rPr>
        <w:t>t</w:t>
      </w:r>
      <w:r w:rsidRPr="005355CB">
        <w:rPr>
          <w:b/>
          <w:bCs/>
          <w:lang w:val="fr-FR"/>
        </w:rPr>
        <w:t xml:space="preserve">-elles </w:t>
      </w:r>
      <w:r w:rsidR="004A0E88">
        <w:rPr>
          <w:b/>
          <w:bCs/>
          <w:lang w:val="fr-FR"/>
        </w:rPr>
        <w:t xml:space="preserve">des conséquences </w:t>
      </w:r>
      <w:r w:rsidRPr="005355CB">
        <w:rPr>
          <w:b/>
          <w:bCs/>
          <w:lang w:val="fr-FR"/>
        </w:rPr>
        <w:t>sur la biodiversité</w:t>
      </w:r>
      <w:r w:rsidR="009A6B72">
        <w:rPr>
          <w:b/>
          <w:bCs/>
          <w:lang w:val="fr-FR"/>
        </w:rPr>
        <w:t> </w:t>
      </w:r>
      <w:r w:rsidRPr="005355CB">
        <w:rPr>
          <w:b/>
          <w:bCs/>
          <w:lang w:val="fr-FR"/>
        </w:rPr>
        <w:t>?</w:t>
      </w:r>
      <w:r w:rsidRPr="005355CB">
        <w:rPr>
          <w:lang w:val="fr-FR"/>
        </w:rPr>
        <w:t xml:space="preserve"> (</w:t>
      </w:r>
      <w:r w:rsidRPr="005355CB">
        <w:rPr>
          <w:i/>
          <w:iCs/>
          <w:lang w:val="fr-FR"/>
        </w:rPr>
        <w:t>Longueur suggérée</w:t>
      </w:r>
      <w:r w:rsidR="004D72B7">
        <w:rPr>
          <w:i/>
          <w:iCs/>
          <w:lang w:val="fr-FR"/>
        </w:rPr>
        <w:t xml:space="preserve"> : environ </w:t>
      </w:r>
      <w:r w:rsidRPr="005355CB">
        <w:rPr>
          <w:i/>
          <w:iCs/>
          <w:lang w:val="fr-FR"/>
        </w:rPr>
        <w:t>12</w:t>
      </w:r>
      <w:r w:rsidR="00205B32">
        <w:rPr>
          <w:i/>
          <w:iCs/>
          <w:lang w:val="fr-FR"/>
        </w:rPr>
        <w:t> </w:t>
      </w:r>
      <w:r w:rsidRPr="005355CB">
        <w:rPr>
          <w:i/>
          <w:iCs/>
          <w:lang w:val="fr-FR"/>
        </w:rPr>
        <w:t>750</w:t>
      </w:r>
      <w:r w:rsidR="00205B32">
        <w:rPr>
          <w:i/>
          <w:iCs/>
          <w:lang w:val="fr-FR"/>
        </w:rPr>
        <w:t> </w:t>
      </w:r>
      <w:r w:rsidRPr="005355CB">
        <w:rPr>
          <w:i/>
          <w:iCs/>
          <w:lang w:val="fr-FR"/>
        </w:rPr>
        <w:t>mots</w:t>
      </w:r>
      <w:r w:rsidRPr="005355CB">
        <w:rPr>
          <w:lang w:val="fr-FR"/>
        </w:rPr>
        <w:t>) Le chapitre</w:t>
      </w:r>
      <w:r w:rsidR="00205B32">
        <w:rPr>
          <w:lang w:val="fr-FR"/>
        </w:rPr>
        <w:t> </w:t>
      </w:r>
      <w:r w:rsidRPr="005355CB">
        <w:rPr>
          <w:lang w:val="fr-FR"/>
        </w:rPr>
        <w:t xml:space="preserve">3 examinera les formes que </w:t>
      </w:r>
      <w:r w:rsidR="000B2B5E">
        <w:rPr>
          <w:lang w:val="fr-FR"/>
        </w:rPr>
        <w:t>prennent</w:t>
      </w:r>
      <w:r w:rsidR="000B2B5E" w:rsidRPr="005355CB">
        <w:rPr>
          <w:lang w:val="fr-FR"/>
        </w:rPr>
        <w:t xml:space="preserve"> </w:t>
      </w:r>
      <w:r w:rsidR="000B2B5E">
        <w:rPr>
          <w:lang w:val="fr-FR"/>
        </w:rPr>
        <w:t xml:space="preserve">les conséquences de </w:t>
      </w:r>
      <w:r w:rsidR="001728AB">
        <w:rPr>
          <w:lang w:val="fr-FR"/>
        </w:rPr>
        <w:t>l’</w:t>
      </w:r>
      <w:r w:rsidR="000B2B5E">
        <w:rPr>
          <w:lang w:val="fr-FR"/>
        </w:rPr>
        <w:t>activité</w:t>
      </w:r>
      <w:r w:rsidR="000B2B5E" w:rsidRPr="005355CB">
        <w:rPr>
          <w:lang w:val="fr-FR"/>
        </w:rPr>
        <w:t xml:space="preserve"> </w:t>
      </w:r>
      <w:r w:rsidRPr="005355CB">
        <w:rPr>
          <w:lang w:val="fr-FR"/>
        </w:rPr>
        <w:t xml:space="preserve">des entreprises sur la biodiversité et les contributions </w:t>
      </w:r>
      <w:r w:rsidR="00C64FD7">
        <w:rPr>
          <w:lang w:val="fr-FR"/>
        </w:rPr>
        <w:t xml:space="preserve">de </w:t>
      </w:r>
      <w:r w:rsidRPr="005355CB">
        <w:rPr>
          <w:lang w:val="fr-FR"/>
        </w:rPr>
        <w:t xml:space="preserve">la nature aux populations, en tenant compte des facteurs directs et indirects qui entraînent </w:t>
      </w:r>
      <w:r w:rsidR="000B2B5E">
        <w:rPr>
          <w:lang w:val="fr-FR"/>
        </w:rPr>
        <w:t>ces conséquences</w:t>
      </w:r>
      <w:r w:rsidRPr="005355CB">
        <w:rPr>
          <w:lang w:val="fr-FR"/>
        </w:rPr>
        <w:t xml:space="preserve">. Il abordera les définitions, les concepts et la nature </w:t>
      </w:r>
      <w:r w:rsidR="000B2B5E">
        <w:rPr>
          <w:lang w:val="fr-FR"/>
        </w:rPr>
        <w:t>des conséquences</w:t>
      </w:r>
      <w:r w:rsidRPr="005355CB">
        <w:rPr>
          <w:lang w:val="fr-FR"/>
        </w:rPr>
        <w:t>, en créant une typologie</w:t>
      </w:r>
      <w:r w:rsidR="00494BF5">
        <w:rPr>
          <w:lang w:val="fr-FR"/>
        </w:rPr>
        <w:t xml:space="preserve"> de ces dernières</w:t>
      </w:r>
      <w:r w:rsidRPr="005355CB">
        <w:rPr>
          <w:lang w:val="fr-FR"/>
        </w:rPr>
        <w:t xml:space="preserve">. Il définira en quoi </w:t>
      </w:r>
      <w:r w:rsidR="000B2B5E">
        <w:rPr>
          <w:lang w:val="fr-FR"/>
        </w:rPr>
        <w:t>les conséquences sont liées</w:t>
      </w:r>
      <w:r w:rsidRPr="005355CB">
        <w:rPr>
          <w:lang w:val="fr-FR"/>
        </w:rPr>
        <w:t xml:space="preserve"> à la dépendance, au</w:t>
      </w:r>
      <w:r w:rsidR="00494BF5">
        <w:rPr>
          <w:lang w:val="fr-FR"/>
        </w:rPr>
        <w:t>x</w:t>
      </w:r>
      <w:r w:rsidRPr="005355CB">
        <w:rPr>
          <w:lang w:val="fr-FR"/>
        </w:rPr>
        <w:t xml:space="preserve"> risque</w:t>
      </w:r>
      <w:r w:rsidR="00494BF5">
        <w:rPr>
          <w:lang w:val="fr-FR"/>
        </w:rPr>
        <w:t>s</w:t>
      </w:r>
      <w:r w:rsidRPr="005355CB">
        <w:rPr>
          <w:lang w:val="fr-FR"/>
        </w:rPr>
        <w:t xml:space="preserve"> et aux opportunités et comment </w:t>
      </w:r>
      <w:r w:rsidR="008E4C1B">
        <w:rPr>
          <w:lang w:val="fr-FR"/>
        </w:rPr>
        <w:t>elles</w:t>
      </w:r>
      <w:r w:rsidR="008E4C1B" w:rsidRPr="005355CB">
        <w:rPr>
          <w:lang w:val="fr-FR"/>
        </w:rPr>
        <w:t xml:space="preserve"> </w:t>
      </w:r>
      <w:r w:rsidRPr="005355CB">
        <w:rPr>
          <w:lang w:val="fr-FR"/>
        </w:rPr>
        <w:t>s’articule</w:t>
      </w:r>
      <w:r w:rsidR="008E4C1B">
        <w:rPr>
          <w:lang w:val="fr-FR"/>
        </w:rPr>
        <w:t>nt</w:t>
      </w:r>
      <w:r w:rsidRPr="005355CB">
        <w:rPr>
          <w:lang w:val="fr-FR"/>
        </w:rPr>
        <w:t xml:space="preserve"> par rapport aux populations autochtones et aux communautés locales. Il décrira </w:t>
      </w:r>
      <w:r w:rsidR="00D222D4">
        <w:rPr>
          <w:lang w:val="fr-FR"/>
        </w:rPr>
        <w:t>la portée</w:t>
      </w:r>
      <w:r w:rsidRPr="005355CB">
        <w:rPr>
          <w:lang w:val="fr-FR"/>
        </w:rPr>
        <w:t xml:space="preserve"> </w:t>
      </w:r>
      <w:r w:rsidR="008E4C1B">
        <w:rPr>
          <w:lang w:val="fr-FR"/>
        </w:rPr>
        <w:t xml:space="preserve">des conséquences </w:t>
      </w:r>
      <w:r w:rsidR="001728AB">
        <w:rPr>
          <w:lang w:val="fr-FR"/>
        </w:rPr>
        <w:t>de l’activité</w:t>
      </w:r>
      <w:r w:rsidRPr="005355CB">
        <w:rPr>
          <w:lang w:val="fr-FR"/>
        </w:rPr>
        <w:t xml:space="preserve"> des entreprises sur la biodiversité et les contributions </w:t>
      </w:r>
      <w:r w:rsidR="00C64FD7">
        <w:rPr>
          <w:lang w:val="fr-FR"/>
        </w:rPr>
        <w:t>de</w:t>
      </w:r>
      <w:r w:rsidR="008E4C1B" w:rsidRPr="005355CB">
        <w:rPr>
          <w:lang w:val="fr-FR"/>
        </w:rPr>
        <w:t xml:space="preserve"> </w:t>
      </w:r>
      <w:r w:rsidRPr="005355CB">
        <w:rPr>
          <w:lang w:val="fr-FR"/>
        </w:rPr>
        <w:t xml:space="preserve">la nature aux populations et démontrera </w:t>
      </w:r>
      <w:r w:rsidR="008E4C1B">
        <w:rPr>
          <w:lang w:val="fr-FR"/>
        </w:rPr>
        <w:t>qu’il importe</w:t>
      </w:r>
      <w:r w:rsidRPr="005355CB">
        <w:rPr>
          <w:lang w:val="fr-FR"/>
        </w:rPr>
        <w:t xml:space="preserve"> de disposer de méthodologies et autres outils fiables pour évaluer </w:t>
      </w:r>
      <w:r w:rsidR="00D222D4">
        <w:rPr>
          <w:lang w:val="fr-FR"/>
        </w:rPr>
        <w:t>les conséquences</w:t>
      </w:r>
      <w:r w:rsidRPr="005355CB">
        <w:rPr>
          <w:lang w:val="fr-FR"/>
        </w:rPr>
        <w:t>.</w:t>
      </w:r>
    </w:p>
    <w:p w14:paraId="0C53E553" w14:textId="1DF3114C"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rsidRPr="005355CB">
        <w:rPr>
          <w:lang w:val="fr-FR"/>
        </w:rPr>
        <w:t>Le chapitre</w:t>
      </w:r>
      <w:r w:rsidR="001D78AC">
        <w:rPr>
          <w:lang w:val="fr-FR"/>
        </w:rPr>
        <w:t> </w:t>
      </w:r>
      <w:r w:rsidRPr="005355CB">
        <w:rPr>
          <w:lang w:val="fr-FR"/>
        </w:rPr>
        <w:t xml:space="preserve">3 décrira les méthodes et approches permettant d’évaluer </w:t>
      </w:r>
      <w:r w:rsidR="00845B0F">
        <w:rPr>
          <w:lang w:val="fr-FR"/>
        </w:rPr>
        <w:t xml:space="preserve">les conséquences </w:t>
      </w:r>
      <w:r w:rsidR="001728AB">
        <w:rPr>
          <w:lang w:val="fr-FR"/>
        </w:rPr>
        <w:t>de l’activité</w:t>
      </w:r>
      <w:r w:rsidR="00845B0F" w:rsidRPr="005355CB">
        <w:rPr>
          <w:lang w:val="fr-FR"/>
        </w:rPr>
        <w:t xml:space="preserve"> </w:t>
      </w:r>
      <w:r w:rsidRPr="005355CB">
        <w:rPr>
          <w:lang w:val="fr-FR"/>
        </w:rPr>
        <w:t xml:space="preserve">des entreprises sur la biodiversité et les contributions </w:t>
      </w:r>
      <w:r w:rsidR="00C64FD7">
        <w:rPr>
          <w:lang w:val="fr-FR"/>
        </w:rPr>
        <w:t>de</w:t>
      </w:r>
      <w:r w:rsidR="00845B0F" w:rsidRPr="005355CB">
        <w:rPr>
          <w:lang w:val="fr-FR"/>
        </w:rPr>
        <w:t xml:space="preserve"> </w:t>
      </w:r>
      <w:r w:rsidRPr="005355CB">
        <w:rPr>
          <w:lang w:val="fr-FR"/>
        </w:rPr>
        <w:t xml:space="preserve">la nature aux populations, dont les approches et scénarios quantitatifs, qualitatifs, fondés sur des données indirectes et spatialement explicites. Il </w:t>
      </w:r>
      <w:r w:rsidR="00845B0F">
        <w:rPr>
          <w:lang w:val="fr-FR"/>
        </w:rPr>
        <w:t>recensera</w:t>
      </w:r>
      <w:r w:rsidR="00845B0F" w:rsidRPr="005355CB">
        <w:rPr>
          <w:lang w:val="fr-FR"/>
        </w:rPr>
        <w:t xml:space="preserve"> </w:t>
      </w:r>
      <w:r w:rsidRPr="005355CB">
        <w:rPr>
          <w:lang w:val="fr-FR"/>
        </w:rPr>
        <w:t xml:space="preserve">les caractéristiques communes de ces méthodologies et leurs différences et examinera les implications desdites différences pour la prise de décisions. Ce chapitre décrira le cheminement </w:t>
      </w:r>
      <w:r w:rsidR="00845B0F">
        <w:rPr>
          <w:lang w:val="fr-FR"/>
        </w:rPr>
        <w:t>des conséquences</w:t>
      </w:r>
      <w:r w:rsidRPr="005355CB">
        <w:rPr>
          <w:lang w:val="fr-FR"/>
        </w:rPr>
        <w:t xml:space="preserve"> sur la biodiversité et les </w:t>
      </w:r>
      <w:r w:rsidR="00C64FD7">
        <w:rPr>
          <w:lang w:val="fr-FR"/>
        </w:rPr>
        <w:t>contributions de</w:t>
      </w:r>
      <w:r w:rsidR="00845B0F" w:rsidRPr="005355CB">
        <w:rPr>
          <w:lang w:val="fr-FR"/>
        </w:rPr>
        <w:t xml:space="preserve"> </w:t>
      </w:r>
      <w:r w:rsidRPr="005355CB">
        <w:rPr>
          <w:lang w:val="fr-FR"/>
        </w:rPr>
        <w:t>la nature aux populations via de</w:t>
      </w:r>
      <w:r w:rsidR="00C02159">
        <w:rPr>
          <w:lang w:val="fr-FR"/>
        </w:rPr>
        <w:t>s</w:t>
      </w:r>
      <w:r w:rsidRPr="005355CB">
        <w:rPr>
          <w:lang w:val="fr-FR"/>
        </w:rPr>
        <w:t xml:space="preserve"> facteurs </w:t>
      </w:r>
      <w:r w:rsidR="0057095A">
        <w:rPr>
          <w:lang w:val="fr-FR"/>
        </w:rPr>
        <w:t xml:space="preserve">tant </w:t>
      </w:r>
      <w:r w:rsidRPr="005355CB">
        <w:rPr>
          <w:lang w:val="fr-FR"/>
        </w:rPr>
        <w:t xml:space="preserve">directs </w:t>
      </w:r>
      <w:r w:rsidR="0057095A">
        <w:rPr>
          <w:lang w:val="fr-FR"/>
        </w:rPr>
        <w:t>qu’</w:t>
      </w:r>
      <w:r w:rsidRPr="005355CB">
        <w:rPr>
          <w:lang w:val="fr-FR"/>
        </w:rPr>
        <w:t xml:space="preserve">indirects, ainsi que les meilleures estimations </w:t>
      </w:r>
      <w:r w:rsidR="00845B0F">
        <w:rPr>
          <w:lang w:val="fr-FR"/>
        </w:rPr>
        <w:t xml:space="preserve">des conséquences </w:t>
      </w:r>
      <w:r w:rsidR="001728AB">
        <w:rPr>
          <w:lang w:val="fr-FR"/>
        </w:rPr>
        <w:t>de l’activité</w:t>
      </w:r>
      <w:r w:rsidRPr="005355CB">
        <w:rPr>
          <w:lang w:val="fr-FR"/>
        </w:rPr>
        <w:t xml:space="preserve"> des entreprises sur la biodiversité et les contributions </w:t>
      </w:r>
      <w:r w:rsidR="00C64FD7">
        <w:rPr>
          <w:lang w:val="fr-FR"/>
        </w:rPr>
        <w:t>de</w:t>
      </w:r>
      <w:r w:rsidR="00845B0F" w:rsidRPr="005355CB">
        <w:rPr>
          <w:lang w:val="fr-FR"/>
        </w:rPr>
        <w:t xml:space="preserve"> </w:t>
      </w:r>
      <w:r w:rsidRPr="005355CB">
        <w:rPr>
          <w:lang w:val="fr-FR"/>
        </w:rPr>
        <w:t>la nature aux populations.</w:t>
      </w:r>
    </w:p>
    <w:p w14:paraId="0991584E" w14:textId="01E4D5CB" w:rsidR="00C92B04" w:rsidRPr="005355CB" w:rsidRDefault="00C92B04" w:rsidP="00C92B04">
      <w:pPr>
        <w:pStyle w:val="Normalnumber"/>
        <w:keepNext/>
        <w:keepLines/>
        <w:numPr>
          <w:ilvl w:val="0"/>
          <w:numId w:val="1"/>
        </w:numPr>
        <w:tabs>
          <w:tab w:val="clear" w:pos="567"/>
          <w:tab w:val="clear" w:pos="1247"/>
          <w:tab w:val="clear" w:pos="1814"/>
          <w:tab w:val="clear" w:pos="2381"/>
          <w:tab w:val="clear" w:pos="2948"/>
          <w:tab w:val="clear" w:pos="3515"/>
          <w:tab w:val="clear" w:pos="4082"/>
          <w:tab w:val="left" w:pos="624"/>
        </w:tabs>
        <w:rPr>
          <w:color w:val="000000"/>
        </w:rPr>
      </w:pPr>
      <w:r w:rsidRPr="005355CB">
        <w:rPr>
          <w:lang w:val="fr-FR"/>
        </w:rPr>
        <w:t>Le chapitre</w:t>
      </w:r>
      <w:r w:rsidR="00456A5E">
        <w:rPr>
          <w:lang w:val="fr-FR"/>
        </w:rPr>
        <w:t> </w:t>
      </w:r>
      <w:r w:rsidRPr="005355CB">
        <w:rPr>
          <w:lang w:val="fr-FR"/>
        </w:rPr>
        <w:t xml:space="preserve">3 abordera également la question de la caractérisation </w:t>
      </w:r>
      <w:r w:rsidR="003848EB">
        <w:rPr>
          <w:lang w:val="fr-FR"/>
        </w:rPr>
        <w:t>des conséquences</w:t>
      </w:r>
      <w:r w:rsidRPr="005355CB">
        <w:rPr>
          <w:lang w:val="fr-FR"/>
        </w:rPr>
        <w:t xml:space="preserve">, qui pourrait inclure la création de références ou d’objectifs </w:t>
      </w:r>
      <w:r w:rsidR="00D37798">
        <w:rPr>
          <w:lang w:val="fr-FR"/>
        </w:rPr>
        <w:t>à l’aune des</w:t>
      </w:r>
      <w:r w:rsidRPr="005355CB">
        <w:rPr>
          <w:lang w:val="fr-FR"/>
        </w:rPr>
        <w:t xml:space="preserve">quels les différents types </w:t>
      </w:r>
      <w:r w:rsidR="003D60BA">
        <w:rPr>
          <w:lang w:val="fr-FR"/>
        </w:rPr>
        <w:t>de conséquences</w:t>
      </w:r>
      <w:r w:rsidR="003D60BA" w:rsidRPr="005355CB">
        <w:rPr>
          <w:lang w:val="fr-FR"/>
        </w:rPr>
        <w:t xml:space="preserve"> </w:t>
      </w:r>
      <w:r w:rsidR="00D37798">
        <w:rPr>
          <w:lang w:val="fr-FR"/>
        </w:rPr>
        <w:t>seraient</w:t>
      </w:r>
      <w:r w:rsidR="00D37798" w:rsidRPr="005355CB">
        <w:rPr>
          <w:lang w:val="fr-FR"/>
        </w:rPr>
        <w:t xml:space="preserve"> </w:t>
      </w:r>
      <w:r w:rsidRPr="005355CB">
        <w:rPr>
          <w:lang w:val="fr-FR"/>
        </w:rPr>
        <w:t xml:space="preserve">évalués ; les possibles points de basculement ; les limites de l’évaluation </w:t>
      </w:r>
      <w:r w:rsidR="00D37798">
        <w:rPr>
          <w:lang w:val="fr-FR"/>
        </w:rPr>
        <w:t>des conséquences</w:t>
      </w:r>
      <w:r w:rsidR="00D37798" w:rsidRPr="005355CB">
        <w:rPr>
          <w:lang w:val="fr-FR"/>
        </w:rPr>
        <w:t> </w:t>
      </w:r>
      <w:r w:rsidRPr="005355CB">
        <w:rPr>
          <w:lang w:val="fr-FR"/>
        </w:rPr>
        <w:t>; l’exploitation non durable des ressources naturelles</w:t>
      </w:r>
      <w:r w:rsidR="00695555">
        <w:rPr>
          <w:lang w:val="fr-FR"/>
        </w:rPr>
        <w:t> </w:t>
      </w:r>
      <w:r w:rsidRPr="005355CB">
        <w:rPr>
          <w:lang w:val="fr-FR"/>
        </w:rPr>
        <w:t xml:space="preserve">; </w:t>
      </w:r>
      <w:r w:rsidR="00D37798">
        <w:rPr>
          <w:lang w:val="fr-FR"/>
        </w:rPr>
        <w:t>les conséquences cumulatives ou conjointes</w:t>
      </w:r>
      <w:r w:rsidRPr="005355CB">
        <w:rPr>
          <w:lang w:val="fr-FR"/>
        </w:rPr>
        <w:t xml:space="preserve"> ; </w:t>
      </w:r>
      <w:r w:rsidR="00D37798">
        <w:rPr>
          <w:lang w:val="fr-FR"/>
        </w:rPr>
        <w:t>les conséquences positives, négatives, directes et indirectes ou induites</w:t>
      </w:r>
      <w:r w:rsidRPr="005355CB">
        <w:rPr>
          <w:lang w:val="fr-FR"/>
        </w:rPr>
        <w:t xml:space="preserve"> ; et l’attribution </w:t>
      </w:r>
      <w:r w:rsidR="00D37798">
        <w:rPr>
          <w:lang w:val="fr-FR"/>
        </w:rPr>
        <w:t>des conséquences</w:t>
      </w:r>
      <w:r w:rsidRPr="005355CB">
        <w:rPr>
          <w:lang w:val="fr-FR"/>
        </w:rPr>
        <w:t>. Les exigences en matière de données, la nécessité de disposer de séries de données communes et l’analyse de sensibilité seront également examinées. Ce</w:t>
      </w:r>
      <w:r w:rsidR="00A6275B" w:rsidRPr="005355CB">
        <w:rPr>
          <w:lang w:val="fr-FR"/>
        </w:rPr>
        <w:t> </w:t>
      </w:r>
      <w:r w:rsidRPr="005355CB">
        <w:rPr>
          <w:lang w:val="fr-FR"/>
        </w:rPr>
        <w:t xml:space="preserve">chapitre évaluera en outre l’utilité des approches actuellement utilisées par les entreprises pour </w:t>
      </w:r>
      <w:r w:rsidR="00655A60">
        <w:rPr>
          <w:lang w:val="fr-FR"/>
        </w:rPr>
        <w:t>recenser les conséquences de leur activité</w:t>
      </w:r>
      <w:r w:rsidRPr="005355CB">
        <w:rPr>
          <w:lang w:val="fr-FR"/>
        </w:rPr>
        <w:t>.</w:t>
      </w:r>
    </w:p>
    <w:p w14:paraId="27F54FD3" w14:textId="564847AE"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rsidRPr="005355CB">
        <w:rPr>
          <w:b/>
          <w:bCs/>
          <w:lang w:val="fr-FR"/>
        </w:rPr>
        <w:t>Chapitre</w:t>
      </w:r>
      <w:r w:rsidR="0043653E">
        <w:rPr>
          <w:b/>
          <w:bCs/>
          <w:lang w:val="fr-FR"/>
        </w:rPr>
        <w:t> </w:t>
      </w:r>
      <w:r w:rsidRPr="005355CB">
        <w:rPr>
          <w:b/>
          <w:bCs/>
          <w:lang w:val="fr-FR"/>
        </w:rPr>
        <w:t>4</w:t>
      </w:r>
      <w:r w:rsidR="0043653E">
        <w:rPr>
          <w:b/>
          <w:bCs/>
          <w:lang w:val="fr-FR"/>
        </w:rPr>
        <w:t> </w:t>
      </w:r>
      <w:r w:rsidRPr="005355CB">
        <w:rPr>
          <w:b/>
          <w:bCs/>
          <w:lang w:val="fr-FR"/>
        </w:rPr>
        <w:t xml:space="preserve">: Cadres, paramètres et indicateurs permettant de mesurer </w:t>
      </w:r>
      <w:r w:rsidR="00306A07" w:rsidRPr="00306A07">
        <w:rPr>
          <w:b/>
          <w:bCs/>
          <w:lang w:val="fr-FR"/>
        </w:rPr>
        <w:t>les conséquences de l’activité des entreprises sur la biodiversité et la dépendance des entreprises à leur égard</w:t>
      </w:r>
      <w:r w:rsidRPr="005355CB">
        <w:rPr>
          <w:b/>
          <w:bCs/>
          <w:lang w:val="fr-FR"/>
        </w:rPr>
        <w:t>.</w:t>
      </w:r>
      <w:r w:rsidRPr="005355CB">
        <w:rPr>
          <w:lang w:val="fr-FR"/>
        </w:rPr>
        <w:t xml:space="preserve"> (</w:t>
      </w:r>
      <w:r w:rsidRPr="005355CB">
        <w:rPr>
          <w:i/>
          <w:iCs/>
          <w:lang w:val="fr-FR"/>
        </w:rPr>
        <w:t>Longueur suggérée</w:t>
      </w:r>
      <w:r w:rsidR="004D72B7">
        <w:rPr>
          <w:i/>
          <w:iCs/>
          <w:lang w:val="fr-FR"/>
        </w:rPr>
        <w:t xml:space="preserve"> : environ </w:t>
      </w:r>
      <w:r w:rsidRPr="005355CB">
        <w:rPr>
          <w:i/>
          <w:iCs/>
          <w:lang w:val="fr-FR"/>
        </w:rPr>
        <w:t>15</w:t>
      </w:r>
      <w:r w:rsidR="0043653E">
        <w:rPr>
          <w:i/>
          <w:iCs/>
          <w:lang w:val="fr-FR"/>
        </w:rPr>
        <w:t> </w:t>
      </w:r>
      <w:r w:rsidRPr="005355CB">
        <w:rPr>
          <w:i/>
          <w:iCs/>
          <w:lang w:val="fr-FR"/>
        </w:rPr>
        <w:t>300</w:t>
      </w:r>
      <w:r w:rsidR="0043653E">
        <w:rPr>
          <w:i/>
          <w:iCs/>
          <w:lang w:val="fr-FR"/>
        </w:rPr>
        <w:t> </w:t>
      </w:r>
      <w:r w:rsidRPr="005355CB">
        <w:rPr>
          <w:i/>
          <w:iCs/>
          <w:lang w:val="fr-FR"/>
        </w:rPr>
        <w:t>mots</w:t>
      </w:r>
      <w:r w:rsidRPr="005355CB">
        <w:rPr>
          <w:lang w:val="fr-FR"/>
        </w:rPr>
        <w:t>) Le chapitre</w:t>
      </w:r>
      <w:r w:rsidR="0043653E">
        <w:rPr>
          <w:lang w:val="fr-FR"/>
        </w:rPr>
        <w:t> </w:t>
      </w:r>
      <w:r w:rsidRPr="005355CB">
        <w:rPr>
          <w:lang w:val="fr-FR"/>
        </w:rPr>
        <w:t>4 fera fond sur les chapitres</w:t>
      </w:r>
      <w:r w:rsidR="0043653E">
        <w:rPr>
          <w:lang w:val="fr-FR"/>
        </w:rPr>
        <w:t> </w:t>
      </w:r>
      <w:r w:rsidRPr="005355CB">
        <w:rPr>
          <w:lang w:val="fr-FR"/>
        </w:rPr>
        <w:t xml:space="preserve">2 et 3 en évaluant le statut des cadres, des paramètres et des indicateurs pertinents pour décrire </w:t>
      </w:r>
      <w:r w:rsidR="00722BC1" w:rsidRPr="00722BC1">
        <w:rPr>
          <w:lang w:val="fr-FR"/>
        </w:rPr>
        <w:t xml:space="preserve">les conséquences de l’activité des entreprises sur la biodiversité et sur les contributions </w:t>
      </w:r>
      <w:r w:rsidR="00C64FD7">
        <w:rPr>
          <w:lang w:val="fr-FR"/>
        </w:rPr>
        <w:t>de</w:t>
      </w:r>
      <w:r w:rsidR="00722BC1" w:rsidRPr="00722BC1">
        <w:rPr>
          <w:lang w:val="fr-FR"/>
        </w:rPr>
        <w:t xml:space="preserve"> la nature aux populations et la dépendance des entreprises à leur égard</w:t>
      </w:r>
      <w:r w:rsidRPr="005355CB">
        <w:rPr>
          <w:lang w:val="fr-FR"/>
        </w:rPr>
        <w:t xml:space="preserve">. Ce chapitre présentera un inventaire des cadres, paramètres et indicateurs </w:t>
      </w:r>
      <w:r w:rsidR="0048775D">
        <w:rPr>
          <w:lang w:val="fr-FR"/>
        </w:rPr>
        <w:t xml:space="preserve">des </w:t>
      </w:r>
      <w:r w:rsidR="0048775D" w:rsidRPr="0048775D">
        <w:rPr>
          <w:lang w:val="fr-FR"/>
        </w:rPr>
        <w:t>conséquences de l’activité des entreprises sur la biodiversité et</w:t>
      </w:r>
      <w:r w:rsidR="0048775D">
        <w:rPr>
          <w:lang w:val="fr-FR"/>
        </w:rPr>
        <w:t xml:space="preserve"> de</w:t>
      </w:r>
      <w:r w:rsidR="0048775D" w:rsidRPr="0048775D">
        <w:rPr>
          <w:lang w:val="fr-FR"/>
        </w:rPr>
        <w:t xml:space="preserve"> la dépendance des entreprises à leur égard</w:t>
      </w:r>
      <w:r w:rsidRPr="005355CB">
        <w:rPr>
          <w:lang w:val="fr-FR"/>
        </w:rPr>
        <w:t>, dont une évaluation de leur solidité scientifique. Il examinera également les principales lacunes des cadres, paramètres et indicateurs applicables, élaborera une typologie pour ces cadres, paramètres et indicateurs, assortie de définitions utiles, et présentera des outils pour leur évaluation.</w:t>
      </w:r>
    </w:p>
    <w:p w14:paraId="090420EE" w14:textId="09B66347"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rsidRPr="005355CB">
        <w:rPr>
          <w:lang w:val="fr-FR"/>
        </w:rPr>
        <w:t>Le chapitre</w:t>
      </w:r>
      <w:r w:rsidR="009C6F4B">
        <w:rPr>
          <w:lang w:val="fr-FR"/>
        </w:rPr>
        <w:t> </w:t>
      </w:r>
      <w:r w:rsidRPr="005355CB">
        <w:rPr>
          <w:lang w:val="fr-FR"/>
        </w:rPr>
        <w:t xml:space="preserve">4 évaluera également la manière dont les différents cadres, paramètres et indicateurs caractérisent les questions telles que les facteurs directs et indirects, </w:t>
      </w:r>
      <w:r w:rsidR="00830E44">
        <w:rPr>
          <w:lang w:val="fr-FR"/>
        </w:rPr>
        <w:t>les conséquences cumulatives</w:t>
      </w:r>
      <w:r w:rsidRPr="005355CB">
        <w:rPr>
          <w:lang w:val="fr-FR"/>
        </w:rPr>
        <w:t xml:space="preserve">, les échelles spatiales et temporelles (court et long terme), le paramètre unique par opposition aux ensemble de paramètres et d’indicateurs, l’échelle applicable (site, paysage, entreprise, portefeuille, produit, chaîne d’approvisionnement et chaîne de valeur), l’objectif et le public (gestion contre divulgation et interne contre externe) et les différentes méthodes d’évaluation (dont les méthodologies des </w:t>
      </w:r>
      <w:r w:rsidR="00991850">
        <w:rPr>
          <w:lang w:val="fr-FR"/>
        </w:rPr>
        <w:t>populations</w:t>
      </w:r>
      <w:r w:rsidR="00991850" w:rsidRPr="005355CB">
        <w:rPr>
          <w:lang w:val="fr-FR"/>
        </w:rPr>
        <w:t xml:space="preserve"> </w:t>
      </w:r>
      <w:r w:rsidRPr="005355CB">
        <w:rPr>
          <w:lang w:val="fr-FR"/>
        </w:rPr>
        <w:t xml:space="preserve">autochtones et des communautés locales), en se référant aux travaux de l’évaluation des valeurs </w:t>
      </w:r>
      <w:r w:rsidR="007638D6">
        <w:rPr>
          <w:lang w:val="fr-FR"/>
        </w:rPr>
        <w:t>par</w:t>
      </w:r>
      <w:r w:rsidR="007638D6" w:rsidRPr="005355CB">
        <w:rPr>
          <w:lang w:val="fr-FR"/>
        </w:rPr>
        <w:t xml:space="preserve"> </w:t>
      </w:r>
      <w:r w:rsidRPr="005355CB">
        <w:rPr>
          <w:lang w:val="fr-FR"/>
        </w:rPr>
        <w:t xml:space="preserve">la Plateforme. Reconnaissant qu’il </w:t>
      </w:r>
      <w:proofErr w:type="gramStart"/>
      <w:r w:rsidRPr="005355CB">
        <w:rPr>
          <w:lang w:val="fr-FR"/>
        </w:rPr>
        <w:t>est</w:t>
      </w:r>
      <w:proofErr w:type="gramEnd"/>
      <w:r w:rsidRPr="005355CB">
        <w:rPr>
          <w:lang w:val="fr-FR"/>
        </w:rPr>
        <w:t xml:space="preserve"> difficile de mesurer la biodiversité et les contributions </w:t>
      </w:r>
      <w:r w:rsidR="00C64FD7">
        <w:rPr>
          <w:lang w:val="fr-FR"/>
        </w:rPr>
        <w:t>de</w:t>
      </w:r>
      <w:r w:rsidR="00D346F8" w:rsidRPr="005355CB">
        <w:rPr>
          <w:lang w:val="fr-FR"/>
        </w:rPr>
        <w:t xml:space="preserve"> </w:t>
      </w:r>
      <w:r w:rsidRPr="005355CB">
        <w:rPr>
          <w:lang w:val="fr-FR"/>
        </w:rPr>
        <w:t xml:space="preserve">la nature aux populations à différentes échelles spatiales et temporelles et qu’il n’existe pas de cadre, de paramètre ou d’indicateur unique adapté à tous les contextes, ce chapitre </w:t>
      </w:r>
      <w:r w:rsidR="00063FC1">
        <w:rPr>
          <w:lang w:val="fr-FR"/>
        </w:rPr>
        <w:t>définir</w:t>
      </w:r>
      <w:r w:rsidR="006A2096">
        <w:rPr>
          <w:lang w:val="fr-FR"/>
        </w:rPr>
        <w:t>a</w:t>
      </w:r>
      <w:r w:rsidR="006A2096" w:rsidRPr="005355CB">
        <w:rPr>
          <w:lang w:val="fr-FR"/>
        </w:rPr>
        <w:t xml:space="preserve"> </w:t>
      </w:r>
      <w:r w:rsidRPr="005355CB">
        <w:rPr>
          <w:lang w:val="fr-FR"/>
        </w:rPr>
        <w:t xml:space="preserve">les critères permettant de déterminer les cadres, paramètres et indicateurs pratiques et scientifiques </w:t>
      </w:r>
      <w:r w:rsidR="007A07B7">
        <w:rPr>
          <w:lang w:val="fr-FR"/>
        </w:rPr>
        <w:t>préférables</w:t>
      </w:r>
      <w:r w:rsidR="007A07B7" w:rsidRPr="005355CB">
        <w:rPr>
          <w:lang w:val="fr-FR"/>
        </w:rPr>
        <w:t xml:space="preserve"> </w:t>
      </w:r>
      <w:r w:rsidRPr="005355CB">
        <w:rPr>
          <w:lang w:val="fr-FR"/>
        </w:rPr>
        <w:t xml:space="preserve">ou </w:t>
      </w:r>
      <w:r w:rsidR="007A07B7">
        <w:rPr>
          <w:lang w:val="fr-FR"/>
        </w:rPr>
        <w:t>adaptés selon les</w:t>
      </w:r>
      <w:r w:rsidRPr="005355CB">
        <w:rPr>
          <w:lang w:val="fr-FR"/>
        </w:rPr>
        <w:t xml:space="preserve"> contextes.</w:t>
      </w:r>
    </w:p>
    <w:p w14:paraId="7E7004AD" w14:textId="3D3041F2"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rsidRPr="005355CB">
        <w:rPr>
          <w:lang w:val="fr-FR"/>
        </w:rPr>
        <w:t xml:space="preserve">Ce chapitre fournira également des conseils sur l’utilisation appropriée de cadres, de paramètres et d’indicateurs par les entreprises, les décideurs, le secteur financier et autres, pour mesurer </w:t>
      </w:r>
      <w:r w:rsidR="00815D71">
        <w:rPr>
          <w:lang w:val="fr-FR"/>
        </w:rPr>
        <w:t>les résultats</w:t>
      </w:r>
      <w:r w:rsidRPr="005355CB">
        <w:rPr>
          <w:lang w:val="fr-FR"/>
        </w:rPr>
        <w:t xml:space="preserve"> des entreprises </w:t>
      </w:r>
      <w:r w:rsidR="00815D71">
        <w:rPr>
          <w:lang w:val="fr-FR"/>
        </w:rPr>
        <w:t>en ce qui concerne</w:t>
      </w:r>
      <w:r w:rsidRPr="005355CB">
        <w:rPr>
          <w:lang w:val="fr-FR"/>
        </w:rPr>
        <w:t xml:space="preserve"> la gestion des </w:t>
      </w:r>
      <w:r w:rsidR="00815D71">
        <w:rPr>
          <w:lang w:val="fr-FR"/>
        </w:rPr>
        <w:t>conséquences de leur activité</w:t>
      </w:r>
      <w:r w:rsidR="00815D71" w:rsidRPr="00815D71">
        <w:rPr>
          <w:lang w:val="fr-FR"/>
        </w:rPr>
        <w:t xml:space="preserve"> </w:t>
      </w:r>
      <w:r w:rsidR="00815D71" w:rsidRPr="00722BC1">
        <w:rPr>
          <w:lang w:val="fr-FR"/>
        </w:rPr>
        <w:t>sur la biodiversité</w:t>
      </w:r>
      <w:r w:rsidR="00815D71" w:rsidRPr="005355CB">
        <w:rPr>
          <w:lang w:val="fr-FR"/>
        </w:rPr>
        <w:t xml:space="preserve"> </w:t>
      </w:r>
      <w:r w:rsidRPr="005355CB">
        <w:rPr>
          <w:lang w:val="fr-FR"/>
        </w:rPr>
        <w:t xml:space="preserve">et </w:t>
      </w:r>
      <w:r w:rsidR="00FF3FFF">
        <w:rPr>
          <w:lang w:val="fr-FR"/>
        </w:rPr>
        <w:t xml:space="preserve">de leur </w:t>
      </w:r>
      <w:r w:rsidRPr="005355CB">
        <w:rPr>
          <w:lang w:val="fr-FR"/>
        </w:rPr>
        <w:t xml:space="preserve">dépendance à </w:t>
      </w:r>
      <w:r w:rsidR="00FF3FFF">
        <w:rPr>
          <w:lang w:val="fr-FR"/>
        </w:rPr>
        <w:t xml:space="preserve">son </w:t>
      </w:r>
      <w:r w:rsidR="00FF3FFF" w:rsidRPr="005355CB">
        <w:rPr>
          <w:lang w:val="fr-FR"/>
        </w:rPr>
        <w:t>égard</w:t>
      </w:r>
      <w:r w:rsidRPr="005355CB">
        <w:rPr>
          <w:lang w:val="fr-FR"/>
        </w:rPr>
        <w:t xml:space="preserve">. Le chapitre présentera des exemples d’application de cadres, de paramètres et d’indicateurs, en soulignant les défis associés à leur utilisation, notamment </w:t>
      </w:r>
      <w:r w:rsidR="00C52547">
        <w:rPr>
          <w:lang w:val="fr-FR"/>
        </w:rPr>
        <w:t xml:space="preserve">les </w:t>
      </w:r>
      <w:r w:rsidR="00C52547">
        <w:rPr>
          <w:lang w:val="fr-FR"/>
        </w:rPr>
        <w:lastRenderedPageBreak/>
        <w:t>conséquences cumulatives</w:t>
      </w:r>
      <w:r w:rsidRPr="005355CB">
        <w:rPr>
          <w:lang w:val="fr-FR"/>
        </w:rPr>
        <w:t xml:space="preserve"> et les points de basculement, le coût des mesures, l’accessibilité des données et les lacunes en matière de données et de connaissances.</w:t>
      </w:r>
    </w:p>
    <w:p w14:paraId="2A706639" w14:textId="32CBA168"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rsidRPr="005355CB">
        <w:rPr>
          <w:lang w:val="fr-FR"/>
        </w:rPr>
        <w:t>Le chapitre</w:t>
      </w:r>
      <w:r w:rsidR="0042052F">
        <w:rPr>
          <w:lang w:val="fr-FR"/>
        </w:rPr>
        <w:t> </w:t>
      </w:r>
      <w:r w:rsidRPr="005355CB">
        <w:rPr>
          <w:lang w:val="fr-FR"/>
        </w:rPr>
        <w:t xml:space="preserve">4 illustrera également la manière dont les différents cadres, paramètres et indicateurs s’inscrivent dans le cadre conceptuel de la Plateforme et montrera comment différents cadres, paramètres et outils sont utilisés pour évaluer la contribution des secteurs d’activité aux objectifs de développement durable, à la </w:t>
      </w:r>
      <w:r w:rsidR="00C64FD7" w:rsidRPr="005355CB">
        <w:rPr>
          <w:lang w:val="fr-FR"/>
        </w:rPr>
        <w:t xml:space="preserve">Vision </w:t>
      </w:r>
      <w:r w:rsidR="00C64FD7">
        <w:rPr>
          <w:lang w:val="fr-FR"/>
        </w:rPr>
        <w:t xml:space="preserve">à l’horizon </w:t>
      </w:r>
      <w:r w:rsidR="00C64FD7" w:rsidRPr="005355CB">
        <w:rPr>
          <w:lang w:val="fr-FR"/>
        </w:rPr>
        <w:t xml:space="preserve">2050 pour la </w:t>
      </w:r>
      <w:r w:rsidR="00C64FD7">
        <w:rPr>
          <w:lang w:val="fr-FR"/>
        </w:rPr>
        <w:t>biodiversité</w:t>
      </w:r>
      <w:r w:rsidR="00212A88" w:rsidRPr="005355CB">
        <w:rPr>
          <w:lang w:val="fr-FR"/>
        </w:rPr>
        <w:t xml:space="preserve"> </w:t>
      </w:r>
      <w:r w:rsidRPr="005355CB">
        <w:rPr>
          <w:lang w:val="fr-FR"/>
        </w:rPr>
        <w:t>et au cadre mondial de la biodiversité pour l’après-2020.</w:t>
      </w:r>
    </w:p>
    <w:p w14:paraId="350E5879" w14:textId="4CEFD4C1"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rsidRPr="005355CB">
        <w:rPr>
          <w:b/>
          <w:bCs/>
          <w:lang w:val="fr-FR"/>
        </w:rPr>
        <w:t>Chapitre</w:t>
      </w:r>
      <w:r w:rsidR="002F08F8">
        <w:rPr>
          <w:b/>
          <w:bCs/>
          <w:lang w:val="fr-FR"/>
        </w:rPr>
        <w:t> </w:t>
      </w:r>
      <w:r w:rsidRPr="005355CB">
        <w:rPr>
          <w:b/>
          <w:bCs/>
          <w:lang w:val="fr-FR"/>
        </w:rPr>
        <w:t>5</w:t>
      </w:r>
      <w:r w:rsidR="002F08F8">
        <w:rPr>
          <w:b/>
          <w:bCs/>
          <w:lang w:val="fr-FR"/>
        </w:rPr>
        <w:t> </w:t>
      </w:r>
      <w:r w:rsidRPr="005355CB">
        <w:rPr>
          <w:b/>
          <w:bCs/>
          <w:lang w:val="fr-FR"/>
        </w:rPr>
        <w:t>: Les entreprises en tant qu’acteurs clefs du changement</w:t>
      </w:r>
      <w:r w:rsidR="002F08F8">
        <w:rPr>
          <w:b/>
          <w:bCs/>
          <w:lang w:val="fr-FR"/>
        </w:rPr>
        <w:t> </w:t>
      </w:r>
      <w:r w:rsidRPr="005355CB">
        <w:rPr>
          <w:b/>
          <w:bCs/>
          <w:lang w:val="fr-FR"/>
        </w:rPr>
        <w:t>: possibilités d’action pour les entreprises.</w:t>
      </w:r>
      <w:r w:rsidRPr="005355CB">
        <w:rPr>
          <w:lang w:val="fr-FR"/>
        </w:rPr>
        <w:t xml:space="preserve"> (</w:t>
      </w:r>
      <w:r w:rsidRPr="005355CB">
        <w:rPr>
          <w:i/>
          <w:iCs/>
          <w:lang w:val="fr-FR"/>
        </w:rPr>
        <w:t>Longueur suggérée</w:t>
      </w:r>
      <w:r w:rsidR="00506697">
        <w:rPr>
          <w:i/>
          <w:iCs/>
          <w:lang w:val="fr-FR"/>
        </w:rPr>
        <w:t xml:space="preserve"> : environ </w:t>
      </w:r>
      <w:r w:rsidRPr="005355CB">
        <w:rPr>
          <w:i/>
          <w:iCs/>
          <w:lang w:val="fr-FR"/>
        </w:rPr>
        <w:t>20</w:t>
      </w:r>
      <w:r w:rsidR="002F08F8">
        <w:rPr>
          <w:i/>
          <w:iCs/>
          <w:lang w:val="fr-FR"/>
        </w:rPr>
        <w:t> </w:t>
      </w:r>
      <w:r w:rsidRPr="005355CB">
        <w:rPr>
          <w:i/>
          <w:iCs/>
          <w:lang w:val="fr-FR"/>
        </w:rPr>
        <w:t>400</w:t>
      </w:r>
      <w:r w:rsidR="002F08F8">
        <w:rPr>
          <w:i/>
          <w:iCs/>
          <w:lang w:val="fr-FR"/>
        </w:rPr>
        <w:t> </w:t>
      </w:r>
      <w:r w:rsidRPr="005355CB">
        <w:rPr>
          <w:i/>
          <w:iCs/>
          <w:lang w:val="fr-FR"/>
        </w:rPr>
        <w:t>mots</w:t>
      </w:r>
      <w:r w:rsidRPr="005355CB">
        <w:rPr>
          <w:lang w:val="fr-FR"/>
        </w:rPr>
        <w:t>) Le chapitre</w:t>
      </w:r>
      <w:r w:rsidR="002F08F8">
        <w:rPr>
          <w:lang w:val="fr-FR"/>
        </w:rPr>
        <w:t> </w:t>
      </w:r>
      <w:r w:rsidRPr="005355CB">
        <w:rPr>
          <w:lang w:val="fr-FR"/>
        </w:rPr>
        <w:t xml:space="preserve">5 traitera du rôle et de la responsabilité des entreprises dans les changements transformateurs pour un avenir durable. Il décrira à la fois les défis et les possibilités d’action pour les entreprises de divers secteurs, en se fondant sur la typologie des secteurs </w:t>
      </w:r>
      <w:r w:rsidR="006C3248">
        <w:rPr>
          <w:lang w:val="fr-FR"/>
        </w:rPr>
        <w:t xml:space="preserve">tirée </w:t>
      </w:r>
      <w:r w:rsidRPr="005355CB">
        <w:rPr>
          <w:lang w:val="fr-FR"/>
        </w:rPr>
        <w:t>du chapitre</w:t>
      </w:r>
      <w:r w:rsidR="002F08F8">
        <w:rPr>
          <w:lang w:val="fr-FR"/>
        </w:rPr>
        <w:t> </w:t>
      </w:r>
      <w:r w:rsidRPr="005355CB">
        <w:rPr>
          <w:lang w:val="fr-FR"/>
        </w:rPr>
        <w:t xml:space="preserve">1. Il comprendra une discussion sur les principaux obstacles, comme les lacunes dans les connaissances et les données, et sur les moyens de les surmonter par l’adoption de meilleures pratiques, la collaboration, le renforcement des capacités, le financement et </w:t>
      </w:r>
      <w:r w:rsidR="007F025C">
        <w:rPr>
          <w:lang w:val="fr-FR"/>
        </w:rPr>
        <w:t>l’échange</w:t>
      </w:r>
      <w:r w:rsidRPr="005355CB">
        <w:rPr>
          <w:lang w:val="fr-FR"/>
        </w:rPr>
        <w:t xml:space="preserve"> d’informations. Il examinera l’influence des paramètres et des indicateurs traités au chapitre</w:t>
      </w:r>
      <w:r w:rsidR="009F1C8F">
        <w:rPr>
          <w:lang w:val="fr-FR"/>
        </w:rPr>
        <w:t> </w:t>
      </w:r>
      <w:r w:rsidRPr="005355CB">
        <w:rPr>
          <w:lang w:val="fr-FR"/>
        </w:rPr>
        <w:t xml:space="preserve">4 concernant les résultats durables pour la biodiversité et les </w:t>
      </w:r>
      <w:r w:rsidR="00C64FD7">
        <w:rPr>
          <w:lang w:val="fr-FR"/>
        </w:rPr>
        <w:t>contributions de</w:t>
      </w:r>
      <w:r w:rsidR="00CE25A3" w:rsidRPr="005355CB">
        <w:rPr>
          <w:lang w:val="fr-FR"/>
        </w:rPr>
        <w:t xml:space="preserve"> </w:t>
      </w:r>
      <w:r w:rsidRPr="005355CB">
        <w:rPr>
          <w:lang w:val="fr-FR"/>
        </w:rPr>
        <w:t>la nature aux populations.</w:t>
      </w:r>
    </w:p>
    <w:p w14:paraId="0264E38A" w14:textId="6E7F6852"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rsidRPr="005355CB">
        <w:rPr>
          <w:lang w:val="fr-FR"/>
        </w:rPr>
        <w:t>Le chapitre</w:t>
      </w:r>
      <w:r w:rsidR="009F1C8F">
        <w:rPr>
          <w:lang w:val="fr-FR"/>
        </w:rPr>
        <w:t> </w:t>
      </w:r>
      <w:r w:rsidRPr="005355CB">
        <w:rPr>
          <w:lang w:val="fr-FR"/>
        </w:rPr>
        <w:t xml:space="preserve">5 se penchera également sur le rôle et l’efficacité de diverses approches visant à promouvoir les changements, notamment les systèmes de certification, les normes de conformité, la hiérarchie des mesures d’atténuation, les orientations sectorielles, les meilleures pratiques de gestion, les systèmes innovants de comptabilité environnementale ou de biodiversité, les nouveaux modèles commerciaux et les nouvelles technologies. Ce chapitre examinera également les synergies entre </w:t>
      </w:r>
      <w:r w:rsidR="00813095">
        <w:rPr>
          <w:lang w:val="fr-FR"/>
        </w:rPr>
        <w:t xml:space="preserve">les </w:t>
      </w:r>
      <w:r w:rsidRPr="005355CB">
        <w:rPr>
          <w:lang w:val="fr-FR"/>
        </w:rPr>
        <w:t xml:space="preserve">approches, ainsi que les preuves indiquant que les effets </w:t>
      </w:r>
      <w:r w:rsidR="003E6BF8">
        <w:rPr>
          <w:lang w:val="fr-FR"/>
        </w:rPr>
        <w:t>globaux</w:t>
      </w:r>
      <w:r w:rsidR="003E6BF8" w:rsidRPr="005355CB">
        <w:rPr>
          <w:lang w:val="fr-FR"/>
        </w:rPr>
        <w:t xml:space="preserve"> </w:t>
      </w:r>
      <w:r w:rsidRPr="005355CB">
        <w:rPr>
          <w:lang w:val="fr-FR"/>
        </w:rPr>
        <w:t xml:space="preserve">des combinaisons d’approches soutiennent efficacement la réalisation de changements transformateurs. Ce chapitre fournira des exemples de collaboration au sein d’associations industrielles, entre chaînes d’approvisionnement, avec les populations autochtones et les communautés locales, ainsi que sur les plans sectoriel et intersectoriel entre entreprises qui favorisent la biodiversité et les </w:t>
      </w:r>
      <w:r w:rsidR="00C64FD7">
        <w:rPr>
          <w:lang w:val="fr-FR"/>
        </w:rPr>
        <w:t>contributions de</w:t>
      </w:r>
      <w:r w:rsidR="003076FF" w:rsidRPr="005355CB">
        <w:rPr>
          <w:lang w:val="fr-FR"/>
        </w:rPr>
        <w:t xml:space="preserve"> </w:t>
      </w:r>
      <w:r w:rsidRPr="005355CB">
        <w:rPr>
          <w:lang w:val="fr-FR"/>
        </w:rPr>
        <w:t xml:space="preserve">la nature aux populations. Il étudiera également la manière dont les approches axées sur la durabilité (telles que l’économie verte circulaire et le commerce et l’innovation durables) et les actions des entreprises influencent les normes sociales, les modes de consommation et de production et les politiques publiques, </w:t>
      </w:r>
      <w:r w:rsidR="003076FF">
        <w:rPr>
          <w:lang w:val="fr-FR"/>
        </w:rPr>
        <w:t>ainsi que</w:t>
      </w:r>
      <w:r w:rsidR="003076FF" w:rsidRPr="005355CB">
        <w:rPr>
          <w:lang w:val="fr-FR"/>
        </w:rPr>
        <w:t xml:space="preserve"> </w:t>
      </w:r>
      <w:r w:rsidRPr="005355CB">
        <w:rPr>
          <w:lang w:val="fr-FR"/>
        </w:rPr>
        <w:t xml:space="preserve">l’effet, positif ou négatif, de cette influence sur la biodiversité et les </w:t>
      </w:r>
      <w:r w:rsidR="00C64FD7">
        <w:rPr>
          <w:lang w:val="fr-FR"/>
        </w:rPr>
        <w:t>contributions de</w:t>
      </w:r>
      <w:r w:rsidR="003076FF" w:rsidRPr="005355CB">
        <w:rPr>
          <w:lang w:val="fr-FR"/>
        </w:rPr>
        <w:t xml:space="preserve"> </w:t>
      </w:r>
      <w:r w:rsidRPr="005355CB">
        <w:rPr>
          <w:lang w:val="fr-FR"/>
        </w:rPr>
        <w:t>la nature aux populations.</w:t>
      </w:r>
    </w:p>
    <w:p w14:paraId="7379E6D8" w14:textId="000038E3"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rsidRPr="005355CB">
        <w:rPr>
          <w:lang w:val="fr-FR"/>
        </w:rPr>
        <w:t>Le chapitre</w:t>
      </w:r>
      <w:r w:rsidR="007D5BD3">
        <w:rPr>
          <w:lang w:val="fr-FR"/>
        </w:rPr>
        <w:t> </w:t>
      </w:r>
      <w:r w:rsidRPr="005355CB">
        <w:rPr>
          <w:lang w:val="fr-FR"/>
        </w:rPr>
        <w:t xml:space="preserve">5 mettra en exergue les principales possibilités </w:t>
      </w:r>
      <w:r w:rsidR="00DD28C4">
        <w:rPr>
          <w:lang w:val="fr-FR"/>
        </w:rPr>
        <w:t>dont disposent</w:t>
      </w:r>
      <w:r w:rsidR="00DD28C4" w:rsidRPr="005355CB">
        <w:rPr>
          <w:lang w:val="fr-FR"/>
        </w:rPr>
        <w:t xml:space="preserve"> </w:t>
      </w:r>
      <w:r w:rsidRPr="005355CB">
        <w:rPr>
          <w:lang w:val="fr-FR"/>
        </w:rPr>
        <w:t xml:space="preserve">les entreprises (par secteur) </w:t>
      </w:r>
      <w:r w:rsidR="00DD28C4">
        <w:rPr>
          <w:lang w:val="fr-FR"/>
        </w:rPr>
        <w:t xml:space="preserve">pour </w:t>
      </w:r>
      <w:r w:rsidR="00DD28C4" w:rsidRPr="005355CB">
        <w:rPr>
          <w:lang w:val="fr-FR"/>
        </w:rPr>
        <w:t xml:space="preserve">améliorer </w:t>
      </w:r>
      <w:r w:rsidR="00DD28C4">
        <w:rPr>
          <w:lang w:val="fr-FR"/>
        </w:rPr>
        <w:t>leurs résultats</w:t>
      </w:r>
      <w:r w:rsidRPr="005355CB">
        <w:rPr>
          <w:lang w:val="fr-FR"/>
        </w:rPr>
        <w:t>, notamment le rôle de la responsabilité et de la reddition de comptes, et mieux s’aligner sur les engagements internationaux en matière de développement durable et de biodiversité.</w:t>
      </w:r>
    </w:p>
    <w:p w14:paraId="2699D1C7" w14:textId="703C06A6"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rsidRPr="009C3F3F">
        <w:rPr>
          <w:b/>
          <w:bCs/>
          <w:lang w:val="fr-FR"/>
        </w:rPr>
        <w:t>Chapitre</w:t>
      </w:r>
      <w:r w:rsidR="00F31422">
        <w:rPr>
          <w:b/>
          <w:bCs/>
          <w:lang w:val="fr-FR"/>
        </w:rPr>
        <w:t> </w:t>
      </w:r>
      <w:r w:rsidRPr="009C3F3F">
        <w:rPr>
          <w:b/>
          <w:bCs/>
          <w:lang w:val="fr-FR"/>
        </w:rPr>
        <w:t>6</w:t>
      </w:r>
      <w:r w:rsidR="00F31422">
        <w:rPr>
          <w:b/>
          <w:bCs/>
          <w:lang w:val="fr-FR"/>
        </w:rPr>
        <w:t> </w:t>
      </w:r>
      <w:r w:rsidRPr="009C3F3F">
        <w:rPr>
          <w:b/>
          <w:bCs/>
          <w:lang w:val="fr-FR"/>
        </w:rPr>
        <w:t>: Créer un environnement favorable aux entreprises</w:t>
      </w:r>
      <w:r w:rsidR="00F31422">
        <w:rPr>
          <w:b/>
          <w:bCs/>
          <w:lang w:val="fr-FR"/>
        </w:rPr>
        <w:t> </w:t>
      </w:r>
      <w:r w:rsidRPr="009C3F3F">
        <w:rPr>
          <w:b/>
          <w:bCs/>
          <w:lang w:val="fr-FR"/>
        </w:rPr>
        <w:t>: possibilités d’action pour les gouvernements, le secteur financier et la société civile.</w:t>
      </w:r>
      <w:r w:rsidRPr="005355CB">
        <w:rPr>
          <w:lang w:val="fr-FR"/>
        </w:rPr>
        <w:t xml:space="preserve"> (</w:t>
      </w:r>
      <w:r w:rsidRPr="005355CB">
        <w:rPr>
          <w:i/>
          <w:iCs/>
          <w:lang w:val="fr-FR"/>
        </w:rPr>
        <w:t>Longueur suggérée</w:t>
      </w:r>
      <w:r w:rsidR="00506697">
        <w:rPr>
          <w:i/>
          <w:iCs/>
          <w:lang w:val="fr-FR"/>
        </w:rPr>
        <w:t xml:space="preserve"> : environ </w:t>
      </w:r>
      <w:r w:rsidRPr="005355CB">
        <w:rPr>
          <w:i/>
          <w:iCs/>
          <w:lang w:val="fr-FR"/>
        </w:rPr>
        <w:t>20</w:t>
      </w:r>
      <w:r w:rsidR="00506697">
        <w:rPr>
          <w:i/>
          <w:iCs/>
          <w:lang w:val="fr-FR"/>
        </w:rPr>
        <w:t> </w:t>
      </w:r>
      <w:r w:rsidRPr="005355CB">
        <w:rPr>
          <w:i/>
          <w:iCs/>
          <w:lang w:val="fr-FR"/>
        </w:rPr>
        <w:t>400</w:t>
      </w:r>
      <w:r w:rsidR="00F31422">
        <w:rPr>
          <w:i/>
          <w:iCs/>
          <w:lang w:val="fr-FR"/>
        </w:rPr>
        <w:t> </w:t>
      </w:r>
      <w:r w:rsidRPr="005355CB">
        <w:rPr>
          <w:i/>
          <w:iCs/>
          <w:lang w:val="fr-FR"/>
        </w:rPr>
        <w:t>mots</w:t>
      </w:r>
      <w:r w:rsidRPr="005355CB">
        <w:rPr>
          <w:lang w:val="fr-FR"/>
        </w:rPr>
        <w:t>) Le chapitre</w:t>
      </w:r>
      <w:r w:rsidR="00F31422">
        <w:rPr>
          <w:lang w:val="fr-FR"/>
        </w:rPr>
        <w:t> </w:t>
      </w:r>
      <w:r w:rsidRPr="005355CB">
        <w:rPr>
          <w:lang w:val="fr-FR"/>
        </w:rPr>
        <w:t xml:space="preserve">6 évaluera ce que les gouvernements, le secteur financier et la société civile, y compris les consommateurs, peuvent faire pour faciliter et catalyser dans le secteur des affaires un changement significatif tendant à préserver la biodiversité et les </w:t>
      </w:r>
      <w:r w:rsidR="00C64FD7">
        <w:rPr>
          <w:lang w:val="fr-FR"/>
        </w:rPr>
        <w:t>contributions de</w:t>
      </w:r>
      <w:r w:rsidR="0045107D" w:rsidRPr="005355CB">
        <w:rPr>
          <w:lang w:val="fr-FR"/>
        </w:rPr>
        <w:t xml:space="preserve"> </w:t>
      </w:r>
      <w:r w:rsidRPr="005355CB">
        <w:rPr>
          <w:lang w:val="fr-FR"/>
        </w:rPr>
        <w:t xml:space="preserve">la nature aux populations. Les entreprises opèrent dans un contexte sociétal et juridique élargi et peuvent </w:t>
      </w:r>
      <w:r w:rsidR="00E2613B">
        <w:rPr>
          <w:lang w:val="fr-FR"/>
        </w:rPr>
        <w:t xml:space="preserve">influer </w:t>
      </w:r>
      <w:r w:rsidR="005C2008">
        <w:rPr>
          <w:lang w:val="fr-FR"/>
        </w:rPr>
        <w:t>sur</w:t>
      </w:r>
      <w:r w:rsidRPr="005355CB">
        <w:rPr>
          <w:lang w:val="fr-FR"/>
        </w:rPr>
        <w:t xml:space="preserve"> les politiques gouvernementales, les processus institutionnels, les normes culturelles, les politiques et incitations financières et les permis d’exploitation</w:t>
      </w:r>
      <w:r w:rsidR="005C2008">
        <w:rPr>
          <w:lang w:val="fr-FR"/>
        </w:rPr>
        <w:t xml:space="preserve"> et être influencées par ceux-ci</w:t>
      </w:r>
      <w:r w:rsidR="006259CD">
        <w:rPr>
          <w:lang w:val="fr-FR"/>
        </w:rPr>
        <w:t>.</w:t>
      </w:r>
    </w:p>
    <w:p w14:paraId="761179A9" w14:textId="3B240482"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rsidRPr="005355CB">
        <w:rPr>
          <w:lang w:val="fr-FR"/>
        </w:rPr>
        <w:t>Le chapitre</w:t>
      </w:r>
      <w:r w:rsidR="00E95656">
        <w:rPr>
          <w:lang w:val="fr-FR"/>
        </w:rPr>
        <w:t> </w:t>
      </w:r>
      <w:r w:rsidRPr="005355CB">
        <w:rPr>
          <w:lang w:val="fr-FR"/>
        </w:rPr>
        <w:t xml:space="preserve">6 mettra également en exergue les moyens par lesquels les gouvernements nationaux et les organisations internationales peuvent réformer les politiques actuelles ou en adopter de nouvelles aux fins de créer des incitations positives à l’amélioration de la biodiversité et des </w:t>
      </w:r>
      <w:r w:rsidR="00C64FD7">
        <w:rPr>
          <w:lang w:val="fr-FR"/>
        </w:rPr>
        <w:t>contributions de</w:t>
      </w:r>
      <w:r w:rsidR="00F853AD" w:rsidRPr="005355CB">
        <w:rPr>
          <w:lang w:val="fr-FR"/>
        </w:rPr>
        <w:t xml:space="preserve"> </w:t>
      </w:r>
      <w:r w:rsidRPr="005355CB">
        <w:rPr>
          <w:lang w:val="fr-FR"/>
        </w:rPr>
        <w:t xml:space="preserve">la nature aux populations et de réduire les incitations négatives. Il abordera également le rôle que les gouvernements peuvent jouer dans la conception des infrastructures, la réglementation, le suivi et les marchés publics à l’appui de la biodiversité et des </w:t>
      </w:r>
      <w:r w:rsidR="00C64FD7">
        <w:rPr>
          <w:lang w:val="fr-FR"/>
        </w:rPr>
        <w:t>contributions de</w:t>
      </w:r>
      <w:r w:rsidR="00F853AD" w:rsidRPr="005355CB">
        <w:rPr>
          <w:lang w:val="fr-FR"/>
        </w:rPr>
        <w:t xml:space="preserve"> </w:t>
      </w:r>
      <w:r w:rsidRPr="005355CB">
        <w:rPr>
          <w:lang w:val="fr-FR"/>
        </w:rPr>
        <w:t>la nature aux populations.</w:t>
      </w:r>
    </w:p>
    <w:p w14:paraId="17753558" w14:textId="7A9BCD8D"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rsidRPr="005355CB">
        <w:rPr>
          <w:lang w:val="fr-FR"/>
        </w:rPr>
        <w:t>Le chapitre</w:t>
      </w:r>
      <w:r w:rsidR="00A74A8A">
        <w:rPr>
          <w:lang w:val="fr-FR"/>
        </w:rPr>
        <w:t> </w:t>
      </w:r>
      <w:r w:rsidRPr="005355CB">
        <w:rPr>
          <w:lang w:val="fr-FR"/>
        </w:rPr>
        <w:t>6 étudiera l’influence du secteur financier sur les entreprises</w:t>
      </w:r>
      <w:r w:rsidR="001C5B31">
        <w:rPr>
          <w:lang w:val="fr-FR"/>
        </w:rPr>
        <w:t>,</w:t>
      </w:r>
      <w:r w:rsidRPr="005355CB">
        <w:rPr>
          <w:lang w:val="fr-FR"/>
        </w:rPr>
        <w:t xml:space="preserve"> ainsi que </w:t>
      </w:r>
      <w:r w:rsidR="00F30D46">
        <w:rPr>
          <w:lang w:val="fr-FR"/>
        </w:rPr>
        <w:t xml:space="preserve">celle </w:t>
      </w:r>
      <w:r w:rsidRPr="005355CB">
        <w:rPr>
          <w:lang w:val="fr-FR"/>
        </w:rPr>
        <w:t>des différents types d’institutions financières</w:t>
      </w:r>
      <w:r w:rsidR="00C60AFA">
        <w:rPr>
          <w:lang w:val="fr-FR"/>
        </w:rPr>
        <w:t xml:space="preserve"> </w:t>
      </w:r>
      <w:r w:rsidR="00F462CE">
        <w:rPr>
          <w:lang w:val="fr-FR"/>
        </w:rPr>
        <w:t>via le</w:t>
      </w:r>
      <w:r w:rsidR="00C60AFA">
        <w:rPr>
          <w:lang w:val="fr-FR"/>
        </w:rPr>
        <w:t xml:space="preserve"> </w:t>
      </w:r>
      <w:r w:rsidRPr="005355CB">
        <w:rPr>
          <w:lang w:val="fr-FR"/>
        </w:rPr>
        <w:t xml:space="preserve">fonctionnement des marchés de capitaux, l’influence des créanciers et des investisseurs (directement ou par le biais des marchés d’actionnaires), l’influence </w:t>
      </w:r>
      <w:r w:rsidR="00C2585A">
        <w:rPr>
          <w:lang w:val="fr-FR"/>
        </w:rPr>
        <w:t>du secteur</w:t>
      </w:r>
      <w:r w:rsidRPr="005355CB">
        <w:rPr>
          <w:lang w:val="fr-FR"/>
        </w:rPr>
        <w:t xml:space="preserve"> de l’assurance, l’influence des analystes financiers et la question de savoir si le secteur financier </w:t>
      </w:r>
      <w:r w:rsidR="00C2585A">
        <w:rPr>
          <w:lang w:val="fr-FR"/>
        </w:rPr>
        <w:t>tient compte de</w:t>
      </w:r>
      <w:r w:rsidR="00C2585A" w:rsidRPr="005355CB">
        <w:rPr>
          <w:lang w:val="fr-FR"/>
        </w:rPr>
        <w:t xml:space="preserve"> </w:t>
      </w:r>
      <w:r w:rsidRPr="005355CB">
        <w:rPr>
          <w:lang w:val="fr-FR"/>
        </w:rPr>
        <w:t xml:space="preserve">la biodiversité et </w:t>
      </w:r>
      <w:r w:rsidR="00C2585A">
        <w:rPr>
          <w:lang w:val="fr-FR"/>
        </w:rPr>
        <w:t>d</w:t>
      </w:r>
      <w:r w:rsidR="00C2585A" w:rsidRPr="005355CB">
        <w:rPr>
          <w:lang w:val="fr-FR"/>
        </w:rPr>
        <w:t xml:space="preserve">es </w:t>
      </w:r>
      <w:r w:rsidR="00C64FD7">
        <w:rPr>
          <w:lang w:val="fr-FR"/>
        </w:rPr>
        <w:t>contributions de</w:t>
      </w:r>
      <w:r w:rsidR="00A83169" w:rsidRPr="005355CB">
        <w:rPr>
          <w:lang w:val="fr-FR"/>
        </w:rPr>
        <w:t xml:space="preserve"> </w:t>
      </w:r>
      <w:r w:rsidRPr="005355CB">
        <w:rPr>
          <w:lang w:val="fr-FR"/>
        </w:rPr>
        <w:t xml:space="preserve">la nature aux populations dans ses opérations. Ce chapitre évaluera également un certain nombre d’approches existantes visant à réduire </w:t>
      </w:r>
      <w:r w:rsidR="00BD50F6">
        <w:rPr>
          <w:lang w:val="fr-FR"/>
        </w:rPr>
        <w:t>les conséquences négatives</w:t>
      </w:r>
      <w:r w:rsidRPr="005355CB">
        <w:rPr>
          <w:lang w:val="fr-FR"/>
        </w:rPr>
        <w:t xml:space="preserve"> et </w:t>
      </w:r>
      <w:r w:rsidR="008432FD">
        <w:rPr>
          <w:lang w:val="fr-FR"/>
        </w:rPr>
        <w:t xml:space="preserve">à </w:t>
      </w:r>
      <w:r w:rsidRPr="005355CB">
        <w:rPr>
          <w:lang w:val="fr-FR"/>
        </w:rPr>
        <w:t xml:space="preserve">promouvoir </w:t>
      </w:r>
      <w:r w:rsidR="008432FD">
        <w:rPr>
          <w:lang w:val="fr-FR"/>
        </w:rPr>
        <w:t>les conséquences positives</w:t>
      </w:r>
      <w:r w:rsidRPr="005355CB">
        <w:rPr>
          <w:lang w:val="fr-FR"/>
        </w:rPr>
        <w:t xml:space="preserve"> sur la biodiversité, comme la </w:t>
      </w:r>
      <w:r w:rsidRPr="005355CB">
        <w:rPr>
          <w:lang w:val="fr-FR"/>
        </w:rPr>
        <w:lastRenderedPageBreak/>
        <w:t>notation de la gouvernance sociale environnementale, les fonds d’impact et d’engagement et l’application de filtres d’exclusion.</w:t>
      </w:r>
    </w:p>
    <w:p w14:paraId="068C28A5" w14:textId="2ED74B26"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rsidRPr="005355CB">
        <w:rPr>
          <w:lang w:val="fr-FR"/>
        </w:rPr>
        <w:t>Le chapitre</w:t>
      </w:r>
      <w:r w:rsidR="009D4FBF">
        <w:rPr>
          <w:lang w:val="fr-FR"/>
        </w:rPr>
        <w:t> </w:t>
      </w:r>
      <w:r w:rsidRPr="005355CB">
        <w:rPr>
          <w:lang w:val="fr-FR"/>
        </w:rPr>
        <w:t xml:space="preserve">6 décrira le rôle des organisations non gouvernementales, des populations autochtones, des communautés locales et des consommateurs dans le suivi du comportement des gouvernements et des entreprises et dans la sensibilisation à la dépendance des entreprises, </w:t>
      </w:r>
      <w:r w:rsidR="00CA4EB7">
        <w:rPr>
          <w:lang w:val="fr-FR"/>
        </w:rPr>
        <w:t>aux conséquences de leur activité</w:t>
      </w:r>
      <w:r w:rsidRPr="005355CB">
        <w:rPr>
          <w:lang w:val="fr-FR"/>
        </w:rPr>
        <w:t xml:space="preserve"> et aux risques associés à la perte de biodiversité. Il </w:t>
      </w:r>
      <w:r w:rsidR="00CA4EB7">
        <w:rPr>
          <w:lang w:val="fr-FR"/>
        </w:rPr>
        <w:t>recensera</w:t>
      </w:r>
      <w:r w:rsidR="00CA4EB7" w:rsidRPr="005355CB">
        <w:rPr>
          <w:lang w:val="fr-FR"/>
        </w:rPr>
        <w:t xml:space="preserve"> </w:t>
      </w:r>
      <w:r w:rsidRPr="005355CB">
        <w:rPr>
          <w:lang w:val="fr-FR"/>
        </w:rPr>
        <w:t xml:space="preserve">également des exemples de partenariats multipartites (gouvernements, organisations intergouvernementales, organisations non gouvernementales et monde académique) encourageant l’action des entreprises en faveur de la biodiversité et des </w:t>
      </w:r>
      <w:r w:rsidR="00C64FD7">
        <w:rPr>
          <w:lang w:val="fr-FR"/>
        </w:rPr>
        <w:t>contributions de</w:t>
      </w:r>
      <w:r w:rsidR="00CA4EB7" w:rsidRPr="005355CB">
        <w:rPr>
          <w:lang w:val="fr-FR"/>
        </w:rPr>
        <w:t xml:space="preserve"> </w:t>
      </w:r>
      <w:r w:rsidRPr="005355CB">
        <w:rPr>
          <w:lang w:val="fr-FR"/>
        </w:rPr>
        <w:t>la nature aux populations.</w:t>
      </w:r>
    </w:p>
    <w:p w14:paraId="49FFF3D8" w14:textId="0BA5AF15" w:rsidR="00C92B04" w:rsidRPr="005355CB" w:rsidRDefault="00413067" w:rsidP="00C92B04">
      <w:pPr>
        <w:pStyle w:val="CH1"/>
        <w:rPr>
          <w:color w:val="000000"/>
        </w:rPr>
      </w:pPr>
      <w:r w:rsidRPr="005355CB">
        <w:rPr>
          <w:bCs/>
          <w:lang w:val="fr-FR"/>
        </w:rPr>
        <w:tab/>
      </w:r>
      <w:r w:rsidR="00C92B04" w:rsidRPr="005355CB">
        <w:rPr>
          <w:bCs/>
          <w:lang w:val="fr-FR"/>
        </w:rPr>
        <w:t>III.</w:t>
      </w:r>
      <w:r w:rsidR="00C92B04" w:rsidRPr="005355CB">
        <w:rPr>
          <w:lang w:val="fr-FR"/>
        </w:rPr>
        <w:tab/>
      </w:r>
      <w:r w:rsidR="00C92B04" w:rsidRPr="005355CB">
        <w:rPr>
          <w:bCs/>
          <w:lang w:val="fr-FR"/>
        </w:rPr>
        <w:t>Calendrier</w:t>
      </w:r>
    </w:p>
    <w:p w14:paraId="7B3A7E41" w14:textId="77777777" w:rsidR="00C92B04" w:rsidRPr="005355CB" w:rsidRDefault="00C92B04" w:rsidP="00C92B04">
      <w:pPr>
        <w:pStyle w:val="Normalnumber"/>
        <w:numPr>
          <w:ilvl w:val="0"/>
          <w:numId w:val="1"/>
        </w:numPr>
        <w:tabs>
          <w:tab w:val="clear" w:pos="567"/>
          <w:tab w:val="clear" w:pos="1247"/>
          <w:tab w:val="clear" w:pos="1814"/>
          <w:tab w:val="clear" w:pos="2381"/>
          <w:tab w:val="clear" w:pos="2948"/>
          <w:tab w:val="clear" w:pos="3515"/>
          <w:tab w:val="clear" w:pos="4082"/>
          <w:tab w:val="left" w:pos="624"/>
        </w:tabs>
        <w:rPr>
          <w:color w:val="000000"/>
        </w:rPr>
      </w:pPr>
      <w:r w:rsidRPr="005355CB">
        <w:rPr>
          <w:lang w:val="fr-FR"/>
        </w:rPr>
        <w:t>Le tableau ci-dessous présente le calendrier général de l’évaluation.</w:t>
      </w:r>
    </w:p>
    <w:tbl>
      <w:tblPr>
        <w:tblW w:w="8307" w:type="dxa"/>
        <w:jc w:val="right"/>
        <w:tblLayout w:type="fixed"/>
        <w:tblLook w:val="0400" w:firstRow="0" w:lastRow="0" w:firstColumn="0" w:lastColumn="0" w:noHBand="0" w:noVBand="1"/>
      </w:tblPr>
      <w:tblGrid>
        <w:gridCol w:w="1418"/>
        <w:gridCol w:w="6889"/>
      </w:tblGrid>
      <w:tr w:rsidR="00C92B04" w:rsidRPr="005355CB" w14:paraId="65B80D4D" w14:textId="77777777" w:rsidTr="00082AE3">
        <w:trPr>
          <w:trHeight w:val="57"/>
          <w:tblHeader/>
          <w:jc w:val="right"/>
        </w:trPr>
        <w:tc>
          <w:tcPr>
            <w:tcW w:w="1418" w:type="dxa"/>
            <w:tcBorders>
              <w:top w:val="single" w:sz="4" w:space="0" w:color="auto"/>
              <w:bottom w:val="single" w:sz="12" w:space="0" w:color="auto"/>
            </w:tcBorders>
            <w:shd w:val="clear" w:color="auto" w:fill="auto"/>
            <w:vAlign w:val="bottom"/>
          </w:tcPr>
          <w:p w14:paraId="0E0A8D2F" w14:textId="77777777" w:rsidR="00C92B04" w:rsidRPr="005355CB" w:rsidRDefault="00C92B04" w:rsidP="00082AE3">
            <w:pPr>
              <w:pStyle w:val="Normal-pool-Table"/>
              <w:pBdr>
                <w:top w:val="nil"/>
                <w:left w:val="nil"/>
                <w:bottom w:val="nil"/>
                <w:right w:val="nil"/>
                <w:between w:val="nil"/>
              </w:pBdr>
              <w:rPr>
                <w:i/>
                <w:iCs/>
              </w:rPr>
            </w:pPr>
            <w:r w:rsidRPr="005355CB">
              <w:rPr>
                <w:i/>
                <w:iCs/>
                <w:lang w:val="fr-FR"/>
              </w:rPr>
              <w:t>Date</w:t>
            </w:r>
          </w:p>
        </w:tc>
        <w:tc>
          <w:tcPr>
            <w:tcW w:w="6889" w:type="dxa"/>
            <w:tcBorders>
              <w:top w:val="single" w:sz="4" w:space="0" w:color="auto"/>
              <w:bottom w:val="single" w:sz="12" w:space="0" w:color="auto"/>
            </w:tcBorders>
            <w:shd w:val="clear" w:color="auto" w:fill="auto"/>
            <w:vAlign w:val="bottom"/>
          </w:tcPr>
          <w:p w14:paraId="45D70A6F" w14:textId="77777777" w:rsidR="00C92B04" w:rsidRPr="005355CB" w:rsidRDefault="00C92B04" w:rsidP="00082AE3">
            <w:pPr>
              <w:pStyle w:val="Normal-pool-Table"/>
              <w:pBdr>
                <w:top w:val="nil"/>
                <w:left w:val="nil"/>
                <w:bottom w:val="nil"/>
                <w:right w:val="nil"/>
                <w:between w:val="nil"/>
              </w:pBdr>
              <w:rPr>
                <w:i/>
                <w:iCs/>
              </w:rPr>
            </w:pPr>
            <w:r w:rsidRPr="005355CB">
              <w:rPr>
                <w:i/>
                <w:iCs/>
                <w:lang w:val="fr-FR"/>
              </w:rPr>
              <w:t>Actions</w:t>
            </w:r>
            <w:r w:rsidRPr="005355CB">
              <w:rPr>
                <w:lang w:val="fr-FR"/>
              </w:rPr>
              <w:t xml:space="preserve"> </w:t>
            </w:r>
          </w:p>
        </w:tc>
      </w:tr>
      <w:tr w:rsidR="00C92B04" w:rsidRPr="005355CB" w14:paraId="091C2C74" w14:textId="77777777" w:rsidTr="00082AE3">
        <w:trPr>
          <w:trHeight w:val="57"/>
          <w:jc w:val="right"/>
        </w:trPr>
        <w:tc>
          <w:tcPr>
            <w:tcW w:w="8307" w:type="dxa"/>
            <w:gridSpan w:val="2"/>
            <w:tcBorders>
              <w:top w:val="single" w:sz="12" w:space="0" w:color="auto"/>
            </w:tcBorders>
            <w:shd w:val="clear" w:color="auto" w:fill="auto"/>
          </w:tcPr>
          <w:p w14:paraId="60E34007" w14:textId="77777777" w:rsidR="00C92B04" w:rsidRPr="005355CB" w:rsidRDefault="00C92B04" w:rsidP="00082AE3">
            <w:pPr>
              <w:pStyle w:val="Normal-pool-Table"/>
              <w:pBdr>
                <w:top w:val="nil"/>
                <w:left w:val="nil"/>
                <w:bottom w:val="nil"/>
                <w:right w:val="nil"/>
                <w:between w:val="nil"/>
              </w:pBdr>
              <w:rPr>
                <w:b/>
                <w:bCs/>
              </w:rPr>
            </w:pPr>
            <w:r w:rsidRPr="005355CB">
              <w:rPr>
                <w:b/>
                <w:bCs/>
                <w:lang w:val="fr-FR"/>
              </w:rPr>
              <w:t>2022</w:t>
            </w:r>
          </w:p>
        </w:tc>
      </w:tr>
      <w:tr w:rsidR="00C92B04" w:rsidRPr="005355CB" w14:paraId="47A1EBF0" w14:textId="77777777" w:rsidTr="00082AE3">
        <w:trPr>
          <w:trHeight w:val="57"/>
          <w:jc w:val="right"/>
        </w:trPr>
        <w:tc>
          <w:tcPr>
            <w:tcW w:w="1418" w:type="dxa"/>
            <w:shd w:val="clear" w:color="auto" w:fill="auto"/>
          </w:tcPr>
          <w:p w14:paraId="18E224CD" w14:textId="77777777" w:rsidR="00C92B04" w:rsidRPr="005355CB" w:rsidRDefault="00C92B04" w:rsidP="00082AE3">
            <w:pPr>
              <w:pStyle w:val="Normal-pool-Table"/>
            </w:pPr>
            <w:r w:rsidRPr="005355CB">
              <w:rPr>
                <w:lang w:val="fr-FR"/>
              </w:rPr>
              <w:t>Troisième trimestre</w:t>
            </w:r>
          </w:p>
        </w:tc>
        <w:tc>
          <w:tcPr>
            <w:tcW w:w="6889" w:type="dxa"/>
            <w:shd w:val="clear" w:color="auto" w:fill="auto"/>
          </w:tcPr>
          <w:p w14:paraId="36AA8AF7" w14:textId="1C519358" w:rsidR="00C92B04" w:rsidRPr="005355CB" w:rsidRDefault="00C92B04" w:rsidP="00082AE3">
            <w:pPr>
              <w:pStyle w:val="Normal-pool-Table"/>
              <w:rPr>
                <w:lang w:val="fr-FR"/>
              </w:rPr>
            </w:pPr>
            <w:r w:rsidRPr="005355CB">
              <w:rPr>
                <w:lang w:val="fr-FR"/>
              </w:rPr>
              <w:t>La Plénière, à sa neuvième session, qui se tiendra du 3 au 9</w:t>
            </w:r>
            <w:r w:rsidR="002E0469">
              <w:rPr>
                <w:lang w:val="fr-FR"/>
              </w:rPr>
              <w:t> </w:t>
            </w:r>
            <w:r w:rsidRPr="005355CB">
              <w:rPr>
                <w:lang w:val="fr-FR"/>
              </w:rPr>
              <w:t xml:space="preserve">juillet 2022, sera invitée à approuver la réalisation de l’évaluation des entreprises et de la biodiversité et à </w:t>
            </w:r>
            <w:r w:rsidR="00854FCC">
              <w:rPr>
                <w:lang w:val="fr-FR"/>
              </w:rPr>
              <w:t>prier le</w:t>
            </w:r>
            <w:r w:rsidRPr="005355CB">
              <w:rPr>
                <w:lang w:val="fr-FR"/>
              </w:rPr>
              <w:t xml:space="preserve"> secrétariat de prendre les dispositions institutionnelles </w:t>
            </w:r>
            <w:r w:rsidR="00ED604F">
              <w:rPr>
                <w:lang w:val="fr-FR"/>
              </w:rPr>
              <w:t>qui s’imposent</w:t>
            </w:r>
            <w:r w:rsidR="00ED604F" w:rsidRPr="005355CB">
              <w:rPr>
                <w:lang w:val="fr-FR"/>
              </w:rPr>
              <w:t xml:space="preserve"> </w:t>
            </w:r>
            <w:r w:rsidRPr="005355CB">
              <w:rPr>
                <w:lang w:val="fr-FR"/>
              </w:rPr>
              <w:t>pour mettre en œuvre l’appui technique requis pour que l’évaluation puisse débuter après sa dixième session (prévue en avril ou mai 2023)</w:t>
            </w:r>
            <w:r w:rsidR="004656AA">
              <w:rPr>
                <w:lang w:val="fr-FR"/>
              </w:rPr>
              <w:t>.</w:t>
            </w:r>
          </w:p>
        </w:tc>
      </w:tr>
      <w:tr w:rsidR="00C92B04" w:rsidRPr="005355CB" w14:paraId="693D3453" w14:textId="77777777" w:rsidTr="00082AE3">
        <w:trPr>
          <w:trHeight w:val="57"/>
          <w:jc w:val="right"/>
        </w:trPr>
        <w:tc>
          <w:tcPr>
            <w:tcW w:w="1418" w:type="dxa"/>
            <w:shd w:val="clear" w:color="auto" w:fill="auto"/>
          </w:tcPr>
          <w:p w14:paraId="29E53799" w14:textId="77777777" w:rsidR="00C92B04" w:rsidRPr="005355CB" w:rsidRDefault="00C92B04" w:rsidP="00082AE3">
            <w:pPr>
              <w:pStyle w:val="Normal-pool-Table"/>
            </w:pPr>
            <w:r w:rsidRPr="005355CB">
              <w:rPr>
                <w:lang w:val="fr-FR"/>
              </w:rPr>
              <w:t>Troisième trimestre</w:t>
            </w:r>
          </w:p>
        </w:tc>
        <w:tc>
          <w:tcPr>
            <w:tcW w:w="6889" w:type="dxa"/>
            <w:shd w:val="clear" w:color="auto" w:fill="auto"/>
          </w:tcPr>
          <w:p w14:paraId="5992A127" w14:textId="2FDF11A1" w:rsidR="00C92B04" w:rsidRPr="005355CB" w:rsidRDefault="00C92B04" w:rsidP="00082AE3">
            <w:pPr>
              <w:pStyle w:val="Normal-pool-Table"/>
              <w:rPr>
                <w:lang w:val="fr-FR"/>
              </w:rPr>
            </w:pPr>
            <w:r w:rsidRPr="005355CB">
              <w:rPr>
                <w:lang w:val="fr-FR"/>
              </w:rPr>
              <w:t>Le Groupe d’experts multidisciplinaire demande, par l’intermédiaire du secrétariat, la nomination d’expert</w:t>
            </w:r>
            <w:r w:rsidR="001C430F">
              <w:rPr>
                <w:lang w:val="fr-FR"/>
              </w:rPr>
              <w:t>(e)</w:t>
            </w:r>
            <w:r w:rsidRPr="005355CB">
              <w:rPr>
                <w:lang w:val="fr-FR"/>
              </w:rPr>
              <w:t>s, dont des praticien</w:t>
            </w:r>
            <w:r w:rsidR="001C430F">
              <w:rPr>
                <w:lang w:val="fr-FR"/>
              </w:rPr>
              <w:t>(ne)</w:t>
            </w:r>
            <w:r w:rsidRPr="005355CB">
              <w:rPr>
                <w:lang w:val="fr-FR"/>
              </w:rPr>
              <w:t>s du secteur financier et des entreprises, par les gouvernements et autres parties prenantes</w:t>
            </w:r>
            <w:r w:rsidR="004656AA">
              <w:rPr>
                <w:lang w:val="fr-FR"/>
              </w:rPr>
              <w:t>.</w:t>
            </w:r>
          </w:p>
        </w:tc>
      </w:tr>
      <w:tr w:rsidR="00C92B04" w:rsidRPr="005355CB" w14:paraId="71E8F508" w14:textId="77777777" w:rsidTr="00082AE3">
        <w:trPr>
          <w:trHeight w:val="57"/>
          <w:jc w:val="right"/>
        </w:trPr>
        <w:tc>
          <w:tcPr>
            <w:tcW w:w="1418" w:type="dxa"/>
            <w:shd w:val="clear" w:color="auto" w:fill="auto"/>
          </w:tcPr>
          <w:p w14:paraId="6C0D4837" w14:textId="77777777" w:rsidR="00C92B04" w:rsidRPr="005355CB" w:rsidRDefault="00C92B04" w:rsidP="00082AE3">
            <w:pPr>
              <w:pStyle w:val="Normal-pool-Table"/>
            </w:pPr>
            <w:r w:rsidRPr="005355CB">
              <w:rPr>
                <w:lang w:val="fr-FR"/>
              </w:rPr>
              <w:t>Troisième et quatrième trimestres</w:t>
            </w:r>
          </w:p>
        </w:tc>
        <w:tc>
          <w:tcPr>
            <w:tcW w:w="6889" w:type="dxa"/>
            <w:shd w:val="clear" w:color="auto" w:fill="auto"/>
          </w:tcPr>
          <w:p w14:paraId="54984DAE" w14:textId="6514AD86" w:rsidR="00C92B04" w:rsidRPr="005355CB" w:rsidRDefault="00C92B04" w:rsidP="00082AE3">
            <w:pPr>
              <w:pStyle w:val="Normal-pool-Table"/>
              <w:rPr>
                <w:lang w:val="fr-FR"/>
              </w:rPr>
            </w:pPr>
            <w:r w:rsidRPr="005355CB">
              <w:rPr>
                <w:lang w:val="fr-FR"/>
              </w:rPr>
              <w:t>Le Groupe d’experts multidisciplinaire désigne les coprésident</w:t>
            </w:r>
            <w:r w:rsidR="001C430F">
              <w:rPr>
                <w:lang w:val="fr-FR"/>
              </w:rPr>
              <w:t>(e)</w:t>
            </w:r>
            <w:r w:rsidRPr="005355CB">
              <w:rPr>
                <w:lang w:val="fr-FR"/>
              </w:rPr>
              <w:t>s, les auteur</w:t>
            </w:r>
            <w:r w:rsidR="001C430F">
              <w:rPr>
                <w:lang w:val="fr-FR"/>
              </w:rPr>
              <w:t>(</w:t>
            </w:r>
            <w:proofErr w:type="spellStart"/>
            <w:r w:rsidR="001C430F">
              <w:rPr>
                <w:lang w:val="fr-FR"/>
              </w:rPr>
              <w:t>trice</w:t>
            </w:r>
            <w:proofErr w:type="spellEnd"/>
            <w:r w:rsidR="001C430F">
              <w:rPr>
                <w:lang w:val="fr-FR"/>
              </w:rPr>
              <w:t>)</w:t>
            </w:r>
            <w:r w:rsidRPr="005355CB">
              <w:rPr>
                <w:lang w:val="fr-FR"/>
              </w:rPr>
              <w:t>s coordonnateur</w:t>
            </w:r>
            <w:r w:rsidR="001C430F">
              <w:rPr>
                <w:lang w:val="fr-FR"/>
              </w:rPr>
              <w:t>(</w:t>
            </w:r>
            <w:proofErr w:type="spellStart"/>
            <w:r w:rsidR="001C430F">
              <w:rPr>
                <w:lang w:val="fr-FR"/>
              </w:rPr>
              <w:t>trice</w:t>
            </w:r>
            <w:proofErr w:type="spellEnd"/>
            <w:r w:rsidR="001C430F">
              <w:rPr>
                <w:lang w:val="fr-FR"/>
              </w:rPr>
              <w:t>)</w:t>
            </w:r>
            <w:r w:rsidRPr="005355CB">
              <w:rPr>
                <w:lang w:val="fr-FR"/>
              </w:rPr>
              <w:t>s principaux</w:t>
            </w:r>
            <w:r w:rsidR="001C430F">
              <w:rPr>
                <w:lang w:val="fr-FR"/>
              </w:rPr>
              <w:t>(ales)</w:t>
            </w:r>
            <w:r w:rsidRPr="005355CB">
              <w:rPr>
                <w:lang w:val="fr-FR"/>
              </w:rPr>
              <w:t>, les auteur</w:t>
            </w:r>
            <w:r w:rsidR="001C430F">
              <w:rPr>
                <w:lang w:val="fr-FR"/>
              </w:rPr>
              <w:t>(</w:t>
            </w:r>
            <w:proofErr w:type="spellStart"/>
            <w:r w:rsidR="001C430F">
              <w:rPr>
                <w:lang w:val="fr-FR"/>
              </w:rPr>
              <w:t>trice</w:t>
            </w:r>
            <w:proofErr w:type="spellEnd"/>
            <w:r w:rsidR="001C430F">
              <w:rPr>
                <w:lang w:val="fr-FR"/>
              </w:rPr>
              <w:t>)</w:t>
            </w:r>
            <w:r w:rsidRPr="005355CB">
              <w:rPr>
                <w:lang w:val="fr-FR"/>
              </w:rPr>
              <w:t>s principaux</w:t>
            </w:r>
            <w:r w:rsidR="001C430F">
              <w:rPr>
                <w:lang w:val="fr-FR"/>
              </w:rPr>
              <w:t>(ales)</w:t>
            </w:r>
            <w:r w:rsidRPr="005355CB">
              <w:rPr>
                <w:lang w:val="fr-FR"/>
              </w:rPr>
              <w:t xml:space="preserve"> et les éditeur</w:t>
            </w:r>
            <w:r w:rsidR="001C430F">
              <w:rPr>
                <w:lang w:val="fr-FR"/>
              </w:rPr>
              <w:t>(</w:t>
            </w:r>
            <w:proofErr w:type="spellStart"/>
            <w:r w:rsidR="001C430F">
              <w:rPr>
                <w:lang w:val="fr-FR"/>
              </w:rPr>
              <w:t>trice</w:t>
            </w:r>
            <w:proofErr w:type="spellEnd"/>
            <w:r w:rsidR="001C430F">
              <w:rPr>
                <w:lang w:val="fr-FR"/>
              </w:rPr>
              <w:t>)</w:t>
            </w:r>
            <w:r w:rsidRPr="005355CB">
              <w:rPr>
                <w:lang w:val="fr-FR"/>
              </w:rPr>
              <w:t>s-réviseur</w:t>
            </w:r>
            <w:r w:rsidR="001C430F">
              <w:rPr>
                <w:lang w:val="fr-FR"/>
              </w:rPr>
              <w:t>(se)</w:t>
            </w:r>
            <w:r w:rsidRPr="005355CB">
              <w:rPr>
                <w:lang w:val="fr-FR"/>
              </w:rPr>
              <w:t>s de l’évaluation</w:t>
            </w:r>
            <w:r w:rsidR="001C430F">
              <w:rPr>
                <w:lang w:val="fr-FR"/>
              </w:rPr>
              <w:t>,</w:t>
            </w:r>
            <w:r w:rsidRPr="005355CB">
              <w:rPr>
                <w:lang w:val="fr-FR"/>
              </w:rPr>
              <w:t xml:space="preserve"> conformément aux procédures d’établissement des produits de la Plateforme, notamment en mettant en œuvre la procédure pour combler les lacunes en matière d’expertise</w:t>
            </w:r>
            <w:r w:rsidR="004656AA">
              <w:rPr>
                <w:lang w:val="fr-FR"/>
              </w:rPr>
              <w:t>.</w:t>
            </w:r>
          </w:p>
        </w:tc>
      </w:tr>
      <w:tr w:rsidR="00C92B04" w:rsidRPr="005355CB" w14:paraId="4FCF4A26" w14:textId="77777777" w:rsidTr="00082AE3">
        <w:trPr>
          <w:trHeight w:val="57"/>
          <w:jc w:val="right"/>
        </w:trPr>
        <w:tc>
          <w:tcPr>
            <w:tcW w:w="1418" w:type="dxa"/>
            <w:shd w:val="clear" w:color="auto" w:fill="auto"/>
          </w:tcPr>
          <w:p w14:paraId="110D3888" w14:textId="77777777" w:rsidR="00C92B04" w:rsidRPr="005355CB" w:rsidRDefault="00C92B04" w:rsidP="00082AE3">
            <w:pPr>
              <w:pStyle w:val="Normal-pool-Table"/>
            </w:pPr>
            <w:r w:rsidRPr="005355CB">
              <w:rPr>
                <w:lang w:val="fr-FR"/>
              </w:rPr>
              <w:t>Fin du quatrième trimestre</w:t>
            </w:r>
          </w:p>
        </w:tc>
        <w:tc>
          <w:tcPr>
            <w:tcW w:w="6889" w:type="dxa"/>
            <w:shd w:val="clear" w:color="auto" w:fill="auto"/>
          </w:tcPr>
          <w:p w14:paraId="433E805D" w14:textId="6C7F4C2B" w:rsidR="00C92B04" w:rsidRPr="005355CB" w:rsidRDefault="00C92B04" w:rsidP="00082AE3">
            <w:pPr>
              <w:pStyle w:val="Normal-pool-Table"/>
              <w:rPr>
                <w:lang w:val="fr-FR"/>
              </w:rPr>
            </w:pPr>
            <w:r w:rsidRPr="005355CB">
              <w:rPr>
                <w:lang w:val="fr-FR"/>
              </w:rPr>
              <w:t>La décision de sélection est communiquée aux candidat</w:t>
            </w:r>
            <w:r w:rsidR="001C430F">
              <w:rPr>
                <w:lang w:val="fr-FR"/>
              </w:rPr>
              <w:t>(e)</w:t>
            </w:r>
            <w:r w:rsidRPr="005355CB">
              <w:rPr>
                <w:lang w:val="fr-FR"/>
              </w:rPr>
              <w:t>s</w:t>
            </w:r>
            <w:r w:rsidR="004656AA">
              <w:rPr>
                <w:lang w:val="fr-FR"/>
              </w:rPr>
              <w:t>.</w:t>
            </w:r>
          </w:p>
        </w:tc>
      </w:tr>
      <w:tr w:rsidR="00C92B04" w:rsidRPr="005355CB" w14:paraId="1B3D60BC" w14:textId="77777777" w:rsidTr="00082AE3">
        <w:trPr>
          <w:trHeight w:val="57"/>
          <w:jc w:val="right"/>
        </w:trPr>
        <w:tc>
          <w:tcPr>
            <w:tcW w:w="8307" w:type="dxa"/>
            <w:gridSpan w:val="2"/>
            <w:shd w:val="clear" w:color="auto" w:fill="auto"/>
          </w:tcPr>
          <w:p w14:paraId="5E5C6FE4" w14:textId="77777777" w:rsidR="00C92B04" w:rsidRPr="005355CB" w:rsidRDefault="00C92B04" w:rsidP="00252088">
            <w:pPr>
              <w:pStyle w:val="Normal-pool-Table"/>
              <w:pBdr>
                <w:top w:val="nil"/>
                <w:left w:val="nil"/>
                <w:bottom w:val="nil"/>
                <w:right w:val="nil"/>
                <w:between w:val="nil"/>
              </w:pBdr>
              <w:spacing w:before="120"/>
              <w:rPr>
                <w:rFonts w:eastAsia="Arial"/>
                <w:b/>
                <w:color w:val="000000"/>
              </w:rPr>
            </w:pPr>
            <w:r w:rsidRPr="005355CB">
              <w:rPr>
                <w:b/>
                <w:bCs/>
                <w:lang w:val="fr-FR"/>
              </w:rPr>
              <w:t>2023</w:t>
            </w:r>
          </w:p>
        </w:tc>
      </w:tr>
      <w:tr w:rsidR="00C92B04" w:rsidRPr="005355CB" w14:paraId="1FE0727A" w14:textId="77777777" w:rsidTr="00082AE3">
        <w:trPr>
          <w:trHeight w:val="57"/>
          <w:jc w:val="right"/>
        </w:trPr>
        <w:tc>
          <w:tcPr>
            <w:tcW w:w="1418" w:type="dxa"/>
            <w:shd w:val="clear" w:color="auto" w:fill="auto"/>
          </w:tcPr>
          <w:p w14:paraId="1CB4DD26" w14:textId="77777777" w:rsidR="00C92B04" w:rsidRPr="005355CB" w:rsidRDefault="00C92B04" w:rsidP="00082AE3">
            <w:pPr>
              <w:pStyle w:val="Normal-pool-Table"/>
              <w:pBdr>
                <w:top w:val="nil"/>
                <w:left w:val="nil"/>
                <w:bottom w:val="nil"/>
                <w:right w:val="nil"/>
                <w:between w:val="nil"/>
              </w:pBdr>
            </w:pPr>
            <w:r w:rsidRPr="005355CB">
              <w:rPr>
                <w:lang w:val="fr-FR"/>
              </w:rPr>
              <w:t>Deuxième trimestre</w:t>
            </w:r>
          </w:p>
        </w:tc>
        <w:tc>
          <w:tcPr>
            <w:tcW w:w="6889" w:type="dxa"/>
            <w:shd w:val="clear" w:color="auto" w:fill="auto"/>
          </w:tcPr>
          <w:p w14:paraId="6194ADE7" w14:textId="2CF2CEDB" w:rsidR="00C92B04" w:rsidRPr="005355CB" w:rsidRDefault="00C92B04" w:rsidP="00082AE3">
            <w:pPr>
              <w:pStyle w:val="Normal-pool-Table"/>
              <w:pBdr>
                <w:top w:val="nil"/>
                <w:left w:val="nil"/>
                <w:bottom w:val="nil"/>
                <w:right w:val="nil"/>
                <w:between w:val="nil"/>
              </w:pBdr>
              <w:rPr>
                <w:lang w:val="fr-FR"/>
              </w:rPr>
            </w:pPr>
            <w:r w:rsidRPr="005355CB">
              <w:rPr>
                <w:lang w:val="fr-FR"/>
              </w:rPr>
              <w:t>Réunion du comité de gestion (coprésident</w:t>
            </w:r>
            <w:r w:rsidR="004656AA">
              <w:rPr>
                <w:lang w:val="fr-FR"/>
              </w:rPr>
              <w:t>(e)</w:t>
            </w:r>
            <w:r w:rsidRPr="005355CB">
              <w:rPr>
                <w:lang w:val="fr-FR"/>
              </w:rPr>
              <w:t>s, membres du Bureau et du Groupe d’experts multidisciplinaire affectés par ces organes à l’évaluation) pour planifier la première réunion d</w:t>
            </w:r>
            <w:r w:rsidR="004656AA">
              <w:rPr>
                <w:lang w:val="fr-FR"/>
              </w:rPr>
              <w:t xml:space="preserve">es </w:t>
            </w:r>
            <w:r w:rsidRPr="005355CB">
              <w:rPr>
                <w:lang w:val="fr-FR"/>
              </w:rPr>
              <w:t>auteur</w:t>
            </w:r>
            <w:r w:rsidR="004656AA">
              <w:rPr>
                <w:lang w:val="fr-FR"/>
              </w:rPr>
              <w:t>(</w:t>
            </w:r>
            <w:proofErr w:type="spellStart"/>
            <w:r w:rsidR="004656AA">
              <w:rPr>
                <w:lang w:val="fr-FR"/>
              </w:rPr>
              <w:t>trice</w:t>
            </w:r>
            <w:proofErr w:type="spellEnd"/>
            <w:r w:rsidR="004656AA">
              <w:rPr>
                <w:lang w:val="fr-FR"/>
              </w:rPr>
              <w:t>)</w:t>
            </w:r>
            <w:r w:rsidRPr="005355CB">
              <w:rPr>
                <w:lang w:val="fr-FR"/>
              </w:rPr>
              <w:t>s et les réunions préparatoires en ligne, pour que le groupe d’experts prépare le lancement de l’évaluation.</w:t>
            </w:r>
          </w:p>
        </w:tc>
      </w:tr>
      <w:tr w:rsidR="00C92B04" w:rsidRPr="005355CB" w14:paraId="28B15AA3" w14:textId="77777777" w:rsidTr="00082AE3">
        <w:trPr>
          <w:trHeight w:val="57"/>
          <w:jc w:val="right"/>
        </w:trPr>
        <w:tc>
          <w:tcPr>
            <w:tcW w:w="1418" w:type="dxa"/>
            <w:shd w:val="clear" w:color="auto" w:fill="auto"/>
          </w:tcPr>
          <w:p w14:paraId="009479F5" w14:textId="77777777" w:rsidR="00C92B04" w:rsidRPr="005355CB" w:rsidRDefault="00C92B04" w:rsidP="00082AE3">
            <w:pPr>
              <w:pStyle w:val="Normal-pool-Table"/>
              <w:pBdr>
                <w:top w:val="nil"/>
                <w:left w:val="nil"/>
                <w:bottom w:val="nil"/>
                <w:right w:val="nil"/>
                <w:between w:val="nil"/>
              </w:pBdr>
            </w:pPr>
            <w:r w:rsidRPr="005355CB">
              <w:rPr>
                <w:lang w:val="fr-FR"/>
              </w:rPr>
              <w:t xml:space="preserve">Troisième trimestre </w:t>
            </w:r>
          </w:p>
        </w:tc>
        <w:tc>
          <w:tcPr>
            <w:tcW w:w="6889" w:type="dxa"/>
            <w:shd w:val="clear" w:color="auto" w:fill="auto"/>
          </w:tcPr>
          <w:p w14:paraId="5B1751FE" w14:textId="62172BE2" w:rsidR="00C92B04" w:rsidRPr="005355CB" w:rsidRDefault="00C92B04" w:rsidP="00082AE3">
            <w:pPr>
              <w:pStyle w:val="Normal-pool-Table"/>
              <w:pBdr>
                <w:top w:val="nil"/>
                <w:left w:val="nil"/>
                <w:bottom w:val="nil"/>
                <w:right w:val="nil"/>
                <w:between w:val="nil"/>
              </w:pBdr>
              <w:rPr>
                <w:lang w:val="fr-FR"/>
              </w:rPr>
            </w:pPr>
            <w:r w:rsidRPr="005355CB">
              <w:rPr>
                <w:lang w:val="fr-FR"/>
              </w:rPr>
              <w:t>Première réunion des auteur</w:t>
            </w:r>
            <w:r w:rsidR="004656AA">
              <w:rPr>
                <w:lang w:val="fr-FR"/>
              </w:rPr>
              <w:t>(</w:t>
            </w:r>
            <w:proofErr w:type="spellStart"/>
            <w:r w:rsidR="004656AA">
              <w:rPr>
                <w:lang w:val="fr-FR"/>
              </w:rPr>
              <w:t>trice</w:t>
            </w:r>
            <w:proofErr w:type="spellEnd"/>
            <w:r w:rsidR="004656AA">
              <w:rPr>
                <w:lang w:val="fr-FR"/>
              </w:rPr>
              <w:t>)</w:t>
            </w:r>
            <w:r w:rsidRPr="005355CB">
              <w:rPr>
                <w:lang w:val="fr-FR"/>
              </w:rPr>
              <w:t xml:space="preserve">s avec </w:t>
            </w:r>
            <w:proofErr w:type="gramStart"/>
            <w:r w:rsidRPr="005355CB">
              <w:rPr>
                <w:lang w:val="fr-FR"/>
              </w:rPr>
              <w:t>les coprésident</w:t>
            </w:r>
            <w:proofErr w:type="gramEnd"/>
            <w:r w:rsidR="004656AA">
              <w:rPr>
                <w:lang w:val="fr-FR"/>
              </w:rPr>
              <w:t>(e)</w:t>
            </w:r>
            <w:r w:rsidRPr="005355CB">
              <w:rPr>
                <w:lang w:val="fr-FR"/>
              </w:rPr>
              <w:t>s, les auteur</w:t>
            </w:r>
            <w:r w:rsidR="004656AA">
              <w:rPr>
                <w:lang w:val="fr-FR"/>
              </w:rPr>
              <w:t>(</w:t>
            </w:r>
            <w:proofErr w:type="spellStart"/>
            <w:r w:rsidR="004656AA">
              <w:rPr>
                <w:lang w:val="fr-FR"/>
              </w:rPr>
              <w:t>trice</w:t>
            </w:r>
            <w:proofErr w:type="spellEnd"/>
            <w:r w:rsidR="004656AA">
              <w:rPr>
                <w:lang w:val="fr-FR"/>
              </w:rPr>
              <w:t>)</w:t>
            </w:r>
            <w:r w:rsidRPr="005355CB">
              <w:rPr>
                <w:lang w:val="fr-FR"/>
              </w:rPr>
              <w:t>s coordonnateur</w:t>
            </w:r>
            <w:r w:rsidR="004656AA">
              <w:rPr>
                <w:lang w:val="fr-FR"/>
              </w:rPr>
              <w:t>(</w:t>
            </w:r>
            <w:proofErr w:type="spellStart"/>
            <w:r w:rsidR="004656AA">
              <w:rPr>
                <w:lang w:val="fr-FR"/>
              </w:rPr>
              <w:t>trice</w:t>
            </w:r>
            <w:proofErr w:type="spellEnd"/>
            <w:r w:rsidR="004656AA">
              <w:rPr>
                <w:lang w:val="fr-FR"/>
              </w:rPr>
              <w:t>)</w:t>
            </w:r>
            <w:r w:rsidRPr="005355CB">
              <w:rPr>
                <w:lang w:val="fr-FR"/>
              </w:rPr>
              <w:t>s principaux</w:t>
            </w:r>
            <w:r w:rsidR="004656AA">
              <w:rPr>
                <w:lang w:val="fr-FR"/>
              </w:rPr>
              <w:t>(ales)</w:t>
            </w:r>
            <w:r w:rsidRPr="005355CB">
              <w:rPr>
                <w:lang w:val="fr-FR"/>
              </w:rPr>
              <w:t>, les auteur</w:t>
            </w:r>
            <w:r w:rsidR="004656AA">
              <w:rPr>
                <w:lang w:val="fr-FR"/>
              </w:rPr>
              <w:t>(</w:t>
            </w:r>
            <w:proofErr w:type="spellStart"/>
            <w:r w:rsidR="004656AA">
              <w:rPr>
                <w:lang w:val="fr-FR"/>
              </w:rPr>
              <w:t>trice</w:t>
            </w:r>
            <w:proofErr w:type="spellEnd"/>
            <w:r w:rsidR="004656AA">
              <w:rPr>
                <w:lang w:val="fr-FR"/>
              </w:rPr>
              <w:t>)</w:t>
            </w:r>
            <w:r w:rsidRPr="005355CB">
              <w:rPr>
                <w:lang w:val="fr-FR"/>
              </w:rPr>
              <w:t>s principaux</w:t>
            </w:r>
            <w:r w:rsidR="004656AA">
              <w:rPr>
                <w:lang w:val="fr-FR"/>
              </w:rPr>
              <w:t>(ales)</w:t>
            </w:r>
            <w:r w:rsidRPr="005355CB">
              <w:rPr>
                <w:lang w:val="fr-FR"/>
              </w:rPr>
              <w:t>, les éditeur</w:t>
            </w:r>
            <w:r w:rsidR="004656AA">
              <w:rPr>
                <w:lang w:val="fr-FR"/>
              </w:rPr>
              <w:t>(</w:t>
            </w:r>
            <w:proofErr w:type="spellStart"/>
            <w:r w:rsidR="004656AA">
              <w:rPr>
                <w:lang w:val="fr-FR"/>
              </w:rPr>
              <w:t>trice</w:t>
            </w:r>
            <w:proofErr w:type="spellEnd"/>
            <w:r w:rsidR="004656AA">
              <w:rPr>
                <w:lang w:val="fr-FR"/>
              </w:rPr>
              <w:t>)</w:t>
            </w:r>
            <w:r w:rsidRPr="005355CB">
              <w:rPr>
                <w:lang w:val="fr-FR"/>
              </w:rPr>
              <w:t>s-réviseur</w:t>
            </w:r>
            <w:r w:rsidR="004656AA">
              <w:rPr>
                <w:lang w:val="fr-FR"/>
              </w:rPr>
              <w:t>(se)</w:t>
            </w:r>
            <w:r w:rsidRPr="005355CB">
              <w:rPr>
                <w:lang w:val="fr-FR"/>
              </w:rPr>
              <w:t>s et les membres du Bureau et du Groupe d’experts multidisciplinaire qui font partie du comité de gestion de l’évaluation</w:t>
            </w:r>
            <w:r w:rsidR="004656AA">
              <w:rPr>
                <w:lang w:val="fr-FR"/>
              </w:rPr>
              <w:t>.</w:t>
            </w:r>
          </w:p>
        </w:tc>
      </w:tr>
      <w:tr w:rsidR="00C92B04" w:rsidRPr="005355CB" w14:paraId="06AA98B9" w14:textId="77777777" w:rsidTr="00082AE3">
        <w:trPr>
          <w:trHeight w:val="57"/>
          <w:jc w:val="right"/>
        </w:trPr>
        <w:tc>
          <w:tcPr>
            <w:tcW w:w="8307" w:type="dxa"/>
            <w:gridSpan w:val="2"/>
            <w:shd w:val="clear" w:color="auto" w:fill="auto"/>
          </w:tcPr>
          <w:p w14:paraId="36EEEA98" w14:textId="77777777" w:rsidR="00C92B04" w:rsidRPr="005355CB" w:rsidRDefault="00C92B04" w:rsidP="00252088">
            <w:pPr>
              <w:pStyle w:val="Normal-pool-Table"/>
              <w:pBdr>
                <w:top w:val="nil"/>
                <w:left w:val="nil"/>
                <w:bottom w:val="nil"/>
                <w:right w:val="nil"/>
                <w:between w:val="nil"/>
              </w:pBdr>
              <w:spacing w:before="120"/>
              <w:rPr>
                <w:rFonts w:eastAsia="Arial"/>
                <w:b/>
                <w:color w:val="000000"/>
              </w:rPr>
            </w:pPr>
            <w:r w:rsidRPr="005355CB">
              <w:rPr>
                <w:b/>
                <w:bCs/>
                <w:lang w:val="fr-FR"/>
              </w:rPr>
              <w:t>2024</w:t>
            </w:r>
          </w:p>
        </w:tc>
      </w:tr>
      <w:tr w:rsidR="00C92B04" w:rsidRPr="005355CB" w14:paraId="191FE6EA" w14:textId="77777777" w:rsidTr="00082AE3">
        <w:trPr>
          <w:trHeight w:val="57"/>
          <w:jc w:val="right"/>
        </w:trPr>
        <w:tc>
          <w:tcPr>
            <w:tcW w:w="1418" w:type="dxa"/>
            <w:shd w:val="clear" w:color="auto" w:fill="auto"/>
          </w:tcPr>
          <w:p w14:paraId="59B199F7" w14:textId="77777777" w:rsidR="00C92B04" w:rsidRPr="005355CB" w:rsidRDefault="00C92B04" w:rsidP="00082AE3">
            <w:pPr>
              <w:pStyle w:val="Normal-pool-Table"/>
              <w:pBdr>
                <w:top w:val="nil"/>
                <w:left w:val="nil"/>
                <w:bottom w:val="nil"/>
                <w:right w:val="nil"/>
                <w:between w:val="nil"/>
              </w:pBdr>
            </w:pPr>
            <w:r w:rsidRPr="005355CB">
              <w:rPr>
                <w:lang w:val="fr-FR"/>
              </w:rPr>
              <w:t>Premier au troisième trimestre</w:t>
            </w:r>
          </w:p>
        </w:tc>
        <w:tc>
          <w:tcPr>
            <w:tcW w:w="6889" w:type="dxa"/>
            <w:shd w:val="clear" w:color="auto" w:fill="auto"/>
          </w:tcPr>
          <w:p w14:paraId="0D6C91BE" w14:textId="79F2D1D0" w:rsidR="00C92B04" w:rsidRPr="005355CB" w:rsidRDefault="00C92B04" w:rsidP="00082AE3">
            <w:pPr>
              <w:pStyle w:val="Normal-pool-Table"/>
              <w:pBdr>
                <w:top w:val="nil"/>
                <w:left w:val="nil"/>
                <w:bottom w:val="nil"/>
                <w:right w:val="nil"/>
                <w:between w:val="nil"/>
              </w:pBdr>
              <w:rPr>
                <w:lang w:val="fr-FR"/>
              </w:rPr>
            </w:pPr>
            <w:r w:rsidRPr="005355CB">
              <w:rPr>
                <w:lang w:val="fr-FR"/>
              </w:rPr>
              <w:t xml:space="preserve">Élaboration de la première version des chapitres et </w:t>
            </w:r>
            <w:r w:rsidR="00C331AE">
              <w:rPr>
                <w:lang w:val="fr-FR"/>
              </w:rPr>
              <w:t xml:space="preserve">des </w:t>
            </w:r>
            <w:r w:rsidRPr="005355CB">
              <w:rPr>
                <w:lang w:val="fr-FR"/>
              </w:rPr>
              <w:t>grandes lignes du résumé à l’intention des décideurs</w:t>
            </w:r>
            <w:r w:rsidR="00E52717">
              <w:rPr>
                <w:lang w:val="fr-FR"/>
              </w:rPr>
              <w:t>.</w:t>
            </w:r>
          </w:p>
        </w:tc>
      </w:tr>
      <w:tr w:rsidR="00C92B04" w:rsidRPr="005355CB" w14:paraId="48948F65" w14:textId="77777777" w:rsidTr="00082AE3">
        <w:trPr>
          <w:trHeight w:val="57"/>
          <w:jc w:val="right"/>
        </w:trPr>
        <w:tc>
          <w:tcPr>
            <w:tcW w:w="1418" w:type="dxa"/>
            <w:shd w:val="clear" w:color="auto" w:fill="auto"/>
          </w:tcPr>
          <w:p w14:paraId="77EA5E05" w14:textId="77777777" w:rsidR="00C92B04" w:rsidRPr="005355CB" w:rsidRDefault="00C92B04" w:rsidP="00082AE3">
            <w:pPr>
              <w:pStyle w:val="Normal-pool-Table"/>
              <w:pBdr>
                <w:top w:val="nil"/>
                <w:left w:val="nil"/>
                <w:bottom w:val="nil"/>
                <w:right w:val="nil"/>
                <w:between w:val="nil"/>
              </w:pBdr>
            </w:pPr>
            <w:r w:rsidRPr="005355CB">
              <w:rPr>
                <w:lang w:val="fr-FR"/>
              </w:rPr>
              <w:t xml:space="preserve">Fin du premier trimestre </w:t>
            </w:r>
          </w:p>
        </w:tc>
        <w:tc>
          <w:tcPr>
            <w:tcW w:w="6889" w:type="dxa"/>
            <w:shd w:val="clear" w:color="auto" w:fill="auto"/>
          </w:tcPr>
          <w:p w14:paraId="7525DCCD" w14:textId="514F282F" w:rsidR="00C92B04" w:rsidRPr="005355CB" w:rsidRDefault="00C92B04" w:rsidP="00082AE3">
            <w:pPr>
              <w:pStyle w:val="Normal-pool-Table"/>
              <w:pBdr>
                <w:top w:val="nil"/>
                <w:left w:val="nil"/>
                <w:bottom w:val="nil"/>
                <w:right w:val="nil"/>
                <w:between w:val="nil"/>
              </w:pBdr>
              <w:rPr>
                <w:lang w:val="fr-FR"/>
              </w:rPr>
            </w:pPr>
            <w:r w:rsidRPr="005355CB">
              <w:rPr>
                <w:lang w:val="fr-FR"/>
              </w:rPr>
              <w:t xml:space="preserve">Atelier de rédaction pour faire </w:t>
            </w:r>
            <w:r w:rsidR="00F96F2C">
              <w:rPr>
                <w:lang w:val="fr-FR"/>
              </w:rPr>
              <w:t>progresser</w:t>
            </w:r>
            <w:r w:rsidR="00F96F2C" w:rsidRPr="005355CB">
              <w:rPr>
                <w:lang w:val="fr-FR"/>
              </w:rPr>
              <w:t xml:space="preserve"> </w:t>
            </w:r>
            <w:r w:rsidRPr="005355CB">
              <w:rPr>
                <w:lang w:val="fr-FR"/>
              </w:rPr>
              <w:t xml:space="preserve">l’élaboration du résumé à l’intention des décideurs avec </w:t>
            </w:r>
            <w:proofErr w:type="gramStart"/>
            <w:r w:rsidRPr="005355CB">
              <w:rPr>
                <w:lang w:val="fr-FR"/>
              </w:rPr>
              <w:t>les coprésident</w:t>
            </w:r>
            <w:proofErr w:type="gramEnd"/>
            <w:r w:rsidR="00A55DFB">
              <w:rPr>
                <w:lang w:val="fr-FR"/>
              </w:rPr>
              <w:t>(e)</w:t>
            </w:r>
            <w:r w:rsidRPr="005355CB">
              <w:rPr>
                <w:lang w:val="fr-FR"/>
              </w:rPr>
              <w:t>s, les auteur</w:t>
            </w:r>
            <w:r w:rsidR="00A55DFB">
              <w:rPr>
                <w:lang w:val="fr-FR"/>
              </w:rPr>
              <w:t>(</w:t>
            </w:r>
            <w:proofErr w:type="spellStart"/>
            <w:r w:rsidR="00A55DFB">
              <w:rPr>
                <w:lang w:val="fr-FR"/>
              </w:rPr>
              <w:t>trice</w:t>
            </w:r>
            <w:proofErr w:type="spellEnd"/>
            <w:r w:rsidR="00A55DFB">
              <w:rPr>
                <w:lang w:val="fr-FR"/>
              </w:rPr>
              <w:t>)</w:t>
            </w:r>
            <w:r w:rsidRPr="005355CB">
              <w:rPr>
                <w:lang w:val="fr-FR"/>
              </w:rPr>
              <w:t>s coordonnateur</w:t>
            </w:r>
            <w:r w:rsidR="00A55DFB">
              <w:rPr>
                <w:lang w:val="fr-FR"/>
              </w:rPr>
              <w:t>(</w:t>
            </w:r>
            <w:proofErr w:type="spellStart"/>
            <w:r w:rsidR="00A55DFB">
              <w:rPr>
                <w:lang w:val="fr-FR"/>
              </w:rPr>
              <w:t>trice</w:t>
            </w:r>
            <w:proofErr w:type="spellEnd"/>
            <w:r w:rsidR="00A55DFB">
              <w:rPr>
                <w:lang w:val="fr-FR"/>
              </w:rPr>
              <w:t>)</w:t>
            </w:r>
            <w:r w:rsidRPr="005355CB">
              <w:rPr>
                <w:lang w:val="fr-FR"/>
              </w:rPr>
              <w:t>s principaux</w:t>
            </w:r>
            <w:r w:rsidR="00A55DFB">
              <w:rPr>
                <w:lang w:val="fr-FR"/>
              </w:rPr>
              <w:t>(ales)</w:t>
            </w:r>
            <w:r w:rsidRPr="005355CB">
              <w:rPr>
                <w:lang w:val="fr-FR"/>
              </w:rPr>
              <w:t>, les auteur</w:t>
            </w:r>
            <w:r w:rsidR="00A55DFB">
              <w:rPr>
                <w:lang w:val="fr-FR"/>
              </w:rPr>
              <w:t>(</w:t>
            </w:r>
            <w:proofErr w:type="spellStart"/>
            <w:r w:rsidR="00A55DFB">
              <w:rPr>
                <w:lang w:val="fr-FR"/>
              </w:rPr>
              <w:t>trice</w:t>
            </w:r>
            <w:proofErr w:type="spellEnd"/>
            <w:r w:rsidR="00A55DFB">
              <w:rPr>
                <w:lang w:val="fr-FR"/>
              </w:rPr>
              <w:t>)</w:t>
            </w:r>
            <w:r w:rsidRPr="005355CB">
              <w:rPr>
                <w:lang w:val="fr-FR"/>
              </w:rPr>
              <w:t>s principaux</w:t>
            </w:r>
            <w:r w:rsidR="00A55DFB">
              <w:rPr>
                <w:lang w:val="fr-FR"/>
              </w:rPr>
              <w:t>(ales)</w:t>
            </w:r>
            <w:r w:rsidRPr="005355CB">
              <w:rPr>
                <w:lang w:val="fr-FR"/>
              </w:rPr>
              <w:t xml:space="preserve"> et les membres du Bureau et du Groupe d’experts multidisciplinaire qui font partie du comité de gestion de l’évaluation</w:t>
            </w:r>
            <w:r w:rsidR="00CF450E">
              <w:rPr>
                <w:lang w:val="fr-FR"/>
              </w:rPr>
              <w:t>.</w:t>
            </w:r>
          </w:p>
        </w:tc>
      </w:tr>
      <w:tr w:rsidR="00C92B04" w:rsidRPr="005355CB" w14:paraId="7DF00B48" w14:textId="77777777" w:rsidTr="00082AE3">
        <w:trPr>
          <w:trHeight w:val="57"/>
          <w:jc w:val="right"/>
        </w:trPr>
        <w:tc>
          <w:tcPr>
            <w:tcW w:w="1418" w:type="dxa"/>
            <w:shd w:val="clear" w:color="auto" w:fill="auto"/>
          </w:tcPr>
          <w:p w14:paraId="064DF754" w14:textId="77777777" w:rsidR="00C92B04" w:rsidRPr="005355CB" w:rsidRDefault="00C92B04" w:rsidP="00082AE3">
            <w:pPr>
              <w:pStyle w:val="Normal-pool-Table"/>
              <w:pBdr>
                <w:top w:val="nil"/>
                <w:left w:val="nil"/>
                <w:bottom w:val="nil"/>
                <w:right w:val="nil"/>
                <w:between w:val="nil"/>
              </w:pBdr>
            </w:pPr>
            <w:r w:rsidRPr="005355CB">
              <w:rPr>
                <w:lang w:val="fr-FR"/>
              </w:rPr>
              <w:t xml:space="preserve">Deuxième trimestre </w:t>
            </w:r>
          </w:p>
        </w:tc>
        <w:tc>
          <w:tcPr>
            <w:tcW w:w="6889" w:type="dxa"/>
            <w:shd w:val="clear" w:color="auto" w:fill="auto"/>
          </w:tcPr>
          <w:p w14:paraId="7815F8A0" w14:textId="50F8732A" w:rsidR="00C92B04" w:rsidRPr="005355CB" w:rsidRDefault="00C92B04" w:rsidP="00082AE3">
            <w:pPr>
              <w:pStyle w:val="Normal-pool-Table"/>
              <w:pBdr>
                <w:top w:val="nil"/>
                <w:left w:val="nil"/>
                <w:bottom w:val="nil"/>
                <w:right w:val="nil"/>
                <w:between w:val="nil"/>
              </w:pBdr>
              <w:rPr>
                <w:lang w:val="fr-FR"/>
              </w:rPr>
            </w:pPr>
            <w:r w:rsidRPr="005355CB">
              <w:rPr>
                <w:lang w:val="fr-FR"/>
              </w:rPr>
              <w:t>Première évaluation externe (8</w:t>
            </w:r>
            <w:r w:rsidR="00DB1C14">
              <w:rPr>
                <w:lang w:val="fr-FR"/>
              </w:rPr>
              <w:t> </w:t>
            </w:r>
            <w:r w:rsidRPr="005355CB">
              <w:rPr>
                <w:lang w:val="fr-FR"/>
              </w:rPr>
              <w:t>semaines) – les projets des chapitres et du résumé à l’intention des décideurs sont mis à la disposition des gouvernements et des experts pour examen</w:t>
            </w:r>
            <w:r w:rsidR="00CF450E">
              <w:rPr>
                <w:lang w:val="fr-FR"/>
              </w:rPr>
              <w:t>.</w:t>
            </w:r>
            <w:r w:rsidRPr="005355CB">
              <w:rPr>
                <w:lang w:val="fr-FR"/>
              </w:rPr>
              <w:t xml:space="preserve"> </w:t>
            </w:r>
          </w:p>
        </w:tc>
      </w:tr>
      <w:tr w:rsidR="00C92B04" w:rsidRPr="005355CB" w14:paraId="1CA3F61B" w14:textId="77777777" w:rsidTr="00082AE3">
        <w:trPr>
          <w:trHeight w:val="57"/>
          <w:jc w:val="right"/>
        </w:trPr>
        <w:tc>
          <w:tcPr>
            <w:tcW w:w="1418" w:type="dxa"/>
            <w:shd w:val="clear" w:color="auto" w:fill="auto"/>
          </w:tcPr>
          <w:p w14:paraId="7CEDBE6A" w14:textId="77777777" w:rsidR="00C92B04" w:rsidRPr="005355CB" w:rsidRDefault="00C92B04" w:rsidP="00082AE3">
            <w:pPr>
              <w:pStyle w:val="Normal-pool-Table"/>
              <w:pBdr>
                <w:top w:val="nil"/>
                <w:left w:val="nil"/>
                <w:bottom w:val="nil"/>
                <w:right w:val="nil"/>
                <w:between w:val="nil"/>
              </w:pBdr>
            </w:pPr>
            <w:r w:rsidRPr="005355CB">
              <w:rPr>
                <w:lang w:val="fr-FR"/>
              </w:rPr>
              <w:t>Troisième trimestre</w:t>
            </w:r>
          </w:p>
          <w:p w14:paraId="47AEF30D" w14:textId="77777777" w:rsidR="00C92B04" w:rsidRPr="005355CB" w:rsidRDefault="00C92B04" w:rsidP="00082AE3">
            <w:pPr>
              <w:pStyle w:val="Normal-pool-Table"/>
              <w:pBdr>
                <w:top w:val="nil"/>
                <w:left w:val="nil"/>
                <w:bottom w:val="nil"/>
                <w:right w:val="nil"/>
                <w:between w:val="nil"/>
              </w:pBdr>
            </w:pPr>
          </w:p>
          <w:p w14:paraId="1DAF0E05" w14:textId="77777777" w:rsidR="00C92B04" w:rsidRPr="005355CB" w:rsidRDefault="00C92B04" w:rsidP="00082AE3">
            <w:pPr>
              <w:pStyle w:val="Normal-pool-Table"/>
              <w:pBdr>
                <w:top w:val="nil"/>
                <w:left w:val="nil"/>
                <w:bottom w:val="nil"/>
                <w:right w:val="nil"/>
                <w:between w:val="nil"/>
              </w:pBdr>
            </w:pPr>
          </w:p>
          <w:p w14:paraId="5FB9968E" w14:textId="77777777" w:rsidR="00C92B04" w:rsidRPr="005355CB" w:rsidDel="00A76C59" w:rsidRDefault="00C92B04" w:rsidP="00082AE3">
            <w:pPr>
              <w:pStyle w:val="Normal-pool-Table"/>
              <w:pBdr>
                <w:top w:val="nil"/>
                <w:left w:val="nil"/>
                <w:bottom w:val="nil"/>
                <w:right w:val="nil"/>
                <w:between w:val="nil"/>
              </w:pBdr>
            </w:pPr>
            <w:r w:rsidRPr="005355CB">
              <w:rPr>
                <w:lang w:val="fr-FR"/>
              </w:rPr>
              <w:t>Troisième trimestre</w:t>
            </w:r>
          </w:p>
        </w:tc>
        <w:tc>
          <w:tcPr>
            <w:tcW w:w="6889" w:type="dxa"/>
            <w:shd w:val="clear" w:color="auto" w:fill="auto"/>
          </w:tcPr>
          <w:p w14:paraId="6DD19D06" w14:textId="5363AFC9" w:rsidR="00C92B04" w:rsidRPr="005355CB" w:rsidRDefault="00C92B04" w:rsidP="00082AE3">
            <w:pPr>
              <w:pStyle w:val="Normal-pool-Table"/>
              <w:pBdr>
                <w:top w:val="nil"/>
                <w:left w:val="nil"/>
                <w:bottom w:val="nil"/>
                <w:right w:val="nil"/>
                <w:between w:val="nil"/>
              </w:pBdr>
              <w:rPr>
                <w:lang w:val="fr-FR"/>
              </w:rPr>
            </w:pPr>
            <w:r w:rsidRPr="005355CB">
              <w:rPr>
                <w:lang w:val="fr-FR"/>
              </w:rPr>
              <w:t>Deuxième réunion des auteur</w:t>
            </w:r>
            <w:r w:rsidR="00CF450E">
              <w:rPr>
                <w:lang w:val="fr-FR"/>
              </w:rPr>
              <w:t>(</w:t>
            </w:r>
            <w:proofErr w:type="spellStart"/>
            <w:r w:rsidR="00CF450E">
              <w:rPr>
                <w:lang w:val="fr-FR"/>
              </w:rPr>
              <w:t>trice</w:t>
            </w:r>
            <w:proofErr w:type="spellEnd"/>
            <w:r w:rsidR="00CF450E">
              <w:rPr>
                <w:lang w:val="fr-FR"/>
              </w:rPr>
              <w:t>)</w:t>
            </w:r>
            <w:r w:rsidRPr="005355CB">
              <w:rPr>
                <w:lang w:val="fr-FR"/>
              </w:rPr>
              <w:t xml:space="preserve">s avec </w:t>
            </w:r>
            <w:proofErr w:type="gramStart"/>
            <w:r w:rsidRPr="005355CB">
              <w:rPr>
                <w:lang w:val="fr-FR"/>
              </w:rPr>
              <w:t>les coprésident</w:t>
            </w:r>
            <w:proofErr w:type="gramEnd"/>
            <w:r w:rsidR="00CF450E">
              <w:rPr>
                <w:lang w:val="fr-FR"/>
              </w:rPr>
              <w:t>(e)</w:t>
            </w:r>
            <w:r w:rsidRPr="005355CB">
              <w:rPr>
                <w:lang w:val="fr-FR"/>
              </w:rPr>
              <w:t>s, les auteur</w:t>
            </w:r>
            <w:r w:rsidR="00CF450E">
              <w:rPr>
                <w:lang w:val="fr-FR"/>
              </w:rPr>
              <w:t>(</w:t>
            </w:r>
            <w:proofErr w:type="spellStart"/>
            <w:r w:rsidR="00CF450E">
              <w:rPr>
                <w:lang w:val="fr-FR"/>
              </w:rPr>
              <w:t>trice</w:t>
            </w:r>
            <w:proofErr w:type="spellEnd"/>
            <w:r w:rsidR="00CF450E">
              <w:rPr>
                <w:lang w:val="fr-FR"/>
              </w:rPr>
              <w:t>)</w:t>
            </w:r>
            <w:r w:rsidRPr="005355CB">
              <w:rPr>
                <w:lang w:val="fr-FR"/>
              </w:rPr>
              <w:t>s coordonnateur</w:t>
            </w:r>
            <w:r w:rsidR="00CF450E">
              <w:rPr>
                <w:lang w:val="fr-FR"/>
              </w:rPr>
              <w:t>(</w:t>
            </w:r>
            <w:proofErr w:type="spellStart"/>
            <w:r w:rsidR="00CF450E">
              <w:rPr>
                <w:lang w:val="fr-FR"/>
              </w:rPr>
              <w:t>trice</w:t>
            </w:r>
            <w:proofErr w:type="spellEnd"/>
            <w:r w:rsidR="00CF450E">
              <w:rPr>
                <w:lang w:val="fr-FR"/>
              </w:rPr>
              <w:t>)</w:t>
            </w:r>
            <w:r w:rsidRPr="005355CB">
              <w:rPr>
                <w:lang w:val="fr-FR"/>
              </w:rPr>
              <w:t>s principaux</w:t>
            </w:r>
            <w:r w:rsidR="00CF450E">
              <w:rPr>
                <w:lang w:val="fr-FR"/>
              </w:rPr>
              <w:t>(ales)</w:t>
            </w:r>
            <w:r w:rsidRPr="005355CB">
              <w:rPr>
                <w:lang w:val="fr-FR"/>
              </w:rPr>
              <w:t>, les auteur</w:t>
            </w:r>
            <w:r w:rsidR="00CF450E">
              <w:rPr>
                <w:lang w:val="fr-FR"/>
              </w:rPr>
              <w:t>(</w:t>
            </w:r>
            <w:proofErr w:type="spellStart"/>
            <w:r w:rsidR="00CF450E">
              <w:rPr>
                <w:lang w:val="fr-FR"/>
              </w:rPr>
              <w:t>trice</w:t>
            </w:r>
            <w:proofErr w:type="spellEnd"/>
            <w:r w:rsidR="00CF450E">
              <w:rPr>
                <w:lang w:val="fr-FR"/>
              </w:rPr>
              <w:t>)</w:t>
            </w:r>
            <w:r w:rsidRPr="005355CB">
              <w:rPr>
                <w:lang w:val="fr-FR"/>
              </w:rPr>
              <w:t>s principaux</w:t>
            </w:r>
            <w:r w:rsidR="00CF450E">
              <w:rPr>
                <w:lang w:val="fr-FR"/>
              </w:rPr>
              <w:t>(ales)</w:t>
            </w:r>
            <w:r w:rsidRPr="005355CB">
              <w:rPr>
                <w:lang w:val="fr-FR"/>
              </w:rPr>
              <w:t>, les éditeur</w:t>
            </w:r>
            <w:r w:rsidR="00CF450E">
              <w:rPr>
                <w:lang w:val="fr-FR"/>
              </w:rPr>
              <w:t>(</w:t>
            </w:r>
            <w:proofErr w:type="spellStart"/>
            <w:r w:rsidR="00CF450E">
              <w:rPr>
                <w:lang w:val="fr-FR"/>
              </w:rPr>
              <w:t>trice</w:t>
            </w:r>
            <w:proofErr w:type="spellEnd"/>
            <w:r w:rsidR="00CF450E">
              <w:rPr>
                <w:lang w:val="fr-FR"/>
              </w:rPr>
              <w:t>)</w:t>
            </w:r>
            <w:r w:rsidRPr="005355CB">
              <w:rPr>
                <w:lang w:val="fr-FR"/>
              </w:rPr>
              <w:t>s-réviseur</w:t>
            </w:r>
            <w:r w:rsidR="00CF450E">
              <w:rPr>
                <w:lang w:val="fr-FR"/>
              </w:rPr>
              <w:t>(se)</w:t>
            </w:r>
            <w:r w:rsidRPr="005355CB">
              <w:rPr>
                <w:lang w:val="fr-FR"/>
              </w:rPr>
              <w:t>s et les membres du Bureau et du Groupe d’experts multidisciplinaire qui font partie du comité de gestion de l’évaluation</w:t>
            </w:r>
            <w:r w:rsidR="00CF450E">
              <w:rPr>
                <w:lang w:val="fr-FR"/>
              </w:rPr>
              <w:t>.</w:t>
            </w:r>
          </w:p>
          <w:p w14:paraId="1D81EE69" w14:textId="7F986A65" w:rsidR="00C92B04" w:rsidRPr="005355CB" w:rsidRDefault="00C92B04" w:rsidP="00082AE3">
            <w:pPr>
              <w:pStyle w:val="Normal-pool-Table"/>
              <w:pBdr>
                <w:top w:val="nil"/>
                <w:left w:val="nil"/>
                <w:bottom w:val="nil"/>
                <w:right w:val="nil"/>
                <w:between w:val="nil"/>
              </w:pBdr>
              <w:rPr>
                <w:lang w:val="fr-FR"/>
              </w:rPr>
            </w:pPr>
            <w:r w:rsidRPr="005355CB">
              <w:rPr>
                <w:lang w:val="fr-FR"/>
              </w:rPr>
              <w:t>Immédiatement après la deuxième réunion des auteur</w:t>
            </w:r>
            <w:r w:rsidR="00F96F2C">
              <w:rPr>
                <w:lang w:val="fr-FR"/>
              </w:rPr>
              <w:t>(</w:t>
            </w:r>
            <w:proofErr w:type="spellStart"/>
            <w:r w:rsidR="00F96F2C">
              <w:rPr>
                <w:lang w:val="fr-FR"/>
              </w:rPr>
              <w:t>trice</w:t>
            </w:r>
            <w:proofErr w:type="spellEnd"/>
            <w:r w:rsidR="00F96F2C">
              <w:rPr>
                <w:lang w:val="fr-FR"/>
              </w:rPr>
              <w:t>)</w:t>
            </w:r>
            <w:r w:rsidRPr="005355CB">
              <w:rPr>
                <w:lang w:val="fr-FR"/>
              </w:rPr>
              <w:t xml:space="preserve">s, une réunion sera organisée pour faire progresser </w:t>
            </w:r>
            <w:r w:rsidR="00F96F2C">
              <w:rPr>
                <w:lang w:val="fr-FR"/>
              </w:rPr>
              <w:t>l’élaboration</w:t>
            </w:r>
            <w:r w:rsidRPr="005355CB">
              <w:rPr>
                <w:lang w:val="fr-FR"/>
              </w:rPr>
              <w:t xml:space="preserve"> du résumé à l’intention des décideurs avec </w:t>
            </w:r>
            <w:proofErr w:type="gramStart"/>
            <w:r w:rsidRPr="005355CB">
              <w:rPr>
                <w:lang w:val="fr-FR"/>
              </w:rPr>
              <w:t>les coprésident</w:t>
            </w:r>
            <w:proofErr w:type="gramEnd"/>
            <w:r w:rsidR="00F96F2C">
              <w:rPr>
                <w:lang w:val="fr-FR"/>
              </w:rPr>
              <w:t>(e)</w:t>
            </w:r>
            <w:r w:rsidRPr="005355CB">
              <w:rPr>
                <w:lang w:val="fr-FR"/>
              </w:rPr>
              <w:t>s, les auteur</w:t>
            </w:r>
            <w:r w:rsidR="00F96F2C">
              <w:rPr>
                <w:lang w:val="fr-FR"/>
              </w:rPr>
              <w:t>(</w:t>
            </w:r>
            <w:proofErr w:type="spellStart"/>
            <w:r w:rsidR="00F96F2C">
              <w:rPr>
                <w:lang w:val="fr-FR"/>
              </w:rPr>
              <w:t>trice</w:t>
            </w:r>
            <w:proofErr w:type="spellEnd"/>
            <w:r w:rsidR="00F96F2C">
              <w:rPr>
                <w:lang w:val="fr-FR"/>
              </w:rPr>
              <w:t>)</w:t>
            </w:r>
            <w:r w:rsidRPr="005355CB">
              <w:rPr>
                <w:lang w:val="fr-FR"/>
              </w:rPr>
              <w:t>s coordonnateur</w:t>
            </w:r>
            <w:r w:rsidR="00F96F2C">
              <w:rPr>
                <w:lang w:val="fr-FR"/>
              </w:rPr>
              <w:t>(</w:t>
            </w:r>
            <w:proofErr w:type="spellStart"/>
            <w:r w:rsidR="00F96F2C">
              <w:rPr>
                <w:lang w:val="fr-FR"/>
              </w:rPr>
              <w:t>trice</w:t>
            </w:r>
            <w:proofErr w:type="spellEnd"/>
            <w:r w:rsidR="00F96F2C">
              <w:rPr>
                <w:lang w:val="fr-FR"/>
              </w:rPr>
              <w:t>)</w:t>
            </w:r>
            <w:r w:rsidRPr="005355CB">
              <w:rPr>
                <w:lang w:val="fr-FR"/>
              </w:rPr>
              <w:t>s principaux</w:t>
            </w:r>
            <w:r w:rsidR="00F96F2C">
              <w:rPr>
                <w:lang w:val="fr-FR"/>
              </w:rPr>
              <w:t>(ales)</w:t>
            </w:r>
            <w:r w:rsidRPr="005355CB">
              <w:rPr>
                <w:lang w:val="fr-FR"/>
              </w:rPr>
              <w:t>, les auteur</w:t>
            </w:r>
            <w:r w:rsidR="00F96F2C">
              <w:rPr>
                <w:lang w:val="fr-FR"/>
              </w:rPr>
              <w:t>(</w:t>
            </w:r>
            <w:proofErr w:type="spellStart"/>
            <w:r w:rsidR="00F96F2C">
              <w:rPr>
                <w:lang w:val="fr-FR"/>
              </w:rPr>
              <w:t>trice</w:t>
            </w:r>
            <w:proofErr w:type="spellEnd"/>
            <w:r w:rsidR="00F96F2C">
              <w:rPr>
                <w:lang w:val="fr-FR"/>
              </w:rPr>
              <w:t>)</w:t>
            </w:r>
            <w:r w:rsidRPr="005355CB">
              <w:rPr>
                <w:lang w:val="fr-FR"/>
              </w:rPr>
              <w:t>s principaux</w:t>
            </w:r>
            <w:r w:rsidR="00F96F2C">
              <w:rPr>
                <w:lang w:val="fr-FR"/>
              </w:rPr>
              <w:t>(ales)</w:t>
            </w:r>
            <w:r w:rsidRPr="005355CB">
              <w:rPr>
                <w:lang w:val="fr-FR"/>
              </w:rPr>
              <w:t xml:space="preserve"> et les membres du Bureau et du Groupe d’experts multidisciplinaire qui font partie du comité de gestion de l’évaluation</w:t>
            </w:r>
            <w:r w:rsidR="00CF450E">
              <w:rPr>
                <w:lang w:val="fr-FR"/>
              </w:rPr>
              <w:t>.</w:t>
            </w:r>
          </w:p>
        </w:tc>
      </w:tr>
      <w:tr w:rsidR="00C92B04" w:rsidRPr="005355CB" w14:paraId="042E39AA" w14:textId="77777777" w:rsidTr="00082AE3">
        <w:trPr>
          <w:trHeight w:val="57"/>
          <w:jc w:val="right"/>
        </w:trPr>
        <w:tc>
          <w:tcPr>
            <w:tcW w:w="8307" w:type="dxa"/>
            <w:gridSpan w:val="2"/>
            <w:shd w:val="clear" w:color="auto" w:fill="auto"/>
          </w:tcPr>
          <w:p w14:paraId="592539FB" w14:textId="77777777" w:rsidR="00C92B04" w:rsidRPr="005355CB" w:rsidRDefault="00C92B04" w:rsidP="00252088">
            <w:pPr>
              <w:pStyle w:val="Normal-pool-Table"/>
              <w:pBdr>
                <w:top w:val="nil"/>
                <w:left w:val="nil"/>
                <w:bottom w:val="nil"/>
                <w:right w:val="nil"/>
                <w:between w:val="nil"/>
              </w:pBdr>
              <w:spacing w:before="120"/>
              <w:rPr>
                <w:rFonts w:eastAsia="Arial"/>
                <w:b/>
                <w:color w:val="000000"/>
              </w:rPr>
            </w:pPr>
            <w:r w:rsidRPr="005355CB">
              <w:rPr>
                <w:b/>
                <w:bCs/>
                <w:lang w:val="fr-FR"/>
              </w:rPr>
              <w:lastRenderedPageBreak/>
              <w:t>2025</w:t>
            </w:r>
          </w:p>
        </w:tc>
      </w:tr>
      <w:tr w:rsidR="00C92B04" w:rsidRPr="005355CB" w14:paraId="66ABCCB2" w14:textId="77777777" w:rsidTr="00082AE3">
        <w:trPr>
          <w:trHeight w:val="57"/>
          <w:jc w:val="right"/>
        </w:trPr>
        <w:tc>
          <w:tcPr>
            <w:tcW w:w="1418" w:type="dxa"/>
            <w:shd w:val="clear" w:color="auto" w:fill="auto"/>
          </w:tcPr>
          <w:p w14:paraId="7C66DC50" w14:textId="77777777" w:rsidR="00C92B04" w:rsidRPr="005355CB" w:rsidRDefault="00C92B04" w:rsidP="00082AE3">
            <w:pPr>
              <w:pStyle w:val="Normal-pool-Table"/>
              <w:pBdr>
                <w:top w:val="nil"/>
                <w:left w:val="nil"/>
                <w:bottom w:val="nil"/>
                <w:right w:val="nil"/>
                <w:between w:val="nil"/>
              </w:pBdr>
            </w:pPr>
            <w:r w:rsidRPr="005355CB">
              <w:rPr>
                <w:lang w:val="fr-FR"/>
              </w:rPr>
              <w:t>Début du premier trimestre</w:t>
            </w:r>
          </w:p>
        </w:tc>
        <w:tc>
          <w:tcPr>
            <w:tcW w:w="6889" w:type="dxa"/>
            <w:shd w:val="clear" w:color="auto" w:fill="auto"/>
          </w:tcPr>
          <w:p w14:paraId="111ED3B0" w14:textId="0C43989B" w:rsidR="00C92B04" w:rsidRPr="005355CB" w:rsidRDefault="00C92B04" w:rsidP="00082AE3">
            <w:pPr>
              <w:pStyle w:val="Normal-pool-Table"/>
              <w:pBdr>
                <w:top w:val="nil"/>
                <w:left w:val="nil"/>
                <w:bottom w:val="nil"/>
                <w:right w:val="nil"/>
                <w:between w:val="nil"/>
              </w:pBdr>
              <w:rPr>
                <w:lang w:val="fr-FR"/>
              </w:rPr>
            </w:pPr>
            <w:r w:rsidRPr="005355CB">
              <w:rPr>
                <w:lang w:val="fr-FR"/>
              </w:rPr>
              <w:t>Évaluation externe du résumé à l’intention des décideurs</w:t>
            </w:r>
            <w:r w:rsidR="001A1368">
              <w:rPr>
                <w:lang w:val="fr-FR"/>
              </w:rPr>
              <w:t>.</w:t>
            </w:r>
          </w:p>
        </w:tc>
      </w:tr>
      <w:tr w:rsidR="00C92B04" w:rsidRPr="005355CB" w14:paraId="43452125" w14:textId="77777777" w:rsidTr="00082AE3">
        <w:trPr>
          <w:trHeight w:val="57"/>
          <w:jc w:val="right"/>
        </w:trPr>
        <w:tc>
          <w:tcPr>
            <w:tcW w:w="1418" w:type="dxa"/>
            <w:shd w:val="clear" w:color="auto" w:fill="auto"/>
          </w:tcPr>
          <w:p w14:paraId="67D8A69F" w14:textId="77777777" w:rsidR="00C92B04" w:rsidRPr="005355CB" w:rsidRDefault="00C92B04" w:rsidP="00082AE3">
            <w:pPr>
              <w:pStyle w:val="Normal-pool-Table"/>
              <w:pBdr>
                <w:top w:val="nil"/>
                <w:left w:val="nil"/>
                <w:bottom w:val="nil"/>
                <w:right w:val="nil"/>
                <w:between w:val="nil"/>
              </w:pBdr>
            </w:pPr>
            <w:r w:rsidRPr="005355CB">
              <w:rPr>
                <w:lang w:val="fr-FR"/>
              </w:rPr>
              <w:t>Deuxième trimestre</w:t>
            </w:r>
          </w:p>
        </w:tc>
        <w:tc>
          <w:tcPr>
            <w:tcW w:w="6889" w:type="dxa"/>
            <w:shd w:val="clear" w:color="auto" w:fill="auto"/>
          </w:tcPr>
          <w:p w14:paraId="7D7D196B" w14:textId="1C371F84" w:rsidR="00C92B04" w:rsidRPr="005355CB" w:rsidRDefault="00C92B04" w:rsidP="00082AE3">
            <w:pPr>
              <w:pStyle w:val="Normal-pool-Table"/>
              <w:pBdr>
                <w:top w:val="nil"/>
                <w:left w:val="nil"/>
                <w:bottom w:val="nil"/>
                <w:right w:val="nil"/>
                <w:between w:val="nil"/>
              </w:pBdr>
              <w:rPr>
                <w:lang w:val="fr-FR"/>
              </w:rPr>
            </w:pPr>
            <w:r w:rsidRPr="005355CB">
              <w:rPr>
                <w:lang w:val="fr-FR"/>
              </w:rPr>
              <w:t xml:space="preserve">Atelier en ligne de rédaction pour faire </w:t>
            </w:r>
            <w:r w:rsidR="001A1368">
              <w:rPr>
                <w:lang w:val="fr-FR"/>
              </w:rPr>
              <w:t>progresser</w:t>
            </w:r>
            <w:r w:rsidR="001A1368" w:rsidRPr="005355CB">
              <w:rPr>
                <w:lang w:val="fr-FR"/>
              </w:rPr>
              <w:t xml:space="preserve"> </w:t>
            </w:r>
            <w:r w:rsidRPr="005355CB">
              <w:rPr>
                <w:lang w:val="fr-FR"/>
              </w:rPr>
              <w:t xml:space="preserve">l’élaboration du résumé à l’intention des décideurs avec </w:t>
            </w:r>
            <w:proofErr w:type="gramStart"/>
            <w:r w:rsidRPr="005355CB">
              <w:rPr>
                <w:lang w:val="fr-FR"/>
              </w:rPr>
              <w:t>les coprésident</w:t>
            </w:r>
            <w:proofErr w:type="gramEnd"/>
            <w:r w:rsidR="001A1368">
              <w:rPr>
                <w:lang w:val="fr-FR"/>
              </w:rPr>
              <w:t>(e)</w:t>
            </w:r>
            <w:r w:rsidRPr="005355CB">
              <w:rPr>
                <w:lang w:val="fr-FR"/>
              </w:rPr>
              <w:t>s, les auteur</w:t>
            </w:r>
            <w:r w:rsidR="001A1368">
              <w:rPr>
                <w:lang w:val="fr-FR"/>
              </w:rPr>
              <w:t>(</w:t>
            </w:r>
            <w:proofErr w:type="spellStart"/>
            <w:r w:rsidR="001A1368">
              <w:rPr>
                <w:lang w:val="fr-FR"/>
              </w:rPr>
              <w:t>trice</w:t>
            </w:r>
            <w:proofErr w:type="spellEnd"/>
            <w:r w:rsidR="001A1368">
              <w:rPr>
                <w:lang w:val="fr-FR"/>
              </w:rPr>
              <w:t>)</w:t>
            </w:r>
            <w:r w:rsidRPr="005355CB">
              <w:rPr>
                <w:lang w:val="fr-FR"/>
              </w:rPr>
              <w:t>s coordonnateur</w:t>
            </w:r>
            <w:r w:rsidR="001A1368">
              <w:rPr>
                <w:lang w:val="fr-FR"/>
              </w:rPr>
              <w:t>(</w:t>
            </w:r>
            <w:proofErr w:type="spellStart"/>
            <w:r w:rsidR="001A1368">
              <w:rPr>
                <w:lang w:val="fr-FR"/>
              </w:rPr>
              <w:t>trice</w:t>
            </w:r>
            <w:proofErr w:type="spellEnd"/>
            <w:r w:rsidR="001A1368">
              <w:rPr>
                <w:lang w:val="fr-FR"/>
              </w:rPr>
              <w:t>)</w:t>
            </w:r>
            <w:r w:rsidRPr="005355CB">
              <w:rPr>
                <w:lang w:val="fr-FR"/>
              </w:rPr>
              <w:t>s principaux</w:t>
            </w:r>
            <w:r w:rsidR="001A1368">
              <w:rPr>
                <w:lang w:val="fr-FR"/>
              </w:rPr>
              <w:t>(ales)</w:t>
            </w:r>
            <w:r w:rsidRPr="005355CB">
              <w:rPr>
                <w:lang w:val="fr-FR"/>
              </w:rPr>
              <w:t>, les auteurs principaux</w:t>
            </w:r>
            <w:r w:rsidR="001A1368">
              <w:rPr>
                <w:lang w:val="fr-FR"/>
              </w:rPr>
              <w:t>(ales)</w:t>
            </w:r>
            <w:r w:rsidRPr="005355CB">
              <w:rPr>
                <w:lang w:val="fr-FR"/>
              </w:rPr>
              <w:t xml:space="preserve"> et les membres du Bureau et du Groupe d’experts multidisciplinaire qui font partie du comité de gestion de l’évaluation</w:t>
            </w:r>
            <w:r w:rsidR="001A1368">
              <w:rPr>
                <w:lang w:val="fr-FR"/>
              </w:rPr>
              <w:t>.</w:t>
            </w:r>
          </w:p>
        </w:tc>
      </w:tr>
      <w:tr w:rsidR="00C92B04" w:rsidRPr="005355CB" w14:paraId="5AE78249" w14:textId="77777777" w:rsidTr="00082AE3">
        <w:trPr>
          <w:trHeight w:val="57"/>
          <w:jc w:val="right"/>
        </w:trPr>
        <w:tc>
          <w:tcPr>
            <w:tcW w:w="1418" w:type="dxa"/>
            <w:shd w:val="clear" w:color="auto" w:fill="auto"/>
          </w:tcPr>
          <w:p w14:paraId="4E156B45" w14:textId="77777777" w:rsidR="00C92B04" w:rsidRPr="005355CB" w:rsidRDefault="00C92B04" w:rsidP="00082AE3">
            <w:pPr>
              <w:pStyle w:val="Normal-pool-Table"/>
              <w:pBdr>
                <w:top w:val="nil"/>
                <w:left w:val="nil"/>
                <w:bottom w:val="nil"/>
                <w:right w:val="nil"/>
                <w:between w:val="nil"/>
              </w:pBdr>
            </w:pPr>
            <w:r w:rsidRPr="005355CB">
              <w:rPr>
                <w:lang w:val="fr-FR"/>
              </w:rPr>
              <w:t>Troisième trimestre</w:t>
            </w:r>
          </w:p>
        </w:tc>
        <w:tc>
          <w:tcPr>
            <w:tcW w:w="6889" w:type="dxa"/>
            <w:shd w:val="clear" w:color="auto" w:fill="auto"/>
          </w:tcPr>
          <w:p w14:paraId="26C12650" w14:textId="331D8544" w:rsidR="00C92B04" w:rsidRPr="005355CB" w:rsidRDefault="00C92B04" w:rsidP="00082AE3">
            <w:pPr>
              <w:pStyle w:val="Normal-pool-Table"/>
              <w:pBdr>
                <w:top w:val="nil"/>
                <w:left w:val="nil"/>
                <w:bottom w:val="nil"/>
                <w:right w:val="nil"/>
                <w:between w:val="nil"/>
              </w:pBdr>
              <w:rPr>
                <w:lang w:val="fr-FR"/>
              </w:rPr>
            </w:pPr>
            <w:r w:rsidRPr="005355CB">
              <w:rPr>
                <w:lang w:val="fr-FR"/>
              </w:rPr>
              <w:t>Les auteur</w:t>
            </w:r>
            <w:r w:rsidR="00355DE4">
              <w:rPr>
                <w:lang w:val="fr-FR"/>
              </w:rPr>
              <w:t>(</w:t>
            </w:r>
            <w:proofErr w:type="spellStart"/>
            <w:r w:rsidR="00355DE4">
              <w:rPr>
                <w:lang w:val="fr-FR"/>
              </w:rPr>
              <w:t>trice</w:t>
            </w:r>
            <w:proofErr w:type="spellEnd"/>
            <w:r w:rsidR="00355DE4">
              <w:rPr>
                <w:lang w:val="fr-FR"/>
              </w:rPr>
              <w:t>)</w:t>
            </w:r>
            <w:proofErr w:type="spellStart"/>
            <w:r w:rsidRPr="005355CB">
              <w:rPr>
                <w:lang w:val="fr-FR"/>
              </w:rPr>
              <w:t>s</w:t>
            </w:r>
            <w:proofErr w:type="spellEnd"/>
            <w:r w:rsidRPr="005355CB">
              <w:rPr>
                <w:lang w:val="fr-FR"/>
              </w:rPr>
              <w:t xml:space="preserve"> </w:t>
            </w:r>
            <w:r w:rsidR="00355DE4">
              <w:rPr>
                <w:lang w:val="fr-FR"/>
              </w:rPr>
              <w:t>mettent au point</w:t>
            </w:r>
            <w:r w:rsidR="00355DE4" w:rsidRPr="005355CB">
              <w:rPr>
                <w:lang w:val="fr-FR"/>
              </w:rPr>
              <w:t xml:space="preserve"> </w:t>
            </w:r>
            <w:r w:rsidRPr="005355CB">
              <w:rPr>
                <w:lang w:val="fr-FR"/>
              </w:rPr>
              <w:t>les projets de chapitres et le projet de résumé à l’intention des décideurs</w:t>
            </w:r>
            <w:r w:rsidR="001A1368">
              <w:rPr>
                <w:lang w:val="fr-FR"/>
              </w:rPr>
              <w:t>.</w:t>
            </w:r>
          </w:p>
        </w:tc>
      </w:tr>
      <w:tr w:rsidR="00C92B04" w:rsidRPr="005355CB" w14:paraId="60342E82" w14:textId="77777777" w:rsidTr="00082AE3">
        <w:trPr>
          <w:trHeight w:val="57"/>
          <w:jc w:val="right"/>
        </w:trPr>
        <w:tc>
          <w:tcPr>
            <w:tcW w:w="1418" w:type="dxa"/>
            <w:shd w:val="clear" w:color="auto" w:fill="auto"/>
          </w:tcPr>
          <w:p w14:paraId="7E7DFF56" w14:textId="77777777" w:rsidR="00C92B04" w:rsidRPr="005355CB" w:rsidRDefault="00C92B04" w:rsidP="00082AE3">
            <w:pPr>
              <w:pStyle w:val="Normal-pool-Table"/>
              <w:pBdr>
                <w:top w:val="nil"/>
                <w:left w:val="nil"/>
                <w:bottom w:val="nil"/>
                <w:right w:val="nil"/>
                <w:between w:val="nil"/>
              </w:pBdr>
            </w:pPr>
            <w:r w:rsidRPr="005355CB">
              <w:rPr>
                <w:lang w:val="fr-FR"/>
              </w:rPr>
              <w:t xml:space="preserve">Troisième trimestre </w:t>
            </w:r>
          </w:p>
        </w:tc>
        <w:tc>
          <w:tcPr>
            <w:tcW w:w="6889" w:type="dxa"/>
            <w:shd w:val="clear" w:color="auto" w:fill="auto"/>
          </w:tcPr>
          <w:p w14:paraId="42B977C2" w14:textId="18CB1925" w:rsidR="00C92B04" w:rsidRPr="005355CB" w:rsidRDefault="00C92B04" w:rsidP="00082AE3">
            <w:pPr>
              <w:pStyle w:val="Normal-pool-Table"/>
              <w:pBdr>
                <w:top w:val="nil"/>
                <w:left w:val="nil"/>
                <w:bottom w:val="nil"/>
                <w:right w:val="nil"/>
                <w:between w:val="nil"/>
              </w:pBdr>
              <w:rPr>
                <w:lang w:val="fr-FR"/>
              </w:rPr>
            </w:pPr>
            <w:r w:rsidRPr="005355CB">
              <w:rPr>
                <w:lang w:val="fr-FR"/>
              </w:rPr>
              <w:t>Évaluation finale (</w:t>
            </w:r>
            <w:r w:rsidR="00A86EA2">
              <w:rPr>
                <w:lang w:val="fr-FR"/>
              </w:rPr>
              <w:t>6</w:t>
            </w:r>
            <w:r w:rsidR="00C32DD1">
              <w:rPr>
                <w:lang w:val="fr-FR"/>
              </w:rPr>
              <w:t> </w:t>
            </w:r>
            <w:r w:rsidRPr="005355CB">
              <w:rPr>
                <w:lang w:val="fr-FR"/>
              </w:rPr>
              <w:t xml:space="preserve">semaines) – la version finale des projets des chapitres et du résumé à l’intention des décideurs </w:t>
            </w:r>
            <w:r w:rsidR="00A86EA2">
              <w:rPr>
                <w:lang w:val="fr-FR"/>
              </w:rPr>
              <w:t>est mise</w:t>
            </w:r>
            <w:r w:rsidRPr="005355CB">
              <w:rPr>
                <w:lang w:val="fr-FR"/>
              </w:rPr>
              <w:t xml:space="preserve"> à la disposition des gouvernements pour examen</w:t>
            </w:r>
            <w:r w:rsidR="001A1368">
              <w:rPr>
                <w:lang w:val="fr-FR"/>
              </w:rPr>
              <w:t>.</w:t>
            </w:r>
          </w:p>
        </w:tc>
      </w:tr>
      <w:tr w:rsidR="00C92B04" w:rsidRPr="005355CB" w14:paraId="664A5BA5" w14:textId="77777777" w:rsidTr="00082AE3">
        <w:trPr>
          <w:trHeight w:val="57"/>
          <w:jc w:val="right"/>
        </w:trPr>
        <w:tc>
          <w:tcPr>
            <w:tcW w:w="1418" w:type="dxa"/>
            <w:shd w:val="clear" w:color="auto" w:fill="auto"/>
          </w:tcPr>
          <w:p w14:paraId="4CE913AF" w14:textId="77777777" w:rsidR="00C92B04" w:rsidRPr="005355CB" w:rsidRDefault="00C92B04" w:rsidP="00082AE3">
            <w:pPr>
              <w:pStyle w:val="Normal-pool-Table"/>
              <w:pBdr>
                <w:top w:val="nil"/>
                <w:left w:val="nil"/>
                <w:bottom w:val="nil"/>
                <w:right w:val="nil"/>
                <w:between w:val="nil"/>
              </w:pBdr>
            </w:pPr>
            <w:r w:rsidRPr="005355CB">
              <w:rPr>
                <w:lang w:val="fr-FR"/>
              </w:rPr>
              <w:t xml:space="preserve">Début du quatrième trimestre </w:t>
            </w:r>
          </w:p>
        </w:tc>
        <w:tc>
          <w:tcPr>
            <w:tcW w:w="6889" w:type="dxa"/>
            <w:shd w:val="clear" w:color="auto" w:fill="auto"/>
          </w:tcPr>
          <w:p w14:paraId="24A4EDFA" w14:textId="04CA7FE4" w:rsidR="00C92B04" w:rsidRPr="005355CB" w:rsidRDefault="00C92B04" w:rsidP="00082AE3">
            <w:pPr>
              <w:pStyle w:val="Normal-pool-Table"/>
              <w:pBdr>
                <w:top w:val="nil"/>
                <w:left w:val="nil"/>
                <w:bottom w:val="nil"/>
                <w:right w:val="nil"/>
                <w:between w:val="nil"/>
              </w:pBdr>
              <w:rPr>
                <w:lang w:val="fr-FR"/>
              </w:rPr>
            </w:pPr>
            <w:r w:rsidRPr="005355CB">
              <w:rPr>
                <w:lang w:val="fr-FR"/>
              </w:rPr>
              <w:t>Examen par la Plénière, à sa douzième session, du résumé à l’intention des décideurs pour approbation et des chapitres pour acceptation</w:t>
            </w:r>
            <w:r w:rsidR="001A1368">
              <w:rPr>
                <w:lang w:val="fr-FR"/>
              </w:rPr>
              <w:t>.</w:t>
            </w:r>
          </w:p>
        </w:tc>
      </w:tr>
      <w:tr w:rsidR="00C92B04" w:rsidRPr="005355CB" w14:paraId="11B9BDFD" w14:textId="77777777" w:rsidTr="00082AE3">
        <w:trPr>
          <w:trHeight w:val="57"/>
          <w:jc w:val="right"/>
        </w:trPr>
        <w:tc>
          <w:tcPr>
            <w:tcW w:w="1418" w:type="dxa"/>
            <w:tcBorders>
              <w:bottom w:val="single" w:sz="12" w:space="0" w:color="auto"/>
            </w:tcBorders>
            <w:shd w:val="clear" w:color="auto" w:fill="auto"/>
          </w:tcPr>
          <w:p w14:paraId="4DAAC240" w14:textId="77777777" w:rsidR="00C92B04" w:rsidRPr="005355CB" w:rsidRDefault="00C92B04" w:rsidP="00082AE3">
            <w:pPr>
              <w:pStyle w:val="Normal-pool-Table"/>
              <w:pBdr>
                <w:top w:val="nil"/>
                <w:left w:val="nil"/>
                <w:bottom w:val="nil"/>
                <w:right w:val="nil"/>
                <w:between w:val="nil"/>
              </w:pBdr>
            </w:pPr>
            <w:r w:rsidRPr="005355CB">
              <w:rPr>
                <w:lang w:val="fr-FR"/>
              </w:rPr>
              <w:t>Quatrième trimestre</w:t>
            </w:r>
          </w:p>
        </w:tc>
        <w:tc>
          <w:tcPr>
            <w:tcW w:w="6889" w:type="dxa"/>
            <w:tcBorders>
              <w:bottom w:val="single" w:sz="12" w:space="0" w:color="auto"/>
            </w:tcBorders>
            <w:shd w:val="clear" w:color="auto" w:fill="auto"/>
          </w:tcPr>
          <w:p w14:paraId="2AEAEE03" w14:textId="3504EDB8" w:rsidR="00C92B04" w:rsidRPr="005355CB" w:rsidRDefault="00C92B04" w:rsidP="00082AE3">
            <w:pPr>
              <w:pStyle w:val="Normal-pool-Table"/>
              <w:pBdr>
                <w:top w:val="nil"/>
                <w:left w:val="nil"/>
                <w:bottom w:val="nil"/>
                <w:right w:val="nil"/>
                <w:between w:val="nil"/>
              </w:pBdr>
              <w:rPr>
                <w:lang w:val="fr-FR"/>
              </w:rPr>
            </w:pPr>
            <w:r w:rsidRPr="005355CB">
              <w:rPr>
                <w:lang w:val="fr-FR"/>
              </w:rPr>
              <w:t>Activités de communication en lien avec l’évaluation</w:t>
            </w:r>
            <w:r w:rsidR="001A1368">
              <w:rPr>
                <w:lang w:val="fr-FR"/>
              </w:rPr>
              <w:t>.</w:t>
            </w:r>
          </w:p>
        </w:tc>
      </w:tr>
    </w:tbl>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899"/>
        <w:gridCol w:w="1899"/>
        <w:gridCol w:w="1900"/>
        <w:gridCol w:w="1900"/>
      </w:tblGrid>
      <w:tr w:rsidR="00C92B04" w:rsidRPr="005355CB" w14:paraId="07A4E74C" w14:textId="77777777" w:rsidTr="00082AE3">
        <w:tc>
          <w:tcPr>
            <w:tcW w:w="1898" w:type="dxa"/>
          </w:tcPr>
          <w:p w14:paraId="1DBA3EAC" w14:textId="77777777" w:rsidR="00C92B04" w:rsidRPr="005355CB" w:rsidRDefault="00C92B04" w:rsidP="00082AE3">
            <w:pPr>
              <w:pStyle w:val="Normal-pool"/>
              <w:spacing w:before="520"/>
              <w:rPr>
                <w:lang w:val="fr-FR"/>
              </w:rPr>
            </w:pPr>
          </w:p>
        </w:tc>
        <w:tc>
          <w:tcPr>
            <w:tcW w:w="1899" w:type="dxa"/>
          </w:tcPr>
          <w:p w14:paraId="0D0302F6" w14:textId="77777777" w:rsidR="00C92B04" w:rsidRPr="005355CB" w:rsidRDefault="00C92B04" w:rsidP="00082AE3">
            <w:pPr>
              <w:pStyle w:val="Normal-pool"/>
              <w:spacing w:before="520"/>
              <w:rPr>
                <w:lang w:val="fr-FR"/>
              </w:rPr>
            </w:pPr>
          </w:p>
        </w:tc>
        <w:tc>
          <w:tcPr>
            <w:tcW w:w="1899" w:type="dxa"/>
            <w:tcBorders>
              <w:bottom w:val="single" w:sz="4" w:space="0" w:color="auto"/>
            </w:tcBorders>
          </w:tcPr>
          <w:p w14:paraId="47954CDE" w14:textId="77777777" w:rsidR="00C92B04" w:rsidRPr="005355CB" w:rsidRDefault="00C92B04" w:rsidP="00082AE3">
            <w:pPr>
              <w:pStyle w:val="Normal-pool"/>
              <w:spacing w:before="520"/>
              <w:rPr>
                <w:lang w:val="fr-FR"/>
              </w:rPr>
            </w:pPr>
          </w:p>
        </w:tc>
        <w:tc>
          <w:tcPr>
            <w:tcW w:w="1900" w:type="dxa"/>
          </w:tcPr>
          <w:p w14:paraId="45B2AEA6" w14:textId="77777777" w:rsidR="00C92B04" w:rsidRPr="005355CB" w:rsidRDefault="00C92B04" w:rsidP="00082AE3">
            <w:pPr>
              <w:pStyle w:val="Normal-pool"/>
              <w:spacing w:before="520"/>
              <w:rPr>
                <w:lang w:val="fr-FR"/>
              </w:rPr>
            </w:pPr>
          </w:p>
        </w:tc>
        <w:tc>
          <w:tcPr>
            <w:tcW w:w="1900" w:type="dxa"/>
          </w:tcPr>
          <w:p w14:paraId="72E2F383" w14:textId="77777777" w:rsidR="00C92B04" w:rsidRPr="005355CB" w:rsidRDefault="00C92B04" w:rsidP="00082AE3">
            <w:pPr>
              <w:pStyle w:val="Normal-pool"/>
              <w:spacing w:before="520"/>
              <w:rPr>
                <w:lang w:val="fr-FR"/>
              </w:rPr>
            </w:pPr>
          </w:p>
        </w:tc>
      </w:tr>
    </w:tbl>
    <w:p w14:paraId="5C4A0814" w14:textId="77777777" w:rsidR="00C92B04" w:rsidRPr="005355CB" w:rsidRDefault="00C92B04" w:rsidP="00C92B04">
      <w:pPr>
        <w:pStyle w:val="Normal-pool"/>
        <w:rPr>
          <w:lang w:val="fr-FR"/>
        </w:rPr>
      </w:pPr>
    </w:p>
    <w:sectPr w:rsidR="00C92B04" w:rsidRPr="005355CB" w:rsidSect="00E71C28">
      <w:headerReference w:type="even" r:id="rId18"/>
      <w:footerReference w:type="even" r:id="rId19"/>
      <w:footerReference w:type="first" r:id="rId20"/>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E636" w14:textId="77777777" w:rsidR="004D3C64" w:rsidRDefault="004D3C64">
      <w:r>
        <w:separator/>
      </w:r>
    </w:p>
  </w:endnote>
  <w:endnote w:type="continuationSeparator" w:id="0">
    <w:p w14:paraId="426F0E31" w14:textId="77777777" w:rsidR="004D3C64" w:rsidRDefault="004D3C64">
      <w:r>
        <w:continuationSeparator/>
      </w:r>
    </w:p>
  </w:endnote>
  <w:endnote w:type="continuationNotice" w:id="1">
    <w:p w14:paraId="0791640A" w14:textId="77777777" w:rsidR="004D3C64" w:rsidRDefault="004D3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AA78" w14:textId="657A98EE" w:rsidR="00C92B04" w:rsidRPr="00E71C28" w:rsidRDefault="00E71C28" w:rsidP="00E71C28">
    <w:pPr>
      <w:pStyle w:val="Footer"/>
    </w:pPr>
    <w:r>
      <w:rPr>
        <w:b/>
        <w:lang w:val="en-US"/>
      </w:rPr>
      <w:fldChar w:fldCharType="begin"/>
    </w:r>
    <w:r>
      <w:rPr>
        <w:b/>
        <w:lang w:val="en-US"/>
      </w:rPr>
      <w:instrText xml:space="preserve"> PAGE </w:instrText>
    </w:r>
    <w:r>
      <w:rPr>
        <w:b/>
        <w:lang w:val="en-US"/>
      </w:rPr>
      <w:fldChar w:fldCharType="separate"/>
    </w:r>
    <w:r>
      <w:rPr>
        <w:b/>
        <w:noProof/>
        <w:lang w:val="en-US"/>
      </w:rPr>
      <w:t>4</w:t>
    </w:r>
    <w:r>
      <w:rPr>
        <w:b/>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5729" w14:textId="36936CDD" w:rsidR="00C92B04" w:rsidRPr="00E71C28" w:rsidRDefault="00E71C28" w:rsidP="00E71C28">
    <w:pPr>
      <w:pStyle w:val="Footer-pool"/>
      <w:jc w:val="right"/>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D4F8" w14:textId="741EC317" w:rsidR="00C92B04" w:rsidRPr="00135F28" w:rsidRDefault="00E71C28" w:rsidP="00E71C28">
    <w:pPr>
      <w:pStyle w:val="Normal-pool"/>
      <w:rPr>
        <w:rStyle w:val="Normal-poolChar"/>
      </w:rPr>
    </w:pPr>
    <w:bookmarkStart w:id="3" w:name="FooterJobDate"/>
    <w:r>
      <w:t>K</w:t>
    </w:r>
    <w:r w:rsidR="00413067">
      <w:t>2201163</w:t>
    </w:r>
    <w:r>
      <w:tab/>
    </w:r>
    <w:r w:rsidR="00393592">
      <w:t>0</w:t>
    </w:r>
    <w:r w:rsidR="007815C9">
      <w:t>806</w:t>
    </w:r>
    <w:r>
      <w:t>22</w:t>
    </w:r>
    <w:bookmarkEnd w:id="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643D4DDE" w14:textId="77777777"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3716" w14:textId="77777777" w:rsidR="00B95FB0" w:rsidRPr="00B70C1E" w:rsidRDefault="00B70C1E" w:rsidP="00F470DF">
    <w:pPr>
      <w:pStyle w:val="Normal-pool"/>
      <w:rPr>
        <w:b/>
      </w:rPr>
    </w:pPr>
    <w:proofErr w:type="spellStart"/>
    <w:r w:rsidRPr="00FA1F59">
      <w:rPr>
        <w:highlight w:val="yellow"/>
      </w:rPr>
      <w:t>K</w:t>
    </w:r>
    <w:r w:rsidR="00FA1F59" w:rsidRPr="00FA1F59">
      <w:rPr>
        <w:highlight w:val="yellow"/>
      </w:rPr>
      <w:t>xxxx</w:t>
    </w:r>
    <w:r w:rsidR="00A003D4" w:rsidRPr="00FA1F59">
      <w:rPr>
        <w:highlight w:val="yellow"/>
      </w:rPr>
      <w:t>xx</w:t>
    </w:r>
    <w:proofErr w:type="spellEnd"/>
    <w:r w:rsidRPr="00FA1F59">
      <w:tab/>
    </w:r>
    <w:proofErr w:type="spellStart"/>
    <w:r w:rsidRPr="00FA1F59">
      <w:rPr>
        <w:highlight w:val="yellow"/>
      </w:rPr>
      <w:t>xx</w:t>
    </w:r>
    <w:r w:rsidR="00A003D4" w:rsidRPr="00FA1F59">
      <w:rPr>
        <w:highlight w:val="yellow"/>
      </w:rPr>
      <w:t>xx</w:t>
    </w:r>
    <w:r w:rsidR="00FA1F59" w:rsidRPr="00FA1F59">
      <w:rPr>
        <w:highlight w:val="yellow"/>
      </w:rPr>
      <w:t>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243F" w14:textId="77777777" w:rsidR="004D3C64" w:rsidRPr="008E340B" w:rsidRDefault="004D3C64" w:rsidP="008E340B">
      <w:pPr>
        <w:pStyle w:val="Normal-pool"/>
        <w:spacing w:before="60"/>
        <w:ind w:left="624"/>
        <w:rPr>
          <w:sz w:val="18"/>
          <w:szCs w:val="18"/>
        </w:rPr>
      </w:pPr>
      <w:r w:rsidRPr="008E340B">
        <w:rPr>
          <w:sz w:val="18"/>
          <w:szCs w:val="18"/>
        </w:rPr>
        <w:separator/>
      </w:r>
    </w:p>
  </w:footnote>
  <w:footnote w:type="continuationSeparator" w:id="0">
    <w:p w14:paraId="53FE314F" w14:textId="77777777" w:rsidR="004D3C64" w:rsidRDefault="004D3C64">
      <w:r>
        <w:continuationSeparator/>
      </w:r>
    </w:p>
  </w:footnote>
  <w:footnote w:type="continuationNotice" w:id="1">
    <w:p w14:paraId="4A3FBA31" w14:textId="77777777" w:rsidR="004D3C64" w:rsidRDefault="004D3C64"/>
  </w:footnote>
  <w:footnote w:id="2">
    <w:p w14:paraId="01A57297" w14:textId="77777777" w:rsidR="00B95FB0" w:rsidRPr="0004072F" w:rsidRDefault="00B95FB0" w:rsidP="008E340B">
      <w:pPr>
        <w:pStyle w:val="Normal-pool"/>
        <w:spacing w:before="20" w:after="40"/>
        <w:ind w:left="1247"/>
        <w:rPr>
          <w:sz w:val="18"/>
          <w:szCs w:val="18"/>
          <w:lang w:val="fr-FR"/>
        </w:rPr>
      </w:pPr>
      <w:r w:rsidRPr="0004072F">
        <w:rPr>
          <w:rStyle w:val="FootnoteReference"/>
          <w:vertAlign w:val="baseline"/>
          <w:lang w:val="fr-FR"/>
        </w:rPr>
        <w:t>*</w:t>
      </w:r>
      <w:r w:rsidRPr="0004072F">
        <w:rPr>
          <w:sz w:val="18"/>
          <w:szCs w:val="18"/>
          <w:lang w:val="fr-FR"/>
        </w:rPr>
        <w:t xml:space="preserve"> IPBES/</w:t>
      </w:r>
      <w:r w:rsidR="00FA1F59" w:rsidRPr="0004072F">
        <w:rPr>
          <w:sz w:val="18"/>
          <w:szCs w:val="18"/>
          <w:lang w:val="fr-FR"/>
        </w:rPr>
        <w:t>9</w:t>
      </w:r>
      <w:r w:rsidRPr="0004072F">
        <w:rPr>
          <w:sz w:val="18"/>
          <w:szCs w:val="18"/>
          <w:lang w:val="fr-FR"/>
        </w:rPr>
        <w:t>/1.</w:t>
      </w:r>
    </w:p>
  </w:footnote>
  <w:footnote w:id="3">
    <w:p w14:paraId="1F24CD52" w14:textId="6A930900" w:rsidR="00C92B04" w:rsidRPr="0004072F" w:rsidRDefault="00C92B04" w:rsidP="00C92B04">
      <w:pPr>
        <w:pStyle w:val="Footnote-pool"/>
        <w:rPr>
          <w:lang w:val="fr-FR"/>
        </w:rPr>
      </w:pPr>
      <w:r w:rsidRPr="00DB570C">
        <w:rPr>
          <w:rStyle w:val="FootnoteReference"/>
          <w:szCs w:val="20"/>
          <w:lang w:val="fr-FR"/>
        </w:rPr>
        <w:footnoteRef/>
      </w:r>
      <w:r>
        <w:rPr>
          <w:lang w:val="fr-FR"/>
        </w:rPr>
        <w:t xml:space="preserve"> Voir décisions</w:t>
      </w:r>
      <w:r w:rsidR="001476BE">
        <w:rPr>
          <w:lang w:val="fr-FR"/>
        </w:rPr>
        <w:t> </w:t>
      </w:r>
      <w:r>
        <w:rPr>
          <w:lang w:val="fr-FR"/>
        </w:rPr>
        <w:t>IPBES-3/3 et IPBES-4/3.</w:t>
      </w:r>
    </w:p>
  </w:footnote>
  <w:footnote w:id="4">
    <w:p w14:paraId="61E58566" w14:textId="3BCDA8E4" w:rsidR="00C92B04" w:rsidRPr="0004072F" w:rsidRDefault="00C92B04" w:rsidP="00C92B04">
      <w:pPr>
        <w:pStyle w:val="Footnote-pool"/>
        <w:rPr>
          <w:lang w:val="fr-FR"/>
        </w:rPr>
      </w:pPr>
      <w:r w:rsidRPr="00DB570C">
        <w:rPr>
          <w:rStyle w:val="FootnoteReference"/>
          <w:szCs w:val="20"/>
          <w:lang w:val="fr-FR"/>
        </w:rPr>
        <w:footnoteRef/>
      </w:r>
      <w:r>
        <w:rPr>
          <w:lang w:val="fr-FR"/>
        </w:rPr>
        <w:t xml:space="preserve"> Voir décision</w:t>
      </w:r>
      <w:r w:rsidR="001476BE">
        <w:rPr>
          <w:lang w:val="fr-FR"/>
        </w:rPr>
        <w:t> </w:t>
      </w:r>
      <w:r>
        <w:rPr>
          <w:lang w:val="fr-FR"/>
        </w:rPr>
        <w:t>IPBES-2/4, annexe, et décision</w:t>
      </w:r>
      <w:r w:rsidR="00822ABB">
        <w:rPr>
          <w:lang w:val="fr-FR"/>
        </w:rPr>
        <w:t> </w:t>
      </w:r>
      <w:r>
        <w:rPr>
          <w:lang w:val="fr-FR"/>
        </w:rPr>
        <w:t>IPBES-5/1, section</w:t>
      </w:r>
      <w:r w:rsidR="00822ABB">
        <w:rPr>
          <w:lang w:val="fr-FR"/>
        </w:rPr>
        <w:t> </w:t>
      </w:r>
      <w:r>
        <w:rPr>
          <w:lang w:val="fr-FR"/>
        </w:rPr>
        <w:t>III, par.</w:t>
      </w:r>
      <w:r w:rsidR="00822ABB">
        <w:rPr>
          <w:lang w:val="fr-FR"/>
        </w:rPr>
        <w:t> </w:t>
      </w:r>
      <w:r>
        <w:rPr>
          <w:lang w:val="fr-FR"/>
        </w:rPr>
        <w:t xml:space="preserve">9. </w:t>
      </w:r>
    </w:p>
  </w:footnote>
  <w:footnote w:id="5">
    <w:p w14:paraId="3D3B8640" w14:textId="5C94F667" w:rsidR="00C92B04" w:rsidRPr="0004072F" w:rsidRDefault="00C92B04" w:rsidP="00C92B04">
      <w:pPr>
        <w:pStyle w:val="Footnote-pool"/>
        <w:rPr>
          <w:lang w:val="fr-FR"/>
        </w:rPr>
      </w:pPr>
      <w:r w:rsidRPr="00DB570C">
        <w:rPr>
          <w:rStyle w:val="FootnoteReference"/>
          <w:szCs w:val="20"/>
          <w:lang w:val="fr-FR"/>
        </w:rPr>
        <w:footnoteRef/>
      </w:r>
      <w:r>
        <w:rPr>
          <w:lang w:val="fr-FR"/>
        </w:rPr>
        <w:t xml:space="preserve"> Les mandats des équipes spéciales pourraient faire l</w:t>
      </w:r>
      <w:r w:rsidR="00B75245">
        <w:rPr>
          <w:lang w:val="fr-FR"/>
        </w:rPr>
        <w:t>’</w:t>
      </w:r>
      <w:r>
        <w:rPr>
          <w:lang w:val="fr-FR"/>
        </w:rPr>
        <w:t xml:space="preserve">objet de modifications à la dixième session de la Plénière. </w:t>
      </w:r>
    </w:p>
  </w:footnote>
  <w:footnote w:id="6">
    <w:p w14:paraId="2F9A2A2E" w14:textId="7B1EEEE0" w:rsidR="00C92B04" w:rsidRPr="0004072F" w:rsidRDefault="00C92B04" w:rsidP="00C92B04">
      <w:pPr>
        <w:pStyle w:val="Footnote-pool"/>
        <w:rPr>
          <w:lang w:val="fr-FR"/>
        </w:rPr>
      </w:pPr>
      <w:r w:rsidRPr="00DB570C">
        <w:rPr>
          <w:rStyle w:val="FootnoteReference"/>
          <w:szCs w:val="20"/>
          <w:lang w:val="fr-FR"/>
        </w:rPr>
        <w:footnoteRef/>
      </w:r>
      <w:r>
        <w:rPr>
          <w:lang w:val="fr-FR"/>
        </w:rPr>
        <w:t xml:space="preserve"> </w:t>
      </w:r>
      <w:r w:rsidR="006F5106">
        <w:rPr>
          <w:lang w:val="fr-FR"/>
        </w:rPr>
        <w:t xml:space="preserve">Figurant </w:t>
      </w:r>
      <w:r>
        <w:rPr>
          <w:lang w:val="fr-FR"/>
        </w:rPr>
        <w:t>dans la décision</w:t>
      </w:r>
      <w:r w:rsidR="00822ABB">
        <w:rPr>
          <w:lang w:val="fr-FR"/>
        </w:rPr>
        <w:t> </w:t>
      </w:r>
      <w:r>
        <w:rPr>
          <w:lang w:val="fr-FR"/>
        </w:rPr>
        <w:t>IPBES-5/1, annexe</w:t>
      </w:r>
      <w:r w:rsidR="00822ABB">
        <w:rPr>
          <w:lang w:val="fr-FR"/>
        </w:rPr>
        <w:t> </w:t>
      </w:r>
      <w:r>
        <w:rPr>
          <w:lang w:val="fr-FR"/>
        </w:rPr>
        <w:t xml:space="preserve">II. </w:t>
      </w:r>
    </w:p>
  </w:footnote>
  <w:footnote w:id="7">
    <w:p w14:paraId="4850F3E3" w14:textId="0F325046" w:rsidR="00C92B04" w:rsidRPr="0004072F" w:rsidRDefault="00C92B04" w:rsidP="00C92B04">
      <w:pPr>
        <w:pStyle w:val="Footnote-pool"/>
        <w:rPr>
          <w:lang w:val="fr-FR"/>
        </w:rPr>
      </w:pPr>
      <w:r w:rsidRPr="00DB570C">
        <w:rPr>
          <w:rStyle w:val="FootnoteReference"/>
          <w:szCs w:val="20"/>
          <w:lang w:val="fr-FR"/>
        </w:rPr>
        <w:footnoteRef/>
      </w:r>
      <w:r>
        <w:rPr>
          <w:lang w:val="fr-FR"/>
        </w:rPr>
        <w:t xml:space="preserve"> Les mandats des équipes spéciales pourraient faire l</w:t>
      </w:r>
      <w:r w:rsidR="00B75245">
        <w:rPr>
          <w:lang w:val="fr-FR"/>
        </w:rPr>
        <w:t>’</w:t>
      </w:r>
      <w:r>
        <w:rPr>
          <w:lang w:val="fr-FR"/>
        </w:rPr>
        <w:t xml:space="preserve">objet de modifications à la dixième session de la Plénière. </w:t>
      </w:r>
    </w:p>
  </w:footnote>
  <w:footnote w:id="8">
    <w:p w14:paraId="64A928C0" w14:textId="5DAE3904" w:rsidR="00C92B04" w:rsidRPr="0004072F" w:rsidRDefault="00C92B04" w:rsidP="00C92B04">
      <w:pPr>
        <w:pStyle w:val="Footnote-pool"/>
        <w:rPr>
          <w:lang w:val="fr-FR"/>
        </w:rPr>
      </w:pPr>
      <w:r w:rsidRPr="00DB570C">
        <w:rPr>
          <w:rStyle w:val="FootnoteReference"/>
          <w:szCs w:val="20"/>
          <w:lang w:val="fr-FR"/>
        </w:rPr>
        <w:footnoteRef/>
      </w:r>
      <w:r>
        <w:rPr>
          <w:lang w:val="fr-FR"/>
        </w:rPr>
        <w:t xml:space="preserve"> Les mandats des équipes spéciales pourraient faire l</w:t>
      </w:r>
      <w:r w:rsidR="00822ABB">
        <w:rPr>
          <w:lang w:val="fr-FR"/>
        </w:rPr>
        <w:t>’</w:t>
      </w:r>
      <w:r>
        <w:rPr>
          <w:lang w:val="fr-FR"/>
        </w:rPr>
        <w:t xml:space="preserve">objet de modifications à la dixième session de la Plénière. </w:t>
      </w:r>
    </w:p>
  </w:footnote>
  <w:footnote w:id="9">
    <w:p w14:paraId="488D2D0F" w14:textId="55DE0343" w:rsidR="00C92B04" w:rsidRPr="0004072F" w:rsidRDefault="00C92B04" w:rsidP="00C92B04">
      <w:pPr>
        <w:pStyle w:val="Footnote-pool"/>
        <w:rPr>
          <w:lang w:val="fr-FR"/>
        </w:rPr>
      </w:pPr>
      <w:r w:rsidRPr="00DB570C">
        <w:rPr>
          <w:rStyle w:val="FootnoteReference"/>
          <w:szCs w:val="20"/>
          <w:lang w:val="fr-FR"/>
        </w:rPr>
        <w:footnoteRef/>
      </w:r>
      <w:r>
        <w:rPr>
          <w:lang w:val="fr-FR"/>
        </w:rPr>
        <w:t xml:space="preserve"> Les mandats des équipes spéciales pourraient faire l</w:t>
      </w:r>
      <w:r w:rsidR="00822ABB">
        <w:rPr>
          <w:lang w:val="fr-FR"/>
        </w:rPr>
        <w:t>’</w:t>
      </w:r>
      <w:r>
        <w:rPr>
          <w:lang w:val="fr-FR"/>
        </w:rPr>
        <w:t xml:space="preserve">objet de modifications à la dixième session de la Plénière. </w:t>
      </w:r>
    </w:p>
  </w:footnote>
  <w:footnote w:id="10">
    <w:p w14:paraId="6B067416" w14:textId="3A6B931E" w:rsidR="00C92B04" w:rsidRPr="0004072F" w:rsidRDefault="00C92B04" w:rsidP="00C92B04">
      <w:pPr>
        <w:pStyle w:val="Footnote-pool"/>
        <w:rPr>
          <w:lang w:val="fr-FR"/>
        </w:rPr>
      </w:pPr>
      <w:r w:rsidRPr="00DB570C">
        <w:rPr>
          <w:rStyle w:val="FootnoteReference"/>
          <w:szCs w:val="20"/>
          <w:lang w:val="fr-FR"/>
        </w:rPr>
        <w:footnoteRef/>
      </w:r>
      <w:r>
        <w:rPr>
          <w:lang w:val="fr-FR"/>
        </w:rPr>
        <w:t xml:space="preserve"> Les limites suggérées pour le résumé à l</w:t>
      </w:r>
      <w:r w:rsidR="00C330CB">
        <w:rPr>
          <w:lang w:val="fr-FR"/>
        </w:rPr>
        <w:t>’</w:t>
      </w:r>
      <w:r>
        <w:rPr>
          <w:lang w:val="fr-FR"/>
        </w:rPr>
        <w:t>intention des décideurs, ainsi que pour les chapitres de l</w:t>
      </w:r>
      <w:r w:rsidR="00C330CB">
        <w:rPr>
          <w:lang w:val="fr-FR"/>
        </w:rPr>
        <w:t>’</w:t>
      </w:r>
      <w:r>
        <w:rPr>
          <w:lang w:val="fr-FR"/>
        </w:rPr>
        <w:t>évaluation, sont exprimées en nombre de mots. Elles excluent les citations de texte, les chiffres et les tableaux. À titre d</w:t>
      </w:r>
      <w:r w:rsidR="00E6661B">
        <w:rPr>
          <w:lang w:val="fr-FR"/>
        </w:rPr>
        <w:t>’</w:t>
      </w:r>
      <w:r>
        <w:rPr>
          <w:lang w:val="fr-FR"/>
        </w:rPr>
        <w:t>information, une page modèle contenant deux colonnes de texte compte quelque 850</w:t>
      </w:r>
      <w:r w:rsidR="00E2060E">
        <w:rPr>
          <w:lang w:val="fr-FR"/>
        </w:rPr>
        <w:t> </w:t>
      </w:r>
      <w:r>
        <w:rPr>
          <w:lang w:val="fr-FR"/>
        </w:rPr>
        <w:t>mots. Les limites indiquées pour le résumé à l</w:t>
      </w:r>
      <w:r w:rsidR="00E2060E">
        <w:rPr>
          <w:lang w:val="fr-FR"/>
        </w:rPr>
        <w:t>’</w:t>
      </w:r>
      <w:r>
        <w:rPr>
          <w:lang w:val="fr-FR"/>
        </w:rPr>
        <w:t>intention des décideurs et pour les chapitres correspondent donc au nombre de pages modèles suivant</w:t>
      </w:r>
      <w:r w:rsidR="00E2060E">
        <w:rPr>
          <w:lang w:val="fr-FR"/>
        </w:rPr>
        <w:t> </w:t>
      </w:r>
      <w:r>
        <w:rPr>
          <w:lang w:val="fr-FR"/>
        </w:rPr>
        <w:t>: résumé à l</w:t>
      </w:r>
      <w:r w:rsidR="00D423FF">
        <w:rPr>
          <w:lang w:val="fr-FR"/>
        </w:rPr>
        <w:t>’</w:t>
      </w:r>
      <w:r>
        <w:rPr>
          <w:lang w:val="fr-FR"/>
        </w:rPr>
        <w:t>intention des décideurs</w:t>
      </w:r>
      <w:r w:rsidR="00D423FF">
        <w:rPr>
          <w:lang w:val="fr-FR"/>
        </w:rPr>
        <w:t> </w:t>
      </w:r>
      <w:r>
        <w:rPr>
          <w:lang w:val="fr-FR"/>
        </w:rPr>
        <w:t>: 10</w:t>
      </w:r>
      <w:r w:rsidR="00D423FF">
        <w:rPr>
          <w:lang w:val="fr-FR"/>
        </w:rPr>
        <w:t> </w:t>
      </w:r>
      <w:r>
        <w:rPr>
          <w:lang w:val="fr-FR"/>
        </w:rPr>
        <w:t>pages ; chapitre</w:t>
      </w:r>
      <w:r w:rsidR="00D423FF">
        <w:rPr>
          <w:lang w:val="fr-FR"/>
        </w:rPr>
        <w:t> </w:t>
      </w:r>
      <w:r>
        <w:rPr>
          <w:lang w:val="fr-FR"/>
        </w:rPr>
        <w:t>1</w:t>
      </w:r>
      <w:r w:rsidR="00D423FF">
        <w:rPr>
          <w:lang w:val="fr-FR"/>
        </w:rPr>
        <w:t> </w:t>
      </w:r>
      <w:r>
        <w:rPr>
          <w:lang w:val="fr-FR"/>
        </w:rPr>
        <w:t>: 12</w:t>
      </w:r>
      <w:r w:rsidR="00D423FF">
        <w:rPr>
          <w:lang w:val="fr-FR"/>
        </w:rPr>
        <w:t> </w:t>
      </w:r>
      <w:r>
        <w:rPr>
          <w:lang w:val="fr-FR"/>
        </w:rPr>
        <w:t>pages ; chapitre</w:t>
      </w:r>
      <w:r w:rsidR="00D423FF">
        <w:rPr>
          <w:lang w:val="fr-FR"/>
        </w:rPr>
        <w:t> </w:t>
      </w:r>
      <w:r>
        <w:rPr>
          <w:lang w:val="fr-FR"/>
        </w:rPr>
        <w:t>2</w:t>
      </w:r>
      <w:r w:rsidR="00D423FF">
        <w:rPr>
          <w:lang w:val="fr-FR"/>
        </w:rPr>
        <w:t> </w:t>
      </w:r>
      <w:r>
        <w:rPr>
          <w:lang w:val="fr-FR"/>
        </w:rPr>
        <w:t>: 15</w:t>
      </w:r>
      <w:r w:rsidR="00D423FF">
        <w:rPr>
          <w:lang w:val="fr-FR"/>
        </w:rPr>
        <w:t> </w:t>
      </w:r>
      <w:r>
        <w:rPr>
          <w:lang w:val="fr-FR"/>
        </w:rPr>
        <w:t>pages ; chapitre</w:t>
      </w:r>
      <w:r w:rsidR="00D423FF">
        <w:rPr>
          <w:lang w:val="fr-FR"/>
        </w:rPr>
        <w:t> </w:t>
      </w:r>
      <w:r>
        <w:rPr>
          <w:lang w:val="fr-FR"/>
        </w:rPr>
        <w:t>3</w:t>
      </w:r>
      <w:r w:rsidR="00D423FF">
        <w:rPr>
          <w:lang w:val="fr-FR"/>
        </w:rPr>
        <w:t> </w:t>
      </w:r>
      <w:r>
        <w:rPr>
          <w:lang w:val="fr-FR"/>
        </w:rPr>
        <w:t>: 15 pages ; chapitre</w:t>
      </w:r>
      <w:r w:rsidR="00D423FF">
        <w:rPr>
          <w:lang w:val="fr-FR"/>
        </w:rPr>
        <w:t> </w:t>
      </w:r>
      <w:r>
        <w:rPr>
          <w:lang w:val="fr-FR"/>
        </w:rPr>
        <w:t>4</w:t>
      </w:r>
      <w:r w:rsidR="00D423FF">
        <w:rPr>
          <w:lang w:val="fr-FR"/>
        </w:rPr>
        <w:t> </w:t>
      </w:r>
      <w:r>
        <w:rPr>
          <w:lang w:val="fr-FR"/>
        </w:rPr>
        <w:t>: 24</w:t>
      </w:r>
      <w:r w:rsidR="00D423FF">
        <w:rPr>
          <w:lang w:val="fr-FR"/>
        </w:rPr>
        <w:t> </w:t>
      </w:r>
      <w:r>
        <w:rPr>
          <w:lang w:val="fr-FR"/>
        </w:rPr>
        <w:t>pages ; chapitre</w:t>
      </w:r>
      <w:r w:rsidR="00D423FF">
        <w:rPr>
          <w:lang w:val="fr-FR"/>
        </w:rPr>
        <w:t> </w:t>
      </w:r>
      <w:r>
        <w:rPr>
          <w:lang w:val="fr-FR"/>
        </w:rPr>
        <w:t>5</w:t>
      </w:r>
      <w:r w:rsidR="00D423FF">
        <w:rPr>
          <w:lang w:val="fr-FR"/>
        </w:rPr>
        <w:t> </w:t>
      </w:r>
      <w:r>
        <w:rPr>
          <w:lang w:val="fr-FR"/>
        </w:rPr>
        <w:t>: 18</w:t>
      </w:r>
      <w:r w:rsidR="00D423FF">
        <w:rPr>
          <w:lang w:val="fr-FR"/>
        </w:rPr>
        <w:t> </w:t>
      </w:r>
      <w:r>
        <w:rPr>
          <w:lang w:val="fr-FR"/>
        </w:rPr>
        <w:t>pages ; chapitre</w:t>
      </w:r>
      <w:r w:rsidR="00D423FF">
        <w:rPr>
          <w:lang w:val="fr-FR"/>
        </w:rPr>
        <w:t> </w:t>
      </w:r>
      <w:r>
        <w:rPr>
          <w:lang w:val="fr-FR"/>
        </w:rPr>
        <w:t>6</w:t>
      </w:r>
      <w:r w:rsidR="00D423FF">
        <w:rPr>
          <w:lang w:val="fr-FR"/>
        </w:rPr>
        <w:t> </w:t>
      </w:r>
      <w:r>
        <w:rPr>
          <w:lang w:val="fr-FR"/>
        </w:rPr>
        <w:t>: 24</w:t>
      </w:r>
      <w:r w:rsidR="00D423FF">
        <w:rPr>
          <w:lang w:val="fr-FR"/>
        </w:rPr>
        <w:t> </w:t>
      </w:r>
      <w:r>
        <w:rPr>
          <w:lang w:val="fr-FR"/>
        </w:rPr>
        <w:t>pages</w:t>
      </w:r>
      <w:r w:rsidR="002F107A">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8BBA" w14:textId="3D21B7D2" w:rsidR="00C92B04" w:rsidRPr="00E71C28" w:rsidRDefault="00E71C28" w:rsidP="00E71C28">
    <w:pPr>
      <w:pStyle w:val="Header-pool"/>
    </w:pPr>
    <w:r>
      <w:fldChar w:fldCharType="begin"/>
    </w:r>
    <w:r>
      <w:instrText xml:space="preserve"> StyleRef A_Symbol </w:instrText>
    </w:r>
    <w:r>
      <w:fldChar w:fldCharType="separate"/>
    </w:r>
    <w:r w:rsidR="00447FC7">
      <w:rPr>
        <w:noProof/>
      </w:rPr>
      <w:t>IPBES/9/8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6BB6" w14:textId="02496DB9" w:rsidR="00C92B04" w:rsidRPr="00E71C28" w:rsidRDefault="00E71C28" w:rsidP="00E71C28">
    <w:pPr>
      <w:pStyle w:val="Header-pool"/>
      <w:jc w:val="right"/>
    </w:pPr>
    <w:r>
      <w:fldChar w:fldCharType="begin"/>
    </w:r>
    <w:r>
      <w:instrText xml:space="preserve"> StyleRef A_Symbol </w:instrText>
    </w:r>
    <w:r>
      <w:fldChar w:fldCharType="separate"/>
    </w:r>
    <w:r w:rsidR="00447FC7">
      <w:rPr>
        <w:noProof/>
      </w:rPr>
      <w:t>IPBES/9/8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ADFF" w14:textId="36EC60BF" w:rsidR="00B95FB0" w:rsidRPr="008520C8" w:rsidRDefault="00B95FB0" w:rsidP="00B24A20">
    <w:pPr>
      <w:pStyle w:val="Header-pool"/>
    </w:pPr>
    <w:r>
      <w:t>IPBES/</w:t>
    </w:r>
    <w:r w:rsidR="00FA1F59">
      <w:t>9</w:t>
    </w:r>
    <w:r>
      <w:t>/</w:t>
    </w:r>
    <w:r w:rsidR="00EA3F80">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425DC"/>
    <w:multiLevelType w:val="hybridMultilevel"/>
    <w:tmpl w:val="A0D0B344"/>
    <w:lvl w:ilvl="0" w:tplc="4B3C9BE8">
      <w:start w:val="1"/>
      <w:numFmt w:val="upperRoman"/>
      <w:lvlText w:val="%1."/>
      <w:lvlJc w:val="left"/>
      <w:pPr>
        <w:ind w:left="1350" w:hanging="72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1"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62291BF8"/>
    <w:multiLevelType w:val="multilevel"/>
    <w:tmpl w:val="F4ACF36E"/>
    <w:numStyleLink w:val="Normallist"/>
  </w:abstractNum>
  <w:abstractNum w:abstractNumId="3" w15:restartNumberingAfterBreak="0">
    <w:nsid w:val="72FA3E43"/>
    <w:multiLevelType w:val="hybridMultilevel"/>
    <w:tmpl w:val="25209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14A"/>
    <w:rsid w:val="00003A00"/>
    <w:rsid w:val="00004D04"/>
    <w:rsid w:val="00004FEF"/>
    <w:rsid w:val="00006073"/>
    <w:rsid w:val="000067CD"/>
    <w:rsid w:val="00006907"/>
    <w:rsid w:val="00006F96"/>
    <w:rsid w:val="00007F87"/>
    <w:rsid w:val="00013001"/>
    <w:rsid w:val="00013636"/>
    <w:rsid w:val="00013746"/>
    <w:rsid w:val="000149E6"/>
    <w:rsid w:val="0001582F"/>
    <w:rsid w:val="000247B0"/>
    <w:rsid w:val="00026997"/>
    <w:rsid w:val="000278C7"/>
    <w:rsid w:val="00031B99"/>
    <w:rsid w:val="00033CA9"/>
    <w:rsid w:val="00033E0B"/>
    <w:rsid w:val="00035E6B"/>
    <w:rsid w:val="00035EDE"/>
    <w:rsid w:val="0004072F"/>
    <w:rsid w:val="0004530B"/>
    <w:rsid w:val="0004771A"/>
    <w:rsid w:val="000509B4"/>
    <w:rsid w:val="00051364"/>
    <w:rsid w:val="00051828"/>
    <w:rsid w:val="00051A9C"/>
    <w:rsid w:val="00053992"/>
    <w:rsid w:val="0005530D"/>
    <w:rsid w:val="0006035B"/>
    <w:rsid w:val="00060C0C"/>
    <w:rsid w:val="00061FFE"/>
    <w:rsid w:val="00063FC1"/>
    <w:rsid w:val="00065148"/>
    <w:rsid w:val="000710F0"/>
    <w:rsid w:val="0007118B"/>
    <w:rsid w:val="00071886"/>
    <w:rsid w:val="00073928"/>
    <w:rsid w:val="000742BC"/>
    <w:rsid w:val="00081FB3"/>
    <w:rsid w:val="000828BB"/>
    <w:rsid w:val="00082A0C"/>
    <w:rsid w:val="00083504"/>
    <w:rsid w:val="00086A10"/>
    <w:rsid w:val="00094243"/>
    <w:rsid w:val="000956A3"/>
    <w:rsid w:val="0009640C"/>
    <w:rsid w:val="000979F6"/>
    <w:rsid w:val="000A146D"/>
    <w:rsid w:val="000A4796"/>
    <w:rsid w:val="000A4CFF"/>
    <w:rsid w:val="000B0942"/>
    <w:rsid w:val="000B22A2"/>
    <w:rsid w:val="000B233F"/>
    <w:rsid w:val="000B2B5E"/>
    <w:rsid w:val="000B41AF"/>
    <w:rsid w:val="000B77D5"/>
    <w:rsid w:val="000B7C23"/>
    <w:rsid w:val="000B7EBB"/>
    <w:rsid w:val="000C22B3"/>
    <w:rsid w:val="000C2809"/>
    <w:rsid w:val="000C2A52"/>
    <w:rsid w:val="000C67EC"/>
    <w:rsid w:val="000D0F2A"/>
    <w:rsid w:val="000D33C0"/>
    <w:rsid w:val="000D6941"/>
    <w:rsid w:val="000F366A"/>
    <w:rsid w:val="000F3AB7"/>
    <w:rsid w:val="000F45BD"/>
    <w:rsid w:val="000F484C"/>
    <w:rsid w:val="000F5254"/>
    <w:rsid w:val="000F53CB"/>
    <w:rsid w:val="000F6831"/>
    <w:rsid w:val="000F6E8E"/>
    <w:rsid w:val="00101D6B"/>
    <w:rsid w:val="001036A6"/>
    <w:rsid w:val="00105686"/>
    <w:rsid w:val="0010728A"/>
    <w:rsid w:val="0010748A"/>
    <w:rsid w:val="00107794"/>
    <w:rsid w:val="0011071F"/>
    <w:rsid w:val="001124F6"/>
    <w:rsid w:val="0011422B"/>
    <w:rsid w:val="00115A54"/>
    <w:rsid w:val="0011664B"/>
    <w:rsid w:val="001202E3"/>
    <w:rsid w:val="001207A8"/>
    <w:rsid w:val="00120C90"/>
    <w:rsid w:val="00121C5E"/>
    <w:rsid w:val="00122051"/>
    <w:rsid w:val="00122CE8"/>
    <w:rsid w:val="00123699"/>
    <w:rsid w:val="00125F82"/>
    <w:rsid w:val="00126FF9"/>
    <w:rsid w:val="0013059D"/>
    <w:rsid w:val="001339D1"/>
    <w:rsid w:val="00137C36"/>
    <w:rsid w:val="00140369"/>
    <w:rsid w:val="00141910"/>
    <w:rsid w:val="00141A55"/>
    <w:rsid w:val="00144138"/>
    <w:rsid w:val="001446A3"/>
    <w:rsid w:val="00144A8F"/>
    <w:rsid w:val="00144E6E"/>
    <w:rsid w:val="001476BE"/>
    <w:rsid w:val="00150EEA"/>
    <w:rsid w:val="00154CA8"/>
    <w:rsid w:val="00155395"/>
    <w:rsid w:val="00155A46"/>
    <w:rsid w:val="0015635E"/>
    <w:rsid w:val="0015720A"/>
    <w:rsid w:val="00160D74"/>
    <w:rsid w:val="00162265"/>
    <w:rsid w:val="00165BA4"/>
    <w:rsid w:val="00167D02"/>
    <w:rsid w:val="0017014A"/>
    <w:rsid w:val="001728AB"/>
    <w:rsid w:val="00176752"/>
    <w:rsid w:val="00181EC8"/>
    <w:rsid w:val="00184349"/>
    <w:rsid w:val="00186746"/>
    <w:rsid w:val="001914A0"/>
    <w:rsid w:val="0019256C"/>
    <w:rsid w:val="001941D4"/>
    <w:rsid w:val="00195F33"/>
    <w:rsid w:val="001A1368"/>
    <w:rsid w:val="001A1536"/>
    <w:rsid w:val="001A1668"/>
    <w:rsid w:val="001A3388"/>
    <w:rsid w:val="001B1617"/>
    <w:rsid w:val="001B241F"/>
    <w:rsid w:val="001B504B"/>
    <w:rsid w:val="001B62D5"/>
    <w:rsid w:val="001B7586"/>
    <w:rsid w:val="001C0DFB"/>
    <w:rsid w:val="001C0E4C"/>
    <w:rsid w:val="001C41F6"/>
    <w:rsid w:val="001C430F"/>
    <w:rsid w:val="001C462A"/>
    <w:rsid w:val="001C477B"/>
    <w:rsid w:val="001C5B31"/>
    <w:rsid w:val="001D1BB2"/>
    <w:rsid w:val="001D265E"/>
    <w:rsid w:val="001D3874"/>
    <w:rsid w:val="001D3D70"/>
    <w:rsid w:val="001D78AC"/>
    <w:rsid w:val="001D7E75"/>
    <w:rsid w:val="001E1F18"/>
    <w:rsid w:val="001E40DE"/>
    <w:rsid w:val="001E4ACC"/>
    <w:rsid w:val="001E56D2"/>
    <w:rsid w:val="001E7C76"/>
    <w:rsid w:val="001E7D56"/>
    <w:rsid w:val="001F03F8"/>
    <w:rsid w:val="001F1459"/>
    <w:rsid w:val="001F5467"/>
    <w:rsid w:val="001F5AE3"/>
    <w:rsid w:val="001F75DE"/>
    <w:rsid w:val="00200D58"/>
    <w:rsid w:val="002013BE"/>
    <w:rsid w:val="002030D2"/>
    <w:rsid w:val="00205B32"/>
    <w:rsid w:val="00205B4A"/>
    <w:rsid w:val="002063A4"/>
    <w:rsid w:val="002069EA"/>
    <w:rsid w:val="00206DC3"/>
    <w:rsid w:val="0021145B"/>
    <w:rsid w:val="00212A88"/>
    <w:rsid w:val="0021458E"/>
    <w:rsid w:val="002146B9"/>
    <w:rsid w:val="00217178"/>
    <w:rsid w:val="002255A8"/>
    <w:rsid w:val="00227347"/>
    <w:rsid w:val="00233E65"/>
    <w:rsid w:val="0023517A"/>
    <w:rsid w:val="002369A9"/>
    <w:rsid w:val="00237E55"/>
    <w:rsid w:val="00243D36"/>
    <w:rsid w:val="00246854"/>
    <w:rsid w:val="00247707"/>
    <w:rsid w:val="00247AA6"/>
    <w:rsid w:val="00250606"/>
    <w:rsid w:val="00252088"/>
    <w:rsid w:val="002534F8"/>
    <w:rsid w:val="00254044"/>
    <w:rsid w:val="00255F1B"/>
    <w:rsid w:val="0026018E"/>
    <w:rsid w:val="002606DA"/>
    <w:rsid w:val="00262E3D"/>
    <w:rsid w:val="00264E7C"/>
    <w:rsid w:val="00265966"/>
    <w:rsid w:val="00265D2A"/>
    <w:rsid w:val="0026656F"/>
    <w:rsid w:val="002761A9"/>
    <w:rsid w:val="00280581"/>
    <w:rsid w:val="002837D2"/>
    <w:rsid w:val="0028557B"/>
    <w:rsid w:val="00286740"/>
    <w:rsid w:val="002874CC"/>
    <w:rsid w:val="002910FA"/>
    <w:rsid w:val="002929D8"/>
    <w:rsid w:val="00293967"/>
    <w:rsid w:val="0029478F"/>
    <w:rsid w:val="002977C5"/>
    <w:rsid w:val="002A237D"/>
    <w:rsid w:val="002A4C53"/>
    <w:rsid w:val="002A650A"/>
    <w:rsid w:val="002A693B"/>
    <w:rsid w:val="002A718E"/>
    <w:rsid w:val="002A75FE"/>
    <w:rsid w:val="002A7945"/>
    <w:rsid w:val="002B0672"/>
    <w:rsid w:val="002B0FF1"/>
    <w:rsid w:val="002B1242"/>
    <w:rsid w:val="002B247F"/>
    <w:rsid w:val="002B2737"/>
    <w:rsid w:val="002B27F6"/>
    <w:rsid w:val="002B61F6"/>
    <w:rsid w:val="002B6320"/>
    <w:rsid w:val="002C1316"/>
    <w:rsid w:val="002C145D"/>
    <w:rsid w:val="002C2C3E"/>
    <w:rsid w:val="002C533E"/>
    <w:rsid w:val="002C7D1D"/>
    <w:rsid w:val="002D027F"/>
    <w:rsid w:val="002D0937"/>
    <w:rsid w:val="002D3F03"/>
    <w:rsid w:val="002D7A85"/>
    <w:rsid w:val="002D7B60"/>
    <w:rsid w:val="002E0469"/>
    <w:rsid w:val="002E19D6"/>
    <w:rsid w:val="002E1A8D"/>
    <w:rsid w:val="002E2371"/>
    <w:rsid w:val="002E281D"/>
    <w:rsid w:val="002E32E9"/>
    <w:rsid w:val="002E364F"/>
    <w:rsid w:val="002E3AB5"/>
    <w:rsid w:val="002E3B3B"/>
    <w:rsid w:val="002E4F3F"/>
    <w:rsid w:val="002E7DC6"/>
    <w:rsid w:val="002F08F8"/>
    <w:rsid w:val="002F107A"/>
    <w:rsid w:val="002F1AE7"/>
    <w:rsid w:val="002F2006"/>
    <w:rsid w:val="002F2633"/>
    <w:rsid w:val="002F3AE1"/>
    <w:rsid w:val="002F40A5"/>
    <w:rsid w:val="002F4761"/>
    <w:rsid w:val="002F4ED6"/>
    <w:rsid w:val="002F5C79"/>
    <w:rsid w:val="003019E2"/>
    <w:rsid w:val="00303337"/>
    <w:rsid w:val="00304948"/>
    <w:rsid w:val="00305C84"/>
    <w:rsid w:val="00306862"/>
    <w:rsid w:val="00306A07"/>
    <w:rsid w:val="003076FF"/>
    <w:rsid w:val="0031228B"/>
    <w:rsid w:val="00312D4C"/>
    <w:rsid w:val="0031413F"/>
    <w:rsid w:val="00314727"/>
    <w:rsid w:val="003148BB"/>
    <w:rsid w:val="00314911"/>
    <w:rsid w:val="0031634F"/>
    <w:rsid w:val="00317976"/>
    <w:rsid w:val="00320F18"/>
    <w:rsid w:val="0032445A"/>
    <w:rsid w:val="0032471F"/>
    <w:rsid w:val="00324D2F"/>
    <w:rsid w:val="00327720"/>
    <w:rsid w:val="00333853"/>
    <w:rsid w:val="00335A21"/>
    <w:rsid w:val="00335D88"/>
    <w:rsid w:val="00340280"/>
    <w:rsid w:val="003404B2"/>
    <w:rsid w:val="0034080D"/>
    <w:rsid w:val="003409EF"/>
    <w:rsid w:val="00342444"/>
    <w:rsid w:val="003442DB"/>
    <w:rsid w:val="00345569"/>
    <w:rsid w:val="003474CF"/>
    <w:rsid w:val="00355591"/>
    <w:rsid w:val="00355DE4"/>
    <w:rsid w:val="00355EA9"/>
    <w:rsid w:val="003578DE"/>
    <w:rsid w:val="00360464"/>
    <w:rsid w:val="00363742"/>
    <w:rsid w:val="00366EBE"/>
    <w:rsid w:val="00372A75"/>
    <w:rsid w:val="003732D8"/>
    <w:rsid w:val="003734E0"/>
    <w:rsid w:val="0037782F"/>
    <w:rsid w:val="00380241"/>
    <w:rsid w:val="00380564"/>
    <w:rsid w:val="003805DB"/>
    <w:rsid w:val="00380F5E"/>
    <w:rsid w:val="003827C2"/>
    <w:rsid w:val="0038333E"/>
    <w:rsid w:val="003837D0"/>
    <w:rsid w:val="003848EB"/>
    <w:rsid w:val="003854ED"/>
    <w:rsid w:val="00385969"/>
    <w:rsid w:val="00385B72"/>
    <w:rsid w:val="003872A4"/>
    <w:rsid w:val="0038742A"/>
    <w:rsid w:val="003924A7"/>
    <w:rsid w:val="00393592"/>
    <w:rsid w:val="00394A52"/>
    <w:rsid w:val="00395DE3"/>
    <w:rsid w:val="00396257"/>
    <w:rsid w:val="00396929"/>
    <w:rsid w:val="00397EB8"/>
    <w:rsid w:val="003A0940"/>
    <w:rsid w:val="003A4FD0"/>
    <w:rsid w:val="003A5245"/>
    <w:rsid w:val="003A66BF"/>
    <w:rsid w:val="003A69D1"/>
    <w:rsid w:val="003A7705"/>
    <w:rsid w:val="003A77F1"/>
    <w:rsid w:val="003A79CF"/>
    <w:rsid w:val="003B1545"/>
    <w:rsid w:val="003C279B"/>
    <w:rsid w:val="003C409D"/>
    <w:rsid w:val="003C5A14"/>
    <w:rsid w:val="003C5BA6"/>
    <w:rsid w:val="003C65E1"/>
    <w:rsid w:val="003C6ABD"/>
    <w:rsid w:val="003C7365"/>
    <w:rsid w:val="003D2432"/>
    <w:rsid w:val="003D39DA"/>
    <w:rsid w:val="003D60BA"/>
    <w:rsid w:val="003E04E3"/>
    <w:rsid w:val="003E480E"/>
    <w:rsid w:val="003E51E1"/>
    <w:rsid w:val="003E53C3"/>
    <w:rsid w:val="003E57FD"/>
    <w:rsid w:val="003E6BF8"/>
    <w:rsid w:val="003F0C27"/>
    <w:rsid w:val="003F0E85"/>
    <w:rsid w:val="003F1745"/>
    <w:rsid w:val="003F2587"/>
    <w:rsid w:val="003F3446"/>
    <w:rsid w:val="003F561B"/>
    <w:rsid w:val="003F6047"/>
    <w:rsid w:val="003F7C03"/>
    <w:rsid w:val="00400471"/>
    <w:rsid w:val="004031E8"/>
    <w:rsid w:val="00405B56"/>
    <w:rsid w:val="00405D77"/>
    <w:rsid w:val="0040625A"/>
    <w:rsid w:val="00407DBA"/>
    <w:rsid w:val="00410098"/>
    <w:rsid w:val="004100EA"/>
    <w:rsid w:val="004101EB"/>
    <w:rsid w:val="00410C55"/>
    <w:rsid w:val="00413067"/>
    <w:rsid w:val="00413ADD"/>
    <w:rsid w:val="00415145"/>
    <w:rsid w:val="00416854"/>
    <w:rsid w:val="00417725"/>
    <w:rsid w:val="0042052F"/>
    <w:rsid w:val="004208C0"/>
    <w:rsid w:val="00421A37"/>
    <w:rsid w:val="00424992"/>
    <w:rsid w:val="00424A9E"/>
    <w:rsid w:val="00431621"/>
    <w:rsid w:val="004335EC"/>
    <w:rsid w:val="00433BDB"/>
    <w:rsid w:val="00435662"/>
    <w:rsid w:val="0043653E"/>
    <w:rsid w:val="00437B82"/>
    <w:rsid w:val="00437F26"/>
    <w:rsid w:val="00441842"/>
    <w:rsid w:val="004432F8"/>
    <w:rsid w:val="00444097"/>
    <w:rsid w:val="00445487"/>
    <w:rsid w:val="00446553"/>
    <w:rsid w:val="00447FC7"/>
    <w:rsid w:val="004509A1"/>
    <w:rsid w:val="0045107D"/>
    <w:rsid w:val="00454034"/>
    <w:rsid w:val="00454769"/>
    <w:rsid w:val="00456A5E"/>
    <w:rsid w:val="004656AA"/>
    <w:rsid w:val="00466991"/>
    <w:rsid w:val="0047064C"/>
    <w:rsid w:val="00471270"/>
    <w:rsid w:val="00472BB4"/>
    <w:rsid w:val="00473F1F"/>
    <w:rsid w:val="0047516B"/>
    <w:rsid w:val="004774FF"/>
    <w:rsid w:val="004868B8"/>
    <w:rsid w:val="0048775D"/>
    <w:rsid w:val="00491D1C"/>
    <w:rsid w:val="00494BF5"/>
    <w:rsid w:val="004A0E88"/>
    <w:rsid w:val="004A0FE9"/>
    <w:rsid w:val="004A1A72"/>
    <w:rsid w:val="004A276F"/>
    <w:rsid w:val="004A345B"/>
    <w:rsid w:val="004A42E1"/>
    <w:rsid w:val="004A56B8"/>
    <w:rsid w:val="004B162C"/>
    <w:rsid w:val="004B1FDC"/>
    <w:rsid w:val="004B2401"/>
    <w:rsid w:val="004B505B"/>
    <w:rsid w:val="004B68FF"/>
    <w:rsid w:val="004C0870"/>
    <w:rsid w:val="004C10B0"/>
    <w:rsid w:val="004C2AED"/>
    <w:rsid w:val="004C3DBE"/>
    <w:rsid w:val="004C44F2"/>
    <w:rsid w:val="004C5C96"/>
    <w:rsid w:val="004D06A4"/>
    <w:rsid w:val="004D3C64"/>
    <w:rsid w:val="004D72B7"/>
    <w:rsid w:val="004E125F"/>
    <w:rsid w:val="004F1A81"/>
    <w:rsid w:val="004F5670"/>
    <w:rsid w:val="004F5678"/>
    <w:rsid w:val="004F5B02"/>
    <w:rsid w:val="004F5D44"/>
    <w:rsid w:val="00500143"/>
    <w:rsid w:val="00500AAE"/>
    <w:rsid w:val="0050337B"/>
    <w:rsid w:val="00503F35"/>
    <w:rsid w:val="0050550B"/>
    <w:rsid w:val="00506697"/>
    <w:rsid w:val="005102AE"/>
    <w:rsid w:val="0051220F"/>
    <w:rsid w:val="00512B6E"/>
    <w:rsid w:val="0051306C"/>
    <w:rsid w:val="00513654"/>
    <w:rsid w:val="005140C4"/>
    <w:rsid w:val="00515520"/>
    <w:rsid w:val="0051560A"/>
    <w:rsid w:val="00517857"/>
    <w:rsid w:val="005218D9"/>
    <w:rsid w:val="005240EF"/>
    <w:rsid w:val="005275CD"/>
    <w:rsid w:val="00527B09"/>
    <w:rsid w:val="00527F80"/>
    <w:rsid w:val="00531443"/>
    <w:rsid w:val="00534BE0"/>
    <w:rsid w:val="00535544"/>
    <w:rsid w:val="005355CB"/>
    <w:rsid w:val="00536186"/>
    <w:rsid w:val="00536901"/>
    <w:rsid w:val="0053794B"/>
    <w:rsid w:val="00540551"/>
    <w:rsid w:val="00541290"/>
    <w:rsid w:val="00541886"/>
    <w:rsid w:val="005422EA"/>
    <w:rsid w:val="005428E1"/>
    <w:rsid w:val="005442B9"/>
    <w:rsid w:val="00544997"/>
    <w:rsid w:val="00544CBB"/>
    <w:rsid w:val="0054571A"/>
    <w:rsid w:val="00547B93"/>
    <w:rsid w:val="005518C8"/>
    <w:rsid w:val="005537BD"/>
    <w:rsid w:val="005563CC"/>
    <w:rsid w:val="005569BC"/>
    <w:rsid w:val="005569E1"/>
    <w:rsid w:val="00556B91"/>
    <w:rsid w:val="0056012A"/>
    <w:rsid w:val="00561F22"/>
    <w:rsid w:val="0056312E"/>
    <w:rsid w:val="00566C86"/>
    <w:rsid w:val="00567A02"/>
    <w:rsid w:val="0057021E"/>
    <w:rsid w:val="0057095A"/>
    <w:rsid w:val="00572FF5"/>
    <w:rsid w:val="0057315F"/>
    <w:rsid w:val="00574CCE"/>
    <w:rsid w:val="00576104"/>
    <w:rsid w:val="00577605"/>
    <w:rsid w:val="0057768E"/>
    <w:rsid w:val="00581457"/>
    <w:rsid w:val="0058283D"/>
    <w:rsid w:val="0058489B"/>
    <w:rsid w:val="005856D2"/>
    <w:rsid w:val="005871D4"/>
    <w:rsid w:val="005918DE"/>
    <w:rsid w:val="005928D1"/>
    <w:rsid w:val="00592D62"/>
    <w:rsid w:val="00593459"/>
    <w:rsid w:val="005949AE"/>
    <w:rsid w:val="005A0AD1"/>
    <w:rsid w:val="005A1727"/>
    <w:rsid w:val="005A1B89"/>
    <w:rsid w:val="005A4E70"/>
    <w:rsid w:val="005B025D"/>
    <w:rsid w:val="005B0DEE"/>
    <w:rsid w:val="005B253A"/>
    <w:rsid w:val="005B5A0D"/>
    <w:rsid w:val="005C0AFC"/>
    <w:rsid w:val="005C2008"/>
    <w:rsid w:val="005C67C8"/>
    <w:rsid w:val="005D0249"/>
    <w:rsid w:val="005D6E8C"/>
    <w:rsid w:val="005E1FE2"/>
    <w:rsid w:val="005E20B2"/>
    <w:rsid w:val="005E2532"/>
    <w:rsid w:val="005E33E1"/>
    <w:rsid w:val="005E775D"/>
    <w:rsid w:val="005F04BD"/>
    <w:rsid w:val="005F066E"/>
    <w:rsid w:val="005F06C5"/>
    <w:rsid w:val="005F100C"/>
    <w:rsid w:val="005F3590"/>
    <w:rsid w:val="005F4E0C"/>
    <w:rsid w:val="005F68DA"/>
    <w:rsid w:val="005F6AB2"/>
    <w:rsid w:val="00600686"/>
    <w:rsid w:val="0060281F"/>
    <w:rsid w:val="006039BC"/>
    <w:rsid w:val="0060773B"/>
    <w:rsid w:val="006103AC"/>
    <w:rsid w:val="00614465"/>
    <w:rsid w:val="006157B5"/>
    <w:rsid w:val="0061664A"/>
    <w:rsid w:val="006169C8"/>
    <w:rsid w:val="00616EBB"/>
    <w:rsid w:val="00617ED5"/>
    <w:rsid w:val="00620592"/>
    <w:rsid w:val="00623423"/>
    <w:rsid w:val="0062430E"/>
    <w:rsid w:val="006259CD"/>
    <w:rsid w:val="00625A80"/>
    <w:rsid w:val="00626024"/>
    <w:rsid w:val="006263AE"/>
    <w:rsid w:val="00626FC6"/>
    <w:rsid w:val="00627A39"/>
    <w:rsid w:val="006303B4"/>
    <w:rsid w:val="0063309C"/>
    <w:rsid w:val="00633CF7"/>
    <w:rsid w:val="00633D3D"/>
    <w:rsid w:val="006348A6"/>
    <w:rsid w:val="00634A53"/>
    <w:rsid w:val="00636AB9"/>
    <w:rsid w:val="00641703"/>
    <w:rsid w:val="00641AE7"/>
    <w:rsid w:val="006431A6"/>
    <w:rsid w:val="006451EE"/>
    <w:rsid w:val="006459F6"/>
    <w:rsid w:val="00645F59"/>
    <w:rsid w:val="006501AD"/>
    <w:rsid w:val="00650361"/>
    <w:rsid w:val="00651BFA"/>
    <w:rsid w:val="00651EF8"/>
    <w:rsid w:val="00653300"/>
    <w:rsid w:val="00654475"/>
    <w:rsid w:val="00654EAF"/>
    <w:rsid w:val="006552A2"/>
    <w:rsid w:val="00655A60"/>
    <w:rsid w:val="00655FDE"/>
    <w:rsid w:val="00657A61"/>
    <w:rsid w:val="0066093D"/>
    <w:rsid w:val="00661A50"/>
    <w:rsid w:val="006625CF"/>
    <w:rsid w:val="00663561"/>
    <w:rsid w:val="00663E49"/>
    <w:rsid w:val="00665A4B"/>
    <w:rsid w:val="00665D0A"/>
    <w:rsid w:val="00673385"/>
    <w:rsid w:val="006744B2"/>
    <w:rsid w:val="00674D0B"/>
    <w:rsid w:val="00676210"/>
    <w:rsid w:val="006767D3"/>
    <w:rsid w:val="0068303F"/>
    <w:rsid w:val="00684BC4"/>
    <w:rsid w:val="00692E2A"/>
    <w:rsid w:val="006943A8"/>
    <w:rsid w:val="0069482B"/>
    <w:rsid w:val="00695555"/>
    <w:rsid w:val="006A2096"/>
    <w:rsid w:val="006A2E36"/>
    <w:rsid w:val="006A3340"/>
    <w:rsid w:val="006A5370"/>
    <w:rsid w:val="006A5DEE"/>
    <w:rsid w:val="006A76F2"/>
    <w:rsid w:val="006B164F"/>
    <w:rsid w:val="006B2C3A"/>
    <w:rsid w:val="006B32DC"/>
    <w:rsid w:val="006C10B1"/>
    <w:rsid w:val="006C21EC"/>
    <w:rsid w:val="006C3248"/>
    <w:rsid w:val="006C3EAE"/>
    <w:rsid w:val="006C441F"/>
    <w:rsid w:val="006C5665"/>
    <w:rsid w:val="006D03C1"/>
    <w:rsid w:val="006D10A4"/>
    <w:rsid w:val="006D4517"/>
    <w:rsid w:val="006D6DF6"/>
    <w:rsid w:val="006D7EFB"/>
    <w:rsid w:val="006E2544"/>
    <w:rsid w:val="006E54C2"/>
    <w:rsid w:val="006E5898"/>
    <w:rsid w:val="006E6672"/>
    <w:rsid w:val="006E6722"/>
    <w:rsid w:val="006F0854"/>
    <w:rsid w:val="006F188E"/>
    <w:rsid w:val="006F2773"/>
    <w:rsid w:val="006F5106"/>
    <w:rsid w:val="006F7309"/>
    <w:rsid w:val="006F7CEF"/>
    <w:rsid w:val="00701DB8"/>
    <w:rsid w:val="007027B9"/>
    <w:rsid w:val="007114EE"/>
    <w:rsid w:val="00715E88"/>
    <w:rsid w:val="00721848"/>
    <w:rsid w:val="00722BC1"/>
    <w:rsid w:val="0072413C"/>
    <w:rsid w:val="00726546"/>
    <w:rsid w:val="00727BC1"/>
    <w:rsid w:val="0073003A"/>
    <w:rsid w:val="007322BD"/>
    <w:rsid w:val="00734CAA"/>
    <w:rsid w:val="007418EA"/>
    <w:rsid w:val="007428DF"/>
    <w:rsid w:val="007454AF"/>
    <w:rsid w:val="00746D05"/>
    <w:rsid w:val="007476C3"/>
    <w:rsid w:val="00751E20"/>
    <w:rsid w:val="0075303C"/>
    <w:rsid w:val="007538EE"/>
    <w:rsid w:val="0075533C"/>
    <w:rsid w:val="007554EA"/>
    <w:rsid w:val="00756B25"/>
    <w:rsid w:val="00756B2D"/>
    <w:rsid w:val="00757581"/>
    <w:rsid w:val="007611A0"/>
    <w:rsid w:val="00761C3B"/>
    <w:rsid w:val="007637BF"/>
    <w:rsid w:val="007638D6"/>
    <w:rsid w:val="00764A22"/>
    <w:rsid w:val="00766FC6"/>
    <w:rsid w:val="00774907"/>
    <w:rsid w:val="007756D9"/>
    <w:rsid w:val="00777061"/>
    <w:rsid w:val="007803EF"/>
    <w:rsid w:val="007806CC"/>
    <w:rsid w:val="0078070A"/>
    <w:rsid w:val="00780F1D"/>
    <w:rsid w:val="007815C9"/>
    <w:rsid w:val="007817A5"/>
    <w:rsid w:val="00784F0D"/>
    <w:rsid w:val="00791D40"/>
    <w:rsid w:val="00793B47"/>
    <w:rsid w:val="0079434B"/>
    <w:rsid w:val="007947BC"/>
    <w:rsid w:val="00794A5A"/>
    <w:rsid w:val="00796CE6"/>
    <w:rsid w:val="00796D3F"/>
    <w:rsid w:val="007970D6"/>
    <w:rsid w:val="00797456"/>
    <w:rsid w:val="007A07B7"/>
    <w:rsid w:val="007A1683"/>
    <w:rsid w:val="007A1A5D"/>
    <w:rsid w:val="007A4130"/>
    <w:rsid w:val="007A4A4E"/>
    <w:rsid w:val="007A5C12"/>
    <w:rsid w:val="007A5FCD"/>
    <w:rsid w:val="007A61BE"/>
    <w:rsid w:val="007A6411"/>
    <w:rsid w:val="007A7A50"/>
    <w:rsid w:val="007A7CB0"/>
    <w:rsid w:val="007B0A24"/>
    <w:rsid w:val="007B16F9"/>
    <w:rsid w:val="007B3A07"/>
    <w:rsid w:val="007B48FD"/>
    <w:rsid w:val="007B68A3"/>
    <w:rsid w:val="007B6E92"/>
    <w:rsid w:val="007C055E"/>
    <w:rsid w:val="007C2541"/>
    <w:rsid w:val="007C5215"/>
    <w:rsid w:val="007C7D99"/>
    <w:rsid w:val="007D2460"/>
    <w:rsid w:val="007D5BD3"/>
    <w:rsid w:val="007D6383"/>
    <w:rsid w:val="007D66A8"/>
    <w:rsid w:val="007D73C8"/>
    <w:rsid w:val="007E003F"/>
    <w:rsid w:val="007E0B2C"/>
    <w:rsid w:val="007E26D6"/>
    <w:rsid w:val="007E31B4"/>
    <w:rsid w:val="007E5C26"/>
    <w:rsid w:val="007E718A"/>
    <w:rsid w:val="007F025C"/>
    <w:rsid w:val="007F2AC9"/>
    <w:rsid w:val="007F2C6D"/>
    <w:rsid w:val="007F4F77"/>
    <w:rsid w:val="0080032C"/>
    <w:rsid w:val="00802756"/>
    <w:rsid w:val="00805D7A"/>
    <w:rsid w:val="0080712E"/>
    <w:rsid w:val="0081058C"/>
    <w:rsid w:val="00811C68"/>
    <w:rsid w:val="00812F59"/>
    <w:rsid w:val="00813095"/>
    <w:rsid w:val="00815D71"/>
    <w:rsid w:val="008164F2"/>
    <w:rsid w:val="0082129B"/>
    <w:rsid w:val="00821395"/>
    <w:rsid w:val="00822805"/>
    <w:rsid w:val="00822ABB"/>
    <w:rsid w:val="008230CB"/>
    <w:rsid w:val="008242D8"/>
    <w:rsid w:val="00824776"/>
    <w:rsid w:val="00824D98"/>
    <w:rsid w:val="00830E26"/>
    <w:rsid w:val="00830E44"/>
    <w:rsid w:val="00833730"/>
    <w:rsid w:val="00835E00"/>
    <w:rsid w:val="008432FD"/>
    <w:rsid w:val="00843576"/>
    <w:rsid w:val="00843B64"/>
    <w:rsid w:val="008445D8"/>
    <w:rsid w:val="00845065"/>
    <w:rsid w:val="00845B0F"/>
    <w:rsid w:val="008465E3"/>
    <w:rsid w:val="008478FC"/>
    <w:rsid w:val="0085171F"/>
    <w:rsid w:val="008520C8"/>
    <w:rsid w:val="00854FCC"/>
    <w:rsid w:val="00855D9C"/>
    <w:rsid w:val="00855F33"/>
    <w:rsid w:val="0085746B"/>
    <w:rsid w:val="00861A0D"/>
    <w:rsid w:val="00865A27"/>
    <w:rsid w:val="00867BFF"/>
    <w:rsid w:val="0087033E"/>
    <w:rsid w:val="00871729"/>
    <w:rsid w:val="00872DD9"/>
    <w:rsid w:val="008738BA"/>
    <w:rsid w:val="00873CBF"/>
    <w:rsid w:val="00873D90"/>
    <w:rsid w:val="008759B9"/>
    <w:rsid w:val="00875CDC"/>
    <w:rsid w:val="00882A2C"/>
    <w:rsid w:val="0088480A"/>
    <w:rsid w:val="0088556D"/>
    <w:rsid w:val="00886752"/>
    <w:rsid w:val="0088757A"/>
    <w:rsid w:val="00890C57"/>
    <w:rsid w:val="008918FF"/>
    <w:rsid w:val="008925F2"/>
    <w:rsid w:val="00893CF2"/>
    <w:rsid w:val="008957DD"/>
    <w:rsid w:val="00895C25"/>
    <w:rsid w:val="00897D98"/>
    <w:rsid w:val="008A3160"/>
    <w:rsid w:val="008A6DF2"/>
    <w:rsid w:val="008A7807"/>
    <w:rsid w:val="008B159C"/>
    <w:rsid w:val="008B199F"/>
    <w:rsid w:val="008B2F5A"/>
    <w:rsid w:val="008B37DC"/>
    <w:rsid w:val="008B4CC9"/>
    <w:rsid w:val="008C5393"/>
    <w:rsid w:val="008C6086"/>
    <w:rsid w:val="008C6742"/>
    <w:rsid w:val="008C7ED9"/>
    <w:rsid w:val="008D0B06"/>
    <w:rsid w:val="008D5BCC"/>
    <w:rsid w:val="008D7C99"/>
    <w:rsid w:val="008D7F72"/>
    <w:rsid w:val="008E0FCB"/>
    <w:rsid w:val="008E340B"/>
    <w:rsid w:val="008E4C1B"/>
    <w:rsid w:val="008F0079"/>
    <w:rsid w:val="008F42BA"/>
    <w:rsid w:val="008F4992"/>
    <w:rsid w:val="008F5905"/>
    <w:rsid w:val="008F68CE"/>
    <w:rsid w:val="009021BD"/>
    <w:rsid w:val="00903512"/>
    <w:rsid w:val="0092178C"/>
    <w:rsid w:val="0092574B"/>
    <w:rsid w:val="00925D83"/>
    <w:rsid w:val="00926B67"/>
    <w:rsid w:val="00930B88"/>
    <w:rsid w:val="00933AC1"/>
    <w:rsid w:val="00934F7F"/>
    <w:rsid w:val="00936099"/>
    <w:rsid w:val="009369C6"/>
    <w:rsid w:val="00940AD6"/>
    <w:rsid w:val="00940DCC"/>
    <w:rsid w:val="0094179A"/>
    <w:rsid w:val="009434DF"/>
    <w:rsid w:val="009436B2"/>
    <w:rsid w:val="0094459E"/>
    <w:rsid w:val="00944DBC"/>
    <w:rsid w:val="0094649C"/>
    <w:rsid w:val="00947E03"/>
    <w:rsid w:val="00950908"/>
    <w:rsid w:val="00950977"/>
    <w:rsid w:val="00951A7B"/>
    <w:rsid w:val="00952B41"/>
    <w:rsid w:val="009564A6"/>
    <w:rsid w:val="00956896"/>
    <w:rsid w:val="009642B5"/>
    <w:rsid w:val="0096446E"/>
    <w:rsid w:val="00967621"/>
    <w:rsid w:val="00967E6A"/>
    <w:rsid w:val="0097177D"/>
    <w:rsid w:val="00971A42"/>
    <w:rsid w:val="009761A8"/>
    <w:rsid w:val="009821A7"/>
    <w:rsid w:val="00983D1E"/>
    <w:rsid w:val="00990F34"/>
    <w:rsid w:val="00991850"/>
    <w:rsid w:val="0099186D"/>
    <w:rsid w:val="009930C2"/>
    <w:rsid w:val="00993832"/>
    <w:rsid w:val="00994ADE"/>
    <w:rsid w:val="009A30F2"/>
    <w:rsid w:val="009A4117"/>
    <w:rsid w:val="009A48FF"/>
    <w:rsid w:val="009A6B72"/>
    <w:rsid w:val="009B0B83"/>
    <w:rsid w:val="009B423E"/>
    <w:rsid w:val="009B4293"/>
    <w:rsid w:val="009B4A0F"/>
    <w:rsid w:val="009B5900"/>
    <w:rsid w:val="009C0596"/>
    <w:rsid w:val="009C11D2"/>
    <w:rsid w:val="009C1565"/>
    <w:rsid w:val="009C267A"/>
    <w:rsid w:val="009C28DB"/>
    <w:rsid w:val="009C3D85"/>
    <w:rsid w:val="009C3F3F"/>
    <w:rsid w:val="009C6C70"/>
    <w:rsid w:val="009C6F4B"/>
    <w:rsid w:val="009C7AFF"/>
    <w:rsid w:val="009D0815"/>
    <w:rsid w:val="009D0B63"/>
    <w:rsid w:val="009D2ED3"/>
    <w:rsid w:val="009D4FBF"/>
    <w:rsid w:val="009D4FDE"/>
    <w:rsid w:val="009E08B9"/>
    <w:rsid w:val="009E307E"/>
    <w:rsid w:val="009E5804"/>
    <w:rsid w:val="009E64FD"/>
    <w:rsid w:val="009F188E"/>
    <w:rsid w:val="009F1C8F"/>
    <w:rsid w:val="009F4C98"/>
    <w:rsid w:val="009F58E4"/>
    <w:rsid w:val="009F5945"/>
    <w:rsid w:val="009F7011"/>
    <w:rsid w:val="009F7E87"/>
    <w:rsid w:val="00A003D4"/>
    <w:rsid w:val="00A00BD5"/>
    <w:rsid w:val="00A0212E"/>
    <w:rsid w:val="00A02CF6"/>
    <w:rsid w:val="00A02DE6"/>
    <w:rsid w:val="00A03486"/>
    <w:rsid w:val="00A04ABF"/>
    <w:rsid w:val="00A04EBE"/>
    <w:rsid w:val="00A07870"/>
    <w:rsid w:val="00A07E13"/>
    <w:rsid w:val="00A07F19"/>
    <w:rsid w:val="00A133F1"/>
    <w:rsid w:val="00A1348D"/>
    <w:rsid w:val="00A135C2"/>
    <w:rsid w:val="00A1448F"/>
    <w:rsid w:val="00A14A91"/>
    <w:rsid w:val="00A15E46"/>
    <w:rsid w:val="00A16065"/>
    <w:rsid w:val="00A16A5D"/>
    <w:rsid w:val="00A16D55"/>
    <w:rsid w:val="00A16DD3"/>
    <w:rsid w:val="00A225A7"/>
    <w:rsid w:val="00A232EE"/>
    <w:rsid w:val="00A27434"/>
    <w:rsid w:val="00A31493"/>
    <w:rsid w:val="00A31818"/>
    <w:rsid w:val="00A3181A"/>
    <w:rsid w:val="00A32884"/>
    <w:rsid w:val="00A336BE"/>
    <w:rsid w:val="00A344C7"/>
    <w:rsid w:val="00A34745"/>
    <w:rsid w:val="00A349EB"/>
    <w:rsid w:val="00A36574"/>
    <w:rsid w:val="00A409EC"/>
    <w:rsid w:val="00A40FC9"/>
    <w:rsid w:val="00A4175F"/>
    <w:rsid w:val="00A44411"/>
    <w:rsid w:val="00A4527C"/>
    <w:rsid w:val="00A45E17"/>
    <w:rsid w:val="00A469FA"/>
    <w:rsid w:val="00A47813"/>
    <w:rsid w:val="00A51A0C"/>
    <w:rsid w:val="00A534FF"/>
    <w:rsid w:val="00A54F27"/>
    <w:rsid w:val="00A55B01"/>
    <w:rsid w:val="00A55DFB"/>
    <w:rsid w:val="00A56B5B"/>
    <w:rsid w:val="00A571F3"/>
    <w:rsid w:val="00A603FF"/>
    <w:rsid w:val="00A60D1F"/>
    <w:rsid w:val="00A61EFC"/>
    <w:rsid w:val="00A6275B"/>
    <w:rsid w:val="00A653CB"/>
    <w:rsid w:val="00A657DD"/>
    <w:rsid w:val="00A666A6"/>
    <w:rsid w:val="00A675FD"/>
    <w:rsid w:val="00A700CD"/>
    <w:rsid w:val="00A719FA"/>
    <w:rsid w:val="00A71BBD"/>
    <w:rsid w:val="00A71DA8"/>
    <w:rsid w:val="00A72437"/>
    <w:rsid w:val="00A73C3E"/>
    <w:rsid w:val="00A7428A"/>
    <w:rsid w:val="00A742A5"/>
    <w:rsid w:val="00A743D4"/>
    <w:rsid w:val="00A74A8A"/>
    <w:rsid w:val="00A80611"/>
    <w:rsid w:val="00A82514"/>
    <w:rsid w:val="00A83169"/>
    <w:rsid w:val="00A843FD"/>
    <w:rsid w:val="00A8637D"/>
    <w:rsid w:val="00A86EA2"/>
    <w:rsid w:val="00A87B88"/>
    <w:rsid w:val="00A92CD0"/>
    <w:rsid w:val="00A947A9"/>
    <w:rsid w:val="00A97E27"/>
    <w:rsid w:val="00A97E30"/>
    <w:rsid w:val="00AA06E3"/>
    <w:rsid w:val="00AA20D6"/>
    <w:rsid w:val="00AA4688"/>
    <w:rsid w:val="00AA7407"/>
    <w:rsid w:val="00AA76AB"/>
    <w:rsid w:val="00AB3735"/>
    <w:rsid w:val="00AB5340"/>
    <w:rsid w:val="00AB7EC7"/>
    <w:rsid w:val="00AC0A89"/>
    <w:rsid w:val="00AC1073"/>
    <w:rsid w:val="00AC29AD"/>
    <w:rsid w:val="00AC3784"/>
    <w:rsid w:val="00AC7C96"/>
    <w:rsid w:val="00AD04F9"/>
    <w:rsid w:val="00AD0D47"/>
    <w:rsid w:val="00AD28D1"/>
    <w:rsid w:val="00AE1CEB"/>
    <w:rsid w:val="00AE237D"/>
    <w:rsid w:val="00AE3288"/>
    <w:rsid w:val="00AE502A"/>
    <w:rsid w:val="00AE7AE1"/>
    <w:rsid w:val="00AF127B"/>
    <w:rsid w:val="00AF1B79"/>
    <w:rsid w:val="00AF2335"/>
    <w:rsid w:val="00AF3FBC"/>
    <w:rsid w:val="00AF5C54"/>
    <w:rsid w:val="00AF6281"/>
    <w:rsid w:val="00AF7C07"/>
    <w:rsid w:val="00B05D7B"/>
    <w:rsid w:val="00B10467"/>
    <w:rsid w:val="00B10E49"/>
    <w:rsid w:val="00B11447"/>
    <w:rsid w:val="00B1147B"/>
    <w:rsid w:val="00B115BB"/>
    <w:rsid w:val="00B120B5"/>
    <w:rsid w:val="00B123B9"/>
    <w:rsid w:val="00B129BF"/>
    <w:rsid w:val="00B133F1"/>
    <w:rsid w:val="00B17922"/>
    <w:rsid w:val="00B20F08"/>
    <w:rsid w:val="00B2156E"/>
    <w:rsid w:val="00B224F9"/>
    <w:rsid w:val="00B22C93"/>
    <w:rsid w:val="00B23C7E"/>
    <w:rsid w:val="00B2406A"/>
    <w:rsid w:val="00B242C7"/>
    <w:rsid w:val="00B24A20"/>
    <w:rsid w:val="00B26538"/>
    <w:rsid w:val="00B27589"/>
    <w:rsid w:val="00B277B8"/>
    <w:rsid w:val="00B3062B"/>
    <w:rsid w:val="00B3195F"/>
    <w:rsid w:val="00B33B47"/>
    <w:rsid w:val="00B35B44"/>
    <w:rsid w:val="00B40282"/>
    <w:rsid w:val="00B405B7"/>
    <w:rsid w:val="00B442B0"/>
    <w:rsid w:val="00B445EA"/>
    <w:rsid w:val="00B52222"/>
    <w:rsid w:val="00B54FE7"/>
    <w:rsid w:val="00B55A5E"/>
    <w:rsid w:val="00B56632"/>
    <w:rsid w:val="00B61D82"/>
    <w:rsid w:val="00B66901"/>
    <w:rsid w:val="00B67B52"/>
    <w:rsid w:val="00B704F7"/>
    <w:rsid w:val="00B70C1E"/>
    <w:rsid w:val="00B71E6D"/>
    <w:rsid w:val="00B72070"/>
    <w:rsid w:val="00B75245"/>
    <w:rsid w:val="00B75F4A"/>
    <w:rsid w:val="00B779E1"/>
    <w:rsid w:val="00B820D7"/>
    <w:rsid w:val="00B82AFB"/>
    <w:rsid w:val="00B82C30"/>
    <w:rsid w:val="00B83543"/>
    <w:rsid w:val="00B83A74"/>
    <w:rsid w:val="00B908D3"/>
    <w:rsid w:val="00B91EE1"/>
    <w:rsid w:val="00B94BE0"/>
    <w:rsid w:val="00B953A0"/>
    <w:rsid w:val="00B95829"/>
    <w:rsid w:val="00B95FB0"/>
    <w:rsid w:val="00BA0090"/>
    <w:rsid w:val="00BA043B"/>
    <w:rsid w:val="00BA04E5"/>
    <w:rsid w:val="00BA1A67"/>
    <w:rsid w:val="00BA69E8"/>
    <w:rsid w:val="00BB2047"/>
    <w:rsid w:val="00BB45D0"/>
    <w:rsid w:val="00BB72D2"/>
    <w:rsid w:val="00BB7EA0"/>
    <w:rsid w:val="00BC2E15"/>
    <w:rsid w:val="00BD21E4"/>
    <w:rsid w:val="00BD50F6"/>
    <w:rsid w:val="00BE0C02"/>
    <w:rsid w:val="00BE1EBD"/>
    <w:rsid w:val="00BE22C7"/>
    <w:rsid w:val="00BE30A5"/>
    <w:rsid w:val="00BE530B"/>
    <w:rsid w:val="00BE5B5F"/>
    <w:rsid w:val="00BE6E6A"/>
    <w:rsid w:val="00BF064C"/>
    <w:rsid w:val="00BF0679"/>
    <w:rsid w:val="00BF152D"/>
    <w:rsid w:val="00BF1F2E"/>
    <w:rsid w:val="00BF40DF"/>
    <w:rsid w:val="00BF5322"/>
    <w:rsid w:val="00BF662C"/>
    <w:rsid w:val="00C00DE2"/>
    <w:rsid w:val="00C01B9B"/>
    <w:rsid w:val="00C02159"/>
    <w:rsid w:val="00C06F0E"/>
    <w:rsid w:val="00C10C4D"/>
    <w:rsid w:val="00C114CD"/>
    <w:rsid w:val="00C1159F"/>
    <w:rsid w:val="00C1404C"/>
    <w:rsid w:val="00C17732"/>
    <w:rsid w:val="00C2502D"/>
    <w:rsid w:val="00C2585A"/>
    <w:rsid w:val="00C26F55"/>
    <w:rsid w:val="00C30C63"/>
    <w:rsid w:val="00C3105C"/>
    <w:rsid w:val="00C31574"/>
    <w:rsid w:val="00C32DD1"/>
    <w:rsid w:val="00C32EE1"/>
    <w:rsid w:val="00C33018"/>
    <w:rsid w:val="00C330CB"/>
    <w:rsid w:val="00C331AE"/>
    <w:rsid w:val="00C34422"/>
    <w:rsid w:val="00C34B7D"/>
    <w:rsid w:val="00C34CAA"/>
    <w:rsid w:val="00C36B8B"/>
    <w:rsid w:val="00C41532"/>
    <w:rsid w:val="00C415C1"/>
    <w:rsid w:val="00C42D05"/>
    <w:rsid w:val="00C42E91"/>
    <w:rsid w:val="00C4343C"/>
    <w:rsid w:val="00C459DD"/>
    <w:rsid w:val="00C47DBF"/>
    <w:rsid w:val="00C52547"/>
    <w:rsid w:val="00C552FF"/>
    <w:rsid w:val="00C5575D"/>
    <w:rsid w:val="00C558DA"/>
    <w:rsid w:val="00C55AF3"/>
    <w:rsid w:val="00C60AFA"/>
    <w:rsid w:val="00C61877"/>
    <w:rsid w:val="00C64FC5"/>
    <w:rsid w:val="00C64FD7"/>
    <w:rsid w:val="00C66C0B"/>
    <w:rsid w:val="00C66C8D"/>
    <w:rsid w:val="00C66CDC"/>
    <w:rsid w:val="00C7214C"/>
    <w:rsid w:val="00C72607"/>
    <w:rsid w:val="00C73A98"/>
    <w:rsid w:val="00C75069"/>
    <w:rsid w:val="00C76479"/>
    <w:rsid w:val="00C77CEF"/>
    <w:rsid w:val="00C81164"/>
    <w:rsid w:val="00C8218A"/>
    <w:rsid w:val="00C82C31"/>
    <w:rsid w:val="00C84080"/>
    <w:rsid w:val="00C84759"/>
    <w:rsid w:val="00C87456"/>
    <w:rsid w:val="00C90A38"/>
    <w:rsid w:val="00C90B6B"/>
    <w:rsid w:val="00C920E0"/>
    <w:rsid w:val="00C92B04"/>
    <w:rsid w:val="00C9427F"/>
    <w:rsid w:val="00C9545E"/>
    <w:rsid w:val="00C95EBA"/>
    <w:rsid w:val="00C96821"/>
    <w:rsid w:val="00C978AF"/>
    <w:rsid w:val="00C979A3"/>
    <w:rsid w:val="00CA1CBD"/>
    <w:rsid w:val="00CA22CD"/>
    <w:rsid w:val="00CA4EB7"/>
    <w:rsid w:val="00CA6C7F"/>
    <w:rsid w:val="00CB0A97"/>
    <w:rsid w:val="00CB27E0"/>
    <w:rsid w:val="00CB30A6"/>
    <w:rsid w:val="00CB3965"/>
    <w:rsid w:val="00CB7857"/>
    <w:rsid w:val="00CC0661"/>
    <w:rsid w:val="00CC10A6"/>
    <w:rsid w:val="00CC1142"/>
    <w:rsid w:val="00CC1797"/>
    <w:rsid w:val="00CC1CDA"/>
    <w:rsid w:val="00CC201A"/>
    <w:rsid w:val="00CC26EB"/>
    <w:rsid w:val="00CD1D1C"/>
    <w:rsid w:val="00CD27E6"/>
    <w:rsid w:val="00CD5EB8"/>
    <w:rsid w:val="00CD6881"/>
    <w:rsid w:val="00CD7044"/>
    <w:rsid w:val="00CD7FCF"/>
    <w:rsid w:val="00CE08B9"/>
    <w:rsid w:val="00CE1BC4"/>
    <w:rsid w:val="00CE25A3"/>
    <w:rsid w:val="00CE404F"/>
    <w:rsid w:val="00CE425E"/>
    <w:rsid w:val="00CE460C"/>
    <w:rsid w:val="00CE524C"/>
    <w:rsid w:val="00CE780F"/>
    <w:rsid w:val="00CF141F"/>
    <w:rsid w:val="00CF196E"/>
    <w:rsid w:val="00CF2DE5"/>
    <w:rsid w:val="00CF30B9"/>
    <w:rsid w:val="00CF42BB"/>
    <w:rsid w:val="00CF450E"/>
    <w:rsid w:val="00CF4777"/>
    <w:rsid w:val="00CF7AA8"/>
    <w:rsid w:val="00D038BF"/>
    <w:rsid w:val="00D067BB"/>
    <w:rsid w:val="00D10157"/>
    <w:rsid w:val="00D108D2"/>
    <w:rsid w:val="00D1352A"/>
    <w:rsid w:val="00D13D48"/>
    <w:rsid w:val="00D1436E"/>
    <w:rsid w:val="00D16159"/>
    <w:rsid w:val="00D169AF"/>
    <w:rsid w:val="00D2125B"/>
    <w:rsid w:val="00D21E5D"/>
    <w:rsid w:val="00D222D4"/>
    <w:rsid w:val="00D227BC"/>
    <w:rsid w:val="00D2433F"/>
    <w:rsid w:val="00D25249"/>
    <w:rsid w:val="00D26E61"/>
    <w:rsid w:val="00D27A61"/>
    <w:rsid w:val="00D27E9A"/>
    <w:rsid w:val="00D30049"/>
    <w:rsid w:val="00D310FD"/>
    <w:rsid w:val="00D31CC5"/>
    <w:rsid w:val="00D33A10"/>
    <w:rsid w:val="00D346F8"/>
    <w:rsid w:val="00D35B55"/>
    <w:rsid w:val="00D37798"/>
    <w:rsid w:val="00D402A6"/>
    <w:rsid w:val="00D40CC2"/>
    <w:rsid w:val="00D41218"/>
    <w:rsid w:val="00D4196D"/>
    <w:rsid w:val="00D423FF"/>
    <w:rsid w:val="00D42936"/>
    <w:rsid w:val="00D44172"/>
    <w:rsid w:val="00D44969"/>
    <w:rsid w:val="00D50B60"/>
    <w:rsid w:val="00D537AB"/>
    <w:rsid w:val="00D55588"/>
    <w:rsid w:val="00D55D38"/>
    <w:rsid w:val="00D604A0"/>
    <w:rsid w:val="00D61672"/>
    <w:rsid w:val="00D63B8C"/>
    <w:rsid w:val="00D63C48"/>
    <w:rsid w:val="00D63CB2"/>
    <w:rsid w:val="00D665E7"/>
    <w:rsid w:val="00D739CC"/>
    <w:rsid w:val="00D75221"/>
    <w:rsid w:val="00D773EA"/>
    <w:rsid w:val="00D8093D"/>
    <w:rsid w:val="00D8108C"/>
    <w:rsid w:val="00D8254C"/>
    <w:rsid w:val="00D83B2C"/>
    <w:rsid w:val="00D842AE"/>
    <w:rsid w:val="00D86EFF"/>
    <w:rsid w:val="00D9130A"/>
    <w:rsid w:val="00D9211C"/>
    <w:rsid w:val="00D92DE0"/>
    <w:rsid w:val="00D92FEF"/>
    <w:rsid w:val="00D93A0F"/>
    <w:rsid w:val="00D93BFF"/>
    <w:rsid w:val="00D94D33"/>
    <w:rsid w:val="00D9695E"/>
    <w:rsid w:val="00D97247"/>
    <w:rsid w:val="00DA045D"/>
    <w:rsid w:val="00DA1BCA"/>
    <w:rsid w:val="00DA3752"/>
    <w:rsid w:val="00DA3EA9"/>
    <w:rsid w:val="00DA60D8"/>
    <w:rsid w:val="00DB1C14"/>
    <w:rsid w:val="00DB2C14"/>
    <w:rsid w:val="00DB3D5F"/>
    <w:rsid w:val="00DB58FE"/>
    <w:rsid w:val="00DC0056"/>
    <w:rsid w:val="00DC1A1C"/>
    <w:rsid w:val="00DC1A57"/>
    <w:rsid w:val="00DC4533"/>
    <w:rsid w:val="00DC46FF"/>
    <w:rsid w:val="00DC5254"/>
    <w:rsid w:val="00DD022A"/>
    <w:rsid w:val="00DD0F1A"/>
    <w:rsid w:val="00DD1A4F"/>
    <w:rsid w:val="00DD28C4"/>
    <w:rsid w:val="00DD3107"/>
    <w:rsid w:val="00DD33D0"/>
    <w:rsid w:val="00DD706A"/>
    <w:rsid w:val="00DD7C2C"/>
    <w:rsid w:val="00DE31A9"/>
    <w:rsid w:val="00DE4A80"/>
    <w:rsid w:val="00DE7F32"/>
    <w:rsid w:val="00DF17EE"/>
    <w:rsid w:val="00DF1E4C"/>
    <w:rsid w:val="00DF48D3"/>
    <w:rsid w:val="00DF4DE2"/>
    <w:rsid w:val="00DF5893"/>
    <w:rsid w:val="00E0199B"/>
    <w:rsid w:val="00E047DA"/>
    <w:rsid w:val="00E064AF"/>
    <w:rsid w:val="00E06797"/>
    <w:rsid w:val="00E0746C"/>
    <w:rsid w:val="00E07703"/>
    <w:rsid w:val="00E1265B"/>
    <w:rsid w:val="00E134F8"/>
    <w:rsid w:val="00E13B48"/>
    <w:rsid w:val="00E1404F"/>
    <w:rsid w:val="00E14463"/>
    <w:rsid w:val="00E14717"/>
    <w:rsid w:val="00E153D2"/>
    <w:rsid w:val="00E157CD"/>
    <w:rsid w:val="00E16967"/>
    <w:rsid w:val="00E2060E"/>
    <w:rsid w:val="00E20634"/>
    <w:rsid w:val="00E21C83"/>
    <w:rsid w:val="00E24ADA"/>
    <w:rsid w:val="00E25201"/>
    <w:rsid w:val="00E2613B"/>
    <w:rsid w:val="00E269A8"/>
    <w:rsid w:val="00E2781F"/>
    <w:rsid w:val="00E27E39"/>
    <w:rsid w:val="00E30BCD"/>
    <w:rsid w:val="00E31270"/>
    <w:rsid w:val="00E327D4"/>
    <w:rsid w:val="00E32F59"/>
    <w:rsid w:val="00E34622"/>
    <w:rsid w:val="00E40926"/>
    <w:rsid w:val="00E46D9A"/>
    <w:rsid w:val="00E477FF"/>
    <w:rsid w:val="00E5170D"/>
    <w:rsid w:val="00E52717"/>
    <w:rsid w:val="00E54C0B"/>
    <w:rsid w:val="00E55AA9"/>
    <w:rsid w:val="00E565FF"/>
    <w:rsid w:val="00E6090D"/>
    <w:rsid w:val="00E62F83"/>
    <w:rsid w:val="00E6359E"/>
    <w:rsid w:val="00E65388"/>
    <w:rsid w:val="00E6661B"/>
    <w:rsid w:val="00E7169D"/>
    <w:rsid w:val="00E71C28"/>
    <w:rsid w:val="00E7205C"/>
    <w:rsid w:val="00E72DE1"/>
    <w:rsid w:val="00E75472"/>
    <w:rsid w:val="00E77342"/>
    <w:rsid w:val="00E81357"/>
    <w:rsid w:val="00E8325F"/>
    <w:rsid w:val="00E8396C"/>
    <w:rsid w:val="00E85B7D"/>
    <w:rsid w:val="00E9121B"/>
    <w:rsid w:val="00E92894"/>
    <w:rsid w:val="00E95656"/>
    <w:rsid w:val="00E959DE"/>
    <w:rsid w:val="00E972FA"/>
    <w:rsid w:val="00E97881"/>
    <w:rsid w:val="00EA0406"/>
    <w:rsid w:val="00EA0AE2"/>
    <w:rsid w:val="00EA1C9D"/>
    <w:rsid w:val="00EA2ACC"/>
    <w:rsid w:val="00EA39E5"/>
    <w:rsid w:val="00EA3F80"/>
    <w:rsid w:val="00EA4E60"/>
    <w:rsid w:val="00EA5E98"/>
    <w:rsid w:val="00EA675C"/>
    <w:rsid w:val="00EA685D"/>
    <w:rsid w:val="00EB2848"/>
    <w:rsid w:val="00EB3900"/>
    <w:rsid w:val="00EB3E88"/>
    <w:rsid w:val="00EC1896"/>
    <w:rsid w:val="00EC5A46"/>
    <w:rsid w:val="00EC63E2"/>
    <w:rsid w:val="00ED026F"/>
    <w:rsid w:val="00ED0B85"/>
    <w:rsid w:val="00ED1AA6"/>
    <w:rsid w:val="00ED1DF5"/>
    <w:rsid w:val="00ED2769"/>
    <w:rsid w:val="00ED38C0"/>
    <w:rsid w:val="00ED40FB"/>
    <w:rsid w:val="00ED604F"/>
    <w:rsid w:val="00EE2393"/>
    <w:rsid w:val="00EE3A7E"/>
    <w:rsid w:val="00EE75D2"/>
    <w:rsid w:val="00EE75D9"/>
    <w:rsid w:val="00EF22B3"/>
    <w:rsid w:val="00EF354F"/>
    <w:rsid w:val="00EF35A2"/>
    <w:rsid w:val="00F0084E"/>
    <w:rsid w:val="00F02751"/>
    <w:rsid w:val="00F03B69"/>
    <w:rsid w:val="00F07A50"/>
    <w:rsid w:val="00F113DA"/>
    <w:rsid w:val="00F13C7D"/>
    <w:rsid w:val="00F208B5"/>
    <w:rsid w:val="00F21AFC"/>
    <w:rsid w:val="00F23065"/>
    <w:rsid w:val="00F24586"/>
    <w:rsid w:val="00F277EB"/>
    <w:rsid w:val="00F30D46"/>
    <w:rsid w:val="00F31422"/>
    <w:rsid w:val="00F3485F"/>
    <w:rsid w:val="00F34BA2"/>
    <w:rsid w:val="00F368E0"/>
    <w:rsid w:val="00F3709A"/>
    <w:rsid w:val="00F373D4"/>
    <w:rsid w:val="00F37DC8"/>
    <w:rsid w:val="00F439B3"/>
    <w:rsid w:val="00F43AE6"/>
    <w:rsid w:val="00F45037"/>
    <w:rsid w:val="00F460BE"/>
    <w:rsid w:val="00F462CE"/>
    <w:rsid w:val="00F470DF"/>
    <w:rsid w:val="00F471F6"/>
    <w:rsid w:val="00F51020"/>
    <w:rsid w:val="00F52737"/>
    <w:rsid w:val="00F53503"/>
    <w:rsid w:val="00F56735"/>
    <w:rsid w:val="00F56B98"/>
    <w:rsid w:val="00F61341"/>
    <w:rsid w:val="00F615F9"/>
    <w:rsid w:val="00F650C3"/>
    <w:rsid w:val="00F6514A"/>
    <w:rsid w:val="00F65D85"/>
    <w:rsid w:val="00F65F26"/>
    <w:rsid w:val="00F66C46"/>
    <w:rsid w:val="00F67923"/>
    <w:rsid w:val="00F67D05"/>
    <w:rsid w:val="00F76728"/>
    <w:rsid w:val="00F8091E"/>
    <w:rsid w:val="00F821AE"/>
    <w:rsid w:val="00F83388"/>
    <w:rsid w:val="00F83D12"/>
    <w:rsid w:val="00F84BD7"/>
    <w:rsid w:val="00F853AD"/>
    <w:rsid w:val="00F8615C"/>
    <w:rsid w:val="00F874E0"/>
    <w:rsid w:val="00F87847"/>
    <w:rsid w:val="00F93BE5"/>
    <w:rsid w:val="00F969E5"/>
    <w:rsid w:val="00F96F2C"/>
    <w:rsid w:val="00FA0C56"/>
    <w:rsid w:val="00FA1993"/>
    <w:rsid w:val="00FA1F59"/>
    <w:rsid w:val="00FA205D"/>
    <w:rsid w:val="00FA4FC2"/>
    <w:rsid w:val="00FA500A"/>
    <w:rsid w:val="00FA6BB0"/>
    <w:rsid w:val="00FB1585"/>
    <w:rsid w:val="00FB23D0"/>
    <w:rsid w:val="00FB6D04"/>
    <w:rsid w:val="00FB7445"/>
    <w:rsid w:val="00FB7826"/>
    <w:rsid w:val="00FB7982"/>
    <w:rsid w:val="00FC0D95"/>
    <w:rsid w:val="00FC1138"/>
    <w:rsid w:val="00FC1BBC"/>
    <w:rsid w:val="00FC1C3D"/>
    <w:rsid w:val="00FC29F3"/>
    <w:rsid w:val="00FC4C98"/>
    <w:rsid w:val="00FC55FC"/>
    <w:rsid w:val="00FC63B6"/>
    <w:rsid w:val="00FC70C1"/>
    <w:rsid w:val="00FD0889"/>
    <w:rsid w:val="00FD456E"/>
    <w:rsid w:val="00FD5860"/>
    <w:rsid w:val="00FD6E8D"/>
    <w:rsid w:val="00FD7A9F"/>
    <w:rsid w:val="00FE186C"/>
    <w:rsid w:val="00FE352D"/>
    <w:rsid w:val="00FE363F"/>
    <w:rsid w:val="00FE40EB"/>
    <w:rsid w:val="00FE4D02"/>
    <w:rsid w:val="00FE64CF"/>
    <w:rsid w:val="00FE7D62"/>
    <w:rsid w:val="00FF0933"/>
    <w:rsid w:val="00FF0ACF"/>
    <w:rsid w:val="00FF1E39"/>
    <w:rsid w:val="00FF2D73"/>
    <w:rsid w:val="00FF349A"/>
    <w:rsid w:val="00FF3694"/>
    <w:rsid w:val="00FF3819"/>
    <w:rsid w:val="00FF3FFF"/>
    <w:rsid w:val="00FF5EE2"/>
    <w:rsid w:val="00FF7CF7"/>
    <w:rsid w:val="00FF7E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735105"/>
  <w15:chartTrackingRefBased/>
  <w15:docId w15:val="{B663F591-FB12-41F3-9D97-C7ABA8FB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C28"/>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lang w:val="fr-FR" w:eastAsia="en-US"/>
    </w:rPr>
  </w:style>
  <w:style w:type="paragraph" w:styleId="Heading1">
    <w:name w:val="heading 1"/>
    <w:basedOn w:val="Normal"/>
    <w:next w:val="Normalnumber"/>
    <w:link w:val="Heading1Char"/>
    <w:rsid w:val="00561F22"/>
    <w:pPr>
      <w:keepNext/>
      <w:spacing w:before="240" w:after="120"/>
      <w:ind w:left="1247" w:hanging="680"/>
      <w:outlineLvl w:val="0"/>
    </w:pPr>
    <w:rPr>
      <w:b/>
      <w:sz w:val="28"/>
    </w:rPr>
  </w:style>
  <w:style w:type="paragraph" w:styleId="Heading2">
    <w:name w:val="heading 2"/>
    <w:basedOn w:val="Normal"/>
    <w:next w:val="Normalnumber"/>
    <w:link w:val="Heading2Char"/>
    <w:rsid w:val="00561F22"/>
    <w:pPr>
      <w:keepNext/>
      <w:spacing w:before="240" w:after="120"/>
      <w:ind w:left="1247" w:hanging="680"/>
      <w:outlineLvl w:val="1"/>
    </w:pPr>
    <w:rPr>
      <w:b/>
      <w:sz w:val="24"/>
      <w:szCs w:val="24"/>
    </w:rPr>
  </w:style>
  <w:style w:type="paragraph" w:styleId="Heading3">
    <w:name w:val="heading 3"/>
    <w:basedOn w:val="Normal"/>
    <w:next w:val="Normalnumber"/>
    <w:link w:val="Heading3Char"/>
    <w:rsid w:val="00561F22"/>
    <w:pPr>
      <w:spacing w:after="120"/>
      <w:ind w:left="1247" w:hanging="680"/>
      <w:outlineLvl w:val="2"/>
    </w:pPr>
    <w:rPr>
      <w:b/>
    </w:rPr>
  </w:style>
  <w:style w:type="paragraph" w:styleId="Heading4">
    <w:name w:val="heading 4"/>
    <w:basedOn w:val="Heading3"/>
    <w:next w:val="Normalnumber"/>
    <w:link w:val="Heading4Char"/>
    <w:rsid w:val="00561F22"/>
    <w:pPr>
      <w:keepNext/>
      <w:outlineLvl w:val="3"/>
    </w:pPr>
  </w:style>
  <w:style w:type="paragraph" w:styleId="Heading5">
    <w:name w:val="heading 5"/>
    <w:basedOn w:val="Normal"/>
    <w:next w:val="Normal"/>
    <w:link w:val="Heading5Char"/>
    <w:rsid w:val="00561F22"/>
    <w:pPr>
      <w:keepNext/>
      <w:outlineLvl w:val="4"/>
    </w:pPr>
    <w:rPr>
      <w:rFonts w:ascii="Univers" w:hAnsi="Univers"/>
      <w:b/>
      <w:sz w:val="24"/>
    </w:rPr>
  </w:style>
  <w:style w:type="paragraph" w:styleId="Heading6">
    <w:name w:val="heading 6"/>
    <w:basedOn w:val="Normal"/>
    <w:next w:val="Normal"/>
    <w:link w:val="Heading6Char"/>
    <w:rsid w:val="00561F22"/>
    <w:pPr>
      <w:keepNext/>
      <w:ind w:left="578"/>
      <w:outlineLvl w:val="5"/>
    </w:pPr>
    <w:rPr>
      <w:b/>
      <w:bCs/>
      <w:sz w:val="24"/>
    </w:rPr>
  </w:style>
  <w:style w:type="paragraph" w:styleId="Heading7">
    <w:name w:val="heading 7"/>
    <w:basedOn w:val="Normal"/>
    <w:next w:val="Normal"/>
    <w:link w:val="Heading7Char"/>
    <w:rsid w:val="00561F22"/>
    <w:pPr>
      <w:keepNext/>
      <w:widowControl w:val="0"/>
      <w:jc w:val="center"/>
      <w:outlineLvl w:val="6"/>
    </w:pPr>
    <w:rPr>
      <w:snapToGrid w:val="0"/>
      <w:u w:val="single"/>
    </w:rPr>
  </w:style>
  <w:style w:type="paragraph" w:styleId="Heading8">
    <w:name w:val="heading 8"/>
    <w:basedOn w:val="Normal"/>
    <w:next w:val="Normal"/>
    <w:link w:val="Heading8Char"/>
    <w:rsid w:val="00561F22"/>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link w:val="Heading9Char"/>
    <w:rsid w:val="00561F22"/>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561F22"/>
    <w:rPr>
      <w:rFonts w:ascii="Times New Roman" w:hAnsi="Times New Roman"/>
      <w:b/>
      <w:sz w:val="18"/>
    </w:rPr>
  </w:style>
  <w:style w:type="table" w:customStyle="1" w:styleId="Tabledocright">
    <w:name w:val="Table_doc_right"/>
    <w:basedOn w:val="TableNormal"/>
    <w:rsid w:val="00561F22"/>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561F22"/>
    <w:pPr>
      <w:ind w:left="1000"/>
    </w:pPr>
    <w:rPr>
      <w:sz w:val="18"/>
      <w:szCs w:val="18"/>
    </w:rPr>
  </w:style>
  <w:style w:type="paragraph" w:styleId="TOC7">
    <w:name w:val="toc 7"/>
    <w:basedOn w:val="Normal"/>
    <w:next w:val="Normal"/>
    <w:autoRedefine/>
    <w:semiHidden/>
    <w:rsid w:val="00561F22"/>
    <w:pPr>
      <w:ind w:left="1200"/>
    </w:pPr>
    <w:rPr>
      <w:sz w:val="18"/>
      <w:szCs w:val="18"/>
    </w:rPr>
  </w:style>
  <w:style w:type="paragraph" w:styleId="TOC8">
    <w:name w:val="toc 8"/>
    <w:basedOn w:val="Normal"/>
    <w:next w:val="Normal"/>
    <w:autoRedefine/>
    <w:semiHidden/>
    <w:rsid w:val="00561F22"/>
    <w:pPr>
      <w:ind w:left="1400"/>
    </w:pPr>
    <w:rPr>
      <w:sz w:val="18"/>
      <w:szCs w:val="18"/>
    </w:rPr>
  </w:style>
  <w:style w:type="paragraph" w:styleId="TOC9">
    <w:name w:val="toc 9"/>
    <w:basedOn w:val="Normal"/>
    <w:next w:val="Normal"/>
    <w:autoRedefine/>
    <w:semiHidden/>
    <w:rsid w:val="00561F22"/>
    <w:pPr>
      <w:ind w:left="1600"/>
    </w:pPr>
    <w:rPr>
      <w:sz w:val="18"/>
      <w:szCs w:val="18"/>
    </w:rPr>
  </w:style>
  <w:style w:type="paragraph" w:customStyle="1" w:styleId="Titlefigure">
    <w:name w:val="Title_figure"/>
    <w:basedOn w:val="Titletable"/>
    <w:next w:val="NormalNonumber"/>
    <w:rsid w:val="00561F22"/>
    <w:rPr>
      <w:bCs w:val="0"/>
    </w:rPr>
  </w:style>
  <w:style w:type="paragraph" w:styleId="TableofFigures">
    <w:name w:val="table of figures"/>
    <w:basedOn w:val="Normal"/>
    <w:next w:val="Normal"/>
    <w:autoRedefine/>
    <w:semiHidden/>
    <w:rsid w:val="00561F22"/>
    <w:pPr>
      <w:ind w:left="1814" w:hanging="567"/>
    </w:pPr>
  </w:style>
  <w:style w:type="paragraph" w:customStyle="1" w:styleId="CH1">
    <w:name w:val="CH1"/>
    <w:basedOn w:val="Normal-pool"/>
    <w:next w:val="CH2"/>
    <w:qFormat/>
    <w:rsid w:val="00561F22"/>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561F22"/>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561F22"/>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561F22"/>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61F22"/>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561F22"/>
    <w:pPr>
      <w:keepNext/>
      <w:keepLines/>
      <w:tabs>
        <w:tab w:val="right" w:pos="851"/>
        <w:tab w:val="left" w:pos="4082"/>
      </w:tabs>
      <w:suppressAutoHyphens/>
      <w:spacing w:after="120"/>
      <w:ind w:left="1247" w:right="284" w:hanging="1247"/>
    </w:pPr>
    <w:rPr>
      <w:b/>
      <w:lang w:val="fr-CA"/>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561F22"/>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
    <w:next w:val="Normal"/>
    <w:rsid w:val="00E71C28"/>
    <w:pPr>
      <w:tabs>
        <w:tab w:val="left" w:pos="4082"/>
        <w:tab w:val="left" w:pos="4321"/>
        <w:tab w:val="right" w:pos="8641"/>
      </w:tabs>
      <w:spacing w:before="60" w:after="120"/>
    </w:pPr>
    <w:rPr>
      <w:b/>
      <w:sz w:val="18"/>
      <w:lang w:val="en-US"/>
    </w:rPr>
  </w:style>
  <w:style w:type="paragraph" w:customStyle="1" w:styleId="Header-pool">
    <w:name w:val="Header-pool"/>
    <w:basedOn w:val="Normal"/>
    <w:next w:val="Normal"/>
    <w:rsid w:val="00E71C28"/>
    <w:pPr>
      <w:pBdr>
        <w:bottom w:val="single" w:sz="4" w:space="1" w:color="auto"/>
      </w:pBdr>
      <w:tabs>
        <w:tab w:val="left" w:pos="4082"/>
        <w:tab w:val="center" w:pos="4536"/>
        <w:tab w:val="right" w:pos="9072"/>
      </w:tabs>
      <w:spacing w:after="120"/>
    </w:pPr>
    <w:rPr>
      <w:b/>
      <w:sz w:val="18"/>
      <w:lang w:val="en-US"/>
    </w:rPr>
  </w:style>
  <w:style w:type="paragraph" w:customStyle="1" w:styleId="Normal-pool">
    <w:name w:val="Normal-pool"/>
    <w:link w:val="Normal-poolChar"/>
    <w:qFormat/>
    <w:rsid w:val="00E71C28"/>
    <w:pPr>
      <w:tabs>
        <w:tab w:val="left" w:pos="624"/>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val="en-US" w:eastAsia="en-US"/>
    </w:rPr>
  </w:style>
  <w:style w:type="character" w:styleId="FootnoteReference">
    <w:name w:val="footnote reference"/>
    <w:aliases w:val="16 Point,Superscript 6 Point,number,SUPERS,Footnote Reference Superscript"/>
    <w:uiPriority w:val="99"/>
    <w:rsid w:val="00561F22"/>
    <w:rPr>
      <w:rFonts w:ascii="Times New Roman" w:hAnsi="Times New Roman"/>
      <w:color w:val="auto"/>
      <w:sz w:val="18"/>
      <w:szCs w:val="18"/>
      <w:vertAlign w:val="superscript"/>
    </w:rPr>
  </w:style>
  <w:style w:type="paragraph" w:styleId="FootnoteText">
    <w:name w:val="footnote text"/>
    <w:basedOn w:val="Normal"/>
    <w:link w:val="FootnoteTextChar"/>
    <w:rsid w:val="00561F22"/>
    <w:pPr>
      <w:tabs>
        <w:tab w:val="left" w:pos="4082"/>
      </w:tabs>
      <w:spacing w:before="20" w:after="40"/>
      <w:ind w:left="1247"/>
    </w:pPr>
    <w:rPr>
      <w:sz w:val="18"/>
      <w:lang w:val="fr-CA"/>
    </w:rPr>
  </w:style>
  <w:style w:type="character" w:customStyle="1" w:styleId="Normal-poolChar">
    <w:name w:val="Normal-pool Char"/>
    <w:link w:val="Normal-pool"/>
    <w:rsid w:val="00E71C28"/>
    <w:rPr>
      <w:rFonts w:ascii="Times New Roman" w:eastAsia="Times New Roman" w:hAnsi="Times New Roman" w:cs="Times New Roman"/>
      <w:lang w:val="en-US" w:eastAsia="en-US"/>
    </w:rPr>
  </w:style>
  <w:style w:type="table" w:customStyle="1" w:styleId="AATable">
    <w:name w:val="AA_Table"/>
    <w:basedOn w:val="TableNormal"/>
    <w:semiHidden/>
    <w:rsid w:val="00561F22"/>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561F22"/>
    <w:pPr>
      <w:keepNext/>
      <w:keepLines/>
      <w:suppressAutoHyphens/>
      <w:ind w:right="5103"/>
    </w:pPr>
    <w:rPr>
      <w:b/>
    </w:rPr>
  </w:style>
  <w:style w:type="paragraph" w:customStyle="1" w:styleId="AATitle2">
    <w:name w:val="AA_Title2"/>
    <w:basedOn w:val="AATitle"/>
    <w:qFormat/>
    <w:rsid w:val="00561F22"/>
    <w:pPr>
      <w:tabs>
        <w:tab w:val="clear" w:pos="4082"/>
      </w:tabs>
      <w:spacing w:before="120" w:after="120"/>
      <w:ind w:right="4536"/>
    </w:pPr>
  </w:style>
  <w:style w:type="paragraph" w:customStyle="1" w:styleId="BBTitle">
    <w:name w:val="BB_Title"/>
    <w:basedOn w:val="Normal-pool"/>
    <w:qFormat/>
    <w:rsid w:val="00561F22"/>
    <w:pPr>
      <w:keepNext/>
      <w:keepLines/>
      <w:suppressAutoHyphens/>
      <w:spacing w:before="320" w:after="240"/>
      <w:ind w:left="1247" w:right="567"/>
    </w:pPr>
    <w:rPr>
      <w:b/>
      <w:sz w:val="28"/>
      <w:szCs w:val="28"/>
    </w:rPr>
  </w:style>
  <w:style w:type="paragraph" w:styleId="Footer">
    <w:name w:val="footer"/>
    <w:basedOn w:val="Normal"/>
    <w:link w:val="FooterChar"/>
    <w:uiPriority w:val="99"/>
    <w:rsid w:val="00561F22"/>
    <w:pPr>
      <w:tabs>
        <w:tab w:val="center" w:pos="4320"/>
        <w:tab w:val="right" w:pos="8640"/>
      </w:tabs>
      <w:spacing w:before="60" w:after="120"/>
    </w:pPr>
    <w:rPr>
      <w:sz w:val="18"/>
    </w:rPr>
  </w:style>
  <w:style w:type="paragraph" w:styleId="Header">
    <w:name w:val="header"/>
    <w:basedOn w:val="Normal"/>
    <w:link w:val="HeaderChar"/>
    <w:semiHidden/>
    <w:rsid w:val="00561F22"/>
    <w:pPr>
      <w:pBdr>
        <w:bottom w:val="single" w:sz="4" w:space="1" w:color="auto"/>
      </w:pBdr>
      <w:tabs>
        <w:tab w:val="center" w:pos="4536"/>
        <w:tab w:val="right" w:pos="9072"/>
      </w:tabs>
      <w:spacing w:after="120"/>
    </w:pPr>
    <w:rPr>
      <w:b/>
      <w:sz w:val="18"/>
    </w:rPr>
  </w:style>
  <w:style w:type="character" w:styleId="Hyperlink">
    <w:name w:val="Hyperlink"/>
    <w:unhideWhenUsed/>
    <w:rsid w:val="00561F22"/>
    <w:rPr>
      <w:rFonts w:ascii="Times New Roman" w:hAnsi="Times New Roman"/>
      <w:color w:val="0000FF"/>
      <w:sz w:val="20"/>
      <w:szCs w:val="20"/>
      <w:u w:val="single"/>
      <w:lang w:val="en-US"/>
    </w:rPr>
  </w:style>
  <w:style w:type="numbering" w:customStyle="1" w:styleId="Normallist">
    <w:name w:val="Normal_list"/>
    <w:basedOn w:val="NoList"/>
    <w:rsid w:val="00561F22"/>
    <w:pPr>
      <w:numPr>
        <w:numId w:val="1"/>
      </w:numPr>
    </w:pPr>
  </w:style>
  <w:style w:type="paragraph" w:customStyle="1" w:styleId="NormalNonumber">
    <w:name w:val="Normal_No_number"/>
    <w:basedOn w:val="Normal-pool"/>
    <w:qFormat/>
    <w:rsid w:val="00561F22"/>
    <w:pPr>
      <w:spacing w:after="120"/>
      <w:ind w:left="1247"/>
    </w:pPr>
  </w:style>
  <w:style w:type="paragraph" w:customStyle="1" w:styleId="Normalnumber">
    <w:name w:val="Normal_number"/>
    <w:basedOn w:val="Normalpool"/>
    <w:link w:val="NormalnumberChar"/>
    <w:qFormat/>
    <w:rsid w:val="00561F22"/>
    <w:pPr>
      <w:numPr>
        <w:numId w:val="3"/>
      </w:numPr>
      <w:spacing w:after="120"/>
    </w:pPr>
    <w:rPr>
      <w:rFonts w:eastAsia="Times New Roman"/>
    </w:rPr>
  </w:style>
  <w:style w:type="paragraph" w:customStyle="1" w:styleId="Titletable">
    <w:name w:val="Title_table"/>
    <w:basedOn w:val="Normal-pool"/>
    <w:next w:val="NormalNonumber"/>
    <w:rsid w:val="00561F22"/>
    <w:pPr>
      <w:keepNext/>
      <w:keepLines/>
      <w:suppressAutoHyphens/>
      <w:spacing w:after="60"/>
      <w:ind w:left="1247"/>
    </w:pPr>
    <w:rPr>
      <w:b/>
      <w:bCs/>
    </w:rPr>
  </w:style>
  <w:style w:type="paragraph" w:styleId="TOC1">
    <w:name w:val="toc 1"/>
    <w:basedOn w:val="Normal-pool"/>
    <w:next w:val="Normal-pool"/>
    <w:unhideWhenUsed/>
    <w:rsid w:val="00561F22"/>
    <w:pPr>
      <w:tabs>
        <w:tab w:val="right" w:leader="dot" w:pos="9486"/>
      </w:tabs>
      <w:spacing w:before="240"/>
      <w:ind w:left="1814" w:hanging="567"/>
    </w:pPr>
    <w:rPr>
      <w:bCs/>
    </w:rPr>
  </w:style>
  <w:style w:type="paragraph" w:styleId="TOC2">
    <w:name w:val="toc 2"/>
    <w:basedOn w:val="Normal-pool"/>
    <w:next w:val="Normal-pool"/>
    <w:unhideWhenUsed/>
    <w:rsid w:val="00561F22"/>
    <w:pPr>
      <w:tabs>
        <w:tab w:val="right" w:leader="dot" w:pos="9486"/>
      </w:tabs>
      <w:ind w:left="2381" w:hanging="567"/>
    </w:pPr>
  </w:style>
  <w:style w:type="paragraph" w:styleId="TOC3">
    <w:name w:val="toc 3"/>
    <w:basedOn w:val="Normal-pool"/>
    <w:next w:val="Normal-pool"/>
    <w:unhideWhenUsed/>
    <w:rsid w:val="00561F22"/>
    <w:pPr>
      <w:tabs>
        <w:tab w:val="right" w:leader="dot" w:pos="9486"/>
      </w:tabs>
      <w:ind w:left="2948" w:hanging="567"/>
    </w:pPr>
    <w:rPr>
      <w:iCs/>
    </w:rPr>
  </w:style>
  <w:style w:type="paragraph" w:styleId="TOC4">
    <w:name w:val="toc 4"/>
    <w:basedOn w:val="Normal-pool"/>
    <w:next w:val="Normal-pool"/>
    <w:unhideWhenUsed/>
    <w:rsid w:val="00561F22"/>
    <w:pPr>
      <w:tabs>
        <w:tab w:val="left" w:pos="1000"/>
        <w:tab w:val="right" w:leader="dot" w:pos="9486"/>
      </w:tabs>
      <w:ind w:left="3515" w:hanging="567"/>
    </w:pPr>
    <w:rPr>
      <w:szCs w:val="18"/>
    </w:rPr>
  </w:style>
  <w:style w:type="paragraph" w:styleId="TOC5">
    <w:name w:val="toc 5"/>
    <w:basedOn w:val="Normal-pool"/>
    <w:next w:val="Normal-pool"/>
    <w:rsid w:val="00561F22"/>
    <w:pPr>
      <w:ind w:left="800"/>
    </w:pPr>
    <w:rPr>
      <w:sz w:val="18"/>
      <w:szCs w:val="18"/>
    </w:rPr>
  </w:style>
  <w:style w:type="paragraph" w:customStyle="1" w:styleId="ZZAnxheader">
    <w:name w:val="ZZ_Anx_header"/>
    <w:basedOn w:val="Normal-pool"/>
    <w:rsid w:val="00561F22"/>
    <w:rPr>
      <w:b/>
      <w:bCs/>
      <w:sz w:val="28"/>
      <w:szCs w:val="22"/>
    </w:rPr>
  </w:style>
  <w:style w:type="paragraph" w:customStyle="1" w:styleId="ZZAnxtitle">
    <w:name w:val="ZZ_Anx_title"/>
    <w:basedOn w:val="Normal-pool"/>
    <w:rsid w:val="00561F22"/>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A36574"/>
    <w:rPr>
      <w:rFonts w:ascii="Times New Roman" w:eastAsia="Times New Roman" w:hAnsi="Times New Roman" w:cs="Times New Roman"/>
      <w:lang w:val="fr-CA"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val="fr-FR"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A36574"/>
    <w:rPr>
      <w:rFonts w:ascii="Times New Roman" w:eastAsia="SimSun" w:hAnsi="Times New Roman" w:cs="Times New Roman"/>
      <w:sz w:val="18"/>
      <w:lang w:val="fr-FR"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val="fr-FR"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val="fr-FR"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val="fr-FR"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val="fr-FR" w:eastAsia="zh-CN"/>
    </w:rPr>
  </w:style>
  <w:style w:type="character" w:customStyle="1" w:styleId="Heading5Char">
    <w:name w:val="Heading 5 Char"/>
    <w:basedOn w:val="DefaultParagraphFont"/>
    <w:link w:val="Heading5"/>
    <w:rsid w:val="00A36574"/>
    <w:rPr>
      <w:rFonts w:ascii="Univers" w:eastAsia="SimSun" w:hAnsi="Univers" w:cs="Times New Roman"/>
      <w:b/>
      <w:sz w:val="24"/>
      <w:lang w:val="fr-FR"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val="fr-FR"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val="fr-FR"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val="fr-FR"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val="fr-FR"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val="fr-FR" w:eastAsia="zh-CN"/>
    </w:rPr>
  </w:style>
  <w:style w:type="paragraph" w:customStyle="1" w:styleId="Footnote-pool">
    <w:name w:val="Footnote-pool"/>
    <w:basedOn w:val="Normal-pool"/>
    <w:rsid w:val="00F470DF"/>
    <w:pPr>
      <w:spacing w:before="20" w:after="40"/>
      <w:ind w:left="1247"/>
    </w:pPr>
    <w:rPr>
      <w:sz w:val="18"/>
    </w:rPr>
  </w:style>
  <w:style w:type="paragraph" w:customStyle="1" w:styleId="AConvName">
    <w:name w:val="A_ConvName"/>
    <w:basedOn w:val="Normal-pool"/>
    <w:next w:val="Normal-pool"/>
    <w:rsid w:val="00561F22"/>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E71C28"/>
    <w:pPr>
      <w:tabs>
        <w:tab w:val="clear" w:pos="1247"/>
        <w:tab w:val="clear" w:pos="1814"/>
        <w:tab w:val="clear" w:pos="2381"/>
        <w:tab w:val="clear" w:pos="2948"/>
        <w:tab w:val="clear" w:pos="3515"/>
        <w:tab w:val="clear" w:pos="4082"/>
        <w:tab w:val="right" w:pos="2920"/>
      </w:tabs>
    </w:pPr>
    <w:rPr>
      <w:rFonts w:eastAsia="SimSun"/>
      <w:lang w:val="en-GB"/>
    </w:rPr>
  </w:style>
  <w:style w:type="paragraph" w:customStyle="1" w:styleId="AText">
    <w:name w:val="A_Text"/>
    <w:basedOn w:val="Normal-pool"/>
    <w:rsid w:val="00561F22"/>
    <w:pPr>
      <w:spacing w:before="120" w:after="120"/>
    </w:pPr>
  </w:style>
  <w:style w:type="paragraph" w:customStyle="1" w:styleId="ATwoLetters">
    <w:name w:val="A_TwoLetters"/>
    <w:basedOn w:val="Normal-pool"/>
    <w:next w:val="Normal-pool"/>
    <w:rsid w:val="00561F22"/>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561F22"/>
    <w:pPr>
      <w:tabs>
        <w:tab w:val="clear" w:pos="1247"/>
        <w:tab w:val="clear" w:pos="1814"/>
        <w:tab w:val="clear" w:pos="2381"/>
        <w:tab w:val="clear" w:pos="2948"/>
        <w:tab w:val="clear" w:pos="3515"/>
        <w:tab w:val="clear" w:pos="4082"/>
      </w:tabs>
      <w:spacing w:before="20" w:after="20"/>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561F22"/>
    <w:pPr>
      <w:spacing w:before="20" w:after="40"/>
      <w:ind w:left="1247"/>
    </w:pPr>
    <w:rPr>
      <w:sz w:val="18"/>
    </w:rPr>
  </w:style>
  <w:style w:type="paragraph" w:customStyle="1" w:styleId="Normal-pool-Table">
    <w:name w:val="Normal-pool-Table"/>
    <w:basedOn w:val="Normal-pool"/>
    <w:rsid w:val="00561F22"/>
    <w:pPr>
      <w:spacing w:before="40" w:after="40"/>
    </w:pPr>
    <w:rPr>
      <w:sz w:val="18"/>
      <w:lang w:val="en-GB"/>
    </w:rPr>
  </w:style>
  <w:style w:type="character" w:styleId="PlaceholderText">
    <w:name w:val="Placeholder Text"/>
    <w:basedOn w:val="DefaultParagraphFont"/>
    <w:uiPriority w:val="99"/>
    <w:semiHidden/>
    <w:rsid w:val="00A36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88587611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0810490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92747088">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AVELOA\OneDrive%20-%20United%20Nations\UNON%20DCS%20TES%20Templates\FR\UNEP-IPBES\2022\2022-UNEP-IPBES-9_F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2022-06-10T14:59:33+00:00</Uploaded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2.xml><?xml version="1.0" encoding="utf-8"?>
<ds:datastoreItem xmlns:ds="http://schemas.openxmlformats.org/officeDocument/2006/customXml" ds:itemID="{4AB09742-B1B1-4BEF-9BCA-A4884411948F}"/>
</file>

<file path=customXml/itemProps3.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3D93A8-BEA5-43E2-8B06-91A2CA34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2022-UNEP-IPBES-9_FR</Template>
  <TotalTime>0</TotalTime>
  <Pages>10</Pages>
  <Words>5484</Words>
  <Characters>31261</Characters>
  <Application>Microsoft Office Word</Application>
  <DocSecurity>0</DocSecurity>
  <Lines>260</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36672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Herimalala Raveloarinjato</dc:creator>
  <cp:keywords/>
  <dc:description/>
  <cp:lastModifiedBy>Olga Rasmus</cp:lastModifiedBy>
  <cp:revision>2</cp:revision>
  <cp:lastPrinted>2019-03-14T20:01:00Z</cp:lastPrinted>
  <dcterms:created xsi:type="dcterms:W3CDTF">2022-06-10T14:59:00Z</dcterms:created>
  <dcterms:modified xsi:type="dcterms:W3CDTF">2022-06-10T14:59:00Z</dcterms:modified>
  <cp:contentStatus/>
  <dc:language>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UNONDCSTES-Language">
    <vt:lpwstr>EN</vt:lpwstr>
  </property>
  <property fmtid="{D5CDD505-2E9C-101B-9397-08002B2CF9AE}" pid="4" name="UNONDCSTES-NoSymbol">
    <vt:lpwstr>1</vt:lpwstr>
  </property>
  <property fmtid="{D5CDD505-2E9C-101B-9397-08002B2CF9AE}" pid="5" name="UNONDCSTES-Category">
    <vt:lpwstr>UNEP-IPBES</vt:lpwstr>
  </property>
</Properties>
</file>