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93"/>
        <w:gridCol w:w="473"/>
        <w:gridCol w:w="5343"/>
        <w:gridCol w:w="626"/>
        <w:gridCol w:w="1561"/>
      </w:tblGrid>
      <w:tr w:rsidR="00A54604" w:rsidRPr="00A54604" w14:paraId="32C1CAAD" w14:textId="77777777" w:rsidTr="00A54604">
        <w:trPr>
          <w:cantSplit/>
          <w:trHeight w:val="57"/>
          <w:jc w:val="right"/>
        </w:trPr>
        <w:tc>
          <w:tcPr>
            <w:tcW w:w="1524" w:type="dxa"/>
          </w:tcPr>
          <w:p w14:paraId="2EFF9B13" w14:textId="77777777" w:rsidR="00A54604" w:rsidRPr="00A54604" w:rsidRDefault="00A54604" w:rsidP="00A54604">
            <w:pPr>
              <w:tabs>
                <w:tab w:val="left" w:pos="4082"/>
              </w:tabs>
              <w:rPr>
                <w:rFonts w:eastAsia="DengXian"/>
                <w:lang w:val="en-US"/>
              </w:rPr>
            </w:pPr>
            <w:r w:rsidRPr="00A54604">
              <w:rPr>
                <w:rFonts w:ascii="Arial" w:eastAsia="DengXian" w:hAnsi="Arial" w:cs="Arial"/>
                <w:b/>
                <w:sz w:val="27"/>
                <w:szCs w:val="27"/>
                <w:lang w:val="en-US"/>
              </w:rPr>
              <w:t xml:space="preserve">UNITED </w:t>
            </w:r>
            <w:r w:rsidRPr="00A54604">
              <w:rPr>
                <w:rFonts w:ascii="Arial" w:eastAsia="DengXian" w:hAnsi="Arial" w:cs="Arial"/>
                <w:b/>
                <w:sz w:val="27"/>
                <w:szCs w:val="27"/>
                <w:lang w:val="en-US"/>
              </w:rPr>
              <w:br/>
              <w:t>NATIONS</w:t>
            </w:r>
          </w:p>
        </w:tc>
        <w:tc>
          <w:tcPr>
            <w:tcW w:w="6599" w:type="dxa"/>
            <w:gridSpan w:val="3"/>
          </w:tcPr>
          <w:p w14:paraId="1EECFB26" w14:textId="4FB46875" w:rsidR="00A54604" w:rsidRPr="00A54604" w:rsidRDefault="00A54604" w:rsidP="00A54604">
            <w:pPr>
              <w:tabs>
                <w:tab w:val="left" w:pos="4082"/>
              </w:tabs>
              <w:spacing w:before="20"/>
              <w:ind w:left="-113"/>
              <w:rPr>
                <w:rFonts w:eastAsia="DengXian"/>
                <w:lang w:val="en-US"/>
              </w:rPr>
            </w:pPr>
            <w:r w:rsidRPr="00A54604">
              <w:rPr>
                <w:rFonts w:eastAsia="DengXian"/>
                <w:noProof/>
                <w:lang w:val="en-US"/>
              </w:rPr>
              <w:drawing>
                <wp:inline distT="0" distB="0" distL="0" distR="0" wp14:anchorId="40173251" wp14:editId="75A82C32">
                  <wp:extent cx="3560445" cy="44323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94" w:type="dxa"/>
          </w:tcPr>
          <w:p w14:paraId="046BB314" w14:textId="77777777" w:rsidR="00A54604" w:rsidRPr="00A54604" w:rsidRDefault="00A54604" w:rsidP="00A54604">
            <w:pPr>
              <w:tabs>
                <w:tab w:val="left" w:pos="4082"/>
              </w:tabs>
              <w:spacing w:after="120"/>
              <w:jc w:val="right"/>
              <w:rPr>
                <w:rFonts w:eastAsia="DengXian"/>
                <w:lang w:val="en-US"/>
              </w:rPr>
            </w:pPr>
            <w:r w:rsidRPr="00A54604">
              <w:rPr>
                <w:rFonts w:ascii="Arial" w:eastAsia="DengXian" w:hAnsi="Arial" w:cs="Arial"/>
                <w:b/>
                <w:sz w:val="64"/>
                <w:szCs w:val="64"/>
                <w:lang w:val="en-US"/>
              </w:rPr>
              <w:t>BES</w:t>
            </w:r>
          </w:p>
        </w:tc>
      </w:tr>
      <w:tr w:rsidR="00A54604" w:rsidRPr="00A54604" w14:paraId="42F68635" w14:textId="77777777" w:rsidTr="00A54604">
        <w:trPr>
          <w:cantSplit/>
          <w:trHeight w:val="57"/>
          <w:jc w:val="right"/>
        </w:trPr>
        <w:tc>
          <w:tcPr>
            <w:tcW w:w="1524" w:type="dxa"/>
            <w:tcBorders>
              <w:bottom w:val="single" w:sz="2" w:space="0" w:color="auto"/>
            </w:tcBorders>
          </w:tcPr>
          <w:p w14:paraId="4F892278" w14:textId="77777777" w:rsidR="00A54604" w:rsidRPr="00A54604" w:rsidRDefault="00A54604" w:rsidP="00A54604">
            <w:pPr>
              <w:tabs>
                <w:tab w:val="left" w:pos="4082"/>
              </w:tabs>
              <w:rPr>
                <w:rFonts w:eastAsia="DengXian"/>
                <w:lang w:val="en-US"/>
              </w:rPr>
            </w:pPr>
          </w:p>
        </w:tc>
        <w:tc>
          <w:tcPr>
            <w:tcW w:w="5957" w:type="dxa"/>
            <w:gridSpan w:val="2"/>
            <w:tcBorders>
              <w:bottom w:val="single" w:sz="2" w:space="0" w:color="auto"/>
            </w:tcBorders>
          </w:tcPr>
          <w:p w14:paraId="5AFC2458" w14:textId="77777777" w:rsidR="00A54604" w:rsidRPr="00A54604" w:rsidRDefault="00A54604" w:rsidP="00A54604">
            <w:pPr>
              <w:tabs>
                <w:tab w:val="left" w:pos="4082"/>
              </w:tabs>
              <w:rPr>
                <w:rFonts w:eastAsia="DengXian"/>
                <w:lang w:val="en-US"/>
              </w:rPr>
            </w:pPr>
          </w:p>
        </w:tc>
        <w:tc>
          <w:tcPr>
            <w:tcW w:w="2236" w:type="dxa"/>
            <w:gridSpan w:val="2"/>
            <w:tcBorders>
              <w:bottom w:val="single" w:sz="2" w:space="0" w:color="auto"/>
            </w:tcBorders>
          </w:tcPr>
          <w:p w14:paraId="160B1A24" w14:textId="552EC9EA" w:rsidR="00A54604" w:rsidRPr="00A54604" w:rsidRDefault="00A54604" w:rsidP="00A54604">
            <w:pPr>
              <w:tabs>
                <w:tab w:val="left" w:pos="4082"/>
              </w:tabs>
              <w:rPr>
                <w:rFonts w:eastAsia="DengXian"/>
                <w:sz w:val="24"/>
                <w:szCs w:val="24"/>
                <w:lang w:val="en-US"/>
              </w:rPr>
            </w:pPr>
            <w:r w:rsidRPr="00A54604">
              <w:rPr>
                <w:rFonts w:eastAsia="DengXian"/>
                <w:b/>
                <w:sz w:val="24"/>
                <w:szCs w:val="24"/>
                <w:lang w:val="en-US"/>
              </w:rPr>
              <w:t>IPBES</w:t>
            </w:r>
            <w:r w:rsidRPr="00A54604">
              <w:rPr>
                <w:rFonts w:eastAsia="DengXian"/>
                <w:lang w:val="en-US"/>
              </w:rPr>
              <w:t>/</w:t>
            </w:r>
            <w:r w:rsidR="009D0F8D" w:rsidRPr="009D0F8D">
              <w:rPr>
                <w:rStyle w:val="Normal-poolChar"/>
                <w:lang w:val="en-GB"/>
              </w:rPr>
              <w:t>8/INF/14</w:t>
            </w:r>
          </w:p>
        </w:tc>
      </w:tr>
      <w:tr w:rsidR="00A54604" w:rsidRPr="009F4251" w14:paraId="3CB359E4" w14:textId="77777777" w:rsidTr="00A54604">
        <w:trPr>
          <w:cantSplit/>
          <w:trHeight w:val="57"/>
          <w:jc w:val="right"/>
        </w:trPr>
        <w:tc>
          <w:tcPr>
            <w:tcW w:w="2009" w:type="dxa"/>
            <w:gridSpan w:val="2"/>
            <w:tcBorders>
              <w:top w:val="single" w:sz="2" w:space="0" w:color="auto"/>
              <w:bottom w:val="single" w:sz="24" w:space="0" w:color="auto"/>
            </w:tcBorders>
          </w:tcPr>
          <w:p w14:paraId="068782C3" w14:textId="13878BF0" w:rsidR="00A54604" w:rsidRPr="00E22DE8" w:rsidRDefault="00A54604" w:rsidP="00A54604">
            <w:pPr>
              <w:tabs>
                <w:tab w:val="left" w:pos="4082"/>
              </w:tabs>
              <w:spacing w:before="160" w:after="240"/>
              <w:rPr>
                <w:rFonts w:eastAsia="DengXian"/>
                <w:sz w:val="28"/>
                <w:szCs w:val="28"/>
                <w:lang w:val="en-US"/>
              </w:rPr>
            </w:pPr>
            <w:r w:rsidRPr="00E22DE8">
              <w:rPr>
                <w:rFonts w:eastAsia="DengXian"/>
                <w:noProof/>
                <w:sz w:val="28"/>
                <w:szCs w:val="28"/>
                <w:lang w:val="en-US" w:eastAsia="en-GB"/>
              </w:rPr>
              <w:drawing>
                <wp:inline distT="0" distB="0" distL="0" distR="0" wp14:anchorId="54F218BA" wp14:editId="0C0E16A6">
                  <wp:extent cx="1115060" cy="51943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472" w:type="dxa"/>
            <w:tcBorders>
              <w:top w:val="single" w:sz="2" w:space="0" w:color="auto"/>
              <w:bottom w:val="single" w:sz="24" w:space="0" w:color="auto"/>
            </w:tcBorders>
          </w:tcPr>
          <w:p w14:paraId="17B02EB6" w14:textId="77777777" w:rsidR="00A54604" w:rsidRPr="00E22DE8" w:rsidRDefault="00A54604" w:rsidP="00A54604">
            <w:pPr>
              <w:tabs>
                <w:tab w:val="left" w:pos="4082"/>
              </w:tabs>
              <w:spacing w:before="120" w:after="360"/>
              <w:rPr>
                <w:rFonts w:ascii="Arial" w:eastAsia="DengXian" w:hAnsi="Arial" w:cs="Arial"/>
                <w:b/>
                <w:lang w:val="en-US"/>
              </w:rPr>
            </w:pPr>
            <w:r w:rsidRPr="00E22DE8">
              <w:rPr>
                <w:rFonts w:ascii="Arial" w:eastAsia="DengXian" w:hAnsi="Arial" w:cs="Arial"/>
                <w:b/>
                <w:sz w:val="28"/>
                <w:szCs w:val="28"/>
                <w:lang w:val="en-US"/>
              </w:rPr>
              <w:t>Intergovernmental Science-Policy Platform on Biodiversity and Ecosystem Services</w:t>
            </w:r>
          </w:p>
        </w:tc>
        <w:tc>
          <w:tcPr>
            <w:tcW w:w="2236" w:type="dxa"/>
            <w:gridSpan w:val="2"/>
            <w:tcBorders>
              <w:top w:val="single" w:sz="2" w:space="0" w:color="auto"/>
              <w:bottom w:val="single" w:sz="24" w:space="0" w:color="auto"/>
            </w:tcBorders>
          </w:tcPr>
          <w:p w14:paraId="62EA7AC0" w14:textId="08A13FB6" w:rsidR="009D0F8D" w:rsidRPr="00E22DE8" w:rsidRDefault="009D0F8D" w:rsidP="009D0F8D">
            <w:pPr>
              <w:tabs>
                <w:tab w:val="left" w:pos="4082"/>
              </w:tabs>
              <w:spacing w:before="120"/>
              <w:rPr>
                <w:lang w:val="en-GB"/>
              </w:rPr>
            </w:pPr>
            <w:r w:rsidRPr="00E22DE8">
              <w:rPr>
                <w:lang w:val="en-GB"/>
              </w:rPr>
              <w:t xml:space="preserve">Distr.: General </w:t>
            </w:r>
            <w:r w:rsidRPr="00E22DE8">
              <w:rPr>
                <w:lang w:val="en-GB"/>
              </w:rPr>
              <w:br/>
              <w:t>22 April 2021</w:t>
            </w:r>
          </w:p>
          <w:p w14:paraId="65A9C339" w14:textId="5873F2F0" w:rsidR="00A54604" w:rsidRPr="00E22DE8" w:rsidRDefault="009D0F8D" w:rsidP="009D0F8D">
            <w:pPr>
              <w:pStyle w:val="Normal-pool"/>
              <w:spacing w:before="120"/>
              <w:rPr>
                <w:rFonts w:eastAsia="DengXian"/>
              </w:rPr>
            </w:pPr>
            <w:r w:rsidRPr="00E22DE8">
              <w:t>English only</w:t>
            </w:r>
          </w:p>
        </w:tc>
      </w:tr>
    </w:tbl>
    <w:p w14:paraId="478C6727" w14:textId="77777777" w:rsidR="00A54604" w:rsidRPr="00E22DE8" w:rsidRDefault="00A54604" w:rsidP="00A54604">
      <w:pPr>
        <w:keepNext/>
        <w:keepLines/>
        <w:tabs>
          <w:tab w:val="left" w:pos="4082"/>
        </w:tabs>
        <w:suppressAutoHyphens/>
        <w:ind w:right="5103"/>
        <w:rPr>
          <w:rFonts w:eastAsia="DengXian"/>
          <w:b/>
          <w:lang w:val="en-US"/>
        </w:rPr>
      </w:pPr>
      <w:r w:rsidRPr="00E22DE8">
        <w:rPr>
          <w:rFonts w:eastAsia="DengXian"/>
          <w:b/>
          <w:lang w:val="en-US"/>
        </w:rPr>
        <w:t xml:space="preserve">Plenary of the Intergovernmental Science-Policy </w:t>
      </w:r>
      <w:r w:rsidRPr="00E22DE8">
        <w:rPr>
          <w:rFonts w:eastAsia="DengXian"/>
          <w:b/>
          <w:lang w:val="en-US"/>
        </w:rPr>
        <w:br/>
        <w:t>Platform on Biodiversity and Ecosystem Services</w:t>
      </w:r>
    </w:p>
    <w:p w14:paraId="705E2F83" w14:textId="77777777" w:rsidR="00A54604" w:rsidRPr="00E22DE8" w:rsidRDefault="00A54604" w:rsidP="00A54604">
      <w:pPr>
        <w:keepNext/>
        <w:keepLines/>
        <w:tabs>
          <w:tab w:val="left" w:pos="4082"/>
        </w:tabs>
        <w:suppressAutoHyphens/>
        <w:ind w:right="5103"/>
        <w:rPr>
          <w:rFonts w:eastAsia="DengXian"/>
          <w:b/>
          <w:lang w:val="en-US"/>
        </w:rPr>
      </w:pPr>
      <w:r w:rsidRPr="00E22DE8">
        <w:rPr>
          <w:rFonts w:eastAsia="DengXian"/>
          <w:b/>
          <w:lang w:val="en-US"/>
        </w:rPr>
        <w:t>Eighth session</w:t>
      </w:r>
    </w:p>
    <w:p w14:paraId="6851A774" w14:textId="77777777" w:rsidR="00A54604" w:rsidRPr="00E22DE8" w:rsidRDefault="00A54604" w:rsidP="00A54604">
      <w:pPr>
        <w:keepNext/>
        <w:keepLines/>
        <w:tabs>
          <w:tab w:val="left" w:pos="4082"/>
        </w:tabs>
        <w:suppressAutoHyphens/>
        <w:ind w:right="5103"/>
        <w:rPr>
          <w:rFonts w:eastAsia="DengXian"/>
          <w:lang w:val="en-US"/>
        </w:rPr>
      </w:pPr>
      <w:r w:rsidRPr="00E22DE8">
        <w:rPr>
          <w:rFonts w:eastAsia="DengXian"/>
          <w:lang w:val="en-US" w:eastAsia="ja-JP"/>
        </w:rPr>
        <w:t>Online, 14–24 June 2021</w:t>
      </w:r>
    </w:p>
    <w:p w14:paraId="1F91F884" w14:textId="7AF514E7" w:rsidR="00A54604" w:rsidRPr="00E22DE8" w:rsidRDefault="00A54604" w:rsidP="00A54604">
      <w:pPr>
        <w:keepNext/>
        <w:keepLines/>
        <w:tabs>
          <w:tab w:val="left" w:pos="4082"/>
        </w:tabs>
        <w:suppressAutoHyphens/>
        <w:ind w:right="5103"/>
        <w:rPr>
          <w:rFonts w:eastAsia="DengXian"/>
          <w:szCs w:val="18"/>
          <w:lang w:val="en-US"/>
        </w:rPr>
      </w:pPr>
      <w:r w:rsidRPr="00E22DE8">
        <w:rPr>
          <w:rFonts w:eastAsia="DengXian"/>
          <w:lang w:val="en-US"/>
        </w:rPr>
        <w:t xml:space="preserve">Item </w:t>
      </w:r>
      <w:r w:rsidR="009D0F8D" w:rsidRPr="00E22DE8">
        <w:rPr>
          <w:rFonts w:eastAsia="DengXian"/>
          <w:lang w:val="en-US"/>
        </w:rPr>
        <w:t>5</w:t>
      </w:r>
      <w:r w:rsidRPr="00E22DE8">
        <w:rPr>
          <w:rFonts w:eastAsia="DengXian"/>
          <w:lang w:val="en-US"/>
        </w:rPr>
        <w:t xml:space="preserve"> of the provisional agenda</w:t>
      </w:r>
      <w:r w:rsidRPr="00E22DE8">
        <w:rPr>
          <w:rFonts w:eastAsia="DengXian"/>
          <w:szCs w:val="18"/>
          <w:lang w:val="en-US"/>
        </w:rPr>
        <w:footnoteReference w:customMarkFollows="1" w:id="1"/>
        <w:t>*</w:t>
      </w:r>
    </w:p>
    <w:p w14:paraId="5C3C18C5" w14:textId="4B379351" w:rsidR="009D0F8D" w:rsidRPr="00E22DE8" w:rsidRDefault="009D0F8D" w:rsidP="009D0F8D">
      <w:pPr>
        <w:pStyle w:val="AATitle2"/>
        <w:rPr>
          <w:rFonts w:eastAsia="Yu Mincho"/>
        </w:rPr>
      </w:pPr>
      <w:r w:rsidRPr="00E22DE8">
        <w:rPr>
          <w:rFonts w:eastAsia="Yu Mincho"/>
        </w:rPr>
        <w:t xml:space="preserve">Report of the Executive Secretary on progress in the </w:t>
      </w:r>
      <w:r w:rsidRPr="00E22DE8">
        <w:rPr>
          <w:rFonts w:eastAsia="Yu Mincho"/>
        </w:rPr>
        <w:br/>
        <w:t xml:space="preserve">implementation of the rolling work programme </w:t>
      </w:r>
      <w:r w:rsidR="00747A94" w:rsidRPr="00E22DE8">
        <w:rPr>
          <w:rFonts w:eastAsia="Yu Mincho"/>
        </w:rPr>
        <w:t>up to 2030</w:t>
      </w:r>
    </w:p>
    <w:p w14:paraId="088F1769" w14:textId="3AD258DE" w:rsidR="009D0F8D" w:rsidRPr="00E22DE8" w:rsidRDefault="009D0F8D" w:rsidP="009D0F8D">
      <w:pPr>
        <w:pStyle w:val="BBTitle"/>
      </w:pPr>
      <w:bookmarkStart w:id="0" w:name="_Hlk72492899"/>
      <w:r w:rsidRPr="00E22DE8">
        <w:t>Information on work related to advanced work on scenarios and models of biodiversity and ecosystem services</w:t>
      </w:r>
      <w:r w:rsidR="00005A2E" w:rsidRPr="00E22DE8">
        <w:t xml:space="preserve"> </w:t>
      </w:r>
      <w:bookmarkEnd w:id="0"/>
    </w:p>
    <w:p w14:paraId="7481C273" w14:textId="77777777" w:rsidR="009D0F8D" w:rsidRPr="00E22DE8" w:rsidRDefault="009D0F8D" w:rsidP="009D0F8D">
      <w:pPr>
        <w:pStyle w:val="CH2"/>
      </w:pPr>
      <w:r w:rsidRPr="00E22DE8">
        <w:tab/>
      </w:r>
      <w:r w:rsidRPr="00E22DE8">
        <w:tab/>
        <w:t>Note by the secretariat</w:t>
      </w:r>
    </w:p>
    <w:p w14:paraId="310DB588" w14:textId="77777777" w:rsidR="009D0F8D" w:rsidRPr="00E22DE8" w:rsidRDefault="009D0F8D" w:rsidP="0007104C">
      <w:pPr>
        <w:pStyle w:val="Normalnumber"/>
        <w:tabs>
          <w:tab w:val="clear" w:pos="1134"/>
        </w:tabs>
      </w:pPr>
      <w:r w:rsidRPr="00E22DE8">
        <w:t>In section V of its decision IPBES-4/1, the Plenary of the Intergovernmental Science-Policy Platform on Biodiversity and Ecosystem Services (IPBES) approved the summary for policymakers of the methodological assessment of scenarios and models and accepted the individual chapters of the assessment. In the same decision, the Plenary requested the Multidisciplinary Expert Panel to oversee further work related to scenarios and models, and to appoint an expert group to perform that work.</w:t>
      </w:r>
    </w:p>
    <w:p w14:paraId="75F9F0B4" w14:textId="5FE70B6D" w:rsidR="009D0F8D" w:rsidRPr="00E22DE8" w:rsidRDefault="00CD4302" w:rsidP="0007104C">
      <w:pPr>
        <w:pStyle w:val="Normalnumber"/>
        <w:tabs>
          <w:tab w:val="clear" w:pos="1134"/>
        </w:tabs>
      </w:pPr>
      <w:r w:rsidRPr="00E22DE8">
        <w:t xml:space="preserve">At its seventh session, </w:t>
      </w:r>
      <w:r w:rsidR="009D0F8D" w:rsidRPr="00E22DE8">
        <w:t xml:space="preserve">in </w:t>
      </w:r>
      <w:r w:rsidRPr="00E22DE8">
        <w:t xml:space="preserve">its </w:t>
      </w:r>
      <w:r w:rsidR="009D0F8D" w:rsidRPr="00E22DE8">
        <w:t xml:space="preserve">decision IPBES-7/1, </w:t>
      </w:r>
      <w:r w:rsidR="00263B34" w:rsidRPr="00894338">
        <w:t xml:space="preserve">the Plenary </w:t>
      </w:r>
      <w:r w:rsidR="009D0F8D" w:rsidRPr="00E22DE8">
        <w:t xml:space="preserve">adopted the rolling work programme of the Platform </w:t>
      </w:r>
      <w:r w:rsidR="00263B34" w:rsidRPr="00E22DE8">
        <w:t xml:space="preserve">for the period </w:t>
      </w:r>
      <w:r w:rsidR="009D0F8D" w:rsidRPr="00E22DE8">
        <w:t>up to 2030, which includes among its six objectives advanced work on scenarios and models of biodiversity and ecosystem functions and services</w:t>
      </w:r>
      <w:r w:rsidR="009B3649" w:rsidRPr="00E22DE8">
        <w:t xml:space="preserve"> (objective 4 (b))</w:t>
      </w:r>
      <w:r w:rsidR="009D0F8D" w:rsidRPr="00E22DE8">
        <w:t>. Th</w:t>
      </w:r>
      <w:r w:rsidR="009B3649" w:rsidRPr="00E22DE8">
        <w:t>e</w:t>
      </w:r>
      <w:r w:rsidR="009D0F8D" w:rsidRPr="00E22DE8">
        <w:t xml:space="preserve"> objective consists of </w:t>
      </w:r>
      <w:bookmarkStart w:id="1" w:name="_Hlk72492458"/>
      <w:r w:rsidR="009D0F8D" w:rsidRPr="00E22DE8">
        <w:t>providing advice to expert groups assessing the use of existing models and scenarios, and catalysing the development of new scenarios and associated models for the future work of IPBES and the application in policy development, while also promoting coherence with similar work carried out by the Intergovernmental Panel on Climate Change and other bodies</w:t>
      </w:r>
      <w:bookmarkEnd w:id="1"/>
      <w:r w:rsidR="009D0F8D" w:rsidRPr="00E22DE8">
        <w:t>, as appropriate.</w:t>
      </w:r>
    </w:p>
    <w:p w14:paraId="1094227A" w14:textId="203285F1" w:rsidR="009D0F8D" w:rsidRPr="00E22DE8" w:rsidRDefault="009D0F8D" w:rsidP="0007104C">
      <w:pPr>
        <w:pStyle w:val="Normalnumber"/>
        <w:tabs>
          <w:tab w:val="clear" w:pos="1134"/>
        </w:tabs>
      </w:pPr>
      <w:r w:rsidRPr="00E22DE8">
        <w:t>In the same decision, the Plenary established a task force on scenarios and models for the implementation of objective 4</w:t>
      </w:r>
      <w:r w:rsidR="00263B34" w:rsidRPr="00E22DE8">
        <w:t xml:space="preserve"> </w:t>
      </w:r>
      <w:r w:rsidRPr="00E22DE8">
        <w:t>(b) of the rolling work programme of IPBES</w:t>
      </w:r>
      <w:r w:rsidR="00CD27E4" w:rsidRPr="00E22DE8">
        <w:t xml:space="preserve"> up to 2030</w:t>
      </w:r>
      <w:r w:rsidRPr="00E22DE8">
        <w:t xml:space="preserve">, in accordance with the revised terms of reference set out in </w:t>
      </w:r>
      <w:r w:rsidR="00CD27E4" w:rsidRPr="00E22DE8">
        <w:t xml:space="preserve">sections I and V of </w:t>
      </w:r>
      <w:r w:rsidRPr="00E22DE8">
        <w:t>annex II to the decision</w:t>
      </w:r>
      <w:r w:rsidR="00CD27E4" w:rsidRPr="00E22DE8">
        <w:t>,</w:t>
      </w:r>
      <w:r w:rsidRPr="00E22DE8">
        <w:t xml:space="preserve"> and </w:t>
      </w:r>
      <w:bookmarkStart w:id="2" w:name="_Hlk72492517"/>
      <w:r w:rsidRPr="00E22DE8">
        <w:t>building on the work of the former expert group on scenarios and models, whose mandate ended with the seventh session of the Plenary</w:t>
      </w:r>
      <w:bookmarkEnd w:id="2"/>
      <w:r w:rsidRPr="00E22DE8">
        <w:t xml:space="preserve">. The Plenary requested the Bureau and </w:t>
      </w:r>
      <w:r w:rsidR="00CD27E4" w:rsidRPr="00E22DE8">
        <w:t xml:space="preserve">the </w:t>
      </w:r>
      <w:r w:rsidRPr="00E22DE8">
        <w:t>Multidisciplinary Expert Panel, through the IPBES secretariat</w:t>
      </w:r>
      <w:r w:rsidR="00CD27E4" w:rsidRPr="00E22DE8">
        <w:t>,</w:t>
      </w:r>
      <w:r w:rsidRPr="00E22DE8">
        <w:t xml:space="preserve"> to constitute the task force in accordance with the terms of reference. </w:t>
      </w:r>
    </w:p>
    <w:p w14:paraId="1DFB6A2E" w14:textId="3DAE43DE" w:rsidR="009D0F8D" w:rsidRPr="00E22DE8" w:rsidRDefault="009D0F8D" w:rsidP="009F4251">
      <w:pPr>
        <w:pStyle w:val="Normalnumber"/>
        <w:tabs>
          <w:tab w:val="clear" w:pos="1134"/>
        </w:tabs>
      </w:pPr>
      <w:r w:rsidRPr="00E22DE8">
        <w:t>According to its terms of reference, the task force oversees and takes part in the implementation of objective 4</w:t>
      </w:r>
      <w:r w:rsidR="00263B34" w:rsidRPr="00E22DE8">
        <w:t xml:space="preserve"> </w:t>
      </w:r>
      <w:r w:rsidRPr="00E22DE8">
        <w:t xml:space="preserve">(b) of the rolling work programme up to 2030, </w:t>
      </w:r>
      <w:r w:rsidR="00C919EA" w:rsidRPr="00E22DE8">
        <w:t>“A</w:t>
      </w:r>
      <w:r w:rsidRPr="00E22DE8">
        <w:t>dvanced work on scenarios and models of biodiversity and ecosystem functions and services</w:t>
      </w:r>
      <w:r w:rsidR="00C919EA" w:rsidRPr="00E22DE8">
        <w:t>”</w:t>
      </w:r>
      <w:r w:rsidRPr="00E22DE8">
        <w:t>, and acts in accordance with relevant decisions by the Plenary and its subsidiary bodies, including by building on lessons learned in the implementation of deliverable 3</w:t>
      </w:r>
      <w:r w:rsidR="00263B34" w:rsidRPr="00E22DE8">
        <w:t xml:space="preserve"> </w:t>
      </w:r>
      <w:r w:rsidRPr="00E22DE8">
        <w:t xml:space="preserve">(c) of the first work programme. The task force implements the work on scenarios and models based on the terms of reference for the further development of tools and methodologies regarding scenarios and models to facilitate the provision of advice to all the expert teams, in particular those working on assessments on the use of scenarios, and to catalyse the further development of scenarios and models for future IPBES assessments, as well as to </w:t>
      </w:r>
      <w:bookmarkStart w:id="3" w:name="_Hlk72492584"/>
      <w:r w:rsidRPr="00E22DE8">
        <w:t>guide the secretariat, including the dedicated technical support unit, in the provision of support</w:t>
      </w:r>
      <w:bookmarkEnd w:id="3"/>
      <w:r w:rsidRPr="00E22DE8">
        <w:t xml:space="preserve">. The task force exchanges information and collaborates with other bodies developing relevant scenarios and </w:t>
      </w:r>
      <w:r w:rsidRPr="00E22DE8">
        <w:lastRenderedPageBreak/>
        <w:t xml:space="preserve">models under the guidance of the Bureau. The Plenary also decided to review the mandate and terms of reference of the task force at its tenth session. </w:t>
      </w:r>
    </w:p>
    <w:p w14:paraId="5125219B" w14:textId="6419FF8A" w:rsidR="009D0F8D" w:rsidRPr="00E22DE8" w:rsidRDefault="009D0F8D" w:rsidP="0070758E">
      <w:pPr>
        <w:pStyle w:val="Normalnumber"/>
        <w:tabs>
          <w:tab w:val="clear" w:pos="1134"/>
        </w:tabs>
      </w:pPr>
      <w:r w:rsidRPr="00E22DE8">
        <w:t>Further, the Plenary took note of the next steps for the task force for 2019 and 2020 and requested the task force to develop specific deliverables for each of the priority topics set out in paragraph 8 of the rolling work programme up to 2030</w:t>
      </w:r>
      <w:r w:rsidRPr="00E22DE8">
        <w:rPr>
          <w:szCs w:val="18"/>
          <w:vertAlign w:val="superscript"/>
        </w:rPr>
        <w:footnoteReference w:id="2"/>
      </w:r>
      <w:r w:rsidRPr="00E22DE8">
        <w:t xml:space="preserve"> for consideration by the Plenary at its eighth session. The general terms of reference of the task forces, set out in annex II to decision IPBES-7/1, </w:t>
      </w:r>
      <w:r w:rsidR="00644632" w:rsidRPr="00894338">
        <w:t>stipulate</w:t>
      </w:r>
      <w:r w:rsidR="00644632" w:rsidRPr="00E22DE8">
        <w:t xml:space="preserve"> </w:t>
      </w:r>
      <w:r w:rsidRPr="00E22DE8">
        <w:t>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p>
    <w:p w14:paraId="1887084F" w14:textId="1C7D330B" w:rsidR="009D0F8D" w:rsidRPr="00E22DE8" w:rsidRDefault="009D0F8D" w:rsidP="0007104C">
      <w:pPr>
        <w:pStyle w:val="Normalnumber"/>
        <w:tabs>
          <w:tab w:val="clear" w:pos="1134"/>
        </w:tabs>
      </w:pPr>
      <w:r w:rsidRPr="00E22DE8">
        <w:t>Information on draft deliverables for objective 4</w:t>
      </w:r>
      <w:r w:rsidR="00263B34" w:rsidRPr="00E22DE8">
        <w:t xml:space="preserve"> </w:t>
      </w:r>
      <w:r w:rsidRPr="00E22DE8">
        <w:t>(b), an interim workplan for the task force for the intersessional period 2021</w:t>
      </w:r>
      <w:r w:rsidR="00777292" w:rsidRPr="00E22DE8">
        <w:t>–</w:t>
      </w:r>
      <w:r w:rsidRPr="00E22DE8">
        <w:t xml:space="preserve">2022 and a draft workplan for </w:t>
      </w:r>
      <w:r w:rsidR="00777292" w:rsidRPr="00E22DE8">
        <w:t xml:space="preserve">the intersessional period </w:t>
      </w:r>
      <w:r w:rsidRPr="00E22DE8">
        <w:t>2022</w:t>
      </w:r>
      <w:r w:rsidR="00777292" w:rsidRPr="00894338">
        <w:t>–</w:t>
      </w:r>
      <w:r w:rsidRPr="00E22DE8">
        <w:t xml:space="preserve">2023 are </w:t>
      </w:r>
      <w:r w:rsidR="00777292" w:rsidRPr="00E22DE8">
        <w:t xml:space="preserve">set out </w:t>
      </w:r>
      <w:r w:rsidRPr="00E22DE8">
        <w:t xml:space="preserve">in document IPBES/8/7. An overview of activities carried out by the task force since the seventh session of the Plenary is set out in the report of the Executive Secretary on progress in the implementation of the rolling work programme </w:t>
      </w:r>
      <w:r w:rsidR="00777292" w:rsidRPr="00E22DE8">
        <w:t xml:space="preserve">up to 2030 </w:t>
      </w:r>
      <w:r w:rsidRPr="00E22DE8">
        <w:t xml:space="preserve">(IPBES/8/2). </w:t>
      </w:r>
    </w:p>
    <w:p w14:paraId="79562C36" w14:textId="77777777" w:rsidR="00444037" w:rsidRDefault="009D0F8D" w:rsidP="0007104C">
      <w:pPr>
        <w:pStyle w:val="Normalnumber"/>
        <w:tabs>
          <w:tab w:val="clear" w:pos="1134"/>
        </w:tabs>
      </w:pPr>
      <w:r w:rsidRPr="00E22DE8">
        <w:t>The annex to the present note provides further information on activities carried out by the task force in addressing its mandate, activities planned for the next intersessional period and an overview of possible activities related to the nexus and transformative change assessments.</w:t>
      </w:r>
      <w:r w:rsidR="00047774" w:rsidRPr="00E22DE8">
        <w:t xml:space="preserve"> The annex is presented without </w:t>
      </w:r>
      <w:bookmarkStart w:id="4" w:name="_Hlk72482981"/>
      <w:r w:rsidR="00047774" w:rsidRPr="00E22DE8">
        <w:t>formal editing</w:t>
      </w:r>
      <w:bookmarkEnd w:id="4"/>
      <w:r w:rsidR="00047774" w:rsidRPr="00E22DE8">
        <w:t>.</w:t>
      </w:r>
    </w:p>
    <w:p w14:paraId="0F567FBE" w14:textId="3D4E2109" w:rsidR="009D0F8D" w:rsidRPr="009D0F8D" w:rsidRDefault="009D0F8D" w:rsidP="00444037">
      <w:pPr>
        <w:pStyle w:val="Normal-pool"/>
      </w:pPr>
      <w:r w:rsidRPr="009D0F8D">
        <w:br w:type="page"/>
      </w:r>
    </w:p>
    <w:p w14:paraId="046F429E" w14:textId="77777777" w:rsidR="009D0F8D" w:rsidRPr="009D0F8D" w:rsidRDefault="009D0F8D" w:rsidP="009D0F8D">
      <w:pPr>
        <w:pStyle w:val="ZZAnxheader"/>
      </w:pPr>
      <w:r w:rsidRPr="009D0F8D">
        <w:lastRenderedPageBreak/>
        <w:t>Annex</w:t>
      </w:r>
    </w:p>
    <w:p w14:paraId="3B5B496B" w14:textId="0A1BF156" w:rsidR="009D0F8D" w:rsidRPr="009D0F8D" w:rsidRDefault="009D0F8D" w:rsidP="009D0F8D">
      <w:pPr>
        <w:pStyle w:val="ZZAnxtitle"/>
      </w:pPr>
      <w:r w:rsidRPr="009D0F8D">
        <w:rPr>
          <w:lang w:eastAsia="en-GB"/>
        </w:rPr>
        <w:t>Information on the interim workplan related to scenarios and models of biodiversity and ecosystem services</w:t>
      </w:r>
    </w:p>
    <w:p w14:paraId="381C532E" w14:textId="77777777" w:rsidR="009D0F8D" w:rsidRPr="009D0F8D" w:rsidRDefault="009D0F8D" w:rsidP="009D0F8D">
      <w:pPr>
        <w:pStyle w:val="CH1"/>
        <w:rPr>
          <w:lang w:eastAsia="en-GB"/>
        </w:rPr>
      </w:pPr>
      <w:r w:rsidRPr="009D0F8D">
        <w:rPr>
          <w:lang w:eastAsia="en-GB"/>
        </w:rPr>
        <w:tab/>
        <w:t>I.</w:t>
      </w:r>
      <w:r w:rsidRPr="009D0F8D">
        <w:rPr>
          <w:lang w:eastAsia="en-GB"/>
        </w:rPr>
        <w:tab/>
        <w:t>Membership of the task force</w:t>
      </w:r>
    </w:p>
    <w:p w14:paraId="31AFE63A" w14:textId="77777777" w:rsidR="009D0F8D" w:rsidRPr="009D0F8D" w:rsidRDefault="009D0F8D" w:rsidP="00EB473F">
      <w:pPr>
        <w:pStyle w:val="Normalnumber"/>
        <w:numPr>
          <w:ilvl w:val="0"/>
          <w:numId w:val="10"/>
        </w:numPr>
        <w:tabs>
          <w:tab w:val="clear" w:pos="1134"/>
        </w:tabs>
      </w:pPr>
      <w:r w:rsidRPr="009D0F8D">
        <w:t>On 17 May 2019, a notification (</w:t>
      </w:r>
      <w:hyperlink r:id="rId12" w:history="1">
        <w:r w:rsidRPr="009D0F8D">
          <w:rPr>
            <w:u w:val="single"/>
          </w:rPr>
          <w:t>EM/2019/09</w:t>
        </w:r>
      </w:hyperlink>
      <w:r w:rsidRPr="009D0F8D">
        <w:t xml:space="preserve">) was issued, in which Governments and relevant stakeholders were invited to nominate candidates for the five IPBES task forces. 59 nominations were received for the task force on scenarios and models. Of the nominations received: 20 candidates were female and 39 were male, 7 were from Africa, 8 from Asia-Pacific, 2 from Eastern Europe, 7 from Latin America and the Caribbean and 35 from Western Europe and other States. </w:t>
      </w:r>
    </w:p>
    <w:p w14:paraId="442002BB" w14:textId="77777777" w:rsidR="009D0F8D" w:rsidRPr="009D0F8D" w:rsidRDefault="009D0F8D" w:rsidP="00EB473F">
      <w:pPr>
        <w:pStyle w:val="Normalnumber"/>
        <w:numPr>
          <w:ilvl w:val="0"/>
          <w:numId w:val="10"/>
        </w:numPr>
        <w:tabs>
          <w:tab w:val="clear" w:pos="1134"/>
        </w:tabs>
      </w:pPr>
      <w:r w:rsidRPr="009D0F8D">
        <w:rPr>
          <w:color w:val="000000"/>
        </w:rPr>
        <w:t>The Multidisciplinary Expert Panel and Bureau, at their 13</w:t>
      </w:r>
      <w:r w:rsidRPr="009D0F8D">
        <w:rPr>
          <w:color w:val="000000"/>
          <w:vertAlign w:val="superscript"/>
        </w:rPr>
        <w:t>th</w:t>
      </w:r>
      <w:r w:rsidRPr="009D0F8D">
        <w:rPr>
          <w:color w:val="000000"/>
        </w:rPr>
        <w:t xml:space="preserve"> meetings selected the members of the task force in line with its terms of reference set out in annex II to decision IPBES-7/1.</w:t>
      </w:r>
      <w:r w:rsidRPr="009D0F8D">
        <w:t xml:space="preserve"> The Multidisciplinary Expert Panel and Bureau identified three gaps in the availability of expertise with regard to 1) indigenous and local knowledge, 2) anthropology and 3) narrative writing, and filled the gaps in line with the procedure set out in the annex to decision IPBES-4/3. The process to replace one member of the task force having resigned is currently ongoing. </w:t>
      </w:r>
    </w:p>
    <w:p w14:paraId="1B159A99" w14:textId="77777777" w:rsidR="009D0F8D" w:rsidRPr="009D0F8D" w:rsidRDefault="009D0F8D" w:rsidP="00EB473F">
      <w:pPr>
        <w:pStyle w:val="Normalnumber"/>
        <w:numPr>
          <w:ilvl w:val="0"/>
          <w:numId w:val="10"/>
        </w:numPr>
        <w:tabs>
          <w:tab w:val="clear" w:pos="1134"/>
        </w:tabs>
      </w:pPr>
      <w:r w:rsidRPr="009D0F8D">
        <w:t>Following a call for the nomination of fellows for the development of scenarios on nature and its contributions to people by 15 January 2019 (EM/2018/31), 5 fellows were selected by the management committee of the former expert group on scenarios and models in March 2019. This fellowship was extended when the task force on scenarios and models was established at the seventh session of the IPBES Plenary. The final composition of the task force comprises:</w:t>
      </w:r>
    </w:p>
    <w:tbl>
      <w:tblPr>
        <w:tblStyle w:val="TableGrid1"/>
        <w:tblW w:w="8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1625"/>
        <w:gridCol w:w="4239"/>
      </w:tblGrid>
      <w:tr w:rsidR="009D0F8D" w:rsidRPr="009D0F8D" w14:paraId="627EC467" w14:textId="77777777" w:rsidTr="00D643B2">
        <w:trPr>
          <w:trHeight w:val="57"/>
          <w:tblHeader/>
          <w:jc w:val="right"/>
        </w:trPr>
        <w:tc>
          <w:tcPr>
            <w:tcW w:w="2435" w:type="dxa"/>
            <w:tcBorders>
              <w:top w:val="single" w:sz="4" w:space="0" w:color="auto"/>
              <w:bottom w:val="single" w:sz="12" w:space="0" w:color="auto"/>
            </w:tcBorders>
            <w:shd w:val="pct10" w:color="auto" w:fill="auto"/>
          </w:tcPr>
          <w:p w14:paraId="26D8B12E" w14:textId="77777777" w:rsidR="009D0F8D" w:rsidRPr="009D0F8D" w:rsidRDefault="009D0F8D" w:rsidP="009D0F8D">
            <w:pPr>
              <w:pStyle w:val="Normal-pool"/>
              <w:spacing w:before="40" w:after="40"/>
              <w:rPr>
                <w:sz w:val="18"/>
                <w:szCs w:val="18"/>
              </w:rPr>
            </w:pPr>
            <w:r w:rsidRPr="009D0F8D">
              <w:rPr>
                <w:sz w:val="18"/>
                <w:szCs w:val="18"/>
              </w:rPr>
              <w:t>Name</w:t>
            </w:r>
          </w:p>
        </w:tc>
        <w:tc>
          <w:tcPr>
            <w:tcW w:w="1620" w:type="dxa"/>
            <w:tcBorders>
              <w:top w:val="single" w:sz="4" w:space="0" w:color="auto"/>
              <w:bottom w:val="single" w:sz="12" w:space="0" w:color="auto"/>
            </w:tcBorders>
            <w:shd w:val="pct10" w:color="auto" w:fill="auto"/>
          </w:tcPr>
          <w:p w14:paraId="62120421" w14:textId="77777777" w:rsidR="009D0F8D" w:rsidRPr="009D0F8D" w:rsidRDefault="009D0F8D" w:rsidP="009D0F8D">
            <w:pPr>
              <w:pStyle w:val="Normal-pool"/>
              <w:spacing w:before="40" w:after="40"/>
              <w:rPr>
                <w:sz w:val="18"/>
                <w:szCs w:val="18"/>
              </w:rPr>
            </w:pPr>
            <w:r w:rsidRPr="009D0F8D">
              <w:rPr>
                <w:sz w:val="18"/>
                <w:szCs w:val="18"/>
              </w:rPr>
              <w:t>Country</w:t>
            </w:r>
          </w:p>
        </w:tc>
        <w:tc>
          <w:tcPr>
            <w:tcW w:w="4225" w:type="dxa"/>
            <w:tcBorders>
              <w:top w:val="single" w:sz="4" w:space="0" w:color="auto"/>
              <w:bottom w:val="single" w:sz="12" w:space="0" w:color="auto"/>
            </w:tcBorders>
            <w:shd w:val="pct10" w:color="auto" w:fill="auto"/>
          </w:tcPr>
          <w:p w14:paraId="68355EB2" w14:textId="77777777" w:rsidR="009D0F8D" w:rsidRPr="009D0F8D" w:rsidRDefault="009D0F8D" w:rsidP="009D0F8D">
            <w:pPr>
              <w:pStyle w:val="Normal-pool"/>
              <w:spacing w:before="40" w:after="40"/>
              <w:rPr>
                <w:sz w:val="18"/>
                <w:szCs w:val="18"/>
              </w:rPr>
            </w:pPr>
            <w:r w:rsidRPr="009D0F8D">
              <w:rPr>
                <w:sz w:val="18"/>
                <w:szCs w:val="18"/>
              </w:rPr>
              <w:t>Function</w:t>
            </w:r>
          </w:p>
        </w:tc>
      </w:tr>
      <w:tr w:rsidR="009D0F8D" w:rsidRPr="009F4251" w14:paraId="2C3369BA" w14:textId="77777777" w:rsidTr="009D0F8D">
        <w:trPr>
          <w:trHeight w:val="57"/>
          <w:jc w:val="right"/>
        </w:trPr>
        <w:tc>
          <w:tcPr>
            <w:tcW w:w="2435" w:type="dxa"/>
            <w:tcBorders>
              <w:top w:val="single" w:sz="12" w:space="0" w:color="auto"/>
            </w:tcBorders>
          </w:tcPr>
          <w:p w14:paraId="34419948" w14:textId="77777777" w:rsidR="009D0F8D" w:rsidRPr="009D0F8D" w:rsidRDefault="009D0F8D" w:rsidP="009D0F8D">
            <w:pPr>
              <w:pStyle w:val="Normal-pool"/>
              <w:spacing w:before="40" w:after="40"/>
              <w:rPr>
                <w:sz w:val="18"/>
                <w:szCs w:val="18"/>
              </w:rPr>
            </w:pPr>
            <w:r w:rsidRPr="009D0F8D">
              <w:rPr>
                <w:rFonts w:eastAsia="MS Mincho"/>
                <w:sz w:val="18"/>
                <w:szCs w:val="18"/>
              </w:rPr>
              <w:t>Shizuka Hashimoto</w:t>
            </w:r>
          </w:p>
        </w:tc>
        <w:tc>
          <w:tcPr>
            <w:tcW w:w="1620" w:type="dxa"/>
            <w:tcBorders>
              <w:top w:val="single" w:sz="12" w:space="0" w:color="auto"/>
            </w:tcBorders>
          </w:tcPr>
          <w:p w14:paraId="53A22E48" w14:textId="77777777" w:rsidR="009D0F8D" w:rsidRPr="009D0F8D" w:rsidRDefault="009D0F8D" w:rsidP="009D0F8D">
            <w:pPr>
              <w:pStyle w:val="Normal-pool"/>
              <w:spacing w:before="40" w:after="40"/>
              <w:rPr>
                <w:sz w:val="18"/>
                <w:szCs w:val="18"/>
              </w:rPr>
            </w:pPr>
            <w:r w:rsidRPr="009D0F8D">
              <w:rPr>
                <w:rFonts w:eastAsia="MS Mincho"/>
                <w:sz w:val="18"/>
                <w:szCs w:val="18"/>
              </w:rPr>
              <w:t>Japan</w:t>
            </w:r>
          </w:p>
        </w:tc>
        <w:tc>
          <w:tcPr>
            <w:tcW w:w="4225" w:type="dxa"/>
            <w:tcBorders>
              <w:top w:val="single" w:sz="12" w:space="0" w:color="auto"/>
            </w:tcBorders>
          </w:tcPr>
          <w:p w14:paraId="0FD652CE" w14:textId="77777777" w:rsidR="009D0F8D" w:rsidRPr="009D0F8D" w:rsidRDefault="009D0F8D" w:rsidP="009D0F8D">
            <w:pPr>
              <w:pStyle w:val="Normal-pool"/>
              <w:spacing w:before="40" w:after="40"/>
              <w:rPr>
                <w:sz w:val="18"/>
                <w:szCs w:val="18"/>
              </w:rPr>
            </w:pPr>
            <w:r w:rsidRPr="009D0F8D">
              <w:rPr>
                <w:sz w:val="18"/>
                <w:szCs w:val="18"/>
              </w:rPr>
              <w:t>Task force co-chair, member of the Multidisciplinary Expert Panel</w:t>
            </w:r>
          </w:p>
        </w:tc>
      </w:tr>
      <w:tr w:rsidR="009D0F8D" w:rsidRPr="009F4251" w14:paraId="34DD7310" w14:textId="77777777" w:rsidTr="009D0F8D">
        <w:trPr>
          <w:trHeight w:val="57"/>
          <w:jc w:val="right"/>
        </w:trPr>
        <w:tc>
          <w:tcPr>
            <w:tcW w:w="2435" w:type="dxa"/>
          </w:tcPr>
          <w:p w14:paraId="4B6BC396" w14:textId="77777777" w:rsidR="009D0F8D" w:rsidRPr="009D0F8D" w:rsidRDefault="009D0F8D" w:rsidP="009D0F8D">
            <w:pPr>
              <w:pStyle w:val="Normal-pool"/>
              <w:spacing w:before="40" w:after="40"/>
              <w:rPr>
                <w:rFonts w:eastAsia="MS Mincho"/>
                <w:sz w:val="18"/>
                <w:szCs w:val="18"/>
              </w:rPr>
            </w:pPr>
            <w:r w:rsidRPr="009D0F8D">
              <w:rPr>
                <w:rFonts w:eastAsia="MS Mincho"/>
                <w:sz w:val="18"/>
                <w:szCs w:val="18"/>
              </w:rPr>
              <w:t>Carolyn Lundquist</w:t>
            </w:r>
          </w:p>
        </w:tc>
        <w:tc>
          <w:tcPr>
            <w:tcW w:w="1620" w:type="dxa"/>
          </w:tcPr>
          <w:p w14:paraId="003B221F" w14:textId="77777777" w:rsidR="009D0F8D" w:rsidRPr="009D0F8D" w:rsidRDefault="009D0F8D" w:rsidP="009D0F8D">
            <w:pPr>
              <w:pStyle w:val="Normal-pool"/>
              <w:spacing w:before="40" w:after="40"/>
              <w:rPr>
                <w:rFonts w:eastAsia="MS Mincho"/>
                <w:sz w:val="18"/>
                <w:szCs w:val="18"/>
              </w:rPr>
            </w:pPr>
            <w:r w:rsidRPr="009D0F8D">
              <w:rPr>
                <w:rFonts w:eastAsia="MS Mincho"/>
                <w:sz w:val="18"/>
                <w:szCs w:val="18"/>
              </w:rPr>
              <w:t xml:space="preserve">New Zealand </w:t>
            </w:r>
          </w:p>
        </w:tc>
        <w:tc>
          <w:tcPr>
            <w:tcW w:w="4225" w:type="dxa"/>
          </w:tcPr>
          <w:p w14:paraId="77989D74" w14:textId="77777777" w:rsidR="009D0F8D" w:rsidRPr="009D0F8D" w:rsidRDefault="009D0F8D" w:rsidP="009D0F8D">
            <w:pPr>
              <w:pStyle w:val="Normal-pool"/>
              <w:spacing w:before="40" w:after="40"/>
              <w:rPr>
                <w:sz w:val="18"/>
                <w:szCs w:val="18"/>
              </w:rPr>
            </w:pPr>
            <w:r w:rsidRPr="009D0F8D">
              <w:rPr>
                <w:sz w:val="18"/>
                <w:szCs w:val="18"/>
              </w:rPr>
              <w:t>Task force co-chair, expert</w:t>
            </w:r>
          </w:p>
        </w:tc>
      </w:tr>
      <w:tr w:rsidR="009D0F8D" w:rsidRPr="009D0F8D" w14:paraId="5A3C278E" w14:textId="77777777" w:rsidTr="009D0F8D">
        <w:trPr>
          <w:trHeight w:val="57"/>
          <w:jc w:val="right"/>
        </w:trPr>
        <w:tc>
          <w:tcPr>
            <w:tcW w:w="2435" w:type="dxa"/>
          </w:tcPr>
          <w:p w14:paraId="2E9401B5" w14:textId="77777777" w:rsidR="009D0F8D" w:rsidRPr="009D0F8D" w:rsidRDefault="009D0F8D" w:rsidP="009D0F8D">
            <w:pPr>
              <w:pStyle w:val="Normal-pool"/>
              <w:spacing w:before="40" w:after="40"/>
              <w:rPr>
                <w:rFonts w:eastAsia="MS Mincho"/>
                <w:sz w:val="18"/>
                <w:szCs w:val="18"/>
              </w:rPr>
            </w:pPr>
            <w:r w:rsidRPr="009D0F8D">
              <w:rPr>
                <w:rFonts w:eastAsia="MS Mincho"/>
                <w:sz w:val="18"/>
                <w:szCs w:val="18"/>
              </w:rPr>
              <w:t>Douglas Beard</w:t>
            </w:r>
          </w:p>
        </w:tc>
        <w:tc>
          <w:tcPr>
            <w:tcW w:w="1620" w:type="dxa"/>
          </w:tcPr>
          <w:p w14:paraId="7F124EDF" w14:textId="77777777" w:rsidR="009D0F8D" w:rsidRPr="009D0F8D" w:rsidRDefault="009D0F8D" w:rsidP="009D0F8D">
            <w:pPr>
              <w:pStyle w:val="Normal-pool"/>
              <w:spacing w:before="40" w:after="40"/>
              <w:rPr>
                <w:rFonts w:eastAsia="MS Mincho"/>
                <w:sz w:val="18"/>
                <w:szCs w:val="18"/>
              </w:rPr>
            </w:pPr>
            <w:r w:rsidRPr="009D0F8D">
              <w:rPr>
                <w:rFonts w:eastAsia="MS Mincho"/>
                <w:sz w:val="18"/>
                <w:szCs w:val="18"/>
              </w:rPr>
              <w:t>United States of America</w:t>
            </w:r>
          </w:p>
        </w:tc>
        <w:tc>
          <w:tcPr>
            <w:tcW w:w="4225" w:type="dxa"/>
          </w:tcPr>
          <w:p w14:paraId="7C68C435" w14:textId="77777777" w:rsidR="009D0F8D" w:rsidRPr="009D0F8D" w:rsidRDefault="009D0F8D" w:rsidP="009D0F8D">
            <w:pPr>
              <w:pStyle w:val="Normal-pool"/>
              <w:spacing w:before="40" w:after="40"/>
              <w:rPr>
                <w:sz w:val="18"/>
                <w:szCs w:val="18"/>
              </w:rPr>
            </w:pPr>
            <w:r w:rsidRPr="009D0F8D">
              <w:rPr>
                <w:sz w:val="18"/>
                <w:szCs w:val="18"/>
              </w:rPr>
              <w:t>Bureau member</w:t>
            </w:r>
          </w:p>
        </w:tc>
      </w:tr>
      <w:tr w:rsidR="009D0F8D" w:rsidRPr="009F4251" w14:paraId="1C84D4C1" w14:textId="77777777" w:rsidTr="009D0F8D">
        <w:trPr>
          <w:trHeight w:val="57"/>
          <w:jc w:val="right"/>
        </w:trPr>
        <w:tc>
          <w:tcPr>
            <w:tcW w:w="2435" w:type="dxa"/>
          </w:tcPr>
          <w:p w14:paraId="50C647A1" w14:textId="77777777" w:rsidR="009D0F8D" w:rsidRPr="009D0F8D" w:rsidRDefault="009D0F8D" w:rsidP="009D0F8D">
            <w:pPr>
              <w:pStyle w:val="Normal-pool"/>
              <w:spacing w:before="40" w:after="40"/>
              <w:rPr>
                <w:sz w:val="18"/>
                <w:szCs w:val="18"/>
              </w:rPr>
            </w:pPr>
            <w:r w:rsidRPr="009D0F8D">
              <w:rPr>
                <w:rFonts w:eastAsia="MS Mincho"/>
                <w:sz w:val="18"/>
                <w:szCs w:val="18"/>
              </w:rPr>
              <w:t>Rovshan Abbasov</w:t>
            </w:r>
          </w:p>
        </w:tc>
        <w:tc>
          <w:tcPr>
            <w:tcW w:w="1620" w:type="dxa"/>
          </w:tcPr>
          <w:p w14:paraId="61B6CB8B" w14:textId="77777777" w:rsidR="009D0F8D" w:rsidRPr="009D0F8D" w:rsidRDefault="009D0F8D" w:rsidP="009D0F8D">
            <w:pPr>
              <w:pStyle w:val="Normal-pool"/>
              <w:spacing w:before="40" w:after="40"/>
              <w:rPr>
                <w:sz w:val="18"/>
                <w:szCs w:val="18"/>
              </w:rPr>
            </w:pPr>
            <w:r w:rsidRPr="009D0F8D">
              <w:rPr>
                <w:sz w:val="18"/>
                <w:szCs w:val="18"/>
              </w:rPr>
              <w:t>Azerbaijan</w:t>
            </w:r>
          </w:p>
        </w:tc>
        <w:tc>
          <w:tcPr>
            <w:tcW w:w="4225" w:type="dxa"/>
          </w:tcPr>
          <w:p w14:paraId="3CAB8E74" w14:textId="77777777" w:rsidR="009D0F8D" w:rsidRPr="009D0F8D" w:rsidRDefault="009D0F8D" w:rsidP="009D0F8D">
            <w:pPr>
              <w:pStyle w:val="Normal-pool"/>
              <w:spacing w:before="40" w:after="40"/>
              <w:rPr>
                <w:sz w:val="18"/>
                <w:szCs w:val="18"/>
              </w:rPr>
            </w:pPr>
            <w:r w:rsidRPr="009D0F8D">
              <w:rPr>
                <w:sz w:val="18"/>
                <w:szCs w:val="18"/>
              </w:rPr>
              <w:t>Member of the Multidisciplinary Expert Panel</w:t>
            </w:r>
          </w:p>
        </w:tc>
      </w:tr>
      <w:tr w:rsidR="009D0F8D" w:rsidRPr="009F4251" w14:paraId="135EDA46" w14:textId="77777777" w:rsidTr="009D0F8D">
        <w:trPr>
          <w:trHeight w:val="57"/>
          <w:jc w:val="right"/>
        </w:trPr>
        <w:tc>
          <w:tcPr>
            <w:tcW w:w="2435" w:type="dxa"/>
          </w:tcPr>
          <w:p w14:paraId="2EE2B712" w14:textId="77777777" w:rsidR="009D0F8D" w:rsidRPr="009D0F8D" w:rsidRDefault="009D0F8D" w:rsidP="009D0F8D">
            <w:pPr>
              <w:pStyle w:val="Normal-pool"/>
              <w:spacing w:before="40" w:after="40"/>
              <w:rPr>
                <w:sz w:val="18"/>
                <w:szCs w:val="18"/>
              </w:rPr>
            </w:pPr>
            <w:proofErr w:type="spellStart"/>
            <w:r w:rsidRPr="009D0F8D">
              <w:rPr>
                <w:rFonts w:eastAsia="MS Mincho"/>
                <w:sz w:val="18"/>
                <w:szCs w:val="18"/>
              </w:rPr>
              <w:t>Mariteuw</w:t>
            </w:r>
            <w:proofErr w:type="spellEnd"/>
            <w:r w:rsidRPr="009D0F8D">
              <w:rPr>
                <w:rFonts w:eastAsia="MS Mincho"/>
                <w:sz w:val="18"/>
                <w:szCs w:val="18"/>
              </w:rPr>
              <w:t xml:space="preserve"> Chimere Diaw</w:t>
            </w:r>
          </w:p>
        </w:tc>
        <w:tc>
          <w:tcPr>
            <w:tcW w:w="1620" w:type="dxa"/>
          </w:tcPr>
          <w:p w14:paraId="4A9607E7" w14:textId="77777777" w:rsidR="009D0F8D" w:rsidRPr="009D0F8D" w:rsidRDefault="009D0F8D" w:rsidP="009D0F8D">
            <w:pPr>
              <w:pStyle w:val="Normal-pool"/>
              <w:spacing w:before="40" w:after="40"/>
              <w:rPr>
                <w:sz w:val="18"/>
                <w:szCs w:val="18"/>
              </w:rPr>
            </w:pPr>
            <w:r w:rsidRPr="009D0F8D">
              <w:rPr>
                <w:sz w:val="18"/>
                <w:szCs w:val="18"/>
              </w:rPr>
              <w:t>Senegal</w:t>
            </w:r>
          </w:p>
        </w:tc>
        <w:tc>
          <w:tcPr>
            <w:tcW w:w="4225" w:type="dxa"/>
          </w:tcPr>
          <w:p w14:paraId="78BA0500" w14:textId="77777777" w:rsidR="009D0F8D" w:rsidRPr="009D0F8D" w:rsidRDefault="009D0F8D" w:rsidP="009D0F8D">
            <w:pPr>
              <w:pStyle w:val="Normal-pool"/>
              <w:spacing w:before="40" w:after="40"/>
              <w:rPr>
                <w:sz w:val="18"/>
                <w:szCs w:val="18"/>
              </w:rPr>
            </w:pPr>
            <w:r w:rsidRPr="009D0F8D">
              <w:rPr>
                <w:sz w:val="18"/>
                <w:szCs w:val="18"/>
              </w:rPr>
              <w:t>Member of the Multidisciplinary Expert Panel</w:t>
            </w:r>
          </w:p>
        </w:tc>
      </w:tr>
      <w:tr w:rsidR="009D0F8D" w:rsidRPr="009D0F8D" w14:paraId="596ED1CC" w14:textId="77777777" w:rsidTr="009D0F8D">
        <w:trPr>
          <w:trHeight w:val="57"/>
          <w:jc w:val="right"/>
        </w:trPr>
        <w:tc>
          <w:tcPr>
            <w:tcW w:w="2435" w:type="dxa"/>
          </w:tcPr>
          <w:p w14:paraId="38E859EA" w14:textId="77777777" w:rsidR="009D0F8D" w:rsidRPr="009D0F8D" w:rsidRDefault="009D0F8D" w:rsidP="009D0F8D">
            <w:pPr>
              <w:pStyle w:val="Normal-pool"/>
              <w:spacing w:before="40" w:after="40"/>
              <w:rPr>
                <w:sz w:val="18"/>
                <w:szCs w:val="18"/>
              </w:rPr>
            </w:pPr>
            <w:r w:rsidRPr="009D0F8D">
              <w:rPr>
                <w:rFonts w:eastAsia="MS Mincho"/>
                <w:sz w:val="18"/>
                <w:szCs w:val="18"/>
              </w:rPr>
              <w:t xml:space="preserve">Khaled Allam </w:t>
            </w:r>
            <w:proofErr w:type="spellStart"/>
            <w:r w:rsidRPr="009D0F8D">
              <w:rPr>
                <w:rFonts w:eastAsia="MS Mincho"/>
                <w:sz w:val="18"/>
                <w:szCs w:val="18"/>
              </w:rPr>
              <w:t>Harhash</w:t>
            </w:r>
            <w:proofErr w:type="spellEnd"/>
          </w:p>
        </w:tc>
        <w:tc>
          <w:tcPr>
            <w:tcW w:w="1620" w:type="dxa"/>
          </w:tcPr>
          <w:p w14:paraId="44CE3F79" w14:textId="77777777" w:rsidR="009D0F8D" w:rsidRPr="009D0F8D" w:rsidRDefault="009D0F8D" w:rsidP="009D0F8D">
            <w:pPr>
              <w:pStyle w:val="Normal-pool"/>
              <w:spacing w:before="40" w:after="40"/>
              <w:rPr>
                <w:sz w:val="18"/>
                <w:szCs w:val="18"/>
              </w:rPr>
            </w:pPr>
            <w:r w:rsidRPr="009D0F8D">
              <w:rPr>
                <w:rFonts w:eastAsia="MS Mincho"/>
                <w:sz w:val="18"/>
                <w:szCs w:val="18"/>
              </w:rPr>
              <w:t>Egypt</w:t>
            </w:r>
          </w:p>
        </w:tc>
        <w:tc>
          <w:tcPr>
            <w:tcW w:w="4225" w:type="dxa"/>
          </w:tcPr>
          <w:p w14:paraId="3765DA27"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282CD3AB" w14:textId="77777777" w:rsidTr="009D0F8D">
        <w:trPr>
          <w:trHeight w:val="57"/>
          <w:jc w:val="right"/>
        </w:trPr>
        <w:tc>
          <w:tcPr>
            <w:tcW w:w="2435" w:type="dxa"/>
          </w:tcPr>
          <w:p w14:paraId="0B7371D4" w14:textId="77777777" w:rsidR="009D0F8D" w:rsidRPr="009D0F8D" w:rsidRDefault="009D0F8D" w:rsidP="009D0F8D">
            <w:pPr>
              <w:pStyle w:val="Normal-pool"/>
              <w:spacing w:before="40" w:after="40"/>
              <w:rPr>
                <w:sz w:val="18"/>
                <w:szCs w:val="18"/>
              </w:rPr>
            </w:pPr>
            <w:proofErr w:type="spellStart"/>
            <w:r w:rsidRPr="009D0F8D">
              <w:rPr>
                <w:rFonts w:eastAsia="MS Mincho"/>
                <w:sz w:val="18"/>
                <w:szCs w:val="18"/>
              </w:rPr>
              <w:t>Mekuria</w:t>
            </w:r>
            <w:proofErr w:type="spellEnd"/>
            <w:r w:rsidRPr="009D0F8D">
              <w:rPr>
                <w:rFonts w:eastAsia="MS Mincho"/>
                <w:sz w:val="18"/>
                <w:szCs w:val="18"/>
              </w:rPr>
              <w:t xml:space="preserve"> </w:t>
            </w:r>
            <w:proofErr w:type="spellStart"/>
            <w:r w:rsidRPr="009D0F8D">
              <w:rPr>
                <w:rFonts w:eastAsia="MS Mincho"/>
                <w:sz w:val="18"/>
                <w:szCs w:val="18"/>
              </w:rPr>
              <w:t>Argaw</w:t>
            </w:r>
            <w:proofErr w:type="spellEnd"/>
            <w:r w:rsidRPr="009D0F8D">
              <w:rPr>
                <w:rFonts w:eastAsia="MS Mincho"/>
                <w:sz w:val="18"/>
                <w:szCs w:val="18"/>
              </w:rPr>
              <w:t xml:space="preserve"> </w:t>
            </w:r>
            <w:proofErr w:type="spellStart"/>
            <w:r w:rsidRPr="009D0F8D">
              <w:rPr>
                <w:rFonts w:eastAsia="MS Mincho"/>
                <w:sz w:val="18"/>
                <w:szCs w:val="18"/>
              </w:rPr>
              <w:t>Denboba</w:t>
            </w:r>
            <w:proofErr w:type="spellEnd"/>
          </w:p>
        </w:tc>
        <w:tc>
          <w:tcPr>
            <w:tcW w:w="1620" w:type="dxa"/>
          </w:tcPr>
          <w:p w14:paraId="66E28903" w14:textId="77777777" w:rsidR="009D0F8D" w:rsidRPr="009D0F8D" w:rsidRDefault="009D0F8D" w:rsidP="009D0F8D">
            <w:pPr>
              <w:pStyle w:val="Normal-pool"/>
              <w:spacing w:before="40" w:after="40"/>
              <w:rPr>
                <w:sz w:val="18"/>
                <w:szCs w:val="18"/>
              </w:rPr>
            </w:pPr>
            <w:r w:rsidRPr="009D0F8D">
              <w:rPr>
                <w:rFonts w:eastAsia="MS Mincho"/>
                <w:sz w:val="18"/>
                <w:szCs w:val="18"/>
              </w:rPr>
              <w:t>Ethiopia</w:t>
            </w:r>
          </w:p>
        </w:tc>
        <w:tc>
          <w:tcPr>
            <w:tcW w:w="4225" w:type="dxa"/>
          </w:tcPr>
          <w:p w14:paraId="1BAF1E5F"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1FADB8D0" w14:textId="77777777" w:rsidTr="009D0F8D">
        <w:trPr>
          <w:trHeight w:val="57"/>
          <w:jc w:val="right"/>
        </w:trPr>
        <w:tc>
          <w:tcPr>
            <w:tcW w:w="2435" w:type="dxa"/>
          </w:tcPr>
          <w:p w14:paraId="5AC10097" w14:textId="77777777" w:rsidR="009D0F8D" w:rsidRPr="009D0F8D" w:rsidRDefault="009D0F8D" w:rsidP="009D0F8D">
            <w:pPr>
              <w:pStyle w:val="Normal-pool"/>
              <w:spacing w:before="40" w:after="40"/>
              <w:rPr>
                <w:sz w:val="18"/>
                <w:szCs w:val="18"/>
              </w:rPr>
            </w:pPr>
            <w:r w:rsidRPr="009D0F8D">
              <w:rPr>
                <w:rFonts w:eastAsia="MS Mincho"/>
                <w:sz w:val="18"/>
                <w:szCs w:val="18"/>
              </w:rPr>
              <w:t>Laura Pereira</w:t>
            </w:r>
          </w:p>
        </w:tc>
        <w:tc>
          <w:tcPr>
            <w:tcW w:w="1620" w:type="dxa"/>
          </w:tcPr>
          <w:p w14:paraId="394086E9" w14:textId="77777777" w:rsidR="009D0F8D" w:rsidRPr="009D0F8D" w:rsidRDefault="009D0F8D" w:rsidP="009D0F8D">
            <w:pPr>
              <w:pStyle w:val="Normal-pool"/>
              <w:spacing w:before="40" w:after="40"/>
              <w:rPr>
                <w:sz w:val="18"/>
                <w:szCs w:val="18"/>
              </w:rPr>
            </w:pPr>
            <w:r w:rsidRPr="009D0F8D">
              <w:rPr>
                <w:rFonts w:eastAsia="MS Mincho"/>
                <w:sz w:val="18"/>
                <w:szCs w:val="18"/>
              </w:rPr>
              <w:t>South Africa</w:t>
            </w:r>
          </w:p>
        </w:tc>
        <w:tc>
          <w:tcPr>
            <w:tcW w:w="4225" w:type="dxa"/>
          </w:tcPr>
          <w:p w14:paraId="7B845B41"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1B7FFCCF" w14:textId="77777777" w:rsidTr="009D0F8D">
        <w:trPr>
          <w:trHeight w:val="57"/>
          <w:jc w:val="right"/>
        </w:trPr>
        <w:tc>
          <w:tcPr>
            <w:tcW w:w="2435" w:type="dxa"/>
          </w:tcPr>
          <w:p w14:paraId="6697C220" w14:textId="77777777" w:rsidR="009D0F8D" w:rsidRPr="009D0F8D" w:rsidRDefault="009D0F8D" w:rsidP="009D0F8D">
            <w:pPr>
              <w:pStyle w:val="Normal-pool"/>
              <w:spacing w:before="40" w:after="40"/>
              <w:rPr>
                <w:sz w:val="18"/>
                <w:szCs w:val="18"/>
              </w:rPr>
            </w:pPr>
            <w:proofErr w:type="spellStart"/>
            <w:r w:rsidRPr="009D0F8D">
              <w:rPr>
                <w:rFonts w:eastAsia="MS Mincho"/>
                <w:sz w:val="18"/>
                <w:szCs w:val="18"/>
              </w:rPr>
              <w:t>Sathyapalan</w:t>
            </w:r>
            <w:proofErr w:type="spellEnd"/>
            <w:r w:rsidRPr="009D0F8D">
              <w:rPr>
                <w:rFonts w:eastAsia="MS Mincho"/>
                <w:sz w:val="18"/>
                <w:szCs w:val="18"/>
              </w:rPr>
              <w:t xml:space="preserve"> </w:t>
            </w:r>
            <w:proofErr w:type="spellStart"/>
            <w:r w:rsidRPr="009D0F8D">
              <w:rPr>
                <w:rFonts w:eastAsia="MS Mincho"/>
                <w:sz w:val="18"/>
                <w:szCs w:val="18"/>
              </w:rPr>
              <w:t>Jyothis</w:t>
            </w:r>
            <w:proofErr w:type="spellEnd"/>
          </w:p>
        </w:tc>
        <w:tc>
          <w:tcPr>
            <w:tcW w:w="1620" w:type="dxa"/>
          </w:tcPr>
          <w:p w14:paraId="66FF392A" w14:textId="77777777" w:rsidR="009D0F8D" w:rsidRPr="009D0F8D" w:rsidRDefault="009D0F8D" w:rsidP="009D0F8D">
            <w:pPr>
              <w:pStyle w:val="Normal-pool"/>
              <w:spacing w:before="40" w:after="40"/>
              <w:rPr>
                <w:sz w:val="18"/>
                <w:szCs w:val="18"/>
              </w:rPr>
            </w:pPr>
            <w:r w:rsidRPr="009D0F8D">
              <w:rPr>
                <w:rFonts w:eastAsia="MS Mincho"/>
                <w:sz w:val="18"/>
                <w:szCs w:val="18"/>
              </w:rPr>
              <w:t>India</w:t>
            </w:r>
          </w:p>
        </w:tc>
        <w:tc>
          <w:tcPr>
            <w:tcW w:w="4225" w:type="dxa"/>
          </w:tcPr>
          <w:p w14:paraId="6840DD8B"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19EE3FD9" w14:textId="77777777" w:rsidTr="009D0F8D">
        <w:trPr>
          <w:trHeight w:val="57"/>
          <w:jc w:val="right"/>
        </w:trPr>
        <w:tc>
          <w:tcPr>
            <w:tcW w:w="2435" w:type="dxa"/>
          </w:tcPr>
          <w:p w14:paraId="1812467A" w14:textId="77777777" w:rsidR="009D0F8D" w:rsidRPr="009D0F8D" w:rsidRDefault="009D0F8D" w:rsidP="009D0F8D">
            <w:pPr>
              <w:pStyle w:val="Normal-pool"/>
              <w:spacing w:before="40" w:after="40"/>
              <w:rPr>
                <w:sz w:val="18"/>
                <w:szCs w:val="18"/>
              </w:rPr>
            </w:pPr>
            <w:proofErr w:type="spellStart"/>
            <w:r w:rsidRPr="009D0F8D">
              <w:rPr>
                <w:rFonts w:eastAsia="MS Mincho"/>
                <w:sz w:val="18"/>
                <w:szCs w:val="18"/>
              </w:rPr>
              <w:t>Dandan</w:t>
            </w:r>
            <w:proofErr w:type="spellEnd"/>
            <w:r w:rsidRPr="009D0F8D">
              <w:rPr>
                <w:rFonts w:eastAsia="MS Mincho"/>
                <w:sz w:val="18"/>
                <w:szCs w:val="18"/>
              </w:rPr>
              <w:t xml:space="preserve"> Yu</w:t>
            </w:r>
          </w:p>
        </w:tc>
        <w:tc>
          <w:tcPr>
            <w:tcW w:w="1620" w:type="dxa"/>
          </w:tcPr>
          <w:p w14:paraId="10266F6B" w14:textId="77777777" w:rsidR="009D0F8D" w:rsidRPr="009D0F8D" w:rsidRDefault="009D0F8D" w:rsidP="009D0F8D">
            <w:pPr>
              <w:pStyle w:val="Normal-pool"/>
              <w:spacing w:before="40" w:after="40"/>
              <w:rPr>
                <w:sz w:val="18"/>
                <w:szCs w:val="18"/>
              </w:rPr>
            </w:pPr>
            <w:r w:rsidRPr="009D0F8D">
              <w:rPr>
                <w:rFonts w:eastAsia="MS Mincho"/>
                <w:sz w:val="18"/>
                <w:szCs w:val="18"/>
              </w:rPr>
              <w:t>China</w:t>
            </w:r>
          </w:p>
        </w:tc>
        <w:tc>
          <w:tcPr>
            <w:tcW w:w="4225" w:type="dxa"/>
          </w:tcPr>
          <w:p w14:paraId="2D8D1F15"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0B9968D5" w14:textId="77777777" w:rsidTr="009D0F8D">
        <w:trPr>
          <w:trHeight w:val="57"/>
          <w:jc w:val="right"/>
        </w:trPr>
        <w:tc>
          <w:tcPr>
            <w:tcW w:w="2435" w:type="dxa"/>
          </w:tcPr>
          <w:p w14:paraId="64142BCA" w14:textId="77777777" w:rsidR="009D0F8D" w:rsidRPr="009D0F8D" w:rsidRDefault="009D0F8D" w:rsidP="009D0F8D">
            <w:pPr>
              <w:pStyle w:val="Normal-pool"/>
              <w:spacing w:before="40" w:after="40"/>
              <w:rPr>
                <w:sz w:val="18"/>
                <w:szCs w:val="18"/>
              </w:rPr>
            </w:pPr>
            <w:r w:rsidRPr="009D0F8D">
              <w:rPr>
                <w:rFonts w:eastAsia="MS Mincho"/>
                <w:sz w:val="18"/>
                <w:szCs w:val="18"/>
              </w:rPr>
              <w:t>Lilibeth Acosta-</w:t>
            </w:r>
            <w:proofErr w:type="spellStart"/>
            <w:r w:rsidRPr="009D0F8D">
              <w:rPr>
                <w:rFonts w:eastAsia="MS Mincho"/>
                <w:sz w:val="18"/>
                <w:szCs w:val="18"/>
              </w:rPr>
              <w:t>Michlik</w:t>
            </w:r>
            <w:proofErr w:type="spellEnd"/>
          </w:p>
        </w:tc>
        <w:tc>
          <w:tcPr>
            <w:tcW w:w="1620" w:type="dxa"/>
          </w:tcPr>
          <w:p w14:paraId="74E0DAEB" w14:textId="77777777" w:rsidR="009D0F8D" w:rsidRPr="009D0F8D" w:rsidRDefault="009D0F8D" w:rsidP="009D0F8D">
            <w:pPr>
              <w:pStyle w:val="Normal-pool"/>
              <w:spacing w:before="40" w:after="40"/>
              <w:rPr>
                <w:sz w:val="18"/>
                <w:szCs w:val="18"/>
              </w:rPr>
            </w:pPr>
            <w:r w:rsidRPr="009D0F8D">
              <w:rPr>
                <w:rFonts w:eastAsia="MS Mincho"/>
                <w:sz w:val="18"/>
                <w:szCs w:val="18"/>
              </w:rPr>
              <w:t>Philippines</w:t>
            </w:r>
          </w:p>
        </w:tc>
        <w:tc>
          <w:tcPr>
            <w:tcW w:w="4225" w:type="dxa"/>
          </w:tcPr>
          <w:p w14:paraId="713B50D8"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1DE98E8B" w14:textId="77777777" w:rsidTr="009D0F8D">
        <w:trPr>
          <w:trHeight w:val="57"/>
          <w:jc w:val="right"/>
        </w:trPr>
        <w:tc>
          <w:tcPr>
            <w:tcW w:w="2435" w:type="dxa"/>
          </w:tcPr>
          <w:p w14:paraId="17575852" w14:textId="77777777" w:rsidR="009D0F8D" w:rsidRPr="009D0F8D" w:rsidRDefault="009D0F8D" w:rsidP="009D0F8D">
            <w:pPr>
              <w:pStyle w:val="Normal-pool"/>
              <w:spacing w:before="40" w:after="40"/>
              <w:rPr>
                <w:sz w:val="18"/>
                <w:szCs w:val="18"/>
              </w:rPr>
            </w:pPr>
            <w:r w:rsidRPr="009D0F8D">
              <w:rPr>
                <w:rFonts w:eastAsia="MS Mincho"/>
                <w:sz w:val="18"/>
                <w:szCs w:val="18"/>
              </w:rPr>
              <w:t xml:space="preserve">Ali </w:t>
            </w:r>
            <w:proofErr w:type="spellStart"/>
            <w:r w:rsidRPr="009D0F8D">
              <w:rPr>
                <w:rFonts w:eastAsia="MS Mincho"/>
                <w:sz w:val="18"/>
                <w:szCs w:val="18"/>
              </w:rPr>
              <w:t>Kerem</w:t>
            </w:r>
            <w:proofErr w:type="spellEnd"/>
            <w:r w:rsidRPr="009D0F8D">
              <w:rPr>
                <w:rFonts w:eastAsia="MS Mincho"/>
                <w:sz w:val="18"/>
                <w:szCs w:val="18"/>
              </w:rPr>
              <w:t xml:space="preserve"> </w:t>
            </w:r>
            <w:proofErr w:type="spellStart"/>
            <w:r w:rsidRPr="009D0F8D">
              <w:rPr>
                <w:rFonts w:eastAsia="MS Mincho"/>
                <w:sz w:val="18"/>
                <w:szCs w:val="18"/>
              </w:rPr>
              <w:t>Saysel</w:t>
            </w:r>
            <w:proofErr w:type="spellEnd"/>
          </w:p>
        </w:tc>
        <w:tc>
          <w:tcPr>
            <w:tcW w:w="1620" w:type="dxa"/>
          </w:tcPr>
          <w:p w14:paraId="0CE40A53" w14:textId="77777777" w:rsidR="009D0F8D" w:rsidRPr="009D0F8D" w:rsidRDefault="009D0F8D" w:rsidP="009D0F8D">
            <w:pPr>
              <w:pStyle w:val="Normal-pool"/>
              <w:spacing w:before="40" w:after="40"/>
              <w:rPr>
                <w:sz w:val="18"/>
                <w:szCs w:val="18"/>
              </w:rPr>
            </w:pPr>
            <w:r w:rsidRPr="009D0F8D">
              <w:rPr>
                <w:rFonts w:eastAsia="MS Mincho"/>
                <w:sz w:val="18"/>
                <w:szCs w:val="18"/>
              </w:rPr>
              <w:t>Turkey</w:t>
            </w:r>
          </w:p>
        </w:tc>
        <w:tc>
          <w:tcPr>
            <w:tcW w:w="4225" w:type="dxa"/>
          </w:tcPr>
          <w:p w14:paraId="236CBF09"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5B78274A" w14:textId="77777777" w:rsidTr="009D0F8D">
        <w:trPr>
          <w:trHeight w:val="57"/>
          <w:jc w:val="right"/>
        </w:trPr>
        <w:tc>
          <w:tcPr>
            <w:tcW w:w="2435" w:type="dxa"/>
          </w:tcPr>
          <w:p w14:paraId="240E2EE8" w14:textId="77777777" w:rsidR="009D0F8D" w:rsidRPr="009D0F8D" w:rsidRDefault="009D0F8D" w:rsidP="009D0F8D">
            <w:pPr>
              <w:pStyle w:val="Normal-pool"/>
              <w:spacing w:before="40" w:after="40"/>
              <w:rPr>
                <w:sz w:val="18"/>
                <w:szCs w:val="18"/>
              </w:rPr>
            </w:pPr>
            <w:r w:rsidRPr="009D0F8D">
              <w:rPr>
                <w:rFonts w:eastAsia="MS Mincho"/>
                <w:sz w:val="18"/>
                <w:szCs w:val="18"/>
              </w:rPr>
              <w:t xml:space="preserve">Ramon </w:t>
            </w:r>
            <w:proofErr w:type="spellStart"/>
            <w:r w:rsidRPr="009D0F8D">
              <w:rPr>
                <w:rFonts w:eastAsia="MS Mincho"/>
                <w:sz w:val="18"/>
                <w:szCs w:val="18"/>
              </w:rPr>
              <w:t>Pichs-Madruga</w:t>
            </w:r>
            <w:proofErr w:type="spellEnd"/>
          </w:p>
        </w:tc>
        <w:tc>
          <w:tcPr>
            <w:tcW w:w="1620" w:type="dxa"/>
          </w:tcPr>
          <w:p w14:paraId="4F2A4DE7" w14:textId="77777777" w:rsidR="009D0F8D" w:rsidRPr="009D0F8D" w:rsidRDefault="009D0F8D" w:rsidP="009D0F8D">
            <w:pPr>
              <w:pStyle w:val="Normal-pool"/>
              <w:spacing w:before="40" w:after="40"/>
              <w:rPr>
                <w:sz w:val="18"/>
                <w:szCs w:val="18"/>
              </w:rPr>
            </w:pPr>
            <w:r w:rsidRPr="009D0F8D">
              <w:rPr>
                <w:rFonts w:eastAsia="MS Mincho"/>
                <w:sz w:val="18"/>
                <w:szCs w:val="18"/>
              </w:rPr>
              <w:t>Cuba</w:t>
            </w:r>
          </w:p>
        </w:tc>
        <w:tc>
          <w:tcPr>
            <w:tcW w:w="4225" w:type="dxa"/>
          </w:tcPr>
          <w:p w14:paraId="24FB65AB"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4BAF2274" w14:textId="77777777" w:rsidTr="009D0F8D">
        <w:trPr>
          <w:trHeight w:val="57"/>
          <w:jc w:val="right"/>
        </w:trPr>
        <w:tc>
          <w:tcPr>
            <w:tcW w:w="2435" w:type="dxa"/>
          </w:tcPr>
          <w:p w14:paraId="2B881761" w14:textId="77777777" w:rsidR="009D0F8D" w:rsidRPr="009D0F8D" w:rsidRDefault="009D0F8D" w:rsidP="009D0F8D">
            <w:pPr>
              <w:pStyle w:val="Normal-pool"/>
              <w:spacing w:before="40" w:after="40"/>
              <w:rPr>
                <w:sz w:val="18"/>
                <w:szCs w:val="18"/>
              </w:rPr>
            </w:pPr>
            <w:r w:rsidRPr="009D0F8D">
              <w:rPr>
                <w:rFonts w:eastAsia="MS Mincho"/>
                <w:sz w:val="18"/>
                <w:szCs w:val="18"/>
              </w:rPr>
              <w:t xml:space="preserve">Maria </w:t>
            </w:r>
            <w:proofErr w:type="spellStart"/>
            <w:r w:rsidRPr="009D0F8D">
              <w:rPr>
                <w:rFonts w:eastAsia="MS Mincho"/>
                <w:sz w:val="18"/>
                <w:szCs w:val="18"/>
              </w:rPr>
              <w:t>Gasalla</w:t>
            </w:r>
            <w:proofErr w:type="spellEnd"/>
          </w:p>
        </w:tc>
        <w:tc>
          <w:tcPr>
            <w:tcW w:w="1620" w:type="dxa"/>
          </w:tcPr>
          <w:p w14:paraId="1EF5A162" w14:textId="77777777" w:rsidR="009D0F8D" w:rsidRPr="009D0F8D" w:rsidRDefault="009D0F8D" w:rsidP="009D0F8D">
            <w:pPr>
              <w:pStyle w:val="Normal-pool"/>
              <w:spacing w:before="40" w:after="40"/>
              <w:rPr>
                <w:sz w:val="18"/>
                <w:szCs w:val="18"/>
              </w:rPr>
            </w:pPr>
            <w:r w:rsidRPr="009D0F8D">
              <w:rPr>
                <w:rFonts w:eastAsia="MS Mincho"/>
                <w:sz w:val="18"/>
                <w:szCs w:val="18"/>
              </w:rPr>
              <w:t>Brazil</w:t>
            </w:r>
          </w:p>
        </w:tc>
        <w:tc>
          <w:tcPr>
            <w:tcW w:w="4225" w:type="dxa"/>
          </w:tcPr>
          <w:p w14:paraId="503CE878"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689B5D0A" w14:textId="77777777" w:rsidTr="009D0F8D">
        <w:trPr>
          <w:trHeight w:val="57"/>
          <w:jc w:val="right"/>
        </w:trPr>
        <w:tc>
          <w:tcPr>
            <w:tcW w:w="2435" w:type="dxa"/>
          </w:tcPr>
          <w:p w14:paraId="18C99455" w14:textId="77777777" w:rsidR="009D0F8D" w:rsidRPr="009D0F8D" w:rsidRDefault="009D0F8D" w:rsidP="009D0F8D">
            <w:pPr>
              <w:pStyle w:val="Normal-pool"/>
              <w:spacing w:before="40" w:after="40"/>
              <w:rPr>
                <w:sz w:val="18"/>
                <w:szCs w:val="18"/>
              </w:rPr>
            </w:pPr>
            <w:proofErr w:type="spellStart"/>
            <w:r w:rsidRPr="009D0F8D">
              <w:rPr>
                <w:rFonts w:eastAsia="MS Mincho"/>
                <w:sz w:val="18"/>
                <w:szCs w:val="18"/>
              </w:rPr>
              <w:t>Dolors</w:t>
            </w:r>
            <w:proofErr w:type="spellEnd"/>
            <w:r w:rsidRPr="009D0F8D">
              <w:rPr>
                <w:rFonts w:eastAsia="MS Mincho"/>
                <w:sz w:val="18"/>
                <w:szCs w:val="18"/>
              </w:rPr>
              <w:t xml:space="preserve"> </w:t>
            </w:r>
            <w:proofErr w:type="spellStart"/>
            <w:r w:rsidRPr="009D0F8D">
              <w:rPr>
                <w:rFonts w:eastAsia="MS Mincho"/>
                <w:sz w:val="18"/>
                <w:szCs w:val="18"/>
              </w:rPr>
              <w:t>Armenteras</w:t>
            </w:r>
            <w:proofErr w:type="spellEnd"/>
          </w:p>
        </w:tc>
        <w:tc>
          <w:tcPr>
            <w:tcW w:w="1620" w:type="dxa"/>
          </w:tcPr>
          <w:p w14:paraId="084C52B4" w14:textId="77777777" w:rsidR="009D0F8D" w:rsidRPr="009D0F8D" w:rsidRDefault="009D0F8D" w:rsidP="009D0F8D">
            <w:pPr>
              <w:pStyle w:val="Normal-pool"/>
              <w:spacing w:before="40" w:after="40"/>
              <w:rPr>
                <w:sz w:val="18"/>
                <w:szCs w:val="18"/>
              </w:rPr>
            </w:pPr>
            <w:r w:rsidRPr="009D0F8D">
              <w:rPr>
                <w:rFonts w:eastAsia="MS Mincho"/>
                <w:sz w:val="18"/>
                <w:szCs w:val="18"/>
              </w:rPr>
              <w:t>Colombia</w:t>
            </w:r>
          </w:p>
        </w:tc>
        <w:tc>
          <w:tcPr>
            <w:tcW w:w="4225" w:type="dxa"/>
          </w:tcPr>
          <w:p w14:paraId="730D845A"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5B81B417" w14:textId="77777777" w:rsidTr="009D0F8D">
        <w:trPr>
          <w:trHeight w:val="57"/>
          <w:jc w:val="right"/>
        </w:trPr>
        <w:tc>
          <w:tcPr>
            <w:tcW w:w="2435" w:type="dxa"/>
          </w:tcPr>
          <w:p w14:paraId="2B4D3BA6" w14:textId="77777777" w:rsidR="009D0F8D" w:rsidRPr="009D0F8D" w:rsidRDefault="009D0F8D" w:rsidP="009D0F8D">
            <w:pPr>
              <w:pStyle w:val="Normal-pool"/>
              <w:spacing w:before="40" w:after="40"/>
              <w:rPr>
                <w:sz w:val="18"/>
                <w:szCs w:val="18"/>
              </w:rPr>
            </w:pPr>
            <w:r w:rsidRPr="009D0F8D">
              <w:rPr>
                <w:rFonts w:eastAsia="MS Mincho"/>
                <w:sz w:val="18"/>
                <w:szCs w:val="18"/>
              </w:rPr>
              <w:t>Garry Peterson</w:t>
            </w:r>
          </w:p>
        </w:tc>
        <w:tc>
          <w:tcPr>
            <w:tcW w:w="1620" w:type="dxa"/>
          </w:tcPr>
          <w:p w14:paraId="4CF6222D" w14:textId="77777777" w:rsidR="009D0F8D" w:rsidRPr="009D0F8D" w:rsidRDefault="009D0F8D" w:rsidP="009D0F8D">
            <w:pPr>
              <w:pStyle w:val="Normal-pool"/>
              <w:spacing w:before="40" w:after="40"/>
              <w:rPr>
                <w:sz w:val="18"/>
                <w:szCs w:val="18"/>
              </w:rPr>
            </w:pPr>
            <w:r w:rsidRPr="009D0F8D">
              <w:rPr>
                <w:rFonts w:eastAsia="MS Mincho"/>
                <w:sz w:val="18"/>
                <w:szCs w:val="18"/>
              </w:rPr>
              <w:t>Canada</w:t>
            </w:r>
          </w:p>
        </w:tc>
        <w:tc>
          <w:tcPr>
            <w:tcW w:w="4225" w:type="dxa"/>
          </w:tcPr>
          <w:p w14:paraId="1989EE25"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56FA4E7E" w14:textId="77777777" w:rsidTr="009D0F8D">
        <w:trPr>
          <w:trHeight w:val="57"/>
          <w:jc w:val="right"/>
        </w:trPr>
        <w:tc>
          <w:tcPr>
            <w:tcW w:w="2435" w:type="dxa"/>
          </w:tcPr>
          <w:p w14:paraId="19E6CE78" w14:textId="77777777" w:rsidR="009D0F8D" w:rsidRPr="009D0F8D" w:rsidRDefault="009D0F8D" w:rsidP="009D0F8D">
            <w:pPr>
              <w:pStyle w:val="Normal-pool"/>
              <w:spacing w:before="40" w:after="40"/>
              <w:rPr>
                <w:sz w:val="18"/>
                <w:szCs w:val="18"/>
              </w:rPr>
            </w:pPr>
            <w:r w:rsidRPr="009D0F8D">
              <w:rPr>
                <w:rFonts w:eastAsia="MS Mincho"/>
                <w:sz w:val="18"/>
                <w:szCs w:val="18"/>
              </w:rPr>
              <w:t>Henrique Pereira</w:t>
            </w:r>
          </w:p>
        </w:tc>
        <w:tc>
          <w:tcPr>
            <w:tcW w:w="1620" w:type="dxa"/>
          </w:tcPr>
          <w:p w14:paraId="468B8B97" w14:textId="77777777" w:rsidR="009D0F8D" w:rsidRPr="009D0F8D" w:rsidRDefault="009D0F8D" w:rsidP="009D0F8D">
            <w:pPr>
              <w:pStyle w:val="Normal-pool"/>
              <w:spacing w:before="40" w:after="40"/>
              <w:rPr>
                <w:sz w:val="18"/>
                <w:szCs w:val="18"/>
              </w:rPr>
            </w:pPr>
            <w:r w:rsidRPr="009D0F8D">
              <w:rPr>
                <w:rFonts w:eastAsia="MS Mincho"/>
                <w:sz w:val="18"/>
                <w:szCs w:val="18"/>
              </w:rPr>
              <w:t>Portugal</w:t>
            </w:r>
          </w:p>
        </w:tc>
        <w:tc>
          <w:tcPr>
            <w:tcW w:w="4225" w:type="dxa"/>
          </w:tcPr>
          <w:p w14:paraId="7276E9F5"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39F8F484" w14:textId="77777777" w:rsidTr="009D0F8D">
        <w:trPr>
          <w:trHeight w:val="57"/>
          <w:jc w:val="right"/>
        </w:trPr>
        <w:tc>
          <w:tcPr>
            <w:tcW w:w="2435" w:type="dxa"/>
          </w:tcPr>
          <w:p w14:paraId="5BA22697" w14:textId="77777777" w:rsidR="009D0F8D" w:rsidRPr="009D0F8D" w:rsidRDefault="009D0F8D" w:rsidP="009D0F8D">
            <w:pPr>
              <w:pStyle w:val="Normal-pool"/>
              <w:spacing w:before="40" w:after="40"/>
              <w:rPr>
                <w:sz w:val="18"/>
                <w:szCs w:val="18"/>
              </w:rPr>
            </w:pPr>
            <w:r w:rsidRPr="009D0F8D">
              <w:rPr>
                <w:rFonts w:eastAsia="MS Mincho"/>
                <w:sz w:val="18"/>
                <w:szCs w:val="18"/>
              </w:rPr>
              <w:t>William Cheung</w:t>
            </w:r>
          </w:p>
        </w:tc>
        <w:tc>
          <w:tcPr>
            <w:tcW w:w="1620" w:type="dxa"/>
          </w:tcPr>
          <w:p w14:paraId="76AF617E" w14:textId="77777777" w:rsidR="009D0F8D" w:rsidRPr="009D0F8D" w:rsidRDefault="009D0F8D" w:rsidP="009D0F8D">
            <w:pPr>
              <w:pStyle w:val="Normal-pool"/>
              <w:spacing w:before="40" w:after="40"/>
              <w:rPr>
                <w:sz w:val="18"/>
                <w:szCs w:val="18"/>
              </w:rPr>
            </w:pPr>
            <w:r w:rsidRPr="009D0F8D">
              <w:rPr>
                <w:rFonts w:eastAsia="MS Mincho"/>
                <w:sz w:val="18"/>
                <w:szCs w:val="18"/>
              </w:rPr>
              <w:t>Canada</w:t>
            </w:r>
          </w:p>
        </w:tc>
        <w:tc>
          <w:tcPr>
            <w:tcW w:w="4225" w:type="dxa"/>
          </w:tcPr>
          <w:p w14:paraId="413C1B88"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74F10C1F" w14:textId="77777777" w:rsidTr="009D0F8D">
        <w:trPr>
          <w:trHeight w:val="57"/>
          <w:jc w:val="right"/>
        </w:trPr>
        <w:tc>
          <w:tcPr>
            <w:tcW w:w="2435" w:type="dxa"/>
          </w:tcPr>
          <w:p w14:paraId="1EC94A11" w14:textId="77777777" w:rsidR="009D0F8D" w:rsidRPr="009D0F8D" w:rsidRDefault="009D0F8D" w:rsidP="009D0F8D">
            <w:pPr>
              <w:pStyle w:val="Normal-pool"/>
              <w:spacing w:before="40" w:after="40"/>
              <w:rPr>
                <w:sz w:val="18"/>
                <w:szCs w:val="18"/>
              </w:rPr>
            </w:pPr>
            <w:r w:rsidRPr="009D0F8D">
              <w:rPr>
                <w:rFonts w:eastAsia="MS Mincho"/>
                <w:sz w:val="18"/>
                <w:szCs w:val="18"/>
              </w:rPr>
              <w:t xml:space="preserve">Paul </w:t>
            </w:r>
            <w:proofErr w:type="spellStart"/>
            <w:r w:rsidRPr="009D0F8D">
              <w:rPr>
                <w:rFonts w:eastAsia="MS Mincho"/>
                <w:sz w:val="18"/>
                <w:szCs w:val="18"/>
              </w:rPr>
              <w:t>Leadley</w:t>
            </w:r>
            <w:proofErr w:type="spellEnd"/>
          </w:p>
        </w:tc>
        <w:tc>
          <w:tcPr>
            <w:tcW w:w="1620" w:type="dxa"/>
          </w:tcPr>
          <w:p w14:paraId="2B2B270C" w14:textId="77777777" w:rsidR="009D0F8D" w:rsidRPr="009D0F8D" w:rsidRDefault="009D0F8D" w:rsidP="009D0F8D">
            <w:pPr>
              <w:pStyle w:val="Normal-pool"/>
              <w:spacing w:before="40" w:after="40"/>
              <w:rPr>
                <w:sz w:val="18"/>
                <w:szCs w:val="18"/>
              </w:rPr>
            </w:pPr>
            <w:r w:rsidRPr="009D0F8D">
              <w:rPr>
                <w:rFonts w:eastAsia="MS Mincho"/>
                <w:sz w:val="18"/>
                <w:szCs w:val="18"/>
              </w:rPr>
              <w:t>France</w:t>
            </w:r>
          </w:p>
        </w:tc>
        <w:tc>
          <w:tcPr>
            <w:tcW w:w="4225" w:type="dxa"/>
          </w:tcPr>
          <w:p w14:paraId="3185CC08"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1BFA0CAD" w14:textId="77777777" w:rsidTr="009D0F8D">
        <w:trPr>
          <w:trHeight w:val="57"/>
          <w:jc w:val="right"/>
        </w:trPr>
        <w:tc>
          <w:tcPr>
            <w:tcW w:w="2435" w:type="dxa"/>
          </w:tcPr>
          <w:p w14:paraId="5E6AEA76" w14:textId="77777777" w:rsidR="009D0F8D" w:rsidRPr="009D0F8D" w:rsidRDefault="009D0F8D" w:rsidP="009D0F8D">
            <w:pPr>
              <w:pStyle w:val="Normal-pool"/>
              <w:spacing w:before="40" w:after="40"/>
              <w:rPr>
                <w:sz w:val="18"/>
                <w:szCs w:val="18"/>
              </w:rPr>
            </w:pPr>
            <w:r w:rsidRPr="009D0F8D">
              <w:rPr>
                <w:rFonts w:eastAsia="MS Mincho"/>
                <w:sz w:val="18"/>
                <w:szCs w:val="18"/>
              </w:rPr>
              <w:t>Paula Harrison</w:t>
            </w:r>
          </w:p>
        </w:tc>
        <w:tc>
          <w:tcPr>
            <w:tcW w:w="1620" w:type="dxa"/>
          </w:tcPr>
          <w:p w14:paraId="46B18B9B" w14:textId="77777777" w:rsidR="009D0F8D" w:rsidRPr="009D0F8D" w:rsidRDefault="009D0F8D" w:rsidP="009D0F8D">
            <w:pPr>
              <w:pStyle w:val="Normal-pool"/>
              <w:spacing w:before="40" w:after="40"/>
              <w:rPr>
                <w:sz w:val="18"/>
                <w:szCs w:val="18"/>
              </w:rPr>
            </w:pPr>
            <w:r w:rsidRPr="009D0F8D">
              <w:rPr>
                <w:rFonts w:eastAsia="MS Mincho"/>
                <w:sz w:val="18"/>
                <w:szCs w:val="18"/>
              </w:rPr>
              <w:t>United Kingdom of Great Britain and Northern Ireland</w:t>
            </w:r>
          </w:p>
        </w:tc>
        <w:tc>
          <w:tcPr>
            <w:tcW w:w="4225" w:type="dxa"/>
          </w:tcPr>
          <w:p w14:paraId="244591E0"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64DEA5C6" w14:textId="77777777" w:rsidTr="009D0F8D">
        <w:trPr>
          <w:trHeight w:val="57"/>
          <w:jc w:val="right"/>
        </w:trPr>
        <w:tc>
          <w:tcPr>
            <w:tcW w:w="2435" w:type="dxa"/>
          </w:tcPr>
          <w:p w14:paraId="62C51B91" w14:textId="77777777" w:rsidR="009D0F8D" w:rsidRPr="009D0F8D" w:rsidRDefault="009D0F8D" w:rsidP="009D0F8D">
            <w:pPr>
              <w:pStyle w:val="Normal-pool"/>
              <w:spacing w:before="40" w:after="40"/>
              <w:rPr>
                <w:sz w:val="18"/>
                <w:szCs w:val="18"/>
              </w:rPr>
            </w:pPr>
            <w:r w:rsidRPr="009D0F8D">
              <w:rPr>
                <w:rFonts w:eastAsia="MS Mincho"/>
                <w:sz w:val="18"/>
                <w:szCs w:val="18"/>
                <w:lang w:val="nl-NL"/>
              </w:rPr>
              <w:t>Sylvia Karlsson-Vinkhuyzen</w:t>
            </w:r>
          </w:p>
        </w:tc>
        <w:tc>
          <w:tcPr>
            <w:tcW w:w="1620" w:type="dxa"/>
          </w:tcPr>
          <w:p w14:paraId="3EBF77E5" w14:textId="77777777" w:rsidR="009D0F8D" w:rsidRPr="009D0F8D" w:rsidRDefault="009D0F8D" w:rsidP="009D0F8D">
            <w:pPr>
              <w:pStyle w:val="Normal-pool"/>
              <w:spacing w:before="40" w:after="40"/>
              <w:rPr>
                <w:sz w:val="18"/>
                <w:szCs w:val="18"/>
              </w:rPr>
            </w:pPr>
            <w:r w:rsidRPr="009D0F8D">
              <w:rPr>
                <w:rFonts w:eastAsia="MS Mincho"/>
                <w:sz w:val="18"/>
                <w:szCs w:val="18"/>
                <w:lang w:val="nl-NL"/>
              </w:rPr>
              <w:t>Sweden</w:t>
            </w:r>
          </w:p>
        </w:tc>
        <w:tc>
          <w:tcPr>
            <w:tcW w:w="4225" w:type="dxa"/>
          </w:tcPr>
          <w:p w14:paraId="52676D73"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76FF2A4C" w14:textId="77777777" w:rsidTr="009D0F8D">
        <w:trPr>
          <w:trHeight w:val="57"/>
          <w:jc w:val="right"/>
        </w:trPr>
        <w:tc>
          <w:tcPr>
            <w:tcW w:w="2435" w:type="dxa"/>
          </w:tcPr>
          <w:p w14:paraId="4C8A8455" w14:textId="77777777" w:rsidR="009D0F8D" w:rsidRPr="00894338" w:rsidRDefault="009D0F8D" w:rsidP="009D0F8D">
            <w:pPr>
              <w:pStyle w:val="Normal-pool"/>
              <w:spacing w:before="40" w:after="40"/>
              <w:rPr>
                <w:sz w:val="18"/>
                <w:szCs w:val="18"/>
                <w:lang w:val="es-ES_tradnl"/>
              </w:rPr>
            </w:pPr>
            <w:r w:rsidRPr="00894338">
              <w:rPr>
                <w:rFonts w:eastAsia="MS Mincho"/>
                <w:sz w:val="18"/>
                <w:szCs w:val="18"/>
                <w:lang w:val="es-ES_tradnl"/>
              </w:rPr>
              <w:t xml:space="preserve">Ana Paula </w:t>
            </w:r>
            <w:proofErr w:type="spellStart"/>
            <w:r w:rsidRPr="00894338">
              <w:rPr>
                <w:rFonts w:eastAsia="MS Mincho"/>
                <w:sz w:val="18"/>
                <w:szCs w:val="18"/>
                <w:lang w:val="es-ES_tradnl"/>
              </w:rPr>
              <w:t>Dutra</w:t>
            </w:r>
            <w:proofErr w:type="spellEnd"/>
            <w:r w:rsidRPr="00894338">
              <w:rPr>
                <w:rFonts w:eastAsia="MS Mincho"/>
                <w:sz w:val="18"/>
                <w:szCs w:val="18"/>
                <w:lang w:val="es-ES_tradnl"/>
              </w:rPr>
              <w:t xml:space="preserve"> De Aguiar</w:t>
            </w:r>
          </w:p>
        </w:tc>
        <w:tc>
          <w:tcPr>
            <w:tcW w:w="1620" w:type="dxa"/>
          </w:tcPr>
          <w:p w14:paraId="79037DD4" w14:textId="77777777" w:rsidR="009D0F8D" w:rsidRPr="009D0F8D" w:rsidRDefault="009D0F8D" w:rsidP="009D0F8D">
            <w:pPr>
              <w:pStyle w:val="Normal-pool"/>
              <w:spacing w:before="40" w:after="40"/>
              <w:rPr>
                <w:sz w:val="18"/>
                <w:szCs w:val="18"/>
              </w:rPr>
            </w:pPr>
            <w:r w:rsidRPr="009D0F8D">
              <w:rPr>
                <w:rFonts w:eastAsia="MS Mincho"/>
                <w:sz w:val="18"/>
                <w:szCs w:val="18"/>
              </w:rPr>
              <w:t>Brazil</w:t>
            </w:r>
          </w:p>
        </w:tc>
        <w:tc>
          <w:tcPr>
            <w:tcW w:w="4225" w:type="dxa"/>
          </w:tcPr>
          <w:p w14:paraId="15FF1CC3"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47567C2B" w14:textId="77777777" w:rsidTr="009D0F8D">
        <w:trPr>
          <w:trHeight w:val="57"/>
          <w:jc w:val="right"/>
        </w:trPr>
        <w:tc>
          <w:tcPr>
            <w:tcW w:w="2435" w:type="dxa"/>
          </w:tcPr>
          <w:p w14:paraId="36068E0F" w14:textId="77777777" w:rsidR="009D0F8D" w:rsidRPr="009D0F8D" w:rsidRDefault="009D0F8D" w:rsidP="009D0F8D">
            <w:pPr>
              <w:pStyle w:val="Normal-pool"/>
              <w:spacing w:before="40" w:after="40"/>
              <w:rPr>
                <w:sz w:val="18"/>
                <w:szCs w:val="18"/>
              </w:rPr>
            </w:pPr>
            <w:r w:rsidRPr="009D0F8D">
              <w:rPr>
                <w:rFonts w:eastAsia="MS Mincho"/>
                <w:sz w:val="18"/>
                <w:szCs w:val="18"/>
              </w:rPr>
              <w:t xml:space="preserve">Polina </w:t>
            </w:r>
            <w:proofErr w:type="spellStart"/>
            <w:r w:rsidRPr="009D0F8D">
              <w:rPr>
                <w:rFonts w:eastAsia="MS Mincho"/>
                <w:sz w:val="18"/>
                <w:szCs w:val="18"/>
              </w:rPr>
              <w:t>Shulbaeva</w:t>
            </w:r>
            <w:proofErr w:type="spellEnd"/>
          </w:p>
        </w:tc>
        <w:tc>
          <w:tcPr>
            <w:tcW w:w="1620" w:type="dxa"/>
          </w:tcPr>
          <w:p w14:paraId="3484B762" w14:textId="77777777" w:rsidR="009D0F8D" w:rsidRPr="009D0F8D" w:rsidRDefault="009D0F8D" w:rsidP="009D0F8D">
            <w:pPr>
              <w:pStyle w:val="Normal-pool"/>
              <w:spacing w:before="40" w:after="40"/>
              <w:rPr>
                <w:sz w:val="18"/>
                <w:szCs w:val="18"/>
              </w:rPr>
            </w:pPr>
            <w:r w:rsidRPr="009D0F8D">
              <w:rPr>
                <w:rFonts w:eastAsia="MS Mincho"/>
                <w:sz w:val="18"/>
                <w:szCs w:val="18"/>
              </w:rPr>
              <w:t>Russian Federation</w:t>
            </w:r>
          </w:p>
        </w:tc>
        <w:tc>
          <w:tcPr>
            <w:tcW w:w="4225" w:type="dxa"/>
          </w:tcPr>
          <w:p w14:paraId="627BED96"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11675728" w14:textId="77777777" w:rsidTr="009D0F8D">
        <w:trPr>
          <w:trHeight w:val="57"/>
          <w:jc w:val="right"/>
        </w:trPr>
        <w:tc>
          <w:tcPr>
            <w:tcW w:w="2435" w:type="dxa"/>
          </w:tcPr>
          <w:p w14:paraId="5BE64DF1" w14:textId="77777777" w:rsidR="009D0F8D" w:rsidRPr="009D0F8D" w:rsidRDefault="009D0F8D" w:rsidP="009D0F8D">
            <w:pPr>
              <w:pStyle w:val="Normal-pool"/>
              <w:spacing w:before="40" w:after="40"/>
              <w:rPr>
                <w:sz w:val="18"/>
                <w:szCs w:val="18"/>
              </w:rPr>
            </w:pPr>
            <w:r w:rsidRPr="009D0F8D">
              <w:rPr>
                <w:rFonts w:eastAsia="MS Mincho"/>
                <w:sz w:val="18"/>
                <w:szCs w:val="18"/>
              </w:rPr>
              <w:t>Vacant</w:t>
            </w:r>
          </w:p>
        </w:tc>
        <w:tc>
          <w:tcPr>
            <w:tcW w:w="1620" w:type="dxa"/>
          </w:tcPr>
          <w:p w14:paraId="2D490BF7" w14:textId="77777777" w:rsidR="009D0F8D" w:rsidRPr="009D0F8D" w:rsidRDefault="009D0F8D" w:rsidP="009D0F8D">
            <w:pPr>
              <w:pStyle w:val="Normal-pool"/>
              <w:spacing w:before="40" w:after="40"/>
              <w:rPr>
                <w:sz w:val="18"/>
                <w:szCs w:val="18"/>
              </w:rPr>
            </w:pPr>
          </w:p>
        </w:tc>
        <w:tc>
          <w:tcPr>
            <w:tcW w:w="4225" w:type="dxa"/>
          </w:tcPr>
          <w:p w14:paraId="665CCE68" w14:textId="77777777" w:rsidR="009D0F8D" w:rsidRPr="009D0F8D" w:rsidRDefault="009D0F8D" w:rsidP="009D0F8D">
            <w:pPr>
              <w:pStyle w:val="Normal-pool"/>
              <w:spacing w:before="40" w:after="40"/>
              <w:rPr>
                <w:sz w:val="18"/>
                <w:szCs w:val="18"/>
              </w:rPr>
            </w:pPr>
            <w:r w:rsidRPr="009D0F8D">
              <w:rPr>
                <w:sz w:val="18"/>
                <w:szCs w:val="18"/>
              </w:rPr>
              <w:t>Expert</w:t>
            </w:r>
          </w:p>
        </w:tc>
      </w:tr>
      <w:tr w:rsidR="009D0F8D" w:rsidRPr="009D0F8D" w14:paraId="5D0BFADA" w14:textId="77777777" w:rsidTr="009D0F8D">
        <w:trPr>
          <w:trHeight w:val="57"/>
          <w:jc w:val="right"/>
        </w:trPr>
        <w:tc>
          <w:tcPr>
            <w:tcW w:w="2435" w:type="dxa"/>
          </w:tcPr>
          <w:p w14:paraId="4487582C" w14:textId="77777777" w:rsidR="009D0F8D" w:rsidRPr="009D0F8D" w:rsidRDefault="009D0F8D" w:rsidP="009D0F8D">
            <w:pPr>
              <w:pStyle w:val="Normal-pool"/>
              <w:spacing w:before="40" w:after="40"/>
              <w:rPr>
                <w:sz w:val="18"/>
                <w:szCs w:val="18"/>
              </w:rPr>
            </w:pPr>
            <w:r w:rsidRPr="009D0F8D">
              <w:rPr>
                <w:rFonts w:eastAsia="MS Mincho"/>
                <w:sz w:val="18"/>
                <w:szCs w:val="18"/>
              </w:rPr>
              <w:lastRenderedPageBreak/>
              <w:t>América Paz Durán</w:t>
            </w:r>
          </w:p>
        </w:tc>
        <w:tc>
          <w:tcPr>
            <w:tcW w:w="1620" w:type="dxa"/>
          </w:tcPr>
          <w:p w14:paraId="174E6422" w14:textId="77777777" w:rsidR="009D0F8D" w:rsidRPr="009D0F8D" w:rsidRDefault="009D0F8D" w:rsidP="009D0F8D">
            <w:pPr>
              <w:pStyle w:val="Normal-pool"/>
              <w:spacing w:before="40" w:after="40"/>
              <w:rPr>
                <w:sz w:val="18"/>
                <w:szCs w:val="18"/>
              </w:rPr>
            </w:pPr>
            <w:r w:rsidRPr="009D0F8D">
              <w:rPr>
                <w:rFonts w:eastAsia="MS Mincho"/>
                <w:sz w:val="18"/>
                <w:szCs w:val="18"/>
              </w:rPr>
              <w:t>Chile</w:t>
            </w:r>
          </w:p>
        </w:tc>
        <w:tc>
          <w:tcPr>
            <w:tcW w:w="4225" w:type="dxa"/>
          </w:tcPr>
          <w:p w14:paraId="35641F27" w14:textId="77777777" w:rsidR="009D0F8D" w:rsidRPr="009D0F8D" w:rsidRDefault="009D0F8D" w:rsidP="009D0F8D">
            <w:pPr>
              <w:pStyle w:val="Normal-pool"/>
              <w:spacing w:before="40" w:after="40"/>
              <w:rPr>
                <w:sz w:val="18"/>
                <w:szCs w:val="18"/>
              </w:rPr>
            </w:pPr>
            <w:r w:rsidRPr="009D0F8D">
              <w:rPr>
                <w:sz w:val="18"/>
                <w:szCs w:val="18"/>
              </w:rPr>
              <w:t>Fellow</w:t>
            </w:r>
          </w:p>
        </w:tc>
      </w:tr>
      <w:tr w:rsidR="009D0F8D" w:rsidRPr="009D0F8D" w14:paraId="3CECC21D" w14:textId="77777777" w:rsidTr="009D0F8D">
        <w:trPr>
          <w:trHeight w:val="57"/>
          <w:jc w:val="right"/>
        </w:trPr>
        <w:tc>
          <w:tcPr>
            <w:tcW w:w="2435" w:type="dxa"/>
          </w:tcPr>
          <w:p w14:paraId="2FA35550" w14:textId="77777777" w:rsidR="009D0F8D" w:rsidRPr="009D0F8D" w:rsidRDefault="009D0F8D" w:rsidP="009D0F8D">
            <w:pPr>
              <w:pStyle w:val="Normal-pool"/>
              <w:spacing w:before="40" w:after="40"/>
              <w:rPr>
                <w:sz w:val="18"/>
                <w:szCs w:val="18"/>
              </w:rPr>
            </w:pPr>
            <w:r w:rsidRPr="009D0F8D">
              <w:rPr>
                <w:rFonts w:eastAsia="MS Mincho"/>
                <w:sz w:val="18"/>
                <w:szCs w:val="18"/>
              </w:rPr>
              <w:t xml:space="preserve">Jan </w:t>
            </w:r>
            <w:proofErr w:type="spellStart"/>
            <w:r w:rsidRPr="009D0F8D">
              <w:rPr>
                <w:rFonts w:eastAsia="MS Mincho"/>
                <w:sz w:val="18"/>
                <w:szCs w:val="18"/>
              </w:rPr>
              <w:t>Kuijper</w:t>
            </w:r>
            <w:proofErr w:type="spellEnd"/>
          </w:p>
        </w:tc>
        <w:tc>
          <w:tcPr>
            <w:tcW w:w="1620" w:type="dxa"/>
          </w:tcPr>
          <w:p w14:paraId="280CA8EB" w14:textId="77777777" w:rsidR="009D0F8D" w:rsidRPr="009D0F8D" w:rsidRDefault="009D0F8D" w:rsidP="009D0F8D">
            <w:pPr>
              <w:pStyle w:val="Normal-pool"/>
              <w:spacing w:before="40" w:after="40"/>
              <w:rPr>
                <w:sz w:val="18"/>
                <w:szCs w:val="18"/>
              </w:rPr>
            </w:pPr>
            <w:r w:rsidRPr="009D0F8D">
              <w:rPr>
                <w:rFonts w:eastAsia="MS Mincho"/>
                <w:sz w:val="18"/>
                <w:szCs w:val="18"/>
              </w:rPr>
              <w:t xml:space="preserve">The Netherlands </w:t>
            </w:r>
          </w:p>
        </w:tc>
        <w:tc>
          <w:tcPr>
            <w:tcW w:w="4225" w:type="dxa"/>
          </w:tcPr>
          <w:p w14:paraId="08B90475" w14:textId="77777777" w:rsidR="009D0F8D" w:rsidRPr="009D0F8D" w:rsidRDefault="009D0F8D" w:rsidP="009D0F8D">
            <w:pPr>
              <w:pStyle w:val="Normal-pool"/>
              <w:spacing w:before="40" w:after="40"/>
              <w:rPr>
                <w:sz w:val="18"/>
                <w:szCs w:val="18"/>
              </w:rPr>
            </w:pPr>
            <w:r w:rsidRPr="009D0F8D">
              <w:rPr>
                <w:sz w:val="18"/>
                <w:szCs w:val="18"/>
              </w:rPr>
              <w:t>Fellow</w:t>
            </w:r>
          </w:p>
        </w:tc>
      </w:tr>
      <w:tr w:rsidR="009D0F8D" w:rsidRPr="009D0F8D" w14:paraId="61498EE9" w14:textId="77777777" w:rsidTr="009D0F8D">
        <w:trPr>
          <w:trHeight w:val="57"/>
          <w:jc w:val="right"/>
        </w:trPr>
        <w:tc>
          <w:tcPr>
            <w:tcW w:w="2435" w:type="dxa"/>
          </w:tcPr>
          <w:p w14:paraId="61DFA28F" w14:textId="77777777" w:rsidR="009D0F8D" w:rsidRPr="009D0F8D" w:rsidRDefault="009D0F8D" w:rsidP="009D0F8D">
            <w:pPr>
              <w:pStyle w:val="Normal-pool"/>
              <w:spacing w:before="40" w:after="40"/>
              <w:rPr>
                <w:sz w:val="18"/>
                <w:szCs w:val="18"/>
              </w:rPr>
            </w:pPr>
            <w:proofErr w:type="spellStart"/>
            <w:r w:rsidRPr="009D0F8D">
              <w:rPr>
                <w:rFonts w:eastAsia="MS Mincho"/>
                <w:sz w:val="18"/>
                <w:szCs w:val="18"/>
              </w:rPr>
              <w:t>HyeJin</w:t>
            </w:r>
            <w:proofErr w:type="spellEnd"/>
            <w:r w:rsidRPr="009D0F8D">
              <w:rPr>
                <w:rFonts w:eastAsia="MS Mincho"/>
                <w:sz w:val="18"/>
                <w:szCs w:val="18"/>
              </w:rPr>
              <w:t xml:space="preserve"> Kim</w:t>
            </w:r>
          </w:p>
        </w:tc>
        <w:tc>
          <w:tcPr>
            <w:tcW w:w="1620" w:type="dxa"/>
          </w:tcPr>
          <w:p w14:paraId="5B6C217D" w14:textId="77777777" w:rsidR="009D0F8D" w:rsidRPr="009D0F8D" w:rsidRDefault="009D0F8D" w:rsidP="009D0F8D">
            <w:pPr>
              <w:pStyle w:val="Normal-pool"/>
              <w:spacing w:before="40" w:after="40"/>
              <w:rPr>
                <w:sz w:val="18"/>
                <w:szCs w:val="18"/>
              </w:rPr>
            </w:pPr>
            <w:r w:rsidRPr="009D0F8D">
              <w:rPr>
                <w:rFonts w:eastAsia="MS Mincho"/>
                <w:sz w:val="18"/>
                <w:szCs w:val="18"/>
              </w:rPr>
              <w:t>Republic of Korea</w:t>
            </w:r>
          </w:p>
        </w:tc>
        <w:tc>
          <w:tcPr>
            <w:tcW w:w="4225" w:type="dxa"/>
          </w:tcPr>
          <w:p w14:paraId="5E4D9492" w14:textId="77777777" w:rsidR="009D0F8D" w:rsidRPr="009D0F8D" w:rsidRDefault="009D0F8D" w:rsidP="009D0F8D">
            <w:pPr>
              <w:pStyle w:val="Normal-pool"/>
              <w:spacing w:before="40" w:after="40"/>
              <w:rPr>
                <w:sz w:val="18"/>
                <w:szCs w:val="18"/>
              </w:rPr>
            </w:pPr>
            <w:r w:rsidRPr="009D0F8D">
              <w:rPr>
                <w:sz w:val="18"/>
                <w:szCs w:val="18"/>
              </w:rPr>
              <w:t>Fellow</w:t>
            </w:r>
          </w:p>
        </w:tc>
      </w:tr>
      <w:tr w:rsidR="009D0F8D" w:rsidRPr="009D0F8D" w14:paraId="0E75745C" w14:textId="77777777" w:rsidTr="009D0F8D">
        <w:trPr>
          <w:trHeight w:val="57"/>
          <w:jc w:val="right"/>
        </w:trPr>
        <w:tc>
          <w:tcPr>
            <w:tcW w:w="2435" w:type="dxa"/>
          </w:tcPr>
          <w:p w14:paraId="5DFC73BC" w14:textId="77777777" w:rsidR="009D0F8D" w:rsidRPr="009D0F8D" w:rsidRDefault="009D0F8D" w:rsidP="009D0F8D">
            <w:pPr>
              <w:pStyle w:val="Normal-pool"/>
              <w:spacing w:before="40" w:after="40"/>
              <w:rPr>
                <w:sz w:val="18"/>
                <w:szCs w:val="18"/>
              </w:rPr>
            </w:pPr>
            <w:proofErr w:type="spellStart"/>
            <w:r w:rsidRPr="009D0F8D">
              <w:rPr>
                <w:rFonts w:eastAsia="MS Mincho"/>
                <w:sz w:val="18"/>
                <w:szCs w:val="18"/>
              </w:rPr>
              <w:t>Ghassen</w:t>
            </w:r>
            <w:proofErr w:type="spellEnd"/>
            <w:r w:rsidRPr="009D0F8D">
              <w:rPr>
                <w:rFonts w:eastAsia="MS Mincho"/>
                <w:sz w:val="18"/>
                <w:szCs w:val="18"/>
              </w:rPr>
              <w:t xml:space="preserve"> </w:t>
            </w:r>
            <w:proofErr w:type="spellStart"/>
            <w:r w:rsidRPr="009D0F8D">
              <w:rPr>
                <w:rFonts w:eastAsia="MS Mincho"/>
                <w:sz w:val="18"/>
                <w:szCs w:val="18"/>
              </w:rPr>
              <w:t>Halouani</w:t>
            </w:r>
            <w:proofErr w:type="spellEnd"/>
          </w:p>
        </w:tc>
        <w:tc>
          <w:tcPr>
            <w:tcW w:w="1620" w:type="dxa"/>
          </w:tcPr>
          <w:p w14:paraId="38F0CD23" w14:textId="77777777" w:rsidR="009D0F8D" w:rsidRPr="009D0F8D" w:rsidRDefault="009D0F8D" w:rsidP="009D0F8D">
            <w:pPr>
              <w:pStyle w:val="Normal-pool"/>
              <w:spacing w:before="40" w:after="40"/>
              <w:rPr>
                <w:sz w:val="18"/>
                <w:szCs w:val="18"/>
              </w:rPr>
            </w:pPr>
            <w:r w:rsidRPr="009D0F8D">
              <w:rPr>
                <w:rFonts w:eastAsia="MS Mincho"/>
                <w:sz w:val="18"/>
                <w:szCs w:val="18"/>
              </w:rPr>
              <w:t xml:space="preserve">Tunisia </w:t>
            </w:r>
          </w:p>
        </w:tc>
        <w:tc>
          <w:tcPr>
            <w:tcW w:w="4225" w:type="dxa"/>
          </w:tcPr>
          <w:p w14:paraId="08FA8964" w14:textId="77777777" w:rsidR="009D0F8D" w:rsidRPr="009D0F8D" w:rsidRDefault="009D0F8D" w:rsidP="009D0F8D">
            <w:pPr>
              <w:pStyle w:val="Normal-pool"/>
              <w:spacing w:before="40" w:after="40"/>
              <w:rPr>
                <w:sz w:val="18"/>
                <w:szCs w:val="18"/>
              </w:rPr>
            </w:pPr>
            <w:r w:rsidRPr="009D0F8D">
              <w:rPr>
                <w:sz w:val="18"/>
                <w:szCs w:val="18"/>
              </w:rPr>
              <w:t>Fellow</w:t>
            </w:r>
          </w:p>
        </w:tc>
      </w:tr>
      <w:tr w:rsidR="009D0F8D" w:rsidRPr="009D0F8D" w14:paraId="593280D0" w14:textId="77777777" w:rsidTr="009D0F8D">
        <w:trPr>
          <w:trHeight w:val="57"/>
          <w:jc w:val="right"/>
        </w:trPr>
        <w:tc>
          <w:tcPr>
            <w:tcW w:w="2435" w:type="dxa"/>
            <w:tcBorders>
              <w:bottom w:val="single" w:sz="12" w:space="0" w:color="auto"/>
            </w:tcBorders>
          </w:tcPr>
          <w:p w14:paraId="4AFD9549" w14:textId="77777777" w:rsidR="009D0F8D" w:rsidRPr="009D0F8D" w:rsidRDefault="009D0F8D" w:rsidP="009D0F8D">
            <w:pPr>
              <w:pStyle w:val="Normal-pool"/>
              <w:spacing w:before="40" w:after="40"/>
              <w:rPr>
                <w:sz w:val="18"/>
                <w:szCs w:val="18"/>
              </w:rPr>
            </w:pPr>
            <w:r w:rsidRPr="009D0F8D">
              <w:rPr>
                <w:rFonts w:eastAsia="MS Mincho"/>
                <w:sz w:val="18"/>
                <w:szCs w:val="18"/>
              </w:rPr>
              <w:t>Brian Miller</w:t>
            </w:r>
          </w:p>
        </w:tc>
        <w:tc>
          <w:tcPr>
            <w:tcW w:w="1620" w:type="dxa"/>
            <w:tcBorders>
              <w:bottom w:val="single" w:sz="12" w:space="0" w:color="auto"/>
            </w:tcBorders>
          </w:tcPr>
          <w:p w14:paraId="7D54DD45" w14:textId="77777777" w:rsidR="009D0F8D" w:rsidRPr="009D0F8D" w:rsidRDefault="009D0F8D" w:rsidP="009D0F8D">
            <w:pPr>
              <w:pStyle w:val="Normal-pool"/>
              <w:spacing w:before="40" w:after="40"/>
              <w:rPr>
                <w:sz w:val="18"/>
                <w:szCs w:val="18"/>
              </w:rPr>
            </w:pPr>
            <w:r w:rsidRPr="009D0F8D">
              <w:rPr>
                <w:rFonts w:eastAsia="MS Mincho"/>
                <w:sz w:val="18"/>
                <w:szCs w:val="18"/>
              </w:rPr>
              <w:t>United States of America</w:t>
            </w:r>
          </w:p>
        </w:tc>
        <w:tc>
          <w:tcPr>
            <w:tcW w:w="4225" w:type="dxa"/>
            <w:tcBorders>
              <w:bottom w:val="single" w:sz="12" w:space="0" w:color="auto"/>
            </w:tcBorders>
          </w:tcPr>
          <w:p w14:paraId="3BB99268" w14:textId="77777777" w:rsidR="009D0F8D" w:rsidRPr="009D0F8D" w:rsidRDefault="009D0F8D" w:rsidP="009D0F8D">
            <w:pPr>
              <w:pStyle w:val="Normal-pool"/>
              <w:spacing w:before="40" w:after="40"/>
              <w:rPr>
                <w:sz w:val="18"/>
                <w:szCs w:val="18"/>
              </w:rPr>
            </w:pPr>
            <w:r w:rsidRPr="009D0F8D">
              <w:rPr>
                <w:sz w:val="18"/>
                <w:szCs w:val="18"/>
              </w:rPr>
              <w:t>Fellow</w:t>
            </w:r>
          </w:p>
        </w:tc>
      </w:tr>
    </w:tbl>
    <w:p w14:paraId="01848E06" w14:textId="77777777" w:rsidR="009D0F8D" w:rsidRPr="00AD5B1F" w:rsidRDefault="009D0F8D" w:rsidP="0070758E">
      <w:pPr>
        <w:pStyle w:val="Normalnumber"/>
        <w:numPr>
          <w:ilvl w:val="0"/>
          <w:numId w:val="10"/>
        </w:numPr>
        <w:tabs>
          <w:tab w:val="clear" w:pos="1134"/>
        </w:tabs>
        <w:spacing w:before="240"/>
        <w:rPr>
          <w:color w:val="000000"/>
        </w:rPr>
      </w:pPr>
      <w:r w:rsidRPr="00AD5B1F">
        <w:rPr>
          <w:color w:val="000000"/>
        </w:rPr>
        <w:t>PBL – the Netherlands Environmental Assessment Agency, which had provided technical support to the Assessment of Scenarios and Models and to the expert group on scenarios and models that had been mandated to work between the fourth and seventh sessions of the Plenary, was selected by the Bureau at its 13th meeting to also provide technical support to the task force under the 2030 rolling work programme until the tenth session of the Plenary.</w:t>
      </w:r>
    </w:p>
    <w:p w14:paraId="55492337" w14:textId="77777777" w:rsidR="009D0F8D" w:rsidRPr="009D0F8D" w:rsidRDefault="009D0F8D" w:rsidP="009D0F8D">
      <w:pPr>
        <w:pStyle w:val="CH1"/>
        <w:rPr>
          <w:lang w:eastAsia="en-GB"/>
        </w:rPr>
      </w:pPr>
      <w:r w:rsidRPr="009D0F8D">
        <w:rPr>
          <w:lang w:eastAsia="en-GB"/>
        </w:rPr>
        <w:tab/>
        <w:t>II.</w:t>
      </w:r>
      <w:r w:rsidRPr="009D0F8D">
        <w:rPr>
          <w:lang w:eastAsia="en-GB"/>
        </w:rPr>
        <w:tab/>
        <w:t>First and second meetings of the task force</w:t>
      </w:r>
    </w:p>
    <w:p w14:paraId="71D8E72B" w14:textId="77777777" w:rsidR="009D0F8D" w:rsidRPr="00AD5B1F" w:rsidRDefault="009D0F8D" w:rsidP="00AD5B1F">
      <w:pPr>
        <w:pStyle w:val="Normalnumber"/>
        <w:numPr>
          <w:ilvl w:val="0"/>
          <w:numId w:val="10"/>
        </w:numPr>
        <w:tabs>
          <w:tab w:val="clear" w:pos="1134"/>
        </w:tabs>
        <w:rPr>
          <w:color w:val="000000"/>
        </w:rPr>
      </w:pPr>
      <w:r w:rsidRPr="00AD5B1F">
        <w:rPr>
          <w:color w:val="000000"/>
        </w:rPr>
        <w:t>The first meeting of the task force on scenarios and models under the rolling work programme of IPBES up to 2030 was organized jointly with the four other IPBES task forces in Bonn, Germany from 11 to 14 November 2019.</w:t>
      </w:r>
    </w:p>
    <w:p w14:paraId="29296165" w14:textId="77777777" w:rsidR="009D0F8D" w:rsidRPr="00AD5B1F" w:rsidRDefault="009D0F8D" w:rsidP="00AD5B1F">
      <w:pPr>
        <w:pStyle w:val="Normalnumber"/>
        <w:numPr>
          <w:ilvl w:val="0"/>
          <w:numId w:val="10"/>
        </w:numPr>
        <w:tabs>
          <w:tab w:val="clear" w:pos="1134"/>
        </w:tabs>
        <w:rPr>
          <w:color w:val="000000"/>
        </w:rPr>
      </w:pPr>
      <w:r w:rsidRPr="00AD5B1F">
        <w:rPr>
          <w:color w:val="000000"/>
        </w:rPr>
        <w:t>In response to the request by the Plenary in decision IPBES-7/1, the task force, at that meeting, prepared, and further developed in 2020, a set of draft deliverables for objective 4(b) of the IPBES rolling work programme up to 2030, supporting policy through advanced work on scenarios and models of biodiversity and ecosystem functions and services, as well as a suite of specific activities for the period until the eighth session of the Plenary and beyond.</w:t>
      </w:r>
    </w:p>
    <w:p w14:paraId="338A3470" w14:textId="77777777" w:rsidR="009D0F8D" w:rsidRPr="00AD5B1F" w:rsidRDefault="009D0F8D" w:rsidP="00AD5B1F">
      <w:pPr>
        <w:pStyle w:val="Normalnumber"/>
        <w:numPr>
          <w:ilvl w:val="0"/>
          <w:numId w:val="10"/>
        </w:numPr>
        <w:tabs>
          <w:tab w:val="clear" w:pos="1134"/>
        </w:tabs>
        <w:rPr>
          <w:color w:val="000000"/>
        </w:rPr>
      </w:pPr>
      <w:r w:rsidRPr="00AD5B1F">
        <w:rPr>
          <w:color w:val="000000"/>
        </w:rPr>
        <w:t>A second meeting of the task force on scenarios and models was held from 6 to 8 May 2020 to further develop a detailed work plan for the task force and to organize its work for the remainder of the year and to agree on the methodological steps in creating draft narratives that can be used in the review and dialogue consultations on the Nature Futures Framework.</w:t>
      </w:r>
    </w:p>
    <w:p w14:paraId="580A70DF" w14:textId="77777777" w:rsidR="009D0F8D" w:rsidRPr="009D0F8D" w:rsidRDefault="009D0F8D" w:rsidP="009D0F8D">
      <w:pPr>
        <w:pStyle w:val="CH1"/>
      </w:pPr>
      <w:r w:rsidRPr="009D0F8D">
        <w:rPr>
          <w:lang w:eastAsia="en-GB"/>
        </w:rPr>
        <w:tab/>
        <w:t>III.</w:t>
      </w:r>
      <w:r w:rsidRPr="009D0F8D">
        <w:rPr>
          <w:lang w:eastAsia="en-GB"/>
        </w:rPr>
        <w:tab/>
        <w:t>Progress in the implementation of objective 4(b): A</w:t>
      </w:r>
      <w:r w:rsidRPr="009D0F8D">
        <w:t>dvanced work on scenarios and models of biodiversity and ecosystem functions and services</w:t>
      </w:r>
    </w:p>
    <w:p w14:paraId="23990018" w14:textId="77777777" w:rsidR="009D0F8D" w:rsidRPr="009D0F8D" w:rsidRDefault="009D0F8D" w:rsidP="009D0F8D">
      <w:pPr>
        <w:pStyle w:val="CH2"/>
        <w:rPr>
          <w:rFonts w:eastAsia="Calibri"/>
        </w:rPr>
      </w:pPr>
      <w:r w:rsidRPr="009D0F8D">
        <w:tab/>
      </w:r>
      <w:r w:rsidRPr="009D0F8D">
        <w:rPr>
          <w:rFonts w:eastAsia="Calibri"/>
        </w:rPr>
        <w:t>A.</w:t>
      </w:r>
      <w:r w:rsidRPr="009D0F8D">
        <w:rPr>
          <w:rFonts w:eastAsia="Calibri"/>
        </w:rPr>
        <w:tab/>
        <w:t>Introduction and overview</w:t>
      </w:r>
    </w:p>
    <w:p w14:paraId="3FA54D78" w14:textId="77777777" w:rsidR="009D0F8D" w:rsidRPr="009D0F8D" w:rsidRDefault="009D0F8D" w:rsidP="00AD5B1F">
      <w:pPr>
        <w:pStyle w:val="Normalnumber"/>
        <w:numPr>
          <w:ilvl w:val="0"/>
          <w:numId w:val="10"/>
        </w:numPr>
        <w:tabs>
          <w:tab w:val="clear" w:pos="1134"/>
        </w:tabs>
      </w:pPr>
      <w:r w:rsidRPr="009D0F8D">
        <w:t xml:space="preserve">The </w:t>
      </w:r>
      <w:r w:rsidRPr="00AD5B1F">
        <w:rPr>
          <w:color w:val="000000"/>
        </w:rPr>
        <w:t>draft</w:t>
      </w:r>
      <w:r w:rsidRPr="009D0F8D">
        <w:t xml:space="preserve"> deliverables for objective 4(b) developed by the task force include:</w:t>
      </w:r>
    </w:p>
    <w:p w14:paraId="4399C9A3" w14:textId="77777777" w:rsidR="009D0F8D" w:rsidRPr="009D0F8D" w:rsidRDefault="009D0F8D" w:rsidP="00E75F0C">
      <w:pPr>
        <w:numPr>
          <w:ilvl w:val="1"/>
          <w:numId w:val="6"/>
        </w:numPr>
        <w:tabs>
          <w:tab w:val="clear" w:pos="1247"/>
          <w:tab w:val="clear" w:pos="1814"/>
          <w:tab w:val="clear" w:pos="2381"/>
          <w:tab w:val="clear" w:pos="2948"/>
          <w:tab w:val="clear" w:pos="3515"/>
        </w:tabs>
        <w:spacing w:after="120" w:line="276" w:lineRule="auto"/>
        <w:rPr>
          <w:lang w:val="en-GB"/>
        </w:rPr>
      </w:pPr>
      <w:r w:rsidRPr="009D0F8D">
        <w:rPr>
          <w:lang w:val="en-GB"/>
        </w:rPr>
        <w:t>Provide support to IPBES assessments on scenarios and models (draft deliverable 1);</w:t>
      </w:r>
    </w:p>
    <w:p w14:paraId="7DD95245" w14:textId="77777777" w:rsidR="009D0F8D" w:rsidRPr="009D0F8D" w:rsidRDefault="009D0F8D" w:rsidP="00E75F0C">
      <w:pPr>
        <w:numPr>
          <w:ilvl w:val="1"/>
          <w:numId w:val="6"/>
        </w:numPr>
        <w:tabs>
          <w:tab w:val="clear" w:pos="1247"/>
          <w:tab w:val="clear" w:pos="1814"/>
          <w:tab w:val="clear" w:pos="2381"/>
          <w:tab w:val="clear" w:pos="2948"/>
          <w:tab w:val="clear" w:pos="3515"/>
        </w:tabs>
        <w:spacing w:after="120" w:line="276" w:lineRule="auto"/>
        <w:rPr>
          <w:lang w:val="en-GB"/>
        </w:rPr>
      </w:pPr>
      <w:r w:rsidRPr="009D0F8D">
        <w:rPr>
          <w:lang w:val="en-GB"/>
        </w:rPr>
        <w:t>Catalyse the further development of scenarios and models for future IPBES assessments (draft deliverable 2);</w:t>
      </w:r>
    </w:p>
    <w:p w14:paraId="15361C07" w14:textId="77777777" w:rsidR="009D0F8D" w:rsidRPr="00AD5B1F" w:rsidRDefault="009D0F8D" w:rsidP="00AD5B1F">
      <w:pPr>
        <w:pStyle w:val="Normalnumber"/>
        <w:numPr>
          <w:ilvl w:val="0"/>
          <w:numId w:val="10"/>
        </w:numPr>
        <w:tabs>
          <w:tab w:val="clear" w:pos="1134"/>
        </w:tabs>
        <w:rPr>
          <w:color w:val="000000"/>
        </w:rPr>
      </w:pPr>
      <w:r w:rsidRPr="00AD5B1F">
        <w:rPr>
          <w:color w:val="000000"/>
        </w:rPr>
        <w:t>Deliverable 1 consists of the provision of support to IPBES assessments on scenarios and models by mobilizing experts for scoping processes and assessments, by supporting the review of drafts of assessments, providing advice to assessments, and coordinating and mobilizing input on scenarios and models for the assessments.</w:t>
      </w:r>
    </w:p>
    <w:p w14:paraId="57DDEEDD" w14:textId="77777777" w:rsidR="009D0F8D" w:rsidRPr="00AD5B1F" w:rsidRDefault="009D0F8D" w:rsidP="00AD5B1F">
      <w:pPr>
        <w:pStyle w:val="Normalnumber"/>
        <w:numPr>
          <w:ilvl w:val="0"/>
          <w:numId w:val="10"/>
        </w:numPr>
        <w:tabs>
          <w:tab w:val="clear" w:pos="1134"/>
        </w:tabs>
        <w:rPr>
          <w:color w:val="000000"/>
        </w:rPr>
      </w:pPr>
      <w:r w:rsidRPr="00AD5B1F">
        <w:rPr>
          <w:color w:val="000000"/>
        </w:rPr>
        <w:t xml:space="preserve">In order to catalyse the further development of scenarios and models for future IPBES assessments (deliverable 2), the task force has first developed the Nature Futures Framework (see appendix II for the most recent draft presentation of this framework), compatible with the IPBES conceptual framework. The task force designed this framework to allow the scientific community to develop new scenarios for future IPBES assessments, and the modelling communities to develop models to quantify the impact of such scenarios on biodiversity and nature’s contributions to people, building on the IPBES conceptual framework. The Nature Futures Framework could also be used by stakeholders and research communities in a qualitative manner, or by combining qualitative and quantitative approaches, to imagine examples of new, desirable futures for nature at multiple scales. </w:t>
      </w:r>
    </w:p>
    <w:p w14:paraId="78218892" w14:textId="77777777" w:rsidR="009D0F8D" w:rsidRPr="00AD5B1F" w:rsidRDefault="009D0F8D" w:rsidP="00AD5B1F">
      <w:pPr>
        <w:pStyle w:val="Normalnumber"/>
        <w:numPr>
          <w:ilvl w:val="0"/>
          <w:numId w:val="10"/>
        </w:numPr>
        <w:tabs>
          <w:tab w:val="clear" w:pos="1134"/>
        </w:tabs>
        <w:rPr>
          <w:color w:val="000000"/>
        </w:rPr>
      </w:pPr>
      <w:r w:rsidRPr="00AD5B1F">
        <w:rPr>
          <w:color w:val="000000"/>
        </w:rPr>
        <w:t xml:space="preserve">Progress in the provision of support on scenarios and models to IPBES assessments is set out in section B below; progress in the catalysation of the further development of scenarios and models for future IPBES assessments in section C below. </w:t>
      </w:r>
    </w:p>
    <w:p w14:paraId="398145A5" w14:textId="77777777" w:rsidR="009D0F8D" w:rsidRPr="00AD5B1F" w:rsidRDefault="009D0F8D" w:rsidP="00AD5B1F">
      <w:pPr>
        <w:pStyle w:val="Normalnumber"/>
        <w:numPr>
          <w:ilvl w:val="0"/>
          <w:numId w:val="10"/>
        </w:numPr>
        <w:tabs>
          <w:tab w:val="clear" w:pos="1134"/>
        </w:tabs>
        <w:rPr>
          <w:color w:val="000000"/>
        </w:rPr>
      </w:pPr>
      <w:r w:rsidRPr="00AD5B1F">
        <w:rPr>
          <w:color w:val="000000"/>
        </w:rPr>
        <w:lastRenderedPageBreak/>
        <w:t>An interim work plan for the intersessional period 2021/22 and a draft work plan for the intersessional period 2022/2023 are set out in document IPBES/8/7, including activities to support the understanding and use of, as well as contributions to the Nature Futures Framework by the wider community. Appendix III of the present note provides further details on the draft deliverables with proposed activities and an indicative timeline.</w:t>
      </w:r>
    </w:p>
    <w:p w14:paraId="2F59A77B" w14:textId="77777777" w:rsidR="009D0F8D" w:rsidRPr="009D0F8D" w:rsidRDefault="009D0F8D" w:rsidP="009D0F8D">
      <w:pPr>
        <w:pStyle w:val="CH2"/>
      </w:pPr>
      <w:r w:rsidRPr="009D0F8D">
        <w:tab/>
        <w:t>B.</w:t>
      </w:r>
      <w:r w:rsidRPr="009D0F8D">
        <w:tab/>
        <w:t>Progress in the provision of support on scenarios and models to IPBES assessments</w:t>
      </w:r>
      <w:r w:rsidRPr="009D0F8D">
        <w:rPr>
          <w:i/>
          <w:iCs/>
        </w:rPr>
        <w:t xml:space="preserve"> </w:t>
      </w:r>
    </w:p>
    <w:p w14:paraId="1D7AD9AD" w14:textId="77777777" w:rsidR="009D0F8D" w:rsidRPr="00AD5B1F" w:rsidRDefault="009D0F8D" w:rsidP="00AD5B1F">
      <w:pPr>
        <w:pStyle w:val="Normalnumber"/>
        <w:numPr>
          <w:ilvl w:val="0"/>
          <w:numId w:val="10"/>
        </w:numPr>
        <w:tabs>
          <w:tab w:val="clear" w:pos="1134"/>
        </w:tabs>
        <w:rPr>
          <w:color w:val="000000"/>
        </w:rPr>
      </w:pPr>
      <w:r w:rsidRPr="00AD5B1F">
        <w:rPr>
          <w:color w:val="000000"/>
        </w:rPr>
        <w:t xml:space="preserve">Two task force members participated as coordinating lead author and lead author in the assessment of the sustainable use of wild species and a task force member as review editor in the values assessment. </w:t>
      </w:r>
    </w:p>
    <w:p w14:paraId="0CFD79F9" w14:textId="77777777" w:rsidR="009D0F8D" w:rsidRPr="00AD5B1F" w:rsidRDefault="009D0F8D" w:rsidP="00AD5B1F">
      <w:pPr>
        <w:pStyle w:val="Normalnumber"/>
        <w:numPr>
          <w:ilvl w:val="0"/>
          <w:numId w:val="10"/>
        </w:numPr>
        <w:tabs>
          <w:tab w:val="clear" w:pos="1134"/>
        </w:tabs>
        <w:rPr>
          <w:color w:val="000000"/>
        </w:rPr>
      </w:pPr>
      <w:r w:rsidRPr="00AD5B1F">
        <w:rPr>
          <w:color w:val="000000"/>
        </w:rPr>
        <w:t>The task force on scenarios and models continued providing support to ongoing assessments, by participating in the review of the second order draft of the chapters and the first order draft of the summary for policymakers of the values assessment (March 2020). One task force member contributed to the internal review of the first order draft of the assessment of invasive alien species.</w:t>
      </w:r>
    </w:p>
    <w:p w14:paraId="733CFACE" w14:textId="77777777" w:rsidR="009D0F8D" w:rsidRPr="00AD5B1F" w:rsidRDefault="009D0F8D" w:rsidP="00AD5B1F">
      <w:pPr>
        <w:pStyle w:val="Normalnumber"/>
        <w:numPr>
          <w:ilvl w:val="0"/>
          <w:numId w:val="10"/>
        </w:numPr>
        <w:tabs>
          <w:tab w:val="clear" w:pos="1134"/>
        </w:tabs>
        <w:rPr>
          <w:color w:val="000000"/>
        </w:rPr>
      </w:pPr>
      <w:r w:rsidRPr="009D0F8D">
        <w:rPr>
          <w:color w:val="000000"/>
        </w:rPr>
        <w:t>T</w:t>
      </w:r>
      <w:r w:rsidRPr="00AD5B1F">
        <w:rPr>
          <w:color w:val="000000"/>
        </w:rPr>
        <w:t>wo task force members were selected as experts to assist with the scoping of the nexus assessment.</w:t>
      </w:r>
      <w:r w:rsidRPr="009D0F8D">
        <w:rPr>
          <w:color w:val="000000"/>
        </w:rPr>
        <w:t xml:space="preserve"> Several task force members participated in the review</w:t>
      </w:r>
      <w:r w:rsidRPr="00AD5B1F">
        <w:rPr>
          <w:color w:val="000000"/>
        </w:rPr>
        <w:t xml:space="preserve"> of the draft scoping reports for both the nexus and the transformative change assessments (July 2020).</w:t>
      </w:r>
    </w:p>
    <w:p w14:paraId="056E9744" w14:textId="77777777" w:rsidR="009D0F8D" w:rsidRPr="00AD5B1F" w:rsidRDefault="009D0F8D" w:rsidP="00AD5B1F">
      <w:pPr>
        <w:pStyle w:val="Normalnumber"/>
        <w:numPr>
          <w:ilvl w:val="0"/>
          <w:numId w:val="10"/>
        </w:numPr>
        <w:tabs>
          <w:tab w:val="clear" w:pos="1134"/>
        </w:tabs>
        <w:rPr>
          <w:color w:val="000000"/>
        </w:rPr>
      </w:pPr>
      <w:r w:rsidRPr="00AD5B1F">
        <w:rPr>
          <w:color w:val="000000"/>
        </w:rPr>
        <w:t>The task force also mobilized the scientific community through the networks of task force members to participate in IPBES activities requiring scenarios and models expertise (e.g., review of assessment drafts).</w:t>
      </w:r>
    </w:p>
    <w:p w14:paraId="7EADCADD" w14:textId="77777777" w:rsidR="009D0F8D" w:rsidRPr="00AD5B1F" w:rsidRDefault="009D0F8D" w:rsidP="00AD5B1F">
      <w:pPr>
        <w:pStyle w:val="Normalnumber"/>
        <w:numPr>
          <w:ilvl w:val="0"/>
          <w:numId w:val="10"/>
        </w:numPr>
        <w:tabs>
          <w:tab w:val="clear" w:pos="1134"/>
        </w:tabs>
        <w:rPr>
          <w:color w:val="000000"/>
        </w:rPr>
      </w:pPr>
      <w:r w:rsidRPr="00AD5B1F">
        <w:rPr>
          <w:color w:val="000000"/>
        </w:rPr>
        <w:t xml:space="preserve">The task force has worked with the task force on indigenous and local knowledge on developing guidance on indigenous and local knowledge and scenarios. </w:t>
      </w:r>
    </w:p>
    <w:p w14:paraId="6C4C8535" w14:textId="77777777" w:rsidR="009D0F8D" w:rsidRPr="00AD5B1F" w:rsidRDefault="009D0F8D" w:rsidP="00AD5B1F">
      <w:pPr>
        <w:pStyle w:val="Normalnumber"/>
        <w:numPr>
          <w:ilvl w:val="0"/>
          <w:numId w:val="10"/>
        </w:numPr>
        <w:tabs>
          <w:tab w:val="clear" w:pos="1134"/>
        </w:tabs>
        <w:rPr>
          <w:color w:val="000000"/>
        </w:rPr>
      </w:pPr>
      <w:r w:rsidRPr="00AD5B1F">
        <w:rPr>
          <w:color w:val="000000"/>
        </w:rPr>
        <w:t>As part of the work on scenarios and models, four key publications that had been initiated by the former expert group, and a report by the task force were finalized to inform upcoming assessments and engage the broader scientific community.</w:t>
      </w:r>
    </w:p>
    <w:p w14:paraId="4E9F2515" w14:textId="77777777" w:rsidR="009D0F8D" w:rsidRPr="009D0F8D" w:rsidRDefault="009D0F8D" w:rsidP="009D0F8D">
      <w:pPr>
        <w:pStyle w:val="CH2"/>
      </w:pPr>
      <w:r w:rsidRPr="009D0F8D">
        <w:tab/>
        <w:t>C.</w:t>
      </w:r>
      <w:r w:rsidRPr="009D0F8D">
        <w:tab/>
        <w:t>Progress in the catalysation of the further development of scenarios and models for future IPBES assessments</w:t>
      </w:r>
    </w:p>
    <w:p w14:paraId="4A5E86F2" w14:textId="79EAFA91" w:rsidR="009D0F8D" w:rsidRPr="009D0F8D" w:rsidRDefault="009D0F8D" w:rsidP="009D0F8D">
      <w:pPr>
        <w:pStyle w:val="CH3"/>
      </w:pPr>
      <w:r w:rsidRPr="009D0F8D">
        <w:tab/>
        <w:t>1.</w:t>
      </w:r>
      <w:r w:rsidRPr="009D0F8D">
        <w:tab/>
        <w:t xml:space="preserve">Work organised by the technical support unit on scenarios and models following the seventh session of the Plenary and ahead of the establishment of the task force </w:t>
      </w:r>
      <w:r w:rsidR="00444037">
        <w:br/>
      </w:r>
      <w:r w:rsidRPr="009D0F8D">
        <w:t>(June 2019 – November 2019)</w:t>
      </w:r>
    </w:p>
    <w:p w14:paraId="276BD678" w14:textId="77777777" w:rsidR="009D0F8D" w:rsidRPr="00AD5B1F" w:rsidRDefault="009D0F8D" w:rsidP="00AD5B1F">
      <w:pPr>
        <w:pStyle w:val="Normalnumber"/>
        <w:numPr>
          <w:ilvl w:val="0"/>
          <w:numId w:val="10"/>
        </w:numPr>
        <w:tabs>
          <w:tab w:val="clear" w:pos="1134"/>
        </w:tabs>
        <w:rPr>
          <w:color w:val="000000"/>
        </w:rPr>
      </w:pPr>
      <w:r w:rsidRPr="00AD5B1F">
        <w:rPr>
          <w:color w:val="000000"/>
        </w:rPr>
        <w:t>The technical support unit on scenarios and models organized a workshop on ‘Global Modelling of Biodiversity and Ecosystem Services’ in The Hague, Netherlands, on 24-26 June 2019 thanks to in-kind support of PBL to the work on scenarios and models. Participants included 28 modelling and scenario-building experts, who came either from the former expert group on scenarios and models or from this expert group’s network in the modelling communities, four fellows, and three members of the technical support unit. The objective of this workshop was to stimulate the continuation of the work on scenarios and models in IPBES during the transition toward the establishment of the task force. The specific aims of the workshop were to: (i) develop a protocol for modelling trends and near term projections on indicators relevant to the Nature Futures Framework using models that are readily available); (ii) to develop elements of an agenda and possible objectives for a meeting to discuss the long-term strategy towards the development of appropriate indicators and models to produce Nature Futures scenarios; and (iii) compile material as input for a first draft of the fifth Global Biodiversity Outlook based on recent scenario work, and existing models. The outcomes of the workshop were presented as a report</w:t>
      </w:r>
      <w:r w:rsidRPr="00AD5B1F">
        <w:rPr>
          <w:color w:val="000000"/>
        </w:rPr>
        <w:footnoteReference w:id="3"/>
      </w:r>
      <w:r w:rsidRPr="00AD5B1F">
        <w:rPr>
          <w:color w:val="000000"/>
        </w:rPr>
        <w:t>.</w:t>
      </w:r>
    </w:p>
    <w:p w14:paraId="6F0F8A4A" w14:textId="469B7CB2" w:rsidR="009D0F8D" w:rsidRPr="00AD5B1F" w:rsidRDefault="009D0F8D" w:rsidP="00AD5B1F">
      <w:pPr>
        <w:pStyle w:val="Normalnumber"/>
        <w:numPr>
          <w:ilvl w:val="0"/>
          <w:numId w:val="10"/>
        </w:numPr>
        <w:tabs>
          <w:tab w:val="clear" w:pos="1134"/>
        </w:tabs>
        <w:rPr>
          <w:color w:val="000000"/>
        </w:rPr>
      </w:pPr>
      <w:r w:rsidRPr="00AD5B1F">
        <w:rPr>
          <w:color w:val="000000"/>
        </w:rPr>
        <w:t>A member of the expert group on scenarios and models that existed between the fourth and seventh sessions of the IPBES Plenary, with the support of the technical support unit, contributed to an IPBES youth workshop in São Pedro, Brazil (27-28 June 2019) using the Nature Futures Framework to explore future scenarios and biodiversity and ecosystem</w:t>
      </w:r>
      <w:r w:rsidRPr="009D0F8D">
        <w:t xml:space="preserve"> services from the perspective of </w:t>
      </w:r>
      <w:r w:rsidR="00444037">
        <w:br/>
      </w:r>
      <w:r w:rsidRPr="009D0F8D">
        <w:lastRenderedPageBreak/>
        <w:t>early-</w:t>
      </w:r>
      <w:r w:rsidRPr="00AD5B1F">
        <w:rPr>
          <w:color w:val="000000"/>
        </w:rPr>
        <w:t>career professionals, and thus contributing to IPBES work on scenarios and models. For more information on the workshop see IPBES/8/INF/9.</w:t>
      </w:r>
    </w:p>
    <w:p w14:paraId="42392AC6" w14:textId="77777777" w:rsidR="009D0F8D" w:rsidRPr="00AD5B1F" w:rsidRDefault="009D0F8D" w:rsidP="00AD5B1F">
      <w:pPr>
        <w:pStyle w:val="Normalnumber"/>
        <w:numPr>
          <w:ilvl w:val="0"/>
          <w:numId w:val="10"/>
        </w:numPr>
        <w:tabs>
          <w:tab w:val="clear" w:pos="1134"/>
        </w:tabs>
        <w:rPr>
          <w:color w:val="000000"/>
        </w:rPr>
      </w:pPr>
      <w:r w:rsidRPr="00AD5B1F">
        <w:rPr>
          <w:color w:val="000000"/>
        </w:rPr>
        <w:t>Four members of the expert group on scenarios contributed to the workshop ‘Improving Brazilian capacities for national assessments, biodiversity information management and mainstreaming of scientific data into policy’ in Sao Paulo, Brazil from 1 to 14 July 2019, using the Nature Futures Framework to build capacities in Brazil to conduct large scale assessments and monitoring of biodiversity and ecosystem services, to manage and explore “big data”, to strengthen the science-policy interface by establishing better ways to communicate scientific findings to policymakers, and to communicate the needs of policymakers for scientific information to funding agencies and the scientific community.</w:t>
      </w:r>
    </w:p>
    <w:p w14:paraId="262ACB5E" w14:textId="77777777" w:rsidR="009D0F8D" w:rsidRPr="009D0F8D" w:rsidRDefault="009D0F8D" w:rsidP="009D0F8D">
      <w:pPr>
        <w:pStyle w:val="CH3"/>
      </w:pPr>
      <w:r w:rsidRPr="009D0F8D">
        <w:tab/>
        <w:t>2.</w:t>
      </w:r>
      <w:r w:rsidRPr="009D0F8D">
        <w:tab/>
        <w:t>Work organised by the task force between the seventh and eighth sessions of the Plenary (2019 – 2021)</w:t>
      </w:r>
    </w:p>
    <w:p w14:paraId="52C89C08" w14:textId="77777777" w:rsidR="009D0F8D" w:rsidRPr="00AD5B1F" w:rsidRDefault="009D0F8D" w:rsidP="00AD5B1F">
      <w:pPr>
        <w:pStyle w:val="Normalnumber"/>
        <w:numPr>
          <w:ilvl w:val="0"/>
          <w:numId w:val="10"/>
        </w:numPr>
        <w:tabs>
          <w:tab w:val="clear" w:pos="1134"/>
        </w:tabs>
        <w:rPr>
          <w:color w:val="000000"/>
        </w:rPr>
      </w:pPr>
      <w:r w:rsidRPr="00AD5B1F">
        <w:rPr>
          <w:color w:val="000000"/>
        </w:rPr>
        <w:t xml:space="preserve">The task force organized the workshop “New Narratives for Nature: operationalising the IPBES Nature Futures scenarios” from 24 to 28 February 2020 in </w:t>
      </w:r>
      <w:proofErr w:type="spellStart"/>
      <w:r w:rsidRPr="00AD5B1F">
        <w:rPr>
          <w:color w:val="000000"/>
        </w:rPr>
        <w:t>Hayama</w:t>
      </w:r>
      <w:proofErr w:type="spellEnd"/>
      <w:r w:rsidRPr="00AD5B1F">
        <w:rPr>
          <w:color w:val="000000"/>
        </w:rPr>
        <w:t>, Japan to continue the development of illustrative narratives of Nature Futures. The workshop was attended by members of the task force. The workshop also served to prepare for the production of a guide on the use of the Nature Futures Framework by testing its application with national level scenarios. The outcomes of the workshop have been presented as a report.</w:t>
      </w:r>
      <w:r w:rsidRPr="00AD5B1F">
        <w:rPr>
          <w:color w:val="000000"/>
        </w:rPr>
        <w:footnoteReference w:id="4"/>
      </w:r>
    </w:p>
    <w:p w14:paraId="7516B24C" w14:textId="098FB6A5" w:rsidR="009D0F8D" w:rsidRPr="00AD5B1F" w:rsidRDefault="009D0F8D" w:rsidP="00AD5B1F">
      <w:pPr>
        <w:pStyle w:val="Normalnumber"/>
        <w:numPr>
          <w:ilvl w:val="0"/>
          <w:numId w:val="10"/>
        </w:numPr>
        <w:tabs>
          <w:tab w:val="clear" w:pos="1134"/>
        </w:tabs>
        <w:rPr>
          <w:color w:val="000000"/>
        </w:rPr>
      </w:pPr>
      <w:r w:rsidRPr="00AD5B1F">
        <w:rPr>
          <w:color w:val="000000"/>
        </w:rPr>
        <w:t>The task force also developed a draft description of the Nature Futures Framework (appendix</w:t>
      </w:r>
      <w:r w:rsidR="00262B89">
        <w:rPr>
          <w:color w:val="000000"/>
        </w:rPr>
        <w:t> </w:t>
      </w:r>
      <w:r w:rsidRPr="00AD5B1F">
        <w:rPr>
          <w:color w:val="000000"/>
        </w:rPr>
        <w:t>II sets out the most recent draft description of the Nature Futures Framework, as provided to the participants of the modelling workshop in January 2021), draft illustrative narratives of Nature Futures scenarios, as well as draft methodological guidance on the use of the framework.</w:t>
      </w:r>
    </w:p>
    <w:p w14:paraId="02C3142F" w14:textId="77777777" w:rsidR="009D0F8D" w:rsidRPr="009D0F8D" w:rsidRDefault="009D0F8D" w:rsidP="00AD5B1F">
      <w:pPr>
        <w:pStyle w:val="Normalnumber"/>
        <w:numPr>
          <w:ilvl w:val="0"/>
          <w:numId w:val="10"/>
        </w:numPr>
        <w:tabs>
          <w:tab w:val="clear" w:pos="1134"/>
        </w:tabs>
      </w:pPr>
      <w:r w:rsidRPr="00AD5B1F">
        <w:rPr>
          <w:color w:val="000000"/>
        </w:rPr>
        <w:t>The task force also organized as an online meeting the first part of a workshop on modelling Nature Futures scenarios from 12 to 15 January 2021, which forms part of a series of events on the Nature Futures Framework, targeting the modelling communities. The workshop participants selected by the Multidisciplinary Expert Panel, based on a proposal from the task force reviewed by their management committee, included 30 experts nominated by Governments and organizations following a call for nominations (EM/2020/32) and six experts</w:t>
      </w:r>
      <w:r w:rsidRPr="009D0F8D">
        <w:t xml:space="preserve"> from the ongoing assessments of the ‘sustainable use of wild species’, the assessment on ‘values’ and the assessment of ‘invasive alien species’, as well as experts from the scoping of the ‘nexus’ assessment and ‘transformative change’ assessments. In addition, 14 resource persons representing modelling groups who contributed to the biodiversity and ecosystem services model intercomparing exercise conducted as input to the Global Assessment, attended the workshop. The objective of this workshop was to catalyse the development of scenarios and models for IPBES by communities that develop and apply models of different types, scales and domains relevant to biodiversity and ecosystem services. The workshop introduced the draft Nature Futures Framework and methodological guidance and addressed how possible work by the modelling communities could support the upcoming nexus and transformative change assessments using the Nature Futures Framework, and what role could indicators play for modelling scenarios using the framework. Participants recommended the use of case studies (either existing or to be developed) to test and demonstrate the use of models to quantify Nature Futures Framework scenarios. Finally, participants discussed a timeline and further engagement in the period towards the second part of the workshop (planned for mid-2022).</w:t>
      </w:r>
    </w:p>
    <w:p w14:paraId="10EA0B3F" w14:textId="4F4B4141" w:rsidR="009D0F8D" w:rsidRPr="00AD5B1F" w:rsidRDefault="009D0F8D" w:rsidP="00AD5B1F">
      <w:pPr>
        <w:pStyle w:val="Normalnumber"/>
        <w:numPr>
          <w:ilvl w:val="0"/>
          <w:numId w:val="10"/>
        </w:numPr>
        <w:tabs>
          <w:tab w:val="clear" w:pos="1134"/>
        </w:tabs>
        <w:rPr>
          <w:color w:val="000000"/>
        </w:rPr>
      </w:pPr>
      <w:r w:rsidRPr="00AD5B1F">
        <w:rPr>
          <w:color w:val="000000"/>
        </w:rPr>
        <w:t>The task force also started to develop a method for mapping and categorizing existing indicators for the Nature Futures Framework and to explore synergies with other relevant groups such as Group on Earth Observation -</w:t>
      </w:r>
      <w:r w:rsidR="002B4384">
        <w:rPr>
          <w:color w:val="000000"/>
        </w:rPr>
        <w:t xml:space="preserve"> </w:t>
      </w:r>
      <w:r w:rsidRPr="00AD5B1F">
        <w:rPr>
          <w:color w:val="000000"/>
        </w:rPr>
        <w:t xml:space="preserve">Biodiversity Observation Network (GEO BON), and Ecosystem Services – Integrated Assessment Models Working Group. </w:t>
      </w:r>
    </w:p>
    <w:p w14:paraId="7DBE1DE4" w14:textId="34A02DF7" w:rsidR="009D0F8D" w:rsidRPr="009D0F8D" w:rsidRDefault="009D0F8D" w:rsidP="009D0F8D">
      <w:pPr>
        <w:pStyle w:val="CH1"/>
        <w:rPr>
          <w:lang w:eastAsia="en-GB"/>
        </w:rPr>
      </w:pPr>
      <w:bookmarkStart w:id="6" w:name="_Toc526858256"/>
      <w:r>
        <w:rPr>
          <w:lang w:eastAsia="en-GB"/>
        </w:rPr>
        <w:lastRenderedPageBreak/>
        <w:tab/>
      </w:r>
      <w:r w:rsidRPr="009D0F8D">
        <w:rPr>
          <w:lang w:eastAsia="en-GB"/>
        </w:rPr>
        <w:t>IV.</w:t>
      </w:r>
      <w:r w:rsidRPr="009D0F8D">
        <w:rPr>
          <w:lang w:eastAsia="en-GB"/>
        </w:rPr>
        <w:tab/>
        <w:t>Overview of possible activities under objective 4(b), advanced work on scenarios and models of biodiversity and ecosystem functions and services, related to the nexus and transformative change assessments</w:t>
      </w:r>
    </w:p>
    <w:p w14:paraId="0E228055" w14:textId="03C816C7" w:rsidR="00FF25CE" w:rsidRPr="00AD5B1F" w:rsidRDefault="009D0F8D" w:rsidP="00894DFD">
      <w:pPr>
        <w:pStyle w:val="Normalnumber"/>
        <w:numPr>
          <w:ilvl w:val="0"/>
          <w:numId w:val="10"/>
        </w:numPr>
        <w:tabs>
          <w:tab w:val="clear" w:pos="1134"/>
        </w:tabs>
        <w:rPr>
          <w:color w:val="000000"/>
        </w:rPr>
      </w:pPr>
      <w:r w:rsidRPr="00AD5B1F">
        <w:rPr>
          <w:color w:val="000000"/>
        </w:rPr>
        <w:t>The work plans set out in document IPBES/8/7 contain various activities to provide support on scenarios and models to the nexus and transformative change assessments and catalyse the further development of scenarios and models for these and future assessments. If the task force was to continue its work following the review of its mandate at the tenth session of the Plenary, activities could include the continuation of these activities, including further facilitating the use of the Nature Futures Framework in catalysing the development of new scenarios and models for future IPBES assessments.</w:t>
      </w:r>
    </w:p>
    <w:p w14:paraId="7F4F4BEB" w14:textId="77777777" w:rsidR="00FF25CE" w:rsidRPr="00894338" w:rsidRDefault="00FF25CE" w:rsidP="00AD5B1F">
      <w:pPr>
        <w:pStyle w:val="Normal-pool"/>
      </w:pPr>
    </w:p>
    <w:p w14:paraId="25D9B20D" w14:textId="1A4FB7EA" w:rsidR="008B55F8" w:rsidRPr="00894338" w:rsidRDefault="008B55F8" w:rsidP="00894338">
      <w:pPr>
        <w:rPr>
          <w:sz w:val="28"/>
          <w:szCs w:val="28"/>
          <w:lang w:val="en-GB"/>
        </w:rPr>
        <w:sectPr w:rsidR="008B55F8" w:rsidRPr="00894338" w:rsidSect="009E164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14:paraId="2B906870" w14:textId="7DF79D7B" w:rsidR="009D0F8D" w:rsidRPr="009D0F8D" w:rsidRDefault="009D0F8D" w:rsidP="00AD5B1F">
      <w:pPr>
        <w:pStyle w:val="Titlefigure"/>
        <w:spacing w:after="120"/>
        <w:ind w:left="1247"/>
      </w:pPr>
      <w:r w:rsidRPr="00AD5B1F">
        <w:rPr>
          <w:b w:val="0"/>
          <w:bCs/>
        </w:rPr>
        <w:lastRenderedPageBreak/>
        <w:t>Figure 1</w:t>
      </w:r>
      <w:r w:rsidR="00AD5B1F" w:rsidRPr="00AD5B1F">
        <w:rPr>
          <w:b w:val="0"/>
          <w:bCs/>
        </w:rPr>
        <w:br/>
      </w:r>
      <w:r w:rsidRPr="009D0F8D">
        <w:t>Overview of possible activities under objective 4(b), advanced work on scenarios and models of biodiversity and ecosystem functions and services, related to the nexus and transformative change assessments</w:t>
      </w:r>
    </w:p>
    <w:p w14:paraId="5E036C5C" w14:textId="77777777" w:rsidR="009D0F8D" w:rsidRPr="009D0F8D" w:rsidRDefault="009D0F8D" w:rsidP="00AD5B1F">
      <w:pPr>
        <w:pStyle w:val="Normal-pool"/>
      </w:pPr>
    </w:p>
    <w:p w14:paraId="4460FB8C" w14:textId="77777777" w:rsidR="009D0F8D" w:rsidRPr="009D0F8D" w:rsidRDefault="009D0F8D" w:rsidP="009D0F8D">
      <w:pPr>
        <w:spacing w:after="120"/>
        <w:ind w:left="1247"/>
        <w:rPr>
          <w:lang w:val="en-GB"/>
        </w:rPr>
        <w:sectPr w:rsidR="009D0F8D" w:rsidRPr="009D0F8D" w:rsidSect="009D0F8D">
          <w:headerReference w:type="first" r:id="rId19"/>
          <w:footerReference w:type="first" r:id="rId20"/>
          <w:pgSz w:w="16838" w:h="11906" w:orient="landscape" w:code="9"/>
          <w:pgMar w:top="907" w:right="992" w:bottom="1418" w:left="1418" w:header="539" w:footer="975" w:gutter="0"/>
          <w:cols w:space="539"/>
          <w:titlePg/>
          <w:docGrid w:linePitch="360"/>
        </w:sectPr>
      </w:pPr>
      <w:r w:rsidRPr="009D0F8D">
        <w:rPr>
          <w:noProof/>
          <w:lang w:val="en-GB"/>
        </w:rPr>
        <w:drawing>
          <wp:anchor distT="0" distB="0" distL="114300" distR="114300" simplePos="0" relativeHeight="251658240" behindDoc="0" locked="0" layoutInCell="1" allowOverlap="1" wp14:anchorId="771D9F03" wp14:editId="466A3A43">
            <wp:simplePos x="0" y="0"/>
            <wp:positionH relativeFrom="column">
              <wp:posOffset>0</wp:posOffset>
            </wp:positionH>
            <wp:positionV relativeFrom="paragraph">
              <wp:posOffset>0</wp:posOffset>
            </wp:positionV>
            <wp:extent cx="9217025" cy="3527425"/>
            <wp:effectExtent l="0" t="0" r="3175" b="0"/>
            <wp:wrapSquare wrapText="bothSides"/>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21"/>
                    <a:stretch>
                      <a:fillRect/>
                    </a:stretch>
                  </pic:blipFill>
                  <pic:spPr>
                    <a:xfrm>
                      <a:off x="0" y="0"/>
                      <a:ext cx="9217025" cy="3527425"/>
                    </a:xfrm>
                    <a:prstGeom prst="rect">
                      <a:avLst/>
                    </a:prstGeom>
                  </pic:spPr>
                </pic:pic>
              </a:graphicData>
            </a:graphic>
          </wp:anchor>
        </w:drawing>
      </w:r>
    </w:p>
    <w:p w14:paraId="579EFE3A" w14:textId="77777777" w:rsidR="009D0F8D" w:rsidRPr="009D0F8D" w:rsidRDefault="009D0F8D" w:rsidP="009D0F8D">
      <w:pPr>
        <w:pStyle w:val="ZZAnxheader"/>
      </w:pPr>
      <w:r w:rsidRPr="009D0F8D">
        <w:lastRenderedPageBreak/>
        <w:t>Appendix I</w:t>
      </w:r>
    </w:p>
    <w:bookmarkEnd w:id="6"/>
    <w:p w14:paraId="098BE525" w14:textId="77777777" w:rsidR="009D0F8D" w:rsidRPr="009D0F8D" w:rsidRDefault="009D0F8D" w:rsidP="00AD5B1F">
      <w:pPr>
        <w:pStyle w:val="ZZAnxtitle"/>
      </w:pPr>
      <w:r w:rsidRPr="009D0F8D">
        <w:t xml:space="preserve">Draft </w:t>
      </w:r>
      <w:r w:rsidRPr="00AD5B1F">
        <w:t>description</w:t>
      </w:r>
      <w:r w:rsidRPr="009D0F8D">
        <w:t xml:space="preserve"> of the Nature Futures Framework</w:t>
      </w:r>
      <w:r w:rsidRPr="009D0F8D">
        <w:tab/>
      </w:r>
    </w:p>
    <w:p w14:paraId="56E26966" w14:textId="77777777" w:rsidR="009D0F8D" w:rsidRPr="009D0F8D" w:rsidRDefault="009D0F8D" w:rsidP="00AD5B1F">
      <w:pPr>
        <w:pStyle w:val="Normal-pool"/>
        <w:spacing w:after="120"/>
        <w:ind w:left="1247"/>
      </w:pPr>
      <w:r w:rsidRPr="009D0F8D">
        <w:t>Following from the IPBES Methodological Assessment of Scenarios and Models of Biodiversity and Ecosystem Services (IPBES, 2016), the former IPBES scenarios and models expert group set out a research strategy to address some of the key messages that emerged in the assessment and initiated the development of desirable, multiscale scenarios for nature. These scenarios should be produced through a process that includes a diversity of stakeholders, and explicitly include pathways that enable humanity to meet the desired 2050 Vision for Biodiversity under the Convention on Biological Diversity of ‘Living in harmony with nature’. Central to this process was the research question of how to develop these new scenarios in a way that addresses the gaps identified in other scenarios in order to support the work programme of IPBES. The former expert group and current task force scenarios and models were both mandated (draft deliverable 2) to catalyse such scenario development and ensure that these address the gaps identified in other scenarios by the scenarios and models assessment, and in support of the work programme of IPBES. Pereira et al. (2020)</w:t>
      </w:r>
      <w:r w:rsidRPr="009D0F8D">
        <w:rPr>
          <w:szCs w:val="18"/>
          <w:vertAlign w:val="superscript"/>
        </w:rPr>
        <w:footnoteReference w:id="5"/>
      </w:r>
      <w:r w:rsidRPr="009D0F8D">
        <w:t xml:space="preserve"> documents the iterative process that was undertaken by the IPBES scenarios and models expert group from 2016 to 2019 from which the Nature Futures Framework emerged, and is currently being further development by the task force. </w:t>
      </w:r>
    </w:p>
    <w:p w14:paraId="46F2474B" w14:textId="563349B6" w:rsidR="009D0F8D" w:rsidRPr="009D0F8D" w:rsidRDefault="009D0F8D" w:rsidP="00AD5B1F">
      <w:pPr>
        <w:pStyle w:val="Normal-pool"/>
        <w:spacing w:after="120"/>
        <w:ind w:left="1247"/>
      </w:pPr>
      <w:r w:rsidRPr="009D0F8D">
        <w:t xml:space="preserve">The Nature Futures Framework is based on an in-depth analysis of a wide range of visions of positive futures for biodiversity and people (Lundquist et al 2017; Pereira et al. 2020), and embraces the diversity of human-nature relationships that reflect three primary value perspectives of nature </w:t>
      </w:r>
      <w:r w:rsidR="00AD5B1F">
        <w:br/>
      </w:r>
      <w:r w:rsidRPr="009D0F8D">
        <w:t xml:space="preserve">(i.e., intrinsic, instrumental, and relational). This framework allows those involved in scenario building to recognize and address plural values ascribed to nature and nature's contributions to people in a more explicit manner, which conventional scenario building methods often fail to capture. The framework places relationships between people and nature at its core. The many ways that humans relate to nature can be used to develop a diversity of possible and desirable future scenarios. In the Nature Futures Framework, human-nature relationships are represented within a triangular framework (figure 2). </w:t>
      </w:r>
    </w:p>
    <w:p w14:paraId="57A5EEE6" w14:textId="77777777" w:rsidR="009D0F8D" w:rsidRPr="009D0F8D" w:rsidRDefault="009D0F8D" w:rsidP="009D0F8D">
      <w:pPr>
        <w:spacing w:after="240"/>
        <w:ind w:left="1247"/>
        <w:rPr>
          <w:lang w:val="en-GB"/>
        </w:rPr>
      </w:pPr>
      <w:r w:rsidRPr="009D0F8D">
        <w:rPr>
          <w:noProof/>
          <w:lang w:val="en-US"/>
        </w:rPr>
        <w:drawing>
          <wp:inline distT="0" distB="0" distL="0" distR="0" wp14:anchorId="744A0610" wp14:editId="56D778F7">
            <wp:extent cx="4636325" cy="2977286"/>
            <wp:effectExtent l="0" t="0" r="0" b="0"/>
            <wp:docPr id="5" name="図 4">
              <a:extLst xmlns:a="http://schemas.openxmlformats.org/drawingml/2006/main">
                <a:ext uri="{FF2B5EF4-FFF2-40B4-BE49-F238E27FC236}">
                  <a16:creationId xmlns:a16="http://schemas.microsoft.com/office/drawing/2014/main" id="{9042839D-DD5B-40A9-A840-9CBACC05B5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9042839D-DD5B-40A9-A840-9CBACC05B575}"/>
                        </a:ext>
                      </a:extLst>
                    </pic:cNvPr>
                    <pic:cNvPicPr>
                      <a:picLocks noChangeAspect="1"/>
                    </pic:cNvPicPr>
                  </pic:nvPicPr>
                  <pic:blipFill>
                    <a:blip r:embed="rId22" cstate="email">
                      <a:extLst>
                        <a:ext uri="{28A0092B-C50C-407E-A947-70E740481C1C}">
                          <a14:useLocalDpi xmlns:a14="http://schemas.microsoft.com/office/drawing/2010/main"/>
                        </a:ext>
                      </a:extLst>
                    </a:blip>
                    <a:stretch>
                      <a:fillRect/>
                    </a:stretch>
                  </pic:blipFill>
                  <pic:spPr>
                    <a:xfrm>
                      <a:off x="0" y="0"/>
                      <a:ext cx="4646587" cy="2983876"/>
                    </a:xfrm>
                    <a:prstGeom prst="rect">
                      <a:avLst/>
                    </a:prstGeom>
                  </pic:spPr>
                </pic:pic>
              </a:graphicData>
            </a:graphic>
          </wp:inline>
        </w:drawing>
      </w:r>
    </w:p>
    <w:p w14:paraId="13CAC18D" w14:textId="0B12D2D9" w:rsidR="009D0F8D" w:rsidRPr="009D0F8D" w:rsidRDefault="009D0F8D" w:rsidP="00AD5B1F">
      <w:pPr>
        <w:pStyle w:val="Titlefigure"/>
        <w:spacing w:after="120"/>
        <w:ind w:left="1247"/>
      </w:pPr>
      <w:r w:rsidRPr="0070758E">
        <w:rPr>
          <w:b w:val="0"/>
          <w:bCs/>
        </w:rPr>
        <w:t>Figure 2</w:t>
      </w:r>
      <w:r w:rsidR="00AD5B1F" w:rsidRPr="0070758E">
        <w:rPr>
          <w:b w:val="0"/>
          <w:bCs/>
        </w:rPr>
        <w:br/>
      </w:r>
      <w:r w:rsidRPr="009D0F8D">
        <w:t>The Nature Futures Framework triangle with a list of some possible synonyms for the value perspectives that are used by various actors</w:t>
      </w:r>
    </w:p>
    <w:p w14:paraId="64700973" w14:textId="77777777" w:rsidR="009D0F8D" w:rsidRPr="009D0F8D" w:rsidRDefault="009D0F8D" w:rsidP="00AD5B1F">
      <w:pPr>
        <w:pStyle w:val="Normal-pool"/>
        <w:spacing w:after="120"/>
        <w:ind w:left="1247"/>
      </w:pPr>
      <w:r w:rsidRPr="009D0F8D">
        <w:t xml:space="preserve">Each corner of this triangle illustrates the orientation towards one of three value perspectives on the relationship between humans and nature (i.e., intrinsic, instrumental, and relational), and the space within the framework represents a continuum or gradient between these three value perspectives, from which multiple relationships between people and nature, and scenarios derived from these relationships, can emerge. It is important to bear in mind that the edges of the triangle offer extreme cases of what could be considered a ‘desirable future for nature’ that are limited to a particular </w:t>
      </w:r>
      <w:r w:rsidRPr="009D0F8D">
        <w:lastRenderedPageBreak/>
        <w:t>perspective. As such, all the potential locations within the triangle are relational to each of the three corners and thus offer some combination of all three value perspectives. The Nature Futures Framework assumes that narratives or scenarios based on any location in the framework triangle are equally plausible. The three values perspectives of the framework are described as follows:</w:t>
      </w:r>
    </w:p>
    <w:p w14:paraId="392768B4" w14:textId="77777777" w:rsidR="009D0F8D" w:rsidRPr="009D0F8D" w:rsidRDefault="009D0F8D" w:rsidP="00AD5B1F">
      <w:pPr>
        <w:pStyle w:val="Normal-pool"/>
        <w:numPr>
          <w:ilvl w:val="0"/>
          <w:numId w:val="25"/>
        </w:numPr>
        <w:spacing w:after="120"/>
        <w:ind w:left="1871" w:hanging="624"/>
      </w:pPr>
      <w:r w:rsidRPr="009D0F8D">
        <w:rPr>
          <w:rFonts w:hint="eastAsia"/>
        </w:rPr>
        <w:t xml:space="preserve">In the </w:t>
      </w:r>
      <w:r w:rsidRPr="009D0F8D">
        <w:rPr>
          <w:i/>
          <w:iCs/>
        </w:rPr>
        <w:t>nature for nature</w:t>
      </w:r>
      <w:r w:rsidRPr="009D0F8D">
        <w:rPr>
          <w:rFonts w:hint="eastAsia"/>
        </w:rPr>
        <w:t xml:space="preserve"> perspective, people view nature as having intrinsic value, and value is placed on the diversity of species, habitats, and ecosystems that form the natural world, and nature’s ability to function autonomously. This perspective has</w:t>
      </w:r>
      <w:r w:rsidRPr="009D0F8D">
        <w:t xml:space="preserve"> dominated much of the original conservation movement’s concern about the extinction crisis and the protection of wilderness, and is well represented in Aichi Biodiversity Targets on protected areas, drafts of the post-2020 global biodiversity framework being developed under the Convention on Biological Diversity, priorities for reducing rates of species extinctions, as well as within concepts such as “Half-Earth” and restorative management initiatives such as rewilding;</w:t>
      </w:r>
    </w:p>
    <w:p w14:paraId="37E898C2" w14:textId="77777777" w:rsidR="009D0F8D" w:rsidRPr="009D0F8D" w:rsidRDefault="009D0F8D" w:rsidP="00AD5B1F">
      <w:pPr>
        <w:pStyle w:val="Normal-pool"/>
        <w:numPr>
          <w:ilvl w:val="0"/>
          <w:numId w:val="25"/>
        </w:numPr>
        <w:spacing w:after="120"/>
        <w:ind w:left="1871" w:hanging="624"/>
      </w:pPr>
      <w:r w:rsidRPr="009D0F8D">
        <w:rPr>
          <w:rFonts w:hint="eastAsia"/>
        </w:rPr>
        <w:t xml:space="preserve">The </w:t>
      </w:r>
      <w:r w:rsidRPr="009D0F8D">
        <w:rPr>
          <w:i/>
          <w:iCs/>
        </w:rPr>
        <w:t>nature as culture</w:t>
      </w:r>
      <w:r w:rsidRPr="009D0F8D">
        <w:rPr>
          <w:rFonts w:hint="eastAsia"/>
        </w:rPr>
        <w:t xml:space="preserve"> perspective highlights primarily relational values of nature, where societies, cultures, traditions and faiths are intertwined with nature in shaping cultural landscapes. This perspective emphasises people living in harmony with nat</w:t>
      </w:r>
      <w:r w:rsidRPr="009D0F8D">
        <w:t xml:space="preserve">ure and is often exemplified in spiritual and other non-material human-nature relationships such as cultural identity and sense of belonging. The </w:t>
      </w:r>
      <w:r w:rsidRPr="009D0F8D">
        <w:rPr>
          <w:i/>
          <w:iCs/>
        </w:rPr>
        <w:t>nature as culture</w:t>
      </w:r>
      <w:r w:rsidRPr="009D0F8D">
        <w:t xml:space="preserve"> perspective is not limited to indigenous and local knowledge systems, and is increasingly recognized worldwide, for example, by initiatives that promote humans reconnecting with nature within urban and rural landscapes, traditional lifestyles, and nature’s contributions to mental health;</w:t>
      </w:r>
    </w:p>
    <w:p w14:paraId="71391C5F" w14:textId="77777777" w:rsidR="009D0F8D" w:rsidRPr="009D0F8D" w:rsidRDefault="009D0F8D" w:rsidP="00AD5B1F">
      <w:pPr>
        <w:pStyle w:val="Normal-pool"/>
        <w:numPr>
          <w:ilvl w:val="0"/>
          <w:numId w:val="25"/>
        </w:numPr>
        <w:spacing w:after="120"/>
        <w:ind w:left="1871" w:hanging="624"/>
      </w:pPr>
      <w:r w:rsidRPr="009D0F8D">
        <w:rPr>
          <w:rFonts w:hint="eastAsia"/>
        </w:rPr>
        <w:t xml:space="preserve">The </w:t>
      </w:r>
      <w:r w:rsidRPr="009D0F8D">
        <w:rPr>
          <w:i/>
          <w:iCs/>
        </w:rPr>
        <w:t>nature for society</w:t>
      </w:r>
      <w:r w:rsidRPr="009D0F8D">
        <w:rPr>
          <w:rFonts w:hint="eastAsia"/>
        </w:rPr>
        <w:t xml:space="preserve"> perspective highlights the utilitarian benefits and instrumental values that nature provides to people and societies. This view is reflected in concepts such as ecosystem services, natural capital, green infrastructure, and nature-</w:t>
      </w:r>
      <w:r w:rsidRPr="009D0F8D">
        <w:t>based solutions which exemplify nature as a provider of services to society. Ecosystem service science has developed a wide variety of approaches to quantify benefits that people receive from nature, such as food production, water filtration, and recreation, and many of these instrumental values form direct connections between nature and society and are represented within Aichi Biodiversity Targets, the post-2020 global biodiversity framework being developed under the Convention on Biological Diversity as well as the Agenda 2030 for Sustainable Development and its Sustainable Development Goals.</w:t>
      </w:r>
    </w:p>
    <w:p w14:paraId="70283596" w14:textId="77777777" w:rsidR="009D0F8D" w:rsidRDefault="009D0F8D" w:rsidP="00AD5B1F">
      <w:pPr>
        <w:pStyle w:val="Normal-pool"/>
        <w:spacing w:after="120"/>
        <w:ind w:left="1247"/>
      </w:pPr>
      <w:r w:rsidRPr="009D0F8D">
        <w:t xml:space="preserve">While the Nature Futures Framework builds on the concepts of intrinsic, relational, and instrumental values, the three perspectives do not map unequivocally to these values and allow for their coexistence, addressing some of the criticisms about value dimensions expressed by Piccolo (2017). The </w:t>
      </w:r>
      <w:r w:rsidRPr="009D0F8D">
        <w:rPr>
          <w:i/>
          <w:iCs/>
        </w:rPr>
        <w:t>nature for nature</w:t>
      </w:r>
      <w:r w:rsidRPr="009D0F8D">
        <w:t xml:space="preserve"> perspective represents both intrinsic values and instrumental values such as existence values and non-material contributions from nature. The </w:t>
      </w:r>
      <w:r w:rsidRPr="009D0F8D">
        <w:rPr>
          <w:i/>
          <w:iCs/>
        </w:rPr>
        <w:t>nature for society</w:t>
      </w:r>
      <w:r w:rsidRPr="009D0F8D">
        <w:t xml:space="preserve"> perspective is dominated by the use and indirect use of a subset of instrumental values, while the </w:t>
      </w:r>
      <w:r w:rsidRPr="009D0F8D">
        <w:rPr>
          <w:i/>
          <w:iCs/>
        </w:rPr>
        <w:t>nature as culture</w:t>
      </w:r>
      <w:r w:rsidRPr="009D0F8D">
        <w:t xml:space="preserve"> perspective captures the relational values including the non-material contributions associated with cultural construction and interpretation of nature where the reciprocal relationship of people and nature may have intrinsic value.</w:t>
      </w:r>
    </w:p>
    <w:p w14:paraId="635E8BEF" w14:textId="77777777" w:rsidR="009D0F8D" w:rsidRDefault="009D0F8D" w:rsidP="009D0F8D">
      <w:pPr>
        <w:spacing w:after="240"/>
        <w:ind w:left="1253"/>
        <w:rPr>
          <w:lang w:val="en-GB"/>
        </w:rPr>
      </w:pPr>
    </w:p>
    <w:p w14:paraId="28EEADAF" w14:textId="29094310" w:rsidR="006813ED" w:rsidRDefault="006813ED" w:rsidP="009D0F8D">
      <w:pPr>
        <w:spacing w:after="240"/>
        <w:ind w:left="1253"/>
        <w:rPr>
          <w:lang w:val="en-GB"/>
        </w:rPr>
        <w:sectPr w:rsidR="006813ED" w:rsidSect="00F46532">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907" w:right="992" w:bottom="1418" w:left="1418" w:header="539" w:footer="975" w:gutter="0"/>
          <w:cols w:space="539"/>
          <w:titlePg/>
          <w:docGrid w:linePitch="360"/>
        </w:sectPr>
      </w:pPr>
    </w:p>
    <w:p w14:paraId="7E08BD6B" w14:textId="77777777" w:rsidR="00AD5B1F" w:rsidRDefault="009D0F8D" w:rsidP="00AD5B1F">
      <w:pPr>
        <w:pStyle w:val="ZZAnxheader"/>
        <w:rPr>
          <w:lang w:eastAsia="nl-NL"/>
        </w:rPr>
      </w:pPr>
      <w:r w:rsidRPr="009D0F8D">
        <w:rPr>
          <w:lang w:eastAsia="nl-NL"/>
        </w:rPr>
        <w:lastRenderedPageBreak/>
        <w:t xml:space="preserve">Appendix II </w:t>
      </w:r>
    </w:p>
    <w:p w14:paraId="6FC9050F" w14:textId="2819BA31" w:rsidR="009D0F8D" w:rsidRPr="009D0F8D" w:rsidRDefault="009D0F8D" w:rsidP="00AD5B1F">
      <w:pPr>
        <w:pStyle w:val="ZZAnxtitle"/>
        <w:rPr>
          <w:lang w:eastAsia="nl-NL"/>
        </w:rPr>
      </w:pPr>
      <w:r w:rsidRPr="009D0F8D">
        <w:rPr>
          <w:lang w:eastAsia="nl-NL"/>
        </w:rPr>
        <w:t>Scenarios and models: List of draft deliverables and activities with timeline</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4"/>
        <w:gridCol w:w="2987"/>
        <w:gridCol w:w="5061"/>
        <w:gridCol w:w="1047"/>
        <w:gridCol w:w="1047"/>
        <w:gridCol w:w="1050"/>
        <w:gridCol w:w="1102"/>
      </w:tblGrid>
      <w:tr w:rsidR="009D0F8D" w:rsidRPr="009D0F8D" w14:paraId="3F955B7B" w14:textId="77777777" w:rsidTr="00E96390">
        <w:trPr>
          <w:trHeight w:val="131"/>
          <w:tblHeader/>
          <w:jc w:val="right"/>
        </w:trPr>
        <w:tc>
          <w:tcPr>
            <w:tcW w:w="737" w:type="pct"/>
            <w:vMerge w:val="restart"/>
            <w:tcBorders>
              <w:top w:val="single" w:sz="4" w:space="0" w:color="000000"/>
              <w:left w:val="single" w:sz="4" w:space="0" w:color="000000"/>
              <w:right w:val="single" w:sz="4" w:space="0" w:color="000000"/>
            </w:tcBorders>
            <w:shd w:val="clear" w:color="auto" w:fill="FBE5D5"/>
          </w:tcPr>
          <w:p w14:paraId="0DD403B1" w14:textId="0CBDEDD0" w:rsidR="009D0F8D" w:rsidRPr="009D0F8D" w:rsidRDefault="009D0F8D" w:rsidP="009D0F8D">
            <w:pPr>
              <w:keepNext/>
              <w:keepLines/>
              <w:tabs>
                <w:tab w:val="clear" w:pos="1247"/>
                <w:tab w:val="clear" w:pos="1814"/>
                <w:tab w:val="clear" w:pos="2381"/>
                <w:tab w:val="clear" w:pos="2948"/>
                <w:tab w:val="clear" w:pos="3515"/>
              </w:tabs>
              <w:rPr>
                <w:b/>
                <w:lang w:val="en-GB" w:eastAsia="nl-NL"/>
              </w:rPr>
            </w:pPr>
            <w:r w:rsidRPr="009D0F8D">
              <w:rPr>
                <w:b/>
                <w:lang w:val="en-GB" w:eastAsia="nl-NL"/>
              </w:rPr>
              <w:t xml:space="preserve">Draft deliverables and </w:t>
            </w:r>
            <w:r w:rsidR="00AD5B1F">
              <w:rPr>
                <w:b/>
                <w:lang w:val="en-GB" w:eastAsia="nl-NL"/>
              </w:rPr>
              <w:br/>
            </w:r>
            <w:r w:rsidRPr="009D0F8D">
              <w:rPr>
                <w:b/>
                <w:lang w:val="en-GB" w:eastAsia="nl-NL"/>
              </w:rPr>
              <w:t>sub-deliverables</w:t>
            </w:r>
          </w:p>
        </w:tc>
        <w:tc>
          <w:tcPr>
            <w:tcW w:w="1036" w:type="pct"/>
            <w:vMerge w:val="restart"/>
            <w:tcBorders>
              <w:top w:val="single" w:sz="4" w:space="0" w:color="000000"/>
              <w:left w:val="single" w:sz="4" w:space="0" w:color="000000"/>
              <w:right w:val="single" w:sz="4" w:space="0" w:color="000000"/>
            </w:tcBorders>
            <w:shd w:val="clear" w:color="auto" w:fill="FBE5D5"/>
          </w:tcPr>
          <w:p w14:paraId="199E5EDE" w14:textId="77777777" w:rsidR="009D0F8D" w:rsidRPr="009D0F8D" w:rsidRDefault="009D0F8D" w:rsidP="009D0F8D">
            <w:pPr>
              <w:keepNext/>
              <w:keepLines/>
              <w:tabs>
                <w:tab w:val="clear" w:pos="1247"/>
                <w:tab w:val="clear" w:pos="1814"/>
                <w:tab w:val="clear" w:pos="2381"/>
                <w:tab w:val="clear" w:pos="2948"/>
                <w:tab w:val="clear" w:pos="3515"/>
              </w:tabs>
              <w:jc w:val="center"/>
              <w:rPr>
                <w:b/>
                <w:lang w:val="en-GB" w:eastAsia="nl-NL"/>
              </w:rPr>
            </w:pPr>
            <w:r w:rsidRPr="009D0F8D">
              <w:rPr>
                <w:b/>
                <w:lang w:val="en-GB" w:eastAsia="nl-NL"/>
              </w:rPr>
              <w:t>Activities</w:t>
            </w:r>
          </w:p>
        </w:tc>
        <w:tc>
          <w:tcPr>
            <w:tcW w:w="1755" w:type="pct"/>
            <w:vMerge w:val="restart"/>
            <w:tcBorders>
              <w:top w:val="single" w:sz="4" w:space="0" w:color="000000"/>
              <w:left w:val="single" w:sz="4" w:space="0" w:color="000000"/>
              <w:right w:val="single" w:sz="4" w:space="0" w:color="000000"/>
            </w:tcBorders>
            <w:shd w:val="clear" w:color="auto" w:fill="FBE5D5"/>
          </w:tcPr>
          <w:p w14:paraId="6BAA1BA6" w14:textId="77777777" w:rsidR="009D0F8D" w:rsidRPr="009D0F8D" w:rsidRDefault="009D0F8D" w:rsidP="009D0F8D">
            <w:pPr>
              <w:keepNext/>
              <w:keepLines/>
              <w:tabs>
                <w:tab w:val="clear" w:pos="1247"/>
                <w:tab w:val="clear" w:pos="1814"/>
                <w:tab w:val="clear" w:pos="2381"/>
                <w:tab w:val="clear" w:pos="2948"/>
                <w:tab w:val="clear" w:pos="3515"/>
              </w:tabs>
              <w:jc w:val="center"/>
              <w:rPr>
                <w:b/>
                <w:lang w:val="en-GB" w:eastAsia="nl-NL"/>
              </w:rPr>
            </w:pPr>
            <w:r w:rsidRPr="009D0F8D">
              <w:rPr>
                <w:b/>
                <w:lang w:val="en-GB" w:eastAsia="nl-NL"/>
              </w:rPr>
              <w:t>Outputs</w:t>
            </w:r>
          </w:p>
        </w:tc>
        <w:tc>
          <w:tcPr>
            <w:tcW w:w="1090" w:type="pct"/>
            <w:gridSpan w:val="3"/>
            <w:tcBorders>
              <w:top w:val="single" w:sz="4" w:space="0" w:color="000000"/>
              <w:left w:val="single" w:sz="4" w:space="0" w:color="000000"/>
              <w:bottom w:val="single" w:sz="4" w:space="0" w:color="000000"/>
              <w:right w:val="single" w:sz="4" w:space="0" w:color="000000"/>
            </w:tcBorders>
            <w:shd w:val="clear" w:color="auto" w:fill="FBE5D5"/>
          </w:tcPr>
          <w:p w14:paraId="77F3A790" w14:textId="77777777" w:rsidR="009D0F8D" w:rsidRPr="009D0F8D" w:rsidRDefault="009D0F8D" w:rsidP="009D0F8D">
            <w:pPr>
              <w:keepNext/>
              <w:keepLines/>
              <w:tabs>
                <w:tab w:val="clear" w:pos="1247"/>
                <w:tab w:val="clear" w:pos="1814"/>
                <w:tab w:val="clear" w:pos="2381"/>
                <w:tab w:val="clear" w:pos="2948"/>
                <w:tab w:val="clear" w:pos="3515"/>
              </w:tabs>
              <w:jc w:val="center"/>
              <w:rPr>
                <w:b/>
                <w:lang w:val="en-GB" w:eastAsia="nl-NL"/>
              </w:rPr>
            </w:pPr>
            <w:r w:rsidRPr="009D0F8D">
              <w:rPr>
                <w:b/>
                <w:lang w:val="en-GB" w:eastAsia="nl-NL"/>
              </w:rPr>
              <w:t>Intersessional IPBES 8 – 9</w:t>
            </w:r>
          </w:p>
        </w:tc>
        <w:tc>
          <w:tcPr>
            <w:tcW w:w="382" w:type="pct"/>
            <w:tcBorders>
              <w:top w:val="single" w:sz="4" w:space="0" w:color="000000"/>
              <w:left w:val="single" w:sz="4" w:space="0" w:color="000000"/>
              <w:bottom w:val="single" w:sz="4" w:space="0" w:color="000000"/>
              <w:right w:val="single" w:sz="4" w:space="0" w:color="000000"/>
            </w:tcBorders>
            <w:shd w:val="clear" w:color="auto" w:fill="FBE5D5"/>
          </w:tcPr>
          <w:p w14:paraId="59702DAE" w14:textId="77777777" w:rsidR="009D0F8D" w:rsidRPr="009D0F8D" w:rsidRDefault="009D0F8D" w:rsidP="009D0F8D">
            <w:pPr>
              <w:keepNext/>
              <w:keepLines/>
              <w:tabs>
                <w:tab w:val="clear" w:pos="1247"/>
                <w:tab w:val="clear" w:pos="1814"/>
                <w:tab w:val="clear" w:pos="2381"/>
                <w:tab w:val="clear" w:pos="2948"/>
                <w:tab w:val="clear" w:pos="3515"/>
              </w:tabs>
              <w:jc w:val="center"/>
              <w:rPr>
                <w:b/>
                <w:lang w:val="en-GB" w:eastAsia="nl-NL"/>
              </w:rPr>
            </w:pPr>
            <w:r w:rsidRPr="009D0F8D">
              <w:rPr>
                <w:b/>
                <w:lang w:val="en-GB" w:eastAsia="nl-NL"/>
              </w:rPr>
              <w:t>Post-</w:t>
            </w:r>
            <w:r w:rsidRPr="009D0F8D">
              <w:rPr>
                <w:b/>
                <w:lang w:val="en-GB" w:eastAsia="nl-NL"/>
              </w:rPr>
              <w:br/>
              <w:t>IPBES 9</w:t>
            </w:r>
          </w:p>
        </w:tc>
      </w:tr>
      <w:tr w:rsidR="006813ED" w:rsidRPr="009D0F8D" w14:paraId="057C6C1A" w14:textId="77777777" w:rsidTr="00E96390">
        <w:trPr>
          <w:tblHeader/>
          <w:jc w:val="right"/>
        </w:trPr>
        <w:tc>
          <w:tcPr>
            <w:tcW w:w="737" w:type="pct"/>
            <w:vMerge/>
            <w:tcBorders>
              <w:top w:val="single" w:sz="4" w:space="0" w:color="000000"/>
              <w:left w:val="single" w:sz="4" w:space="0" w:color="000000"/>
              <w:right w:val="single" w:sz="4" w:space="0" w:color="000000"/>
            </w:tcBorders>
            <w:shd w:val="clear" w:color="auto" w:fill="FBE5D5"/>
          </w:tcPr>
          <w:p w14:paraId="5FE34D68"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line="276" w:lineRule="auto"/>
              <w:rPr>
                <w:b/>
                <w:lang w:val="en-GB" w:eastAsia="nl-NL"/>
              </w:rPr>
            </w:pPr>
          </w:p>
        </w:tc>
        <w:tc>
          <w:tcPr>
            <w:tcW w:w="1036" w:type="pct"/>
            <w:vMerge/>
            <w:tcBorders>
              <w:top w:val="single" w:sz="4" w:space="0" w:color="000000"/>
              <w:left w:val="single" w:sz="4" w:space="0" w:color="000000"/>
              <w:right w:val="single" w:sz="4" w:space="0" w:color="000000"/>
            </w:tcBorders>
            <w:shd w:val="clear" w:color="auto" w:fill="FBE5D5"/>
          </w:tcPr>
          <w:p w14:paraId="2E1D72D0"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line="276" w:lineRule="auto"/>
              <w:rPr>
                <w:b/>
                <w:lang w:val="en-GB" w:eastAsia="nl-NL"/>
              </w:rPr>
            </w:pPr>
          </w:p>
        </w:tc>
        <w:tc>
          <w:tcPr>
            <w:tcW w:w="1755" w:type="pct"/>
            <w:vMerge/>
            <w:tcBorders>
              <w:top w:val="single" w:sz="4" w:space="0" w:color="000000"/>
              <w:left w:val="single" w:sz="4" w:space="0" w:color="000000"/>
              <w:right w:val="single" w:sz="4" w:space="0" w:color="000000"/>
            </w:tcBorders>
            <w:shd w:val="clear" w:color="auto" w:fill="FBE5D5"/>
          </w:tcPr>
          <w:p w14:paraId="3ACA5BD9"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line="276" w:lineRule="auto"/>
              <w:rPr>
                <w:b/>
                <w:lang w:val="en-GB" w:eastAsia="nl-NL"/>
              </w:rPr>
            </w:pPr>
          </w:p>
        </w:tc>
        <w:tc>
          <w:tcPr>
            <w:tcW w:w="363" w:type="pct"/>
            <w:tcBorders>
              <w:top w:val="single" w:sz="4" w:space="0" w:color="000000"/>
              <w:left w:val="single" w:sz="4" w:space="0" w:color="000000"/>
              <w:bottom w:val="single" w:sz="4" w:space="0" w:color="000000"/>
              <w:right w:val="single" w:sz="4" w:space="0" w:color="000000"/>
            </w:tcBorders>
            <w:shd w:val="clear" w:color="auto" w:fill="FBE5D5"/>
          </w:tcPr>
          <w:p w14:paraId="003255D9" w14:textId="77777777" w:rsidR="009D0F8D" w:rsidRPr="009D0F8D" w:rsidRDefault="009D0F8D" w:rsidP="009D0F8D">
            <w:pPr>
              <w:keepNext/>
              <w:keepLines/>
              <w:tabs>
                <w:tab w:val="clear" w:pos="1247"/>
                <w:tab w:val="clear" w:pos="1814"/>
                <w:tab w:val="clear" w:pos="2381"/>
                <w:tab w:val="clear" w:pos="2948"/>
                <w:tab w:val="clear" w:pos="3515"/>
              </w:tabs>
              <w:rPr>
                <w:lang w:val="en-GB" w:eastAsia="nl-NL"/>
              </w:rPr>
            </w:pPr>
            <w:r w:rsidRPr="009D0F8D">
              <w:rPr>
                <w:b/>
                <w:lang w:val="en-GB" w:eastAsia="nl-NL"/>
              </w:rPr>
              <w:t>2021 Q3</w:t>
            </w:r>
          </w:p>
        </w:tc>
        <w:tc>
          <w:tcPr>
            <w:tcW w:w="363" w:type="pct"/>
            <w:tcBorders>
              <w:top w:val="single" w:sz="4" w:space="0" w:color="000000"/>
              <w:left w:val="single" w:sz="4" w:space="0" w:color="000000"/>
              <w:bottom w:val="single" w:sz="4" w:space="0" w:color="000000"/>
              <w:right w:val="single" w:sz="4" w:space="0" w:color="000000"/>
            </w:tcBorders>
            <w:shd w:val="clear" w:color="auto" w:fill="FBE5D5"/>
          </w:tcPr>
          <w:p w14:paraId="26141A49" w14:textId="77777777" w:rsidR="009D0F8D" w:rsidRPr="009D0F8D" w:rsidRDefault="009D0F8D" w:rsidP="009D0F8D">
            <w:pPr>
              <w:keepNext/>
              <w:keepLines/>
              <w:tabs>
                <w:tab w:val="clear" w:pos="1247"/>
                <w:tab w:val="clear" w:pos="1814"/>
                <w:tab w:val="clear" w:pos="2381"/>
                <w:tab w:val="clear" w:pos="2948"/>
                <w:tab w:val="clear" w:pos="3515"/>
              </w:tabs>
              <w:rPr>
                <w:lang w:val="en-GB" w:eastAsia="nl-NL"/>
              </w:rPr>
            </w:pPr>
            <w:r w:rsidRPr="009D0F8D">
              <w:rPr>
                <w:b/>
                <w:lang w:val="en-GB" w:eastAsia="nl-NL"/>
              </w:rPr>
              <w:t>2021 Q4</w:t>
            </w:r>
          </w:p>
        </w:tc>
        <w:tc>
          <w:tcPr>
            <w:tcW w:w="363" w:type="pct"/>
            <w:tcBorders>
              <w:top w:val="single" w:sz="4" w:space="0" w:color="000000"/>
              <w:left w:val="single" w:sz="4" w:space="0" w:color="000000"/>
              <w:bottom w:val="single" w:sz="4" w:space="0" w:color="000000"/>
              <w:right w:val="single" w:sz="4" w:space="0" w:color="000000"/>
            </w:tcBorders>
            <w:shd w:val="clear" w:color="auto" w:fill="FBE5D5"/>
          </w:tcPr>
          <w:p w14:paraId="6C411BB0" w14:textId="77777777" w:rsidR="009D0F8D" w:rsidRPr="009D0F8D" w:rsidRDefault="009D0F8D" w:rsidP="009D0F8D">
            <w:pPr>
              <w:keepNext/>
              <w:keepLines/>
              <w:tabs>
                <w:tab w:val="clear" w:pos="1247"/>
                <w:tab w:val="clear" w:pos="1814"/>
                <w:tab w:val="clear" w:pos="2381"/>
                <w:tab w:val="clear" w:pos="2948"/>
                <w:tab w:val="clear" w:pos="3515"/>
              </w:tabs>
              <w:rPr>
                <w:b/>
                <w:bCs/>
                <w:lang w:val="en-GB" w:eastAsia="nl-NL"/>
              </w:rPr>
            </w:pPr>
            <w:r w:rsidRPr="009D0F8D">
              <w:rPr>
                <w:b/>
                <w:lang w:val="en-GB" w:eastAsia="nl-NL"/>
              </w:rPr>
              <w:t xml:space="preserve">2022 </w:t>
            </w:r>
            <w:r w:rsidRPr="009D0F8D">
              <w:rPr>
                <w:b/>
                <w:bCs/>
                <w:lang w:val="en-GB" w:eastAsia="nl-NL"/>
              </w:rPr>
              <w:t>Q1</w:t>
            </w:r>
          </w:p>
        </w:tc>
        <w:tc>
          <w:tcPr>
            <w:tcW w:w="382" w:type="pct"/>
            <w:tcBorders>
              <w:top w:val="single" w:sz="4" w:space="0" w:color="000000"/>
              <w:left w:val="single" w:sz="4" w:space="0" w:color="000000"/>
              <w:bottom w:val="single" w:sz="4" w:space="0" w:color="000000"/>
              <w:right w:val="single" w:sz="4" w:space="0" w:color="000000"/>
            </w:tcBorders>
            <w:shd w:val="clear" w:color="auto" w:fill="FBE5D5"/>
          </w:tcPr>
          <w:p w14:paraId="18D02DDE" w14:textId="77777777" w:rsidR="009D0F8D" w:rsidRPr="009D0F8D" w:rsidRDefault="009D0F8D" w:rsidP="009D0F8D">
            <w:pPr>
              <w:keepNext/>
              <w:keepLines/>
              <w:tabs>
                <w:tab w:val="clear" w:pos="1247"/>
                <w:tab w:val="clear" w:pos="1814"/>
                <w:tab w:val="clear" w:pos="2381"/>
                <w:tab w:val="clear" w:pos="2948"/>
                <w:tab w:val="clear" w:pos="3515"/>
              </w:tabs>
              <w:rPr>
                <w:lang w:val="en-GB" w:eastAsia="nl-NL"/>
              </w:rPr>
            </w:pPr>
          </w:p>
        </w:tc>
      </w:tr>
      <w:tr w:rsidR="009D0F8D" w:rsidRPr="009F4251" w14:paraId="79CA0554" w14:textId="77777777" w:rsidTr="00E96390">
        <w:trPr>
          <w:trHeight w:val="1145"/>
          <w:jc w:val="right"/>
        </w:trPr>
        <w:tc>
          <w:tcPr>
            <w:tcW w:w="737" w:type="pct"/>
            <w:vMerge w:val="restart"/>
            <w:tcBorders>
              <w:top w:val="single" w:sz="4" w:space="0" w:color="000000"/>
              <w:left w:val="single" w:sz="4" w:space="0" w:color="000000"/>
              <w:right w:val="single" w:sz="4" w:space="0" w:color="000000"/>
            </w:tcBorders>
          </w:tcPr>
          <w:p w14:paraId="114BDBBE" w14:textId="77777777" w:rsidR="009D0F8D" w:rsidRPr="00AD5B1F" w:rsidRDefault="009D0F8D" w:rsidP="00AD5B1F">
            <w:pPr>
              <w:pStyle w:val="Normal-pool"/>
              <w:spacing w:after="60"/>
              <w:rPr>
                <w:u w:val="single"/>
                <w:lang w:eastAsia="nl-NL"/>
              </w:rPr>
            </w:pPr>
            <w:r w:rsidRPr="00AD5B1F">
              <w:rPr>
                <w:u w:val="single"/>
                <w:lang w:eastAsia="nl-NL"/>
              </w:rPr>
              <w:t>Sub-deliverable 1.1:</w:t>
            </w:r>
          </w:p>
          <w:p w14:paraId="2639C7A4" w14:textId="77777777" w:rsidR="009D0F8D" w:rsidRPr="009D0F8D" w:rsidRDefault="009D0F8D" w:rsidP="00AD5B1F">
            <w:pPr>
              <w:pStyle w:val="Normal-pool"/>
              <w:rPr>
                <w:lang w:eastAsia="nl-NL"/>
              </w:rPr>
            </w:pPr>
            <w:r w:rsidRPr="009D0F8D">
              <w:rPr>
                <w:lang w:eastAsia="nl-NL"/>
              </w:rPr>
              <w:t>Mobilize experts for assessments and for scoping of upcoming assessments</w:t>
            </w:r>
          </w:p>
        </w:tc>
        <w:tc>
          <w:tcPr>
            <w:tcW w:w="1036" w:type="pct"/>
            <w:vMerge w:val="restart"/>
            <w:tcBorders>
              <w:top w:val="single" w:sz="4" w:space="0" w:color="000000"/>
              <w:left w:val="single" w:sz="4" w:space="0" w:color="000000"/>
              <w:right w:val="single" w:sz="4" w:space="0" w:color="000000"/>
            </w:tcBorders>
          </w:tcPr>
          <w:p w14:paraId="25A546AA" w14:textId="3E679D4B" w:rsidR="009D0F8D" w:rsidRPr="009D0F8D" w:rsidRDefault="009D0F8D" w:rsidP="00AD5B1F">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color w:val="000000"/>
                <w:lang w:val="en-GB" w:eastAsia="nl-NL"/>
              </w:rPr>
            </w:pPr>
            <w:r w:rsidRPr="009D0F8D">
              <w:rPr>
                <w:b/>
                <w:bCs/>
                <w:color w:val="000000"/>
                <w:lang w:val="en-GB" w:eastAsia="nl-NL"/>
              </w:rPr>
              <w:t>Distribution of calls for nominations of assessment authors and fellows.</w:t>
            </w:r>
          </w:p>
        </w:tc>
        <w:tc>
          <w:tcPr>
            <w:tcW w:w="1755" w:type="pct"/>
            <w:tcBorders>
              <w:top w:val="single" w:sz="4" w:space="0" w:color="000000"/>
              <w:left w:val="single" w:sz="4" w:space="0" w:color="000000"/>
              <w:right w:val="single" w:sz="4" w:space="0" w:color="000000"/>
            </w:tcBorders>
          </w:tcPr>
          <w:p w14:paraId="5094A5F3"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Mobilisation of experts for the nexus assessment</w:t>
            </w:r>
          </w:p>
          <w:p w14:paraId="71AF2BF9"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Mobilisation of experts for the transformative change assessment</w:t>
            </w:r>
          </w:p>
          <w:p w14:paraId="6836E159"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Mobilisation of experts for the business and biodiversity assessment</w:t>
            </w:r>
          </w:p>
        </w:tc>
        <w:tc>
          <w:tcPr>
            <w:tcW w:w="363" w:type="pct"/>
            <w:tcBorders>
              <w:top w:val="single" w:sz="4" w:space="0" w:color="000000"/>
              <w:left w:val="single" w:sz="4" w:space="0" w:color="000000"/>
              <w:right w:val="single" w:sz="4" w:space="0" w:color="000000"/>
            </w:tcBorders>
            <w:shd w:val="clear" w:color="auto" w:fill="auto"/>
          </w:tcPr>
          <w:p w14:paraId="1C6FF0C5"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0D747C74"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48D71B2C"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7F3A4730"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747D9530" w14:textId="77777777" w:rsidTr="00E96390">
        <w:trPr>
          <w:trHeight w:val="513"/>
          <w:jc w:val="right"/>
        </w:trPr>
        <w:tc>
          <w:tcPr>
            <w:tcW w:w="737" w:type="pct"/>
            <w:vMerge/>
            <w:tcBorders>
              <w:top w:val="single" w:sz="4" w:space="0" w:color="000000"/>
              <w:left w:val="single" w:sz="4" w:space="0" w:color="000000"/>
              <w:right w:val="single" w:sz="4" w:space="0" w:color="000000"/>
            </w:tcBorders>
          </w:tcPr>
          <w:p w14:paraId="563B6252"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after="60" w:line="276" w:lineRule="auto"/>
              <w:rPr>
                <w:lang w:val="en-GB" w:eastAsia="nl-NL"/>
              </w:rPr>
            </w:pPr>
          </w:p>
        </w:tc>
        <w:tc>
          <w:tcPr>
            <w:tcW w:w="1036" w:type="pct"/>
            <w:vMerge/>
            <w:tcBorders>
              <w:left w:val="single" w:sz="4" w:space="0" w:color="000000"/>
              <w:right w:val="single" w:sz="4" w:space="0" w:color="000000"/>
            </w:tcBorders>
          </w:tcPr>
          <w:p w14:paraId="3F37D8E7"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color w:val="000000"/>
                <w:lang w:val="en-GB" w:eastAsia="nl-NL"/>
              </w:rPr>
            </w:pPr>
          </w:p>
        </w:tc>
        <w:tc>
          <w:tcPr>
            <w:tcW w:w="1755" w:type="pct"/>
            <w:tcBorders>
              <w:top w:val="single" w:sz="4" w:space="0" w:color="000000"/>
              <w:left w:val="single" w:sz="4" w:space="0" w:color="000000"/>
              <w:right w:val="single" w:sz="4" w:space="0" w:color="000000"/>
            </w:tcBorders>
          </w:tcPr>
          <w:p w14:paraId="5C88EC16"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Linkages between author groups and experts beyond the IPBES circle</w:t>
            </w:r>
          </w:p>
        </w:tc>
        <w:tc>
          <w:tcPr>
            <w:tcW w:w="363" w:type="pct"/>
            <w:tcBorders>
              <w:top w:val="single" w:sz="4" w:space="0" w:color="000000"/>
              <w:left w:val="single" w:sz="4" w:space="0" w:color="000000"/>
              <w:right w:val="single" w:sz="4" w:space="0" w:color="000000"/>
            </w:tcBorders>
            <w:shd w:val="clear" w:color="auto" w:fill="BDD7EE"/>
          </w:tcPr>
          <w:p w14:paraId="0BD5DD7D"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269EC18E"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33742074"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090DE101"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079A1133" w14:textId="77777777" w:rsidTr="00E96390">
        <w:trPr>
          <w:trHeight w:val="405"/>
          <w:jc w:val="right"/>
        </w:trPr>
        <w:tc>
          <w:tcPr>
            <w:tcW w:w="737" w:type="pct"/>
            <w:vMerge w:val="restart"/>
            <w:tcBorders>
              <w:top w:val="single" w:sz="4" w:space="0" w:color="000000"/>
              <w:left w:val="single" w:sz="4" w:space="0" w:color="000000"/>
              <w:right w:val="single" w:sz="4" w:space="0" w:color="000000"/>
            </w:tcBorders>
          </w:tcPr>
          <w:p w14:paraId="10D14AA0" w14:textId="77777777" w:rsidR="009D0F8D" w:rsidRPr="00AD5B1F" w:rsidRDefault="009D0F8D" w:rsidP="00AD5B1F">
            <w:pPr>
              <w:pStyle w:val="Normal-pool"/>
              <w:spacing w:after="60"/>
              <w:rPr>
                <w:u w:val="single"/>
                <w:lang w:eastAsia="nl-NL"/>
              </w:rPr>
            </w:pPr>
            <w:r w:rsidRPr="009D0F8D">
              <w:rPr>
                <w:u w:val="single"/>
                <w:lang w:eastAsia="nl-NL"/>
              </w:rPr>
              <w:t>Sub-deliverable 1.2</w:t>
            </w:r>
            <w:r w:rsidRPr="00AD5B1F">
              <w:rPr>
                <w:u w:val="single"/>
                <w:lang w:eastAsia="nl-NL"/>
              </w:rPr>
              <w:t>:</w:t>
            </w:r>
          </w:p>
          <w:p w14:paraId="48289D16" w14:textId="77777777" w:rsidR="009D0F8D" w:rsidRPr="009D0F8D" w:rsidRDefault="009D0F8D" w:rsidP="00AD5B1F">
            <w:pPr>
              <w:pStyle w:val="Normal-pool"/>
              <w:rPr>
                <w:lang w:eastAsia="nl-NL"/>
              </w:rPr>
            </w:pPr>
            <w:r w:rsidRPr="009D0F8D">
              <w:rPr>
                <w:lang w:eastAsia="nl-NL"/>
              </w:rPr>
              <w:t>Support the review of drafts of assessments</w:t>
            </w:r>
          </w:p>
        </w:tc>
        <w:tc>
          <w:tcPr>
            <w:tcW w:w="1036" w:type="pct"/>
            <w:tcBorders>
              <w:top w:val="single" w:sz="4" w:space="0" w:color="000000"/>
              <w:left w:val="single" w:sz="4" w:space="0" w:color="000000"/>
              <w:right w:val="single" w:sz="4" w:space="0" w:color="000000"/>
            </w:tcBorders>
          </w:tcPr>
          <w:p w14:paraId="591F4156"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color w:val="000000"/>
                <w:lang w:val="en-GB" w:eastAsia="nl-NL"/>
              </w:rPr>
            </w:pPr>
            <w:r w:rsidRPr="009D0F8D">
              <w:rPr>
                <w:b/>
                <w:bCs/>
                <w:color w:val="000000"/>
                <w:lang w:val="en-GB" w:eastAsia="nl-NL"/>
              </w:rPr>
              <w:t>Dissemination of the invitation to review through relevant networks</w:t>
            </w:r>
          </w:p>
        </w:tc>
        <w:tc>
          <w:tcPr>
            <w:tcW w:w="1755" w:type="pct"/>
            <w:tcBorders>
              <w:top w:val="single" w:sz="4" w:space="0" w:color="000000"/>
              <w:left w:val="single" w:sz="4" w:space="0" w:color="000000"/>
              <w:right w:val="single" w:sz="4" w:space="0" w:color="000000"/>
            </w:tcBorders>
          </w:tcPr>
          <w:p w14:paraId="1F1A731C"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Inventory of contributions and participation to date</w:t>
            </w:r>
          </w:p>
        </w:tc>
        <w:tc>
          <w:tcPr>
            <w:tcW w:w="363" w:type="pct"/>
            <w:tcBorders>
              <w:top w:val="single" w:sz="4" w:space="0" w:color="000000"/>
              <w:left w:val="single" w:sz="4" w:space="0" w:color="000000"/>
              <w:right w:val="single" w:sz="4" w:space="0" w:color="000000"/>
            </w:tcBorders>
            <w:shd w:val="clear" w:color="auto" w:fill="BDD7EE"/>
          </w:tcPr>
          <w:p w14:paraId="54BEBE1B"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348FEFD8"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10F109BD"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0A0F4A17"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2C108FDC" w14:textId="77777777" w:rsidTr="00E96390">
        <w:trPr>
          <w:trHeight w:val="779"/>
          <w:jc w:val="right"/>
        </w:trPr>
        <w:tc>
          <w:tcPr>
            <w:tcW w:w="737" w:type="pct"/>
            <w:vMerge/>
            <w:tcBorders>
              <w:top w:val="single" w:sz="4" w:space="0" w:color="000000"/>
              <w:left w:val="single" w:sz="4" w:space="0" w:color="000000"/>
              <w:right w:val="single" w:sz="4" w:space="0" w:color="000000"/>
            </w:tcBorders>
          </w:tcPr>
          <w:p w14:paraId="3C9297E3"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after="60" w:line="276" w:lineRule="auto"/>
              <w:rPr>
                <w:lang w:val="en-GB" w:eastAsia="nl-NL"/>
              </w:rPr>
            </w:pPr>
          </w:p>
        </w:tc>
        <w:tc>
          <w:tcPr>
            <w:tcW w:w="1036" w:type="pct"/>
            <w:tcBorders>
              <w:top w:val="single" w:sz="4" w:space="0" w:color="000000"/>
              <w:left w:val="single" w:sz="4" w:space="0" w:color="000000"/>
              <w:right w:val="single" w:sz="4" w:space="0" w:color="000000"/>
            </w:tcBorders>
          </w:tcPr>
          <w:p w14:paraId="5ED9A872"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color w:val="000000"/>
                <w:lang w:val="en-GB" w:eastAsia="nl-NL"/>
              </w:rPr>
            </w:pPr>
            <w:r w:rsidRPr="009D0F8D">
              <w:rPr>
                <w:b/>
                <w:bCs/>
                <w:color w:val="000000"/>
                <w:lang w:val="en-GB" w:eastAsia="nl-NL"/>
              </w:rPr>
              <w:t>Review of draft assessments by the task force on scenarios and models</w:t>
            </w:r>
          </w:p>
        </w:tc>
        <w:tc>
          <w:tcPr>
            <w:tcW w:w="1755" w:type="pct"/>
            <w:tcBorders>
              <w:top w:val="single" w:sz="4" w:space="0" w:color="000000"/>
              <w:left w:val="single" w:sz="4" w:space="0" w:color="000000"/>
              <w:right w:val="single" w:sz="4" w:space="0" w:color="000000"/>
            </w:tcBorders>
          </w:tcPr>
          <w:p w14:paraId="5F1FF41B"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 xml:space="preserve">Additional review of the second order draft of the summary for policymakers of the assessment on values </w:t>
            </w:r>
          </w:p>
          <w:p w14:paraId="67E48FB7"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Review of the second order draft of the chapters and the first order draft of the summary for policymakers of the assessment of invasive alien species</w:t>
            </w:r>
          </w:p>
          <w:p w14:paraId="466A4C80"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Review of first order drafts of the nexus and transformative change assessments (post-IPBES 9)</w:t>
            </w:r>
          </w:p>
        </w:tc>
        <w:tc>
          <w:tcPr>
            <w:tcW w:w="363" w:type="pct"/>
            <w:tcBorders>
              <w:top w:val="single" w:sz="4" w:space="0" w:color="000000"/>
              <w:left w:val="single" w:sz="4" w:space="0" w:color="000000"/>
              <w:right w:val="single" w:sz="4" w:space="0" w:color="000000"/>
            </w:tcBorders>
            <w:shd w:val="clear" w:color="auto" w:fill="BDD7EE"/>
          </w:tcPr>
          <w:p w14:paraId="7705AF5A"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3024FC45"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15EE9E30"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7E3756F9"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1E05029A" w14:textId="77777777" w:rsidTr="00E96390">
        <w:trPr>
          <w:trHeight w:val="574"/>
          <w:jc w:val="right"/>
        </w:trPr>
        <w:tc>
          <w:tcPr>
            <w:tcW w:w="737" w:type="pct"/>
            <w:vMerge w:val="restart"/>
            <w:tcBorders>
              <w:top w:val="single" w:sz="4" w:space="0" w:color="000000"/>
              <w:left w:val="single" w:sz="4" w:space="0" w:color="000000"/>
              <w:right w:val="single" w:sz="4" w:space="0" w:color="000000"/>
            </w:tcBorders>
          </w:tcPr>
          <w:p w14:paraId="126BB913" w14:textId="77777777" w:rsidR="009D0F8D" w:rsidRPr="00AD5B1F" w:rsidRDefault="009D0F8D" w:rsidP="00AD5B1F">
            <w:pPr>
              <w:pStyle w:val="Normal-pool"/>
              <w:spacing w:after="60"/>
              <w:rPr>
                <w:u w:val="single"/>
                <w:lang w:eastAsia="nl-NL"/>
              </w:rPr>
            </w:pPr>
            <w:r w:rsidRPr="009D0F8D">
              <w:rPr>
                <w:u w:val="single"/>
                <w:lang w:eastAsia="nl-NL"/>
              </w:rPr>
              <w:t>Sub-deliverable 1.3</w:t>
            </w:r>
            <w:r w:rsidRPr="00AD5B1F">
              <w:rPr>
                <w:u w:val="single"/>
                <w:lang w:eastAsia="nl-NL"/>
              </w:rPr>
              <w:t>:</w:t>
            </w:r>
          </w:p>
          <w:p w14:paraId="49A7D2B0"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r w:rsidRPr="009D0F8D">
              <w:rPr>
                <w:lang w:val="en-GB" w:eastAsia="nl-NL"/>
              </w:rPr>
              <w:t>Provide advice to assessments</w:t>
            </w:r>
          </w:p>
        </w:tc>
        <w:tc>
          <w:tcPr>
            <w:tcW w:w="1036" w:type="pct"/>
            <w:tcBorders>
              <w:top w:val="single" w:sz="4" w:space="0" w:color="000000"/>
              <w:left w:val="single" w:sz="4" w:space="0" w:color="000000"/>
              <w:right w:val="single" w:sz="4" w:space="0" w:color="000000"/>
            </w:tcBorders>
          </w:tcPr>
          <w:p w14:paraId="464A7A09"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color w:val="000000"/>
                <w:lang w:val="en-GB" w:eastAsia="nl-NL"/>
              </w:rPr>
            </w:pPr>
            <w:r w:rsidRPr="009D0F8D">
              <w:rPr>
                <w:b/>
                <w:bCs/>
                <w:color w:val="000000"/>
                <w:lang w:val="en-GB" w:eastAsia="nl-NL"/>
              </w:rPr>
              <w:t>Review of draft scoping reports by the task force on scenarios and models</w:t>
            </w:r>
          </w:p>
        </w:tc>
        <w:tc>
          <w:tcPr>
            <w:tcW w:w="1755" w:type="pct"/>
            <w:tcBorders>
              <w:top w:val="single" w:sz="4" w:space="0" w:color="000000"/>
              <w:left w:val="single" w:sz="4" w:space="0" w:color="000000"/>
              <w:right w:val="single" w:sz="4" w:space="0" w:color="000000"/>
            </w:tcBorders>
          </w:tcPr>
          <w:p w14:paraId="32388BC7"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Inputs to the external review of the scoping report of the business and biodiversity assessment</w:t>
            </w:r>
          </w:p>
        </w:tc>
        <w:tc>
          <w:tcPr>
            <w:tcW w:w="363" w:type="pct"/>
            <w:tcBorders>
              <w:top w:val="single" w:sz="4" w:space="0" w:color="000000"/>
              <w:left w:val="single" w:sz="4" w:space="0" w:color="000000"/>
              <w:right w:val="single" w:sz="4" w:space="0" w:color="000000"/>
            </w:tcBorders>
            <w:shd w:val="clear" w:color="auto" w:fill="BDD7EE"/>
          </w:tcPr>
          <w:p w14:paraId="3E572956"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auto"/>
          </w:tcPr>
          <w:p w14:paraId="30D98C21"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auto"/>
          </w:tcPr>
          <w:p w14:paraId="24E19732"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tcPr>
          <w:p w14:paraId="7D721E65"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2DE7DA5A" w14:textId="77777777" w:rsidTr="00E96390">
        <w:trPr>
          <w:trHeight w:val="73"/>
          <w:jc w:val="right"/>
        </w:trPr>
        <w:tc>
          <w:tcPr>
            <w:tcW w:w="737" w:type="pct"/>
            <w:vMerge/>
            <w:tcBorders>
              <w:top w:val="single" w:sz="4" w:space="0" w:color="000000"/>
              <w:left w:val="single" w:sz="4" w:space="0" w:color="000000"/>
              <w:right w:val="single" w:sz="4" w:space="0" w:color="000000"/>
            </w:tcBorders>
          </w:tcPr>
          <w:p w14:paraId="414195CD"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after="60"/>
              <w:rPr>
                <w:lang w:val="en-GB" w:eastAsia="nl-NL"/>
              </w:rPr>
            </w:pPr>
          </w:p>
        </w:tc>
        <w:tc>
          <w:tcPr>
            <w:tcW w:w="1036" w:type="pct"/>
            <w:tcBorders>
              <w:top w:val="single" w:sz="4" w:space="0" w:color="000000"/>
              <w:left w:val="single" w:sz="4" w:space="0" w:color="000000"/>
              <w:right w:val="single" w:sz="4" w:space="0" w:color="000000"/>
            </w:tcBorders>
          </w:tcPr>
          <w:p w14:paraId="0C1CBABC"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color w:val="000000"/>
                <w:lang w:val="en-GB" w:eastAsia="nl-NL"/>
              </w:rPr>
            </w:pPr>
            <w:r w:rsidRPr="009D0F8D">
              <w:rPr>
                <w:b/>
                <w:bCs/>
                <w:color w:val="000000"/>
                <w:lang w:val="en-GB" w:eastAsia="nl-NL"/>
              </w:rPr>
              <w:t>Provision of assistance to the Multidisciplinary Expert Panel in the implementation of the process for filling gaps in expertise for these assessment expert groups, where required</w:t>
            </w:r>
          </w:p>
        </w:tc>
        <w:tc>
          <w:tcPr>
            <w:tcW w:w="1755" w:type="pct"/>
            <w:tcBorders>
              <w:top w:val="single" w:sz="4" w:space="0" w:color="000000"/>
              <w:left w:val="single" w:sz="4" w:space="0" w:color="000000"/>
              <w:right w:val="single" w:sz="4" w:space="0" w:color="000000"/>
            </w:tcBorders>
          </w:tcPr>
          <w:p w14:paraId="453468EE"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Suggestion of names of potential authors upon request</w:t>
            </w:r>
          </w:p>
        </w:tc>
        <w:tc>
          <w:tcPr>
            <w:tcW w:w="363" w:type="pct"/>
            <w:tcBorders>
              <w:top w:val="single" w:sz="4" w:space="0" w:color="000000"/>
              <w:left w:val="single" w:sz="4" w:space="0" w:color="000000"/>
              <w:right w:val="single" w:sz="4" w:space="0" w:color="000000"/>
            </w:tcBorders>
            <w:shd w:val="clear" w:color="auto" w:fill="BDD7EE"/>
          </w:tcPr>
          <w:p w14:paraId="06AA59DE"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5046403C"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321B2C8B"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578895CE"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56FD1541" w14:textId="77777777" w:rsidTr="00E96390">
        <w:trPr>
          <w:trHeight w:val="779"/>
          <w:jc w:val="right"/>
        </w:trPr>
        <w:tc>
          <w:tcPr>
            <w:tcW w:w="737" w:type="pct"/>
            <w:vMerge/>
            <w:tcBorders>
              <w:top w:val="single" w:sz="4" w:space="0" w:color="000000"/>
              <w:left w:val="single" w:sz="4" w:space="0" w:color="000000"/>
              <w:right w:val="single" w:sz="4" w:space="0" w:color="000000"/>
            </w:tcBorders>
          </w:tcPr>
          <w:p w14:paraId="32B0725B"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after="60"/>
              <w:rPr>
                <w:lang w:val="en-GB" w:eastAsia="nl-NL"/>
              </w:rPr>
            </w:pPr>
          </w:p>
        </w:tc>
        <w:tc>
          <w:tcPr>
            <w:tcW w:w="1036" w:type="pct"/>
            <w:vMerge w:val="restart"/>
            <w:tcBorders>
              <w:top w:val="single" w:sz="4" w:space="0" w:color="000000"/>
              <w:left w:val="single" w:sz="4" w:space="0" w:color="000000"/>
              <w:right w:val="single" w:sz="4" w:space="0" w:color="000000"/>
            </w:tcBorders>
          </w:tcPr>
          <w:p w14:paraId="361FE7B9" w14:textId="77777777" w:rsidR="009D0F8D" w:rsidRPr="009D0F8D" w:rsidRDefault="009D0F8D" w:rsidP="00E75F0C">
            <w:pPr>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color w:val="000000"/>
                <w:lang w:val="en-GB" w:eastAsia="nl-NL"/>
              </w:rPr>
            </w:pPr>
            <w:r w:rsidRPr="009D0F8D">
              <w:rPr>
                <w:b/>
                <w:bCs/>
                <w:lang w:val="en-GB" w:eastAsia="nl-NL"/>
              </w:rPr>
              <w:t xml:space="preserve">Organization of webinars for assessment authors to support the development of scenarios chapters based on the Methodological Assessment of Scenarios and Models. </w:t>
            </w:r>
          </w:p>
          <w:p w14:paraId="010975CF"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color w:val="000000"/>
                <w:lang w:val="en-GB" w:eastAsia="nl-NL"/>
              </w:rPr>
            </w:pPr>
            <w:r w:rsidRPr="009D0F8D">
              <w:rPr>
                <w:b/>
                <w:bCs/>
                <w:lang w:val="en-GB" w:eastAsia="nl-NL"/>
              </w:rPr>
              <w:t>Provision of support to all ongoing IPBES assessments on the use of currently available scenarios, including those developed by previous global-scale assessments and the shared socio-economic pathways (SSP) framework assessed by the Intergovernmental Panel on Climate Change</w:t>
            </w:r>
          </w:p>
        </w:tc>
        <w:tc>
          <w:tcPr>
            <w:tcW w:w="1755" w:type="pct"/>
            <w:tcBorders>
              <w:top w:val="single" w:sz="4" w:space="0" w:color="000000"/>
              <w:left w:val="single" w:sz="4" w:space="0" w:color="000000"/>
              <w:right w:val="single" w:sz="4" w:space="0" w:color="000000"/>
            </w:tcBorders>
          </w:tcPr>
          <w:p w14:paraId="62F93241" w14:textId="77777777" w:rsidR="009D0F8D" w:rsidRPr="009D0F8D" w:rsidRDefault="009D0F8D" w:rsidP="00E75F0C">
            <w:pPr>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Communication with coordinating lead authors and lead authors of assessments to advise on producing coherent chapters on scenarios and models</w:t>
            </w:r>
          </w:p>
          <w:p w14:paraId="0D09E054" w14:textId="77777777" w:rsidR="009D0F8D" w:rsidRPr="009D0F8D" w:rsidRDefault="009D0F8D" w:rsidP="00E75F0C">
            <w:pPr>
              <w:numPr>
                <w:ilvl w:val="1"/>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570"/>
              <w:rPr>
                <w:color w:val="000000"/>
                <w:lang w:val="en-GB" w:eastAsia="nl-NL"/>
              </w:rPr>
            </w:pPr>
            <w:r w:rsidRPr="009D0F8D">
              <w:rPr>
                <w:color w:val="000000"/>
                <w:lang w:val="en-GB" w:eastAsia="nl-NL"/>
              </w:rPr>
              <w:t>How to translate the methodological assessment into practical guidelines for assessment authors</w:t>
            </w:r>
          </w:p>
          <w:p w14:paraId="4EEFA6FE" w14:textId="77777777" w:rsidR="009D0F8D" w:rsidRPr="009D0F8D" w:rsidRDefault="009D0F8D" w:rsidP="00E75F0C">
            <w:pPr>
              <w:numPr>
                <w:ilvl w:val="1"/>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570"/>
              <w:rPr>
                <w:color w:val="000000"/>
                <w:lang w:val="en-GB" w:eastAsia="nl-NL"/>
              </w:rPr>
            </w:pPr>
            <w:r w:rsidRPr="009D0F8D">
              <w:rPr>
                <w:color w:val="000000"/>
                <w:lang w:val="en-GB" w:eastAsia="nl-NL"/>
              </w:rPr>
              <w:t>Feeding back prior experience on assessments into new author groups</w:t>
            </w:r>
          </w:p>
          <w:p w14:paraId="5AE64C1E" w14:textId="77777777" w:rsidR="009D0F8D" w:rsidRPr="009D0F8D" w:rsidRDefault="009D0F8D" w:rsidP="00E75F0C">
            <w:pPr>
              <w:numPr>
                <w:ilvl w:val="1"/>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570"/>
              <w:rPr>
                <w:color w:val="000000"/>
                <w:lang w:val="en-GB" w:eastAsia="nl-NL"/>
              </w:rPr>
            </w:pPr>
            <w:r w:rsidRPr="009D0F8D">
              <w:rPr>
                <w:color w:val="000000"/>
                <w:lang w:val="en-GB" w:eastAsia="nl-NL"/>
              </w:rPr>
              <w:t>Recommended resources, databases, existing materials, case studies</w:t>
            </w:r>
          </w:p>
          <w:p w14:paraId="5002FFAD" w14:textId="77777777" w:rsidR="009D0F8D" w:rsidRPr="009D0F8D" w:rsidRDefault="009D0F8D" w:rsidP="00E75F0C">
            <w:pPr>
              <w:numPr>
                <w:ilvl w:val="1"/>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570"/>
              <w:rPr>
                <w:color w:val="000000"/>
                <w:lang w:val="en-GB" w:eastAsia="nl-NL"/>
              </w:rPr>
            </w:pPr>
            <w:r w:rsidRPr="009D0F8D">
              <w:rPr>
                <w:color w:val="000000"/>
                <w:lang w:val="en-GB" w:eastAsia="nl-NL"/>
              </w:rPr>
              <w:t>Cross-chapter box on scenarios and models as needed (led by liaison group)</w:t>
            </w:r>
          </w:p>
          <w:p w14:paraId="1E177574" w14:textId="77777777" w:rsidR="009D0F8D" w:rsidRPr="009D0F8D" w:rsidRDefault="009D0F8D" w:rsidP="00E75F0C">
            <w:pPr>
              <w:numPr>
                <w:ilvl w:val="1"/>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570"/>
              <w:rPr>
                <w:lang w:val="en-GB" w:eastAsia="nl-NL"/>
              </w:rPr>
            </w:pPr>
            <w:r w:rsidRPr="009D0F8D">
              <w:rPr>
                <w:lang w:val="en-GB" w:eastAsia="nl-NL"/>
              </w:rPr>
              <w:t>Cross-assessment meeting on scenarios and models with nexus and transformative change authors, as needed</w:t>
            </w:r>
          </w:p>
        </w:tc>
        <w:tc>
          <w:tcPr>
            <w:tcW w:w="363" w:type="pct"/>
            <w:tcBorders>
              <w:top w:val="single" w:sz="4" w:space="0" w:color="000000"/>
              <w:left w:val="single" w:sz="4" w:space="0" w:color="000000"/>
              <w:right w:val="single" w:sz="4" w:space="0" w:color="000000"/>
            </w:tcBorders>
            <w:shd w:val="clear" w:color="auto" w:fill="BDD7EE"/>
          </w:tcPr>
          <w:p w14:paraId="0501A24F"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2ABC68E6"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1910FBE0"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3B9B7C51"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51B297D7" w14:textId="77777777" w:rsidTr="00E96390">
        <w:trPr>
          <w:trHeight w:val="447"/>
          <w:jc w:val="right"/>
        </w:trPr>
        <w:tc>
          <w:tcPr>
            <w:tcW w:w="737" w:type="pct"/>
            <w:vMerge/>
            <w:tcBorders>
              <w:top w:val="single" w:sz="4" w:space="0" w:color="000000"/>
              <w:left w:val="single" w:sz="4" w:space="0" w:color="000000"/>
              <w:right w:val="single" w:sz="4" w:space="0" w:color="000000"/>
            </w:tcBorders>
          </w:tcPr>
          <w:p w14:paraId="462532AF" w14:textId="77777777" w:rsidR="009D0F8D" w:rsidRPr="009D0F8D" w:rsidRDefault="009D0F8D" w:rsidP="009D0F8D">
            <w:pPr>
              <w:tabs>
                <w:tab w:val="clear" w:pos="1247"/>
                <w:tab w:val="clear" w:pos="1814"/>
                <w:tab w:val="clear" w:pos="2381"/>
                <w:tab w:val="clear" w:pos="2948"/>
                <w:tab w:val="clear" w:pos="3515"/>
              </w:tabs>
              <w:rPr>
                <w:u w:val="single"/>
                <w:lang w:val="en-GB" w:eastAsia="nl-NL"/>
              </w:rPr>
            </w:pPr>
          </w:p>
        </w:tc>
        <w:tc>
          <w:tcPr>
            <w:tcW w:w="1036" w:type="pct"/>
            <w:vMerge/>
            <w:tcBorders>
              <w:left w:val="single" w:sz="4" w:space="0" w:color="000000"/>
              <w:right w:val="single" w:sz="4" w:space="0" w:color="000000"/>
            </w:tcBorders>
          </w:tcPr>
          <w:p w14:paraId="1C1635C6"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lang w:val="en-GB" w:eastAsia="nl-NL"/>
              </w:rPr>
            </w:pPr>
          </w:p>
        </w:tc>
        <w:tc>
          <w:tcPr>
            <w:tcW w:w="1755" w:type="pct"/>
            <w:tcBorders>
              <w:top w:val="single" w:sz="4" w:space="0" w:color="000000"/>
              <w:left w:val="single" w:sz="4" w:space="0" w:color="000000"/>
              <w:right w:val="single" w:sz="4" w:space="0" w:color="000000"/>
            </w:tcBorders>
          </w:tcPr>
          <w:p w14:paraId="1B19AA60" w14:textId="77777777" w:rsidR="009D0F8D" w:rsidRPr="009D0F8D" w:rsidRDefault="009D0F8D" w:rsidP="00E75F0C">
            <w:pPr>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Webinars to guide the preparation of scenario chapters of ongoing and future assessments, in collaboration with the task force on capacity building</w:t>
            </w:r>
          </w:p>
        </w:tc>
        <w:tc>
          <w:tcPr>
            <w:tcW w:w="363" w:type="pct"/>
            <w:tcBorders>
              <w:top w:val="single" w:sz="4" w:space="0" w:color="000000"/>
              <w:left w:val="single" w:sz="4" w:space="0" w:color="000000"/>
              <w:right w:val="single" w:sz="4" w:space="0" w:color="000000"/>
            </w:tcBorders>
            <w:shd w:val="clear" w:color="auto" w:fill="BDD7EE"/>
          </w:tcPr>
          <w:p w14:paraId="42A9D641"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088D49FE"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2F5C489A"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0259FFAF"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20071EFF" w14:textId="77777777" w:rsidTr="00E96390">
        <w:trPr>
          <w:trHeight w:val="812"/>
          <w:jc w:val="right"/>
        </w:trPr>
        <w:tc>
          <w:tcPr>
            <w:tcW w:w="737" w:type="pct"/>
            <w:vMerge/>
            <w:tcBorders>
              <w:top w:val="single" w:sz="4" w:space="0" w:color="000000"/>
              <w:left w:val="single" w:sz="4" w:space="0" w:color="000000"/>
              <w:right w:val="single" w:sz="4" w:space="0" w:color="000000"/>
            </w:tcBorders>
          </w:tcPr>
          <w:p w14:paraId="4B7806F2" w14:textId="77777777" w:rsidR="009D0F8D" w:rsidRPr="009D0F8D" w:rsidRDefault="009D0F8D" w:rsidP="009D0F8D">
            <w:pPr>
              <w:tabs>
                <w:tab w:val="clear" w:pos="1247"/>
                <w:tab w:val="clear" w:pos="1814"/>
                <w:tab w:val="clear" w:pos="2381"/>
                <w:tab w:val="clear" w:pos="2948"/>
                <w:tab w:val="clear" w:pos="3515"/>
              </w:tabs>
              <w:rPr>
                <w:u w:val="single"/>
                <w:lang w:val="en-GB" w:eastAsia="nl-NL"/>
              </w:rPr>
            </w:pPr>
          </w:p>
        </w:tc>
        <w:tc>
          <w:tcPr>
            <w:tcW w:w="1036" w:type="pct"/>
            <w:vMerge/>
            <w:tcBorders>
              <w:left w:val="single" w:sz="4" w:space="0" w:color="000000"/>
              <w:right w:val="single" w:sz="4" w:space="0" w:color="000000"/>
            </w:tcBorders>
          </w:tcPr>
          <w:p w14:paraId="56AF5BB6"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lang w:val="en-GB" w:eastAsia="nl-NL"/>
              </w:rPr>
            </w:pPr>
          </w:p>
        </w:tc>
        <w:tc>
          <w:tcPr>
            <w:tcW w:w="1755" w:type="pct"/>
            <w:tcBorders>
              <w:top w:val="single" w:sz="4" w:space="0" w:color="000000"/>
              <w:left w:val="single" w:sz="4" w:space="0" w:color="000000"/>
              <w:right w:val="single" w:sz="4" w:space="0" w:color="000000"/>
            </w:tcBorders>
          </w:tcPr>
          <w:p w14:paraId="205E413E" w14:textId="77777777" w:rsidR="009D0F8D" w:rsidRPr="009D0F8D" w:rsidRDefault="009D0F8D" w:rsidP="00E75F0C">
            <w:pPr>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Dialogue on indigenous and local knowledge and scenarios in collaboration with the task force on indigenous and local knowledge</w:t>
            </w:r>
          </w:p>
        </w:tc>
        <w:tc>
          <w:tcPr>
            <w:tcW w:w="363" w:type="pct"/>
            <w:tcBorders>
              <w:top w:val="single" w:sz="4" w:space="0" w:color="000000"/>
              <w:left w:val="single" w:sz="4" w:space="0" w:color="000000"/>
              <w:right w:val="single" w:sz="4" w:space="0" w:color="000000"/>
            </w:tcBorders>
            <w:shd w:val="clear" w:color="auto" w:fill="BDD7EE"/>
          </w:tcPr>
          <w:p w14:paraId="5AF99F1E"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355A398F"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auto"/>
          </w:tcPr>
          <w:p w14:paraId="615EFFDC"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auto"/>
          </w:tcPr>
          <w:p w14:paraId="148A7DC1"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38EA8313" w14:textId="77777777" w:rsidTr="00E96390">
        <w:trPr>
          <w:trHeight w:val="1333"/>
          <w:jc w:val="right"/>
        </w:trPr>
        <w:tc>
          <w:tcPr>
            <w:tcW w:w="737" w:type="pct"/>
            <w:vMerge w:val="restart"/>
            <w:tcBorders>
              <w:top w:val="single" w:sz="4" w:space="0" w:color="000000"/>
              <w:left w:val="single" w:sz="4" w:space="0" w:color="000000"/>
              <w:right w:val="single" w:sz="4" w:space="0" w:color="000000"/>
            </w:tcBorders>
          </w:tcPr>
          <w:p w14:paraId="4C3CD3DC" w14:textId="77777777" w:rsidR="009D0F8D" w:rsidRPr="00AD5B1F" w:rsidRDefault="009D0F8D" w:rsidP="00AD5B1F">
            <w:pPr>
              <w:pStyle w:val="Normal-pool"/>
              <w:spacing w:after="60"/>
              <w:rPr>
                <w:u w:val="single"/>
                <w:lang w:eastAsia="nl-NL"/>
              </w:rPr>
            </w:pPr>
            <w:r w:rsidRPr="009D0F8D">
              <w:rPr>
                <w:u w:val="single"/>
                <w:lang w:eastAsia="nl-NL"/>
              </w:rPr>
              <w:lastRenderedPageBreak/>
              <w:t>Sub-deliverable 1.4</w:t>
            </w:r>
            <w:r w:rsidRPr="00AD5B1F">
              <w:rPr>
                <w:u w:val="single"/>
                <w:lang w:eastAsia="nl-NL"/>
              </w:rPr>
              <w:t>:</w:t>
            </w:r>
          </w:p>
          <w:p w14:paraId="549873BD" w14:textId="77777777" w:rsidR="009D0F8D" w:rsidRPr="009D0F8D" w:rsidRDefault="009D0F8D" w:rsidP="009D0F8D">
            <w:pPr>
              <w:tabs>
                <w:tab w:val="clear" w:pos="1247"/>
                <w:tab w:val="clear" w:pos="1814"/>
                <w:tab w:val="clear" w:pos="2381"/>
                <w:tab w:val="clear" w:pos="2948"/>
                <w:tab w:val="clear" w:pos="3515"/>
              </w:tabs>
              <w:rPr>
                <w:lang w:val="en-GB" w:eastAsia="nl-NL"/>
              </w:rPr>
            </w:pPr>
            <w:r w:rsidRPr="009D0F8D">
              <w:rPr>
                <w:lang w:val="en-GB" w:eastAsia="nl-NL"/>
              </w:rPr>
              <w:t>Coordinate/ stimulate development of scenarios and models, tailored to assessments</w:t>
            </w:r>
          </w:p>
        </w:tc>
        <w:tc>
          <w:tcPr>
            <w:tcW w:w="1036" w:type="pct"/>
            <w:vMerge w:val="restart"/>
            <w:tcBorders>
              <w:top w:val="single" w:sz="4" w:space="0" w:color="000000"/>
              <w:left w:val="single" w:sz="4" w:space="0" w:color="000000"/>
              <w:right w:val="single" w:sz="4" w:space="0" w:color="000000"/>
            </w:tcBorders>
          </w:tcPr>
          <w:p w14:paraId="779D0B2C" w14:textId="77777777" w:rsidR="009D0F8D" w:rsidRPr="009D0F8D" w:rsidRDefault="009D0F8D" w:rsidP="00E75F0C">
            <w:pPr>
              <w:keepNext/>
              <w:keepLines/>
              <w:numPr>
                <w:ilvl w:val="0"/>
                <w:numId w:val="7"/>
              </w:numPr>
              <w:tabs>
                <w:tab w:val="clear" w:pos="1247"/>
                <w:tab w:val="clear" w:pos="1814"/>
                <w:tab w:val="clear" w:pos="2381"/>
                <w:tab w:val="clear" w:pos="2948"/>
                <w:tab w:val="clear" w:pos="3515"/>
              </w:tabs>
              <w:spacing w:after="60" w:line="276" w:lineRule="auto"/>
              <w:ind w:left="222" w:hanging="181"/>
              <w:rPr>
                <w:b/>
                <w:bCs/>
                <w:lang w:val="en-GB" w:eastAsia="nl-NL"/>
              </w:rPr>
            </w:pPr>
            <w:r w:rsidRPr="009D0F8D">
              <w:rPr>
                <w:b/>
                <w:bCs/>
                <w:lang w:val="en-GB" w:eastAsia="nl-NL"/>
              </w:rPr>
              <w:t xml:space="preserve">Publications of articles in peer-reviewed journals to stimulate development of scenarios and models tailored to IPBES assessments, and to test the application of the draft nature futures framework and narrative scenario development methods where appropriate; </w:t>
            </w:r>
          </w:p>
        </w:tc>
        <w:tc>
          <w:tcPr>
            <w:tcW w:w="1755" w:type="pct"/>
            <w:tcBorders>
              <w:top w:val="single" w:sz="4" w:space="0" w:color="000000"/>
              <w:left w:val="single" w:sz="4" w:space="0" w:color="000000"/>
              <w:right w:val="single" w:sz="4" w:space="0" w:color="000000"/>
            </w:tcBorders>
          </w:tcPr>
          <w:p w14:paraId="5EC29E4E"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17"/>
              <w:rPr>
                <w:color w:val="000000"/>
                <w:lang w:val="en-GB" w:eastAsia="nl-NL"/>
              </w:rPr>
            </w:pPr>
            <w:r w:rsidRPr="009D0F8D">
              <w:rPr>
                <w:color w:val="000000"/>
                <w:lang w:val="en-GB" w:eastAsia="nl-NL"/>
              </w:rPr>
              <w:t>Joint publications to inform assessments and the wider scientific community on, e.g., illustrative narratives for the Nature Futures Framework, quantitative scenarios for the framework, impacts on biodiversity and ecosystem services, assessment specific indicators, linkages to shared socio-economic pathways and model intercomparisons</w:t>
            </w:r>
          </w:p>
        </w:tc>
        <w:tc>
          <w:tcPr>
            <w:tcW w:w="363" w:type="pct"/>
            <w:tcBorders>
              <w:top w:val="single" w:sz="4" w:space="0" w:color="000000"/>
              <w:left w:val="single" w:sz="4" w:space="0" w:color="000000"/>
              <w:right w:val="single" w:sz="4" w:space="0" w:color="000000"/>
            </w:tcBorders>
            <w:shd w:val="clear" w:color="auto" w:fill="BDD7EE"/>
          </w:tcPr>
          <w:p w14:paraId="6B3FF1F9"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0F32BCEB"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288646BC"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42545916"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5C2A0CDD" w14:textId="77777777" w:rsidTr="00E96390">
        <w:trPr>
          <w:trHeight w:val="944"/>
          <w:jc w:val="right"/>
        </w:trPr>
        <w:tc>
          <w:tcPr>
            <w:tcW w:w="737" w:type="pct"/>
            <w:vMerge/>
            <w:tcBorders>
              <w:top w:val="single" w:sz="4" w:space="0" w:color="000000"/>
              <w:left w:val="single" w:sz="4" w:space="0" w:color="000000"/>
              <w:right w:val="single" w:sz="4" w:space="0" w:color="000000"/>
            </w:tcBorders>
          </w:tcPr>
          <w:p w14:paraId="17B340D4"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line="276" w:lineRule="auto"/>
              <w:rPr>
                <w:lang w:val="en-GB" w:eastAsia="nl-NL"/>
              </w:rPr>
            </w:pPr>
          </w:p>
        </w:tc>
        <w:tc>
          <w:tcPr>
            <w:tcW w:w="1036" w:type="pct"/>
            <w:vMerge/>
            <w:tcBorders>
              <w:left w:val="single" w:sz="4" w:space="0" w:color="000000"/>
              <w:right w:val="single" w:sz="4" w:space="0" w:color="000000"/>
            </w:tcBorders>
          </w:tcPr>
          <w:p w14:paraId="52CABF16"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color w:val="000000"/>
                <w:lang w:val="en-GB" w:eastAsia="nl-NL"/>
              </w:rPr>
            </w:pPr>
          </w:p>
        </w:tc>
        <w:tc>
          <w:tcPr>
            <w:tcW w:w="1755" w:type="pct"/>
            <w:tcBorders>
              <w:top w:val="single" w:sz="4" w:space="0" w:color="000000"/>
              <w:left w:val="single" w:sz="4" w:space="0" w:color="000000"/>
              <w:right w:val="single" w:sz="4" w:space="0" w:color="000000"/>
            </w:tcBorders>
          </w:tcPr>
          <w:p w14:paraId="47118011"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Identification of experts to engage in the nexus and transformative change assessments</w:t>
            </w:r>
          </w:p>
          <w:p w14:paraId="056AD430"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Tailoring the nature futures scenarios to inform future assessments</w:t>
            </w:r>
          </w:p>
        </w:tc>
        <w:tc>
          <w:tcPr>
            <w:tcW w:w="363" w:type="pct"/>
            <w:tcBorders>
              <w:top w:val="single" w:sz="4" w:space="0" w:color="000000"/>
              <w:left w:val="single" w:sz="4" w:space="0" w:color="000000"/>
              <w:right w:val="single" w:sz="4" w:space="0" w:color="000000"/>
            </w:tcBorders>
            <w:shd w:val="clear" w:color="auto" w:fill="auto"/>
          </w:tcPr>
          <w:p w14:paraId="6E5AD7E7"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tcPr>
          <w:p w14:paraId="2E19A80A"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auto"/>
          </w:tcPr>
          <w:p w14:paraId="2950497F"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08205A04"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4C4A5486" w14:textId="77777777" w:rsidTr="00E96390">
        <w:trPr>
          <w:trHeight w:val="2244"/>
          <w:jc w:val="right"/>
        </w:trPr>
        <w:tc>
          <w:tcPr>
            <w:tcW w:w="737" w:type="pct"/>
            <w:vMerge w:val="restart"/>
            <w:tcBorders>
              <w:top w:val="single" w:sz="4" w:space="0" w:color="000000"/>
              <w:left w:val="single" w:sz="4" w:space="0" w:color="000000"/>
              <w:right w:val="single" w:sz="4" w:space="0" w:color="000000"/>
            </w:tcBorders>
          </w:tcPr>
          <w:p w14:paraId="543C6A14" w14:textId="77777777" w:rsidR="009D0F8D" w:rsidRPr="00AD5B1F" w:rsidRDefault="009D0F8D" w:rsidP="00AD5B1F">
            <w:pPr>
              <w:pStyle w:val="Normal-pool"/>
              <w:spacing w:after="60"/>
              <w:rPr>
                <w:u w:val="single"/>
                <w:lang w:eastAsia="nl-NL"/>
              </w:rPr>
            </w:pPr>
            <w:r w:rsidRPr="009D0F8D">
              <w:rPr>
                <w:u w:val="single"/>
                <w:lang w:eastAsia="nl-NL"/>
              </w:rPr>
              <w:t>Sub-deliverable 2.1</w:t>
            </w:r>
            <w:r w:rsidRPr="00AD5B1F">
              <w:rPr>
                <w:u w:val="single"/>
                <w:lang w:eastAsia="nl-NL"/>
              </w:rPr>
              <w:t>:</w:t>
            </w:r>
          </w:p>
          <w:p w14:paraId="2CBE5B68"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r w:rsidRPr="009D0F8D">
              <w:rPr>
                <w:lang w:val="en-GB" w:eastAsia="nl-NL"/>
              </w:rPr>
              <w:t>Further development of the Nature Futures Framework and scenarios</w:t>
            </w:r>
          </w:p>
        </w:tc>
        <w:tc>
          <w:tcPr>
            <w:tcW w:w="1036" w:type="pct"/>
            <w:tcBorders>
              <w:top w:val="single" w:sz="4" w:space="0" w:color="000000"/>
              <w:left w:val="single" w:sz="4" w:space="0" w:color="000000"/>
              <w:right w:val="single" w:sz="4" w:space="0" w:color="000000"/>
            </w:tcBorders>
          </w:tcPr>
          <w:p w14:paraId="1DC56BF7" w14:textId="77777777" w:rsidR="009D0F8D" w:rsidRPr="009D0F8D" w:rsidRDefault="009D0F8D" w:rsidP="00E75F0C">
            <w:pPr>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color w:val="000000"/>
                <w:lang w:val="en-GB" w:eastAsia="nl-NL"/>
              </w:rPr>
            </w:pPr>
            <w:r w:rsidRPr="009D0F8D">
              <w:rPr>
                <w:b/>
                <w:bCs/>
                <w:lang w:val="en-GB" w:eastAsia="nl-NL"/>
              </w:rPr>
              <w:t xml:space="preserve">2.1.1 </w:t>
            </w:r>
            <w:r w:rsidRPr="009D0F8D">
              <w:rPr>
                <w:b/>
                <w:bCs/>
                <w:color w:val="000000"/>
                <w:lang w:val="en-GB" w:eastAsia="nl-NL"/>
              </w:rPr>
              <w:t>Further development of the nature futures framework for catalysing the development of the next generation of scenarios for biodiversity and ecosystem functions and services</w:t>
            </w:r>
          </w:p>
        </w:tc>
        <w:tc>
          <w:tcPr>
            <w:tcW w:w="1755" w:type="pct"/>
            <w:tcBorders>
              <w:top w:val="single" w:sz="4" w:space="0" w:color="000000"/>
              <w:left w:val="single" w:sz="4" w:space="0" w:color="000000"/>
              <w:right w:val="single" w:sz="4" w:space="0" w:color="000000"/>
            </w:tcBorders>
          </w:tcPr>
          <w:p w14:paraId="39CBABA3" w14:textId="77777777" w:rsidR="009D0F8D" w:rsidRPr="009D0F8D" w:rsidRDefault="009D0F8D" w:rsidP="00E75F0C">
            <w:pPr>
              <w:numPr>
                <w:ilvl w:val="0"/>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A draft description of the Nature Futures Framework for consideration by the Plenary at its ninth session</w:t>
            </w:r>
          </w:p>
          <w:p w14:paraId="55845BF0" w14:textId="77777777" w:rsidR="009D0F8D" w:rsidRPr="009D0F8D" w:rsidRDefault="009D0F8D" w:rsidP="00E75F0C">
            <w:pPr>
              <w:numPr>
                <w:ilvl w:val="0"/>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A draft methodological guidance on the development of Nature Futures scenarios presented to the Plenary for its information at the same session</w:t>
            </w:r>
          </w:p>
          <w:p w14:paraId="51C7EA37" w14:textId="77777777" w:rsidR="009D0F8D" w:rsidRPr="009D0F8D" w:rsidRDefault="009D0F8D" w:rsidP="00E75F0C">
            <w:pPr>
              <w:numPr>
                <w:ilvl w:val="0"/>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Consultations on above material (see activities 2.1.3 and 2.1.4)</w:t>
            </w:r>
          </w:p>
        </w:tc>
        <w:tc>
          <w:tcPr>
            <w:tcW w:w="363" w:type="pct"/>
            <w:tcBorders>
              <w:top w:val="single" w:sz="4" w:space="0" w:color="000000"/>
              <w:left w:val="single" w:sz="4" w:space="0" w:color="000000"/>
              <w:right w:val="single" w:sz="4" w:space="0" w:color="000000"/>
            </w:tcBorders>
            <w:shd w:val="clear" w:color="auto" w:fill="BDD7EE"/>
          </w:tcPr>
          <w:p w14:paraId="7D712CA0"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79C9DE7F"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auto"/>
          </w:tcPr>
          <w:p w14:paraId="5069AF63"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tcPr>
          <w:p w14:paraId="017A4F8C"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387E33EB" w14:textId="77777777" w:rsidTr="00E96390">
        <w:trPr>
          <w:trHeight w:val="1254"/>
          <w:jc w:val="right"/>
        </w:trPr>
        <w:tc>
          <w:tcPr>
            <w:tcW w:w="737" w:type="pct"/>
            <w:vMerge/>
            <w:tcBorders>
              <w:top w:val="single" w:sz="4" w:space="0" w:color="000000"/>
              <w:left w:val="single" w:sz="4" w:space="0" w:color="000000"/>
              <w:right w:val="single" w:sz="4" w:space="0" w:color="000000"/>
            </w:tcBorders>
          </w:tcPr>
          <w:p w14:paraId="5A996807"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after="60" w:line="276" w:lineRule="auto"/>
              <w:rPr>
                <w:lang w:val="en-GB" w:eastAsia="nl-NL"/>
              </w:rPr>
            </w:pPr>
          </w:p>
        </w:tc>
        <w:tc>
          <w:tcPr>
            <w:tcW w:w="1036" w:type="pct"/>
            <w:tcBorders>
              <w:top w:val="single" w:sz="4" w:space="0" w:color="000000"/>
              <w:left w:val="single" w:sz="4" w:space="0" w:color="000000"/>
              <w:right w:val="single" w:sz="4" w:space="0" w:color="000000"/>
            </w:tcBorders>
          </w:tcPr>
          <w:p w14:paraId="4A38C78F" w14:textId="77777777" w:rsidR="009D0F8D" w:rsidRPr="009D0F8D" w:rsidRDefault="009D0F8D" w:rsidP="00E75F0C">
            <w:pPr>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color w:val="000000"/>
                <w:lang w:val="en-GB" w:eastAsia="nl-NL"/>
              </w:rPr>
            </w:pPr>
            <w:r w:rsidRPr="009D0F8D">
              <w:rPr>
                <w:b/>
                <w:bCs/>
                <w:lang w:val="en-GB" w:eastAsia="nl-NL"/>
              </w:rPr>
              <w:t xml:space="preserve">2.1.2. </w:t>
            </w:r>
            <w:r w:rsidRPr="009D0F8D">
              <w:rPr>
                <w:b/>
                <w:bCs/>
                <w:color w:val="000000"/>
                <w:lang w:val="en-GB" w:eastAsia="nl-NL"/>
              </w:rPr>
              <w:t xml:space="preserve">Further refinement of illustrative examples of nature futures </w:t>
            </w:r>
          </w:p>
        </w:tc>
        <w:tc>
          <w:tcPr>
            <w:tcW w:w="1755" w:type="pct"/>
            <w:tcBorders>
              <w:top w:val="single" w:sz="4" w:space="0" w:color="000000"/>
              <w:left w:val="single" w:sz="4" w:space="0" w:color="000000"/>
              <w:right w:val="single" w:sz="4" w:space="0" w:color="000000"/>
            </w:tcBorders>
          </w:tcPr>
          <w:p w14:paraId="7F4C8BD1" w14:textId="77777777" w:rsidR="009D0F8D" w:rsidRPr="009D0F8D" w:rsidRDefault="009D0F8D" w:rsidP="00E75F0C">
            <w:pPr>
              <w:numPr>
                <w:ilvl w:val="0"/>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lang w:val="en-GB" w:eastAsia="nl-NL"/>
              </w:rPr>
              <w:t xml:space="preserve">Refinement </w:t>
            </w:r>
            <w:r w:rsidRPr="009D0F8D">
              <w:rPr>
                <w:color w:val="000000"/>
                <w:lang w:val="en-GB" w:eastAsia="nl-NL"/>
              </w:rPr>
              <w:t>of illustrative examples of nature futures (referred to as “narratives”) to provide the wider scientific community with examples of how the Nature Futures Framework could be used to imagine new desirable futures for nature</w:t>
            </w:r>
          </w:p>
        </w:tc>
        <w:tc>
          <w:tcPr>
            <w:tcW w:w="363" w:type="pct"/>
            <w:tcBorders>
              <w:top w:val="single" w:sz="4" w:space="0" w:color="000000"/>
              <w:left w:val="single" w:sz="4" w:space="0" w:color="000000"/>
              <w:right w:val="single" w:sz="4" w:space="0" w:color="000000"/>
            </w:tcBorders>
            <w:shd w:val="clear" w:color="auto" w:fill="auto"/>
          </w:tcPr>
          <w:p w14:paraId="369CCD15"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387477B8"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6721A68F"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10FF9830"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0099204A" w14:textId="77777777" w:rsidTr="00E96390">
        <w:trPr>
          <w:trHeight w:val="1545"/>
          <w:jc w:val="right"/>
        </w:trPr>
        <w:tc>
          <w:tcPr>
            <w:tcW w:w="737" w:type="pct"/>
            <w:vMerge/>
            <w:tcBorders>
              <w:top w:val="single" w:sz="4" w:space="0" w:color="000000"/>
              <w:left w:val="single" w:sz="4" w:space="0" w:color="000000"/>
              <w:right w:val="single" w:sz="4" w:space="0" w:color="000000"/>
            </w:tcBorders>
          </w:tcPr>
          <w:p w14:paraId="5C9A86FA"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after="60" w:line="276" w:lineRule="auto"/>
              <w:rPr>
                <w:lang w:val="en-GB" w:eastAsia="nl-NL"/>
              </w:rPr>
            </w:pPr>
          </w:p>
        </w:tc>
        <w:tc>
          <w:tcPr>
            <w:tcW w:w="1036" w:type="pct"/>
            <w:tcBorders>
              <w:top w:val="single" w:sz="4" w:space="0" w:color="000000"/>
              <w:left w:val="single" w:sz="4" w:space="0" w:color="000000"/>
              <w:right w:val="single" w:sz="4" w:space="0" w:color="000000"/>
            </w:tcBorders>
          </w:tcPr>
          <w:p w14:paraId="2F38FF09" w14:textId="77777777" w:rsidR="009D0F8D" w:rsidRPr="009D0F8D" w:rsidRDefault="009D0F8D" w:rsidP="00E75F0C">
            <w:pPr>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color w:val="000000"/>
                <w:lang w:val="en-GB" w:eastAsia="nl-NL"/>
              </w:rPr>
            </w:pPr>
            <w:r w:rsidRPr="009D0F8D">
              <w:rPr>
                <w:b/>
                <w:bCs/>
                <w:lang w:val="en-GB" w:eastAsia="nl-NL"/>
              </w:rPr>
              <w:t>2.1.3 Consultations</w:t>
            </w:r>
            <w:r w:rsidRPr="009D0F8D">
              <w:rPr>
                <w:b/>
                <w:bCs/>
                <w:color w:val="000000"/>
                <w:lang w:val="en-GB" w:eastAsia="nl-NL"/>
              </w:rPr>
              <w:t xml:space="preserve"> on the draft Nature Futures Framework and methodological guidance</w:t>
            </w:r>
          </w:p>
        </w:tc>
        <w:tc>
          <w:tcPr>
            <w:tcW w:w="1755" w:type="pct"/>
            <w:tcBorders>
              <w:top w:val="single" w:sz="4" w:space="0" w:color="000000"/>
              <w:left w:val="single" w:sz="4" w:space="0" w:color="000000"/>
              <w:right w:val="single" w:sz="4" w:space="0" w:color="000000"/>
            </w:tcBorders>
          </w:tcPr>
          <w:p w14:paraId="389CCA6C" w14:textId="77777777" w:rsidR="009D0F8D" w:rsidRPr="009D0F8D" w:rsidRDefault="009D0F8D" w:rsidP="00E75F0C">
            <w:pPr>
              <w:numPr>
                <w:ilvl w:val="0"/>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 xml:space="preserve">Stakeholder </w:t>
            </w:r>
            <w:r w:rsidRPr="009D0F8D">
              <w:rPr>
                <w:lang w:val="en-GB" w:eastAsia="nl-NL"/>
              </w:rPr>
              <w:t xml:space="preserve">consultations </w:t>
            </w:r>
            <w:r w:rsidRPr="009D0F8D">
              <w:rPr>
                <w:color w:val="000000"/>
                <w:lang w:val="en-GB" w:eastAsia="nl-NL"/>
              </w:rPr>
              <w:t xml:space="preserve">and review on the draft </w:t>
            </w:r>
            <w:r w:rsidRPr="009D0F8D">
              <w:rPr>
                <w:lang w:val="en-GB" w:eastAsia="nl-NL"/>
              </w:rPr>
              <w:t>framework and methodological guidance</w:t>
            </w:r>
          </w:p>
          <w:p w14:paraId="720E5604" w14:textId="77777777" w:rsidR="009D0F8D" w:rsidRPr="009D0F8D" w:rsidRDefault="009D0F8D" w:rsidP="00E75F0C">
            <w:pPr>
              <w:numPr>
                <w:ilvl w:val="1"/>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583"/>
              <w:rPr>
                <w:lang w:val="en-GB" w:eastAsia="nl-NL"/>
              </w:rPr>
            </w:pPr>
            <w:r w:rsidRPr="009D0F8D">
              <w:rPr>
                <w:lang w:val="en-GB" w:eastAsia="nl-NL"/>
              </w:rPr>
              <w:t>Government review of the draft framework prior to submission to the Plenary at IPBES 9</w:t>
            </w:r>
          </w:p>
          <w:p w14:paraId="2B06CDEB" w14:textId="77777777" w:rsidR="009D0F8D" w:rsidRPr="009D0F8D" w:rsidRDefault="009D0F8D" w:rsidP="00E75F0C">
            <w:pPr>
              <w:numPr>
                <w:ilvl w:val="1"/>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587"/>
              <w:rPr>
                <w:lang w:val="en-GB" w:eastAsia="nl-NL"/>
              </w:rPr>
            </w:pPr>
            <w:r w:rsidRPr="009D0F8D">
              <w:rPr>
                <w:lang w:val="en-GB" w:eastAsia="nl-NL"/>
              </w:rPr>
              <w:t>Dialogue with national focal points (with capacity building task force)</w:t>
            </w:r>
          </w:p>
          <w:p w14:paraId="3F166A97" w14:textId="77777777" w:rsidR="009D0F8D" w:rsidRPr="009D0F8D" w:rsidRDefault="009D0F8D" w:rsidP="00E75F0C">
            <w:pPr>
              <w:numPr>
                <w:ilvl w:val="1"/>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587"/>
              <w:rPr>
                <w:lang w:val="en-GB" w:eastAsia="nl-NL"/>
              </w:rPr>
            </w:pPr>
            <w:r w:rsidRPr="009D0F8D">
              <w:rPr>
                <w:lang w:val="en-GB" w:eastAsia="nl-NL"/>
              </w:rPr>
              <w:lastRenderedPageBreak/>
              <w:t>Indigenous and local knowledge dialogue (with indigenous and local knowledge task force)</w:t>
            </w:r>
          </w:p>
          <w:p w14:paraId="5A0401DD" w14:textId="5104F14D" w:rsidR="009D0F8D" w:rsidRPr="009D0F8D" w:rsidRDefault="009D0F8D" w:rsidP="00E75F0C">
            <w:pPr>
              <w:numPr>
                <w:ilvl w:val="1"/>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587"/>
              <w:rPr>
                <w:lang w:val="en-GB" w:eastAsia="nl-NL"/>
              </w:rPr>
            </w:pPr>
            <w:r w:rsidRPr="009D0F8D">
              <w:rPr>
                <w:lang w:val="en-GB" w:eastAsia="nl-NL"/>
              </w:rPr>
              <w:t>Review by Multidisciplinary Expert Panel and</w:t>
            </w:r>
            <w:r w:rsidR="002B4384">
              <w:rPr>
                <w:lang w:val="en-GB" w:eastAsia="nl-NL"/>
              </w:rPr>
              <w:t xml:space="preserve"> </w:t>
            </w:r>
            <w:r w:rsidRPr="009D0F8D">
              <w:rPr>
                <w:lang w:val="en-GB" w:eastAsia="nl-NL"/>
              </w:rPr>
              <w:t>Bureau</w:t>
            </w:r>
          </w:p>
          <w:p w14:paraId="66C86169" w14:textId="77777777" w:rsidR="009D0F8D" w:rsidRPr="009D0F8D" w:rsidRDefault="009D0F8D" w:rsidP="00E75F0C">
            <w:pPr>
              <w:numPr>
                <w:ilvl w:val="0"/>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lang w:val="en-GB" w:eastAsia="nl-NL"/>
              </w:rPr>
              <w:t xml:space="preserve">Informal review with modelling workshop participants </w:t>
            </w:r>
            <w:r w:rsidRPr="009D0F8D">
              <w:rPr>
                <w:color w:val="000000"/>
                <w:lang w:val="en-GB" w:eastAsia="nl-NL"/>
              </w:rPr>
              <w:t>Communication and outreach strategy on nature futures (longer term), possibly combined with the promotion of the uptake of other IPBES deliverables</w:t>
            </w:r>
          </w:p>
        </w:tc>
        <w:tc>
          <w:tcPr>
            <w:tcW w:w="363" w:type="pct"/>
            <w:tcBorders>
              <w:top w:val="single" w:sz="4" w:space="0" w:color="000000"/>
              <w:left w:val="single" w:sz="4" w:space="0" w:color="000000"/>
              <w:right w:val="single" w:sz="4" w:space="0" w:color="000000"/>
            </w:tcBorders>
            <w:shd w:val="clear" w:color="auto" w:fill="BDD7EE"/>
          </w:tcPr>
          <w:p w14:paraId="304DE917"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37F3D912"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auto"/>
          </w:tcPr>
          <w:p w14:paraId="20DB467B"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172BA657"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D0F8D" w14:paraId="4B7935C5" w14:textId="77777777" w:rsidTr="00E96390">
        <w:trPr>
          <w:trHeight w:val="130"/>
          <w:jc w:val="right"/>
        </w:trPr>
        <w:tc>
          <w:tcPr>
            <w:tcW w:w="737" w:type="pct"/>
            <w:vMerge/>
            <w:tcBorders>
              <w:top w:val="single" w:sz="4" w:space="0" w:color="000000"/>
              <w:left w:val="single" w:sz="4" w:space="0" w:color="000000"/>
              <w:right w:val="single" w:sz="4" w:space="0" w:color="000000"/>
            </w:tcBorders>
          </w:tcPr>
          <w:p w14:paraId="0D7871B4"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line="276" w:lineRule="auto"/>
              <w:rPr>
                <w:lang w:val="en-GB" w:eastAsia="nl-NL"/>
              </w:rPr>
            </w:pPr>
          </w:p>
        </w:tc>
        <w:tc>
          <w:tcPr>
            <w:tcW w:w="1036" w:type="pct"/>
            <w:tcBorders>
              <w:top w:val="single" w:sz="4" w:space="0" w:color="000000"/>
              <w:left w:val="single" w:sz="4" w:space="0" w:color="000000"/>
              <w:right w:val="single" w:sz="4" w:space="0" w:color="000000"/>
            </w:tcBorders>
          </w:tcPr>
          <w:p w14:paraId="2D7E8FE5" w14:textId="03A20CD9" w:rsidR="009D0F8D" w:rsidRPr="009D0F8D" w:rsidRDefault="009D0F8D" w:rsidP="00AD5B1F">
            <w:pPr>
              <w:numPr>
                <w:ilvl w:val="0"/>
                <w:numId w:val="7"/>
              </w:numPr>
              <w:tabs>
                <w:tab w:val="clear" w:pos="1247"/>
                <w:tab w:val="clear" w:pos="1814"/>
                <w:tab w:val="clear" w:pos="2381"/>
                <w:tab w:val="clear" w:pos="2948"/>
                <w:tab w:val="clear" w:pos="3515"/>
              </w:tabs>
              <w:spacing w:after="60" w:line="276" w:lineRule="auto"/>
              <w:ind w:left="222" w:hanging="181"/>
              <w:rPr>
                <w:b/>
                <w:bCs/>
                <w:lang w:val="en-GB" w:eastAsia="nl-NL"/>
              </w:rPr>
            </w:pPr>
            <w:r w:rsidRPr="009D0F8D">
              <w:rPr>
                <w:b/>
                <w:bCs/>
                <w:lang w:val="en-GB" w:eastAsia="nl-NL"/>
              </w:rPr>
              <w:t>2.1.4 Developing quantitative scenarios with modelling communities</w:t>
            </w:r>
          </w:p>
        </w:tc>
        <w:tc>
          <w:tcPr>
            <w:tcW w:w="1755" w:type="pct"/>
            <w:tcBorders>
              <w:top w:val="single" w:sz="4" w:space="0" w:color="000000"/>
              <w:left w:val="single" w:sz="4" w:space="0" w:color="000000"/>
              <w:right w:val="single" w:sz="4" w:space="0" w:color="000000"/>
            </w:tcBorders>
          </w:tcPr>
          <w:p w14:paraId="6B631F74" w14:textId="77777777" w:rsidR="009D0F8D" w:rsidRPr="009D0F8D" w:rsidRDefault="009D0F8D" w:rsidP="00E75F0C">
            <w:pPr>
              <w:numPr>
                <w:ilvl w:val="0"/>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Ongoing support to case study exercises by modelling groups to test the application of the draft Nature Futures Framework in follow-up to the first part of the modelling workshop held in January 2021 and in preparation for its second part scheduled for 2022</w:t>
            </w:r>
          </w:p>
          <w:p w14:paraId="54BA881F" w14:textId="77777777" w:rsidR="009D0F8D" w:rsidRPr="009D0F8D" w:rsidRDefault="009D0F8D" w:rsidP="00E75F0C">
            <w:pPr>
              <w:numPr>
                <w:ilvl w:val="0"/>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Organization of the second part of the workshop with modelling communities (physical workshop) to collect feedback on the methodological guidance on the use of the Nature Futures Framework and to facilitate the development of case studies which would be available for the nexus and transformative assessment</w:t>
            </w:r>
          </w:p>
          <w:p w14:paraId="1304E528" w14:textId="77777777" w:rsidR="009D0F8D" w:rsidRPr="009D0F8D" w:rsidRDefault="009D0F8D" w:rsidP="00E75F0C">
            <w:pPr>
              <w:numPr>
                <w:ilvl w:val="0"/>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lang w:val="en-GB" w:eastAsia="nl-NL"/>
              </w:rPr>
              <w:t>Drivers of change and response options (link with task force on policy support tools to incorporate policy options)</w:t>
            </w:r>
          </w:p>
          <w:p w14:paraId="3DD7E57B" w14:textId="77777777" w:rsidR="009D0F8D" w:rsidRPr="009D0F8D" w:rsidRDefault="009D0F8D" w:rsidP="00E75F0C">
            <w:pPr>
              <w:numPr>
                <w:ilvl w:val="0"/>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lang w:val="en-GB" w:eastAsia="nl-NL"/>
              </w:rPr>
              <w:t>Socioecological feedbacks</w:t>
            </w:r>
          </w:p>
        </w:tc>
        <w:tc>
          <w:tcPr>
            <w:tcW w:w="363" w:type="pct"/>
            <w:tcBorders>
              <w:top w:val="single" w:sz="4" w:space="0" w:color="000000"/>
              <w:left w:val="single" w:sz="4" w:space="0" w:color="000000"/>
              <w:right w:val="single" w:sz="4" w:space="0" w:color="000000"/>
            </w:tcBorders>
            <w:shd w:val="clear" w:color="auto" w:fill="auto"/>
          </w:tcPr>
          <w:p w14:paraId="1E8B7122"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tcPr>
          <w:p w14:paraId="667FE9D6"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543A9154"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65E63481"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502B8EF3" w14:textId="77777777" w:rsidTr="00E96390">
        <w:trPr>
          <w:trHeight w:val="696"/>
          <w:jc w:val="right"/>
        </w:trPr>
        <w:tc>
          <w:tcPr>
            <w:tcW w:w="737" w:type="pct"/>
            <w:vMerge w:val="restart"/>
            <w:tcBorders>
              <w:top w:val="single" w:sz="4" w:space="0" w:color="000000"/>
              <w:left w:val="single" w:sz="4" w:space="0" w:color="000000"/>
              <w:right w:val="single" w:sz="4" w:space="0" w:color="000000"/>
            </w:tcBorders>
          </w:tcPr>
          <w:p w14:paraId="0410988B" w14:textId="77777777" w:rsidR="009D0F8D" w:rsidRPr="00AD5B1F" w:rsidRDefault="009D0F8D" w:rsidP="00AD5B1F">
            <w:pPr>
              <w:pStyle w:val="Normal-pool"/>
              <w:spacing w:after="60"/>
              <w:rPr>
                <w:u w:val="single"/>
                <w:lang w:eastAsia="nl-NL"/>
              </w:rPr>
            </w:pPr>
            <w:r w:rsidRPr="009D0F8D">
              <w:rPr>
                <w:u w:val="single"/>
                <w:lang w:eastAsia="nl-NL"/>
              </w:rPr>
              <w:t>Sub-deliverable 2.2</w:t>
            </w:r>
            <w:r w:rsidRPr="00AD5B1F">
              <w:rPr>
                <w:u w:val="single"/>
                <w:lang w:eastAsia="nl-NL"/>
              </w:rPr>
              <w:t>:</w:t>
            </w:r>
          </w:p>
          <w:p w14:paraId="0BB8B509" w14:textId="77777777" w:rsidR="009D0F8D" w:rsidRPr="009D0F8D" w:rsidRDefault="009D0F8D" w:rsidP="009D0F8D">
            <w:pPr>
              <w:tabs>
                <w:tab w:val="clear" w:pos="1247"/>
                <w:tab w:val="clear" w:pos="1814"/>
                <w:tab w:val="clear" w:pos="2381"/>
                <w:tab w:val="clear" w:pos="2948"/>
                <w:tab w:val="clear" w:pos="3515"/>
              </w:tabs>
              <w:rPr>
                <w:lang w:val="en-GB" w:eastAsia="nl-NL"/>
              </w:rPr>
            </w:pPr>
            <w:r w:rsidRPr="009D0F8D">
              <w:rPr>
                <w:lang w:val="en-GB" w:eastAsia="nl-NL"/>
              </w:rPr>
              <w:t>Identify/ develop indicators</w:t>
            </w:r>
          </w:p>
        </w:tc>
        <w:tc>
          <w:tcPr>
            <w:tcW w:w="1036" w:type="pct"/>
            <w:tcBorders>
              <w:top w:val="single" w:sz="4" w:space="0" w:color="000000"/>
              <w:left w:val="single" w:sz="4" w:space="0" w:color="000000"/>
              <w:right w:val="single" w:sz="4" w:space="0" w:color="000000"/>
            </w:tcBorders>
          </w:tcPr>
          <w:p w14:paraId="4805D803" w14:textId="77777777" w:rsidR="009D0F8D" w:rsidRPr="009D0F8D" w:rsidRDefault="009D0F8D" w:rsidP="00E75F0C">
            <w:pPr>
              <w:keepNext/>
              <w:keepLines/>
              <w:numPr>
                <w:ilvl w:val="0"/>
                <w:numId w:val="7"/>
              </w:numPr>
              <w:tabs>
                <w:tab w:val="clear" w:pos="1247"/>
                <w:tab w:val="clear" w:pos="1814"/>
                <w:tab w:val="clear" w:pos="2381"/>
                <w:tab w:val="clear" w:pos="2948"/>
                <w:tab w:val="clear" w:pos="3515"/>
              </w:tabs>
              <w:spacing w:after="60" w:line="276" w:lineRule="auto"/>
              <w:ind w:left="222" w:hanging="181"/>
              <w:rPr>
                <w:b/>
                <w:bCs/>
                <w:lang w:val="en-GB" w:eastAsia="nl-NL"/>
              </w:rPr>
            </w:pPr>
            <w:r w:rsidRPr="009D0F8D">
              <w:rPr>
                <w:b/>
                <w:bCs/>
                <w:lang w:val="en-GB" w:eastAsia="nl-NL"/>
              </w:rPr>
              <w:t>Linking the narratives and modelling by identifying key indicators that cover the Nature Futures Framework</w:t>
            </w:r>
          </w:p>
        </w:tc>
        <w:tc>
          <w:tcPr>
            <w:tcW w:w="1755" w:type="pct"/>
            <w:tcBorders>
              <w:top w:val="single" w:sz="4" w:space="0" w:color="000000"/>
              <w:left w:val="single" w:sz="4" w:space="0" w:color="000000"/>
              <w:right w:val="single" w:sz="4" w:space="0" w:color="000000"/>
            </w:tcBorders>
          </w:tcPr>
          <w:p w14:paraId="233CB858" w14:textId="77777777" w:rsidR="009D0F8D" w:rsidRPr="009D0F8D" w:rsidRDefault="009D0F8D" w:rsidP="00E75F0C">
            <w:pPr>
              <w:keepNext/>
              <w:keepLines/>
              <w:numPr>
                <w:ilvl w:val="0"/>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 xml:space="preserve">Draft set of inclusive indicators that cover the Nature Futures Framework at local </w:t>
            </w:r>
            <w:r w:rsidRPr="009D0F8D">
              <w:rPr>
                <w:lang w:val="en-GB" w:eastAsia="nl-NL"/>
              </w:rPr>
              <w:t>to</w:t>
            </w:r>
            <w:r w:rsidRPr="009D0F8D">
              <w:rPr>
                <w:color w:val="000000"/>
                <w:lang w:val="en-GB" w:eastAsia="nl-NL"/>
              </w:rPr>
              <w:t xml:space="preserve"> global levels </w:t>
            </w:r>
          </w:p>
        </w:tc>
        <w:tc>
          <w:tcPr>
            <w:tcW w:w="363" w:type="pct"/>
            <w:tcBorders>
              <w:top w:val="single" w:sz="4" w:space="0" w:color="000000"/>
              <w:left w:val="single" w:sz="4" w:space="0" w:color="000000"/>
              <w:right w:val="single" w:sz="4" w:space="0" w:color="000000"/>
            </w:tcBorders>
            <w:shd w:val="clear" w:color="auto" w:fill="BDD7EE"/>
          </w:tcPr>
          <w:p w14:paraId="6B78C5DB"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134B641D"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auto"/>
          </w:tcPr>
          <w:p w14:paraId="4E4C6242"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636260E1"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3B324374" w14:textId="77777777" w:rsidTr="00E96390">
        <w:trPr>
          <w:trHeight w:val="527"/>
          <w:jc w:val="right"/>
        </w:trPr>
        <w:tc>
          <w:tcPr>
            <w:tcW w:w="737" w:type="pct"/>
            <w:vMerge/>
            <w:tcBorders>
              <w:top w:val="single" w:sz="4" w:space="0" w:color="000000"/>
              <w:left w:val="single" w:sz="4" w:space="0" w:color="000000"/>
              <w:right w:val="single" w:sz="4" w:space="0" w:color="000000"/>
            </w:tcBorders>
          </w:tcPr>
          <w:p w14:paraId="3217D9BE"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line="276" w:lineRule="auto"/>
              <w:rPr>
                <w:lang w:val="en-GB" w:eastAsia="nl-NL"/>
              </w:rPr>
            </w:pPr>
          </w:p>
        </w:tc>
        <w:tc>
          <w:tcPr>
            <w:tcW w:w="1036" w:type="pct"/>
            <w:tcBorders>
              <w:top w:val="single" w:sz="4" w:space="0" w:color="000000"/>
              <w:left w:val="single" w:sz="4" w:space="0" w:color="000000"/>
              <w:right w:val="single" w:sz="4" w:space="0" w:color="000000"/>
            </w:tcBorders>
          </w:tcPr>
          <w:p w14:paraId="58092337" w14:textId="77777777" w:rsidR="009D0F8D" w:rsidRPr="009D0F8D" w:rsidRDefault="009D0F8D" w:rsidP="00E75F0C">
            <w:pPr>
              <w:keepNext/>
              <w:keepLines/>
              <w:numPr>
                <w:ilvl w:val="0"/>
                <w:numId w:val="7"/>
              </w:numPr>
              <w:tabs>
                <w:tab w:val="clear" w:pos="1247"/>
                <w:tab w:val="clear" w:pos="1814"/>
                <w:tab w:val="clear" w:pos="2381"/>
                <w:tab w:val="clear" w:pos="2948"/>
                <w:tab w:val="clear" w:pos="3515"/>
              </w:tabs>
              <w:spacing w:after="60" w:line="276" w:lineRule="auto"/>
              <w:ind w:left="222" w:hanging="181"/>
              <w:rPr>
                <w:b/>
                <w:bCs/>
                <w:lang w:val="en-GB" w:eastAsia="nl-NL"/>
              </w:rPr>
            </w:pPr>
            <w:r w:rsidRPr="009D0F8D">
              <w:rPr>
                <w:b/>
                <w:bCs/>
                <w:lang w:val="en-GB" w:eastAsia="nl-NL"/>
              </w:rPr>
              <w:t>Coordinating within IPBES</w:t>
            </w:r>
          </w:p>
        </w:tc>
        <w:tc>
          <w:tcPr>
            <w:tcW w:w="1755" w:type="pct"/>
            <w:tcBorders>
              <w:top w:val="single" w:sz="4" w:space="0" w:color="000000"/>
              <w:left w:val="single" w:sz="4" w:space="0" w:color="000000"/>
              <w:right w:val="single" w:sz="4" w:space="0" w:color="000000"/>
            </w:tcBorders>
          </w:tcPr>
          <w:p w14:paraId="7198E2F9" w14:textId="77777777" w:rsidR="009D0F8D" w:rsidRPr="009D0F8D" w:rsidRDefault="009D0F8D" w:rsidP="00E75F0C">
            <w:pPr>
              <w:keepNext/>
              <w:keepLines/>
              <w:numPr>
                <w:ilvl w:val="0"/>
                <w:numId w:val="8"/>
              </w:numPr>
              <w:pBdr>
                <w:top w:val="nil"/>
                <w:left w:val="nil"/>
                <w:bottom w:val="nil"/>
                <w:right w:val="nil"/>
                <w:between w:val="nil"/>
              </w:pBdr>
              <w:tabs>
                <w:tab w:val="clear" w:pos="1247"/>
                <w:tab w:val="clear" w:pos="1814"/>
                <w:tab w:val="clear" w:pos="2381"/>
                <w:tab w:val="clear" w:pos="2948"/>
                <w:tab w:val="clear" w:pos="3515"/>
              </w:tabs>
              <w:spacing w:after="60" w:line="276" w:lineRule="auto"/>
              <w:ind w:left="304"/>
              <w:rPr>
                <w:color w:val="000000"/>
                <w:lang w:val="en-GB" w:eastAsia="nl-NL"/>
              </w:rPr>
            </w:pPr>
            <w:r w:rsidRPr="009D0F8D">
              <w:rPr>
                <w:color w:val="000000"/>
                <w:lang w:val="en-GB" w:eastAsia="nl-NL"/>
              </w:rPr>
              <w:t>Coordination indicators</w:t>
            </w:r>
            <w:r w:rsidRPr="009D0F8D">
              <w:rPr>
                <w:lang w:val="en-GB" w:eastAsia="nl-NL"/>
              </w:rPr>
              <w:t xml:space="preserve"> being used in IPBES assessments</w:t>
            </w:r>
          </w:p>
        </w:tc>
        <w:tc>
          <w:tcPr>
            <w:tcW w:w="363" w:type="pct"/>
            <w:tcBorders>
              <w:top w:val="single" w:sz="4" w:space="0" w:color="000000"/>
              <w:left w:val="single" w:sz="4" w:space="0" w:color="000000"/>
              <w:right w:val="single" w:sz="4" w:space="0" w:color="000000"/>
            </w:tcBorders>
            <w:shd w:val="clear" w:color="auto" w:fill="BDD7EE"/>
          </w:tcPr>
          <w:p w14:paraId="11485D2D"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202B3E6C"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36067C1E"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31D45E4B"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09AC0C14" w14:textId="77777777" w:rsidTr="00E96390">
        <w:trPr>
          <w:trHeight w:val="73"/>
          <w:jc w:val="right"/>
        </w:trPr>
        <w:tc>
          <w:tcPr>
            <w:tcW w:w="737" w:type="pct"/>
            <w:vMerge/>
            <w:tcBorders>
              <w:top w:val="single" w:sz="4" w:space="0" w:color="000000"/>
              <w:left w:val="single" w:sz="4" w:space="0" w:color="000000"/>
              <w:right w:val="single" w:sz="4" w:space="0" w:color="000000"/>
            </w:tcBorders>
          </w:tcPr>
          <w:p w14:paraId="12529BAD"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line="276" w:lineRule="auto"/>
              <w:rPr>
                <w:lang w:val="en-GB" w:eastAsia="nl-NL"/>
              </w:rPr>
            </w:pPr>
          </w:p>
        </w:tc>
        <w:tc>
          <w:tcPr>
            <w:tcW w:w="1036" w:type="pct"/>
            <w:tcBorders>
              <w:top w:val="single" w:sz="4" w:space="0" w:color="000000"/>
              <w:left w:val="single" w:sz="4" w:space="0" w:color="000000"/>
              <w:right w:val="single" w:sz="4" w:space="0" w:color="000000"/>
            </w:tcBorders>
          </w:tcPr>
          <w:p w14:paraId="062AE9DC" w14:textId="77777777" w:rsidR="009D0F8D" w:rsidRPr="009D0F8D" w:rsidRDefault="009D0F8D" w:rsidP="00E75F0C">
            <w:pPr>
              <w:keepNext/>
              <w:keepLines/>
              <w:numPr>
                <w:ilvl w:val="0"/>
                <w:numId w:val="7"/>
              </w:numPr>
              <w:tabs>
                <w:tab w:val="clear" w:pos="1247"/>
                <w:tab w:val="clear" w:pos="1814"/>
                <w:tab w:val="clear" w:pos="2381"/>
                <w:tab w:val="clear" w:pos="2948"/>
                <w:tab w:val="clear" w:pos="3515"/>
              </w:tabs>
              <w:spacing w:after="60" w:line="276" w:lineRule="auto"/>
              <w:ind w:left="222" w:hanging="181"/>
              <w:rPr>
                <w:b/>
                <w:bCs/>
                <w:lang w:val="en-GB" w:eastAsia="nl-NL"/>
              </w:rPr>
            </w:pPr>
            <w:r w:rsidRPr="009D0F8D">
              <w:rPr>
                <w:b/>
                <w:bCs/>
                <w:lang w:val="en-GB" w:eastAsia="nl-NL"/>
              </w:rPr>
              <w:t>Coordinating with other relevant groups</w:t>
            </w:r>
          </w:p>
        </w:tc>
        <w:tc>
          <w:tcPr>
            <w:tcW w:w="1755" w:type="pct"/>
            <w:tcBorders>
              <w:top w:val="single" w:sz="4" w:space="0" w:color="000000"/>
              <w:left w:val="single" w:sz="4" w:space="0" w:color="000000"/>
              <w:right w:val="single" w:sz="4" w:space="0" w:color="000000"/>
            </w:tcBorders>
          </w:tcPr>
          <w:p w14:paraId="375A3E44" w14:textId="77777777" w:rsidR="009D0F8D" w:rsidRPr="009D0F8D" w:rsidRDefault="009D0F8D" w:rsidP="00E75F0C">
            <w:pPr>
              <w:keepNext/>
              <w:keepLines/>
              <w:numPr>
                <w:ilvl w:val="0"/>
                <w:numId w:val="8"/>
              </w:numP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 xml:space="preserve">Synergies with the work of other bodies and processes (e.g., GEOBON, Convention on Biological Diversity, Sustainable Development Goals) </w:t>
            </w:r>
          </w:p>
        </w:tc>
        <w:tc>
          <w:tcPr>
            <w:tcW w:w="363" w:type="pct"/>
            <w:tcBorders>
              <w:top w:val="single" w:sz="4" w:space="0" w:color="000000"/>
              <w:left w:val="single" w:sz="4" w:space="0" w:color="000000"/>
              <w:right w:val="single" w:sz="4" w:space="0" w:color="000000"/>
            </w:tcBorders>
            <w:shd w:val="clear" w:color="auto" w:fill="BDD7EE"/>
          </w:tcPr>
          <w:p w14:paraId="1C138A07"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34A2E16C"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67AEAC85"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331D64AD"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p>
        </w:tc>
      </w:tr>
      <w:tr w:rsidR="009D0F8D" w:rsidRPr="009F4251" w14:paraId="20231BE9" w14:textId="77777777" w:rsidTr="00E96390">
        <w:trPr>
          <w:trHeight w:val="807"/>
          <w:jc w:val="right"/>
        </w:trPr>
        <w:tc>
          <w:tcPr>
            <w:tcW w:w="737" w:type="pct"/>
            <w:vMerge w:val="restart"/>
            <w:tcBorders>
              <w:top w:val="single" w:sz="4" w:space="0" w:color="000000"/>
              <w:left w:val="single" w:sz="4" w:space="0" w:color="000000"/>
              <w:right w:val="single" w:sz="4" w:space="0" w:color="000000"/>
            </w:tcBorders>
          </w:tcPr>
          <w:p w14:paraId="28581CD4"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r w:rsidRPr="009D0F8D">
              <w:rPr>
                <w:u w:val="single"/>
                <w:lang w:val="en-GB" w:eastAsia="nl-NL"/>
              </w:rPr>
              <w:t>Sub-deliverable 2.3</w:t>
            </w:r>
            <w:r w:rsidRPr="009D0F8D">
              <w:rPr>
                <w:lang w:val="en-GB" w:eastAsia="nl-NL"/>
              </w:rPr>
              <w:t>:</w:t>
            </w:r>
          </w:p>
          <w:p w14:paraId="5756C862"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r w:rsidRPr="009D0F8D">
              <w:rPr>
                <w:lang w:val="en-GB" w:eastAsia="nl-NL"/>
              </w:rPr>
              <w:t>Continued interaction with broader modelling community</w:t>
            </w:r>
          </w:p>
        </w:tc>
        <w:tc>
          <w:tcPr>
            <w:tcW w:w="1036" w:type="pct"/>
            <w:tcBorders>
              <w:top w:val="single" w:sz="4" w:space="0" w:color="000000"/>
              <w:left w:val="single" w:sz="4" w:space="0" w:color="000000"/>
              <w:right w:val="single" w:sz="4" w:space="0" w:color="000000"/>
            </w:tcBorders>
          </w:tcPr>
          <w:p w14:paraId="37522980" w14:textId="77777777" w:rsidR="009D0F8D" w:rsidRPr="009D0F8D" w:rsidRDefault="009D0F8D" w:rsidP="00E75F0C">
            <w:pPr>
              <w:keepNext/>
              <w:keepLines/>
              <w:numPr>
                <w:ilvl w:val="0"/>
                <w:numId w:val="7"/>
              </w:numPr>
              <w:tabs>
                <w:tab w:val="clear" w:pos="1247"/>
                <w:tab w:val="clear" w:pos="1814"/>
                <w:tab w:val="clear" w:pos="2381"/>
                <w:tab w:val="clear" w:pos="2948"/>
                <w:tab w:val="clear" w:pos="3515"/>
              </w:tabs>
              <w:spacing w:after="60" w:line="276" w:lineRule="auto"/>
              <w:ind w:left="222" w:hanging="181"/>
              <w:rPr>
                <w:b/>
                <w:bCs/>
                <w:lang w:val="en-GB" w:eastAsia="nl-NL"/>
              </w:rPr>
            </w:pPr>
            <w:r w:rsidRPr="009D0F8D">
              <w:rPr>
                <w:b/>
                <w:bCs/>
                <w:lang w:val="en-GB" w:eastAsia="nl-NL"/>
              </w:rPr>
              <w:t>Situating the Nature Futures Framework work within the prior work of the scientific community</w:t>
            </w:r>
          </w:p>
        </w:tc>
        <w:tc>
          <w:tcPr>
            <w:tcW w:w="1755" w:type="pct"/>
            <w:tcBorders>
              <w:top w:val="single" w:sz="4" w:space="0" w:color="000000"/>
              <w:left w:val="single" w:sz="4" w:space="0" w:color="000000"/>
              <w:right w:val="single" w:sz="4" w:space="0" w:color="000000"/>
            </w:tcBorders>
          </w:tcPr>
          <w:p w14:paraId="660EDB6E" w14:textId="77777777" w:rsidR="009D0F8D" w:rsidRPr="009D0F8D" w:rsidRDefault="009D0F8D" w:rsidP="00E75F0C">
            <w:pPr>
              <w:keepNext/>
              <w:keepLines/>
              <w:numPr>
                <w:ilvl w:val="0"/>
                <w:numId w:val="8"/>
              </w:numP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Analysis of the relationship between the Nature Futures scenarios, scenario archetypes, and the shared socio-economic pathways - representative concentration pathways framework, building on prior work of the scientific community (part of workshops and case studies, see 2.1.4)</w:t>
            </w:r>
          </w:p>
        </w:tc>
        <w:tc>
          <w:tcPr>
            <w:tcW w:w="363" w:type="pct"/>
            <w:tcBorders>
              <w:top w:val="single" w:sz="4" w:space="0" w:color="000000"/>
              <w:left w:val="single" w:sz="4" w:space="0" w:color="000000"/>
              <w:right w:val="single" w:sz="4" w:space="0" w:color="000000"/>
            </w:tcBorders>
            <w:shd w:val="clear" w:color="auto" w:fill="auto"/>
          </w:tcPr>
          <w:p w14:paraId="6304F32F"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63" w:type="pct"/>
            <w:tcBorders>
              <w:top w:val="single" w:sz="4" w:space="0" w:color="000000"/>
              <w:left w:val="single" w:sz="4" w:space="0" w:color="000000"/>
              <w:right w:val="single" w:sz="4" w:space="0" w:color="000000"/>
            </w:tcBorders>
            <w:shd w:val="clear" w:color="auto" w:fill="auto"/>
          </w:tcPr>
          <w:p w14:paraId="4FF24550"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1C59F5D7"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42390289" w14:textId="77777777" w:rsidR="009D0F8D" w:rsidRPr="009D0F8D" w:rsidRDefault="009D0F8D" w:rsidP="009D0F8D">
            <w:pPr>
              <w:tabs>
                <w:tab w:val="clear" w:pos="1247"/>
                <w:tab w:val="clear" w:pos="1814"/>
                <w:tab w:val="clear" w:pos="2381"/>
                <w:tab w:val="clear" w:pos="2948"/>
                <w:tab w:val="clear" w:pos="3515"/>
              </w:tabs>
              <w:rPr>
                <w:lang w:val="en-GB" w:eastAsia="nl-NL"/>
              </w:rPr>
            </w:pPr>
          </w:p>
        </w:tc>
      </w:tr>
      <w:tr w:rsidR="009D0F8D" w:rsidRPr="009F4251" w14:paraId="28F19811" w14:textId="77777777" w:rsidTr="00E96390">
        <w:trPr>
          <w:trHeight w:val="980"/>
          <w:jc w:val="right"/>
        </w:trPr>
        <w:tc>
          <w:tcPr>
            <w:tcW w:w="737" w:type="pct"/>
            <w:vMerge/>
            <w:tcBorders>
              <w:top w:val="single" w:sz="4" w:space="0" w:color="000000"/>
              <w:left w:val="single" w:sz="4" w:space="0" w:color="000000"/>
              <w:right w:val="single" w:sz="4" w:space="0" w:color="000000"/>
            </w:tcBorders>
          </w:tcPr>
          <w:p w14:paraId="7DF280D3" w14:textId="77777777" w:rsidR="009D0F8D" w:rsidRPr="009D0F8D" w:rsidRDefault="009D0F8D" w:rsidP="009D0F8D">
            <w:pPr>
              <w:widowControl w:val="0"/>
              <w:pBdr>
                <w:top w:val="nil"/>
                <w:left w:val="nil"/>
                <w:bottom w:val="nil"/>
                <w:right w:val="nil"/>
                <w:between w:val="nil"/>
              </w:pBdr>
              <w:tabs>
                <w:tab w:val="clear" w:pos="1247"/>
                <w:tab w:val="clear" w:pos="1814"/>
                <w:tab w:val="clear" w:pos="2381"/>
                <w:tab w:val="clear" w:pos="2948"/>
                <w:tab w:val="clear" w:pos="3515"/>
              </w:tabs>
              <w:spacing w:after="60" w:line="276" w:lineRule="auto"/>
              <w:rPr>
                <w:lang w:val="en-GB" w:eastAsia="nl-NL"/>
              </w:rPr>
            </w:pPr>
          </w:p>
        </w:tc>
        <w:tc>
          <w:tcPr>
            <w:tcW w:w="1036" w:type="pct"/>
            <w:tcBorders>
              <w:top w:val="single" w:sz="4" w:space="0" w:color="000000"/>
              <w:left w:val="single" w:sz="4" w:space="0" w:color="000000"/>
              <w:right w:val="single" w:sz="4" w:space="0" w:color="000000"/>
            </w:tcBorders>
          </w:tcPr>
          <w:p w14:paraId="5B450DEB" w14:textId="77777777" w:rsidR="009D0F8D" w:rsidRPr="009D0F8D" w:rsidRDefault="009D0F8D" w:rsidP="00E75F0C">
            <w:pPr>
              <w:keepNext/>
              <w:keepLines/>
              <w:numPr>
                <w:ilvl w:val="0"/>
                <w:numId w:val="7"/>
              </w:numPr>
              <w:tabs>
                <w:tab w:val="clear" w:pos="1247"/>
                <w:tab w:val="clear" w:pos="1814"/>
                <w:tab w:val="clear" w:pos="2381"/>
                <w:tab w:val="clear" w:pos="2948"/>
                <w:tab w:val="clear" w:pos="3515"/>
              </w:tabs>
              <w:spacing w:after="60" w:line="276" w:lineRule="auto"/>
              <w:ind w:left="222" w:hanging="181"/>
              <w:rPr>
                <w:b/>
                <w:bCs/>
                <w:lang w:val="en-GB" w:eastAsia="nl-NL"/>
              </w:rPr>
            </w:pPr>
            <w:r w:rsidRPr="009D0F8D">
              <w:rPr>
                <w:b/>
                <w:bCs/>
                <w:lang w:val="en-GB" w:eastAsia="nl-NL"/>
              </w:rPr>
              <w:t>Identification of and outreach to other modelling communities beyond those already engaged (health, etc.)</w:t>
            </w:r>
          </w:p>
        </w:tc>
        <w:tc>
          <w:tcPr>
            <w:tcW w:w="1755" w:type="pct"/>
            <w:tcBorders>
              <w:top w:val="single" w:sz="4" w:space="0" w:color="000000"/>
              <w:left w:val="single" w:sz="4" w:space="0" w:color="000000"/>
              <w:right w:val="single" w:sz="4" w:space="0" w:color="000000"/>
            </w:tcBorders>
          </w:tcPr>
          <w:p w14:paraId="0333E689" w14:textId="77777777" w:rsidR="009D0F8D" w:rsidRPr="009D0F8D" w:rsidRDefault="009D0F8D" w:rsidP="00E75F0C">
            <w:pPr>
              <w:keepNext/>
              <w:keepLines/>
              <w:numPr>
                <w:ilvl w:val="0"/>
                <w:numId w:val="8"/>
              </w:numP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Complementary inputs to the quantitative scenarios and a broader network of modellers linked to the Nature Futures process (part of workshops and case studies, see 2.1.4)</w:t>
            </w:r>
          </w:p>
        </w:tc>
        <w:tc>
          <w:tcPr>
            <w:tcW w:w="363" w:type="pct"/>
            <w:tcBorders>
              <w:top w:val="single" w:sz="4" w:space="0" w:color="000000"/>
              <w:left w:val="single" w:sz="4" w:space="0" w:color="000000"/>
              <w:right w:val="single" w:sz="4" w:space="0" w:color="000000"/>
            </w:tcBorders>
          </w:tcPr>
          <w:p w14:paraId="791FDA67"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63" w:type="pct"/>
            <w:tcBorders>
              <w:top w:val="single" w:sz="4" w:space="0" w:color="000000"/>
              <w:left w:val="single" w:sz="4" w:space="0" w:color="000000"/>
              <w:right w:val="single" w:sz="4" w:space="0" w:color="000000"/>
            </w:tcBorders>
          </w:tcPr>
          <w:p w14:paraId="560A89F2"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6D5AE24D"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52A8988F" w14:textId="77777777" w:rsidR="009D0F8D" w:rsidRPr="009D0F8D" w:rsidRDefault="009D0F8D" w:rsidP="009D0F8D">
            <w:pPr>
              <w:tabs>
                <w:tab w:val="clear" w:pos="1247"/>
                <w:tab w:val="clear" w:pos="1814"/>
                <w:tab w:val="clear" w:pos="2381"/>
                <w:tab w:val="clear" w:pos="2948"/>
                <w:tab w:val="clear" w:pos="3515"/>
              </w:tabs>
              <w:rPr>
                <w:lang w:val="en-GB" w:eastAsia="nl-NL"/>
              </w:rPr>
            </w:pPr>
          </w:p>
        </w:tc>
      </w:tr>
      <w:tr w:rsidR="009D0F8D" w:rsidRPr="009F4251" w14:paraId="4146746B" w14:textId="77777777" w:rsidTr="00E96390">
        <w:trPr>
          <w:trHeight w:val="952"/>
          <w:jc w:val="right"/>
        </w:trPr>
        <w:tc>
          <w:tcPr>
            <w:tcW w:w="737" w:type="pct"/>
            <w:vMerge w:val="restart"/>
            <w:tcBorders>
              <w:top w:val="single" w:sz="4" w:space="0" w:color="000000"/>
              <w:left w:val="single" w:sz="4" w:space="0" w:color="000000"/>
              <w:right w:val="single" w:sz="4" w:space="0" w:color="000000"/>
            </w:tcBorders>
          </w:tcPr>
          <w:p w14:paraId="57639027"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r w:rsidRPr="009D0F8D">
              <w:rPr>
                <w:u w:val="single"/>
                <w:lang w:val="en-GB" w:eastAsia="nl-NL"/>
              </w:rPr>
              <w:t>Sub-deliverable 2.4</w:t>
            </w:r>
            <w:r w:rsidRPr="009D0F8D">
              <w:rPr>
                <w:lang w:val="en-GB" w:eastAsia="nl-NL"/>
              </w:rPr>
              <w:t>:</w:t>
            </w:r>
          </w:p>
          <w:p w14:paraId="219E090D"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r w:rsidRPr="009D0F8D">
              <w:rPr>
                <w:lang w:val="en-GB" w:eastAsia="nl-NL"/>
              </w:rPr>
              <w:t>Guide on conducting case studies to support broadening of narratives, indicators, etc.</w:t>
            </w:r>
          </w:p>
        </w:tc>
        <w:tc>
          <w:tcPr>
            <w:tcW w:w="1036" w:type="pct"/>
            <w:tcBorders>
              <w:top w:val="single" w:sz="4" w:space="0" w:color="000000"/>
              <w:left w:val="single" w:sz="4" w:space="0" w:color="000000"/>
              <w:right w:val="single" w:sz="4" w:space="0" w:color="000000"/>
            </w:tcBorders>
          </w:tcPr>
          <w:p w14:paraId="46CE0C3E" w14:textId="77777777" w:rsidR="009D0F8D" w:rsidRPr="009D0F8D" w:rsidRDefault="009D0F8D" w:rsidP="00E75F0C">
            <w:pPr>
              <w:keepNext/>
              <w:keepLines/>
              <w:numPr>
                <w:ilvl w:val="0"/>
                <w:numId w:val="7"/>
              </w:numPr>
              <w:tabs>
                <w:tab w:val="clear" w:pos="1247"/>
                <w:tab w:val="clear" w:pos="1814"/>
                <w:tab w:val="clear" w:pos="2381"/>
                <w:tab w:val="clear" w:pos="2948"/>
                <w:tab w:val="clear" w:pos="3515"/>
              </w:tabs>
              <w:spacing w:after="60" w:line="276" w:lineRule="auto"/>
              <w:ind w:left="222" w:hanging="181"/>
              <w:rPr>
                <w:b/>
                <w:bCs/>
                <w:lang w:val="en-GB" w:eastAsia="nl-NL"/>
              </w:rPr>
            </w:pPr>
            <w:r w:rsidRPr="009D0F8D">
              <w:rPr>
                <w:b/>
                <w:bCs/>
                <w:lang w:val="en-GB" w:eastAsia="nl-NL"/>
              </w:rPr>
              <w:t>Extracting methods and lessons from the process of building and applying the Nature Futures Framework</w:t>
            </w:r>
          </w:p>
        </w:tc>
        <w:tc>
          <w:tcPr>
            <w:tcW w:w="1755" w:type="pct"/>
            <w:tcBorders>
              <w:top w:val="single" w:sz="4" w:space="0" w:color="000000"/>
              <w:left w:val="single" w:sz="4" w:space="0" w:color="000000"/>
              <w:right w:val="single" w:sz="4" w:space="0" w:color="000000"/>
            </w:tcBorders>
          </w:tcPr>
          <w:p w14:paraId="69B87C2A" w14:textId="77777777" w:rsidR="009D0F8D" w:rsidRPr="009D0F8D" w:rsidRDefault="009D0F8D" w:rsidP="00E75F0C">
            <w:pPr>
              <w:keepNext/>
              <w:keepLines/>
              <w:numPr>
                <w:ilvl w:val="0"/>
                <w:numId w:val="8"/>
              </w:numP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Written guide for conducting sub global participatory scenario-building processes based on the Nature Futures Framework</w:t>
            </w:r>
          </w:p>
        </w:tc>
        <w:tc>
          <w:tcPr>
            <w:tcW w:w="363" w:type="pct"/>
            <w:tcBorders>
              <w:top w:val="single" w:sz="4" w:space="0" w:color="000000"/>
              <w:left w:val="single" w:sz="4" w:space="0" w:color="000000"/>
              <w:right w:val="single" w:sz="4" w:space="0" w:color="000000"/>
            </w:tcBorders>
            <w:shd w:val="clear" w:color="auto" w:fill="BDD7EE"/>
          </w:tcPr>
          <w:p w14:paraId="658048B3"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0571D505"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63" w:type="pct"/>
            <w:tcBorders>
              <w:top w:val="single" w:sz="4" w:space="0" w:color="000000"/>
              <w:left w:val="single" w:sz="4" w:space="0" w:color="000000"/>
              <w:right w:val="single" w:sz="4" w:space="0" w:color="000000"/>
            </w:tcBorders>
            <w:shd w:val="clear" w:color="auto" w:fill="BDD7EE"/>
          </w:tcPr>
          <w:p w14:paraId="7B05DA0F"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2A8B68F6" w14:textId="77777777" w:rsidR="009D0F8D" w:rsidRPr="009D0F8D" w:rsidRDefault="009D0F8D" w:rsidP="009D0F8D">
            <w:pPr>
              <w:tabs>
                <w:tab w:val="clear" w:pos="1247"/>
                <w:tab w:val="clear" w:pos="1814"/>
                <w:tab w:val="clear" w:pos="2381"/>
                <w:tab w:val="clear" w:pos="2948"/>
                <w:tab w:val="clear" w:pos="3515"/>
              </w:tabs>
              <w:rPr>
                <w:lang w:val="en-GB" w:eastAsia="nl-NL"/>
              </w:rPr>
            </w:pPr>
          </w:p>
        </w:tc>
      </w:tr>
      <w:tr w:rsidR="009D0F8D" w:rsidRPr="009F4251" w14:paraId="66E139DE" w14:textId="77777777" w:rsidTr="00E96390">
        <w:trPr>
          <w:trHeight w:val="73"/>
          <w:jc w:val="right"/>
        </w:trPr>
        <w:tc>
          <w:tcPr>
            <w:tcW w:w="737" w:type="pct"/>
            <w:vMerge/>
            <w:tcBorders>
              <w:top w:val="single" w:sz="4" w:space="0" w:color="000000"/>
              <w:left w:val="single" w:sz="4" w:space="0" w:color="000000"/>
              <w:right w:val="single" w:sz="4" w:space="0" w:color="000000"/>
            </w:tcBorders>
          </w:tcPr>
          <w:p w14:paraId="46ECF88C" w14:textId="77777777" w:rsidR="009D0F8D" w:rsidRPr="009D0F8D" w:rsidRDefault="009D0F8D" w:rsidP="009D0F8D">
            <w:pPr>
              <w:tabs>
                <w:tab w:val="clear" w:pos="1247"/>
                <w:tab w:val="clear" w:pos="1814"/>
                <w:tab w:val="clear" w:pos="2381"/>
                <w:tab w:val="clear" w:pos="2948"/>
                <w:tab w:val="clear" w:pos="3515"/>
              </w:tabs>
              <w:spacing w:after="60"/>
              <w:rPr>
                <w:u w:val="single"/>
                <w:lang w:val="en-GB" w:eastAsia="nl-NL"/>
              </w:rPr>
            </w:pPr>
          </w:p>
        </w:tc>
        <w:tc>
          <w:tcPr>
            <w:tcW w:w="1036" w:type="pct"/>
            <w:tcBorders>
              <w:top w:val="single" w:sz="4" w:space="0" w:color="000000"/>
              <w:left w:val="single" w:sz="4" w:space="0" w:color="000000"/>
              <w:right w:val="single" w:sz="4" w:space="0" w:color="000000"/>
            </w:tcBorders>
          </w:tcPr>
          <w:p w14:paraId="0C07FE3C" w14:textId="77777777" w:rsidR="009D0F8D" w:rsidRPr="009D0F8D" w:rsidRDefault="009D0F8D" w:rsidP="00E75F0C">
            <w:pPr>
              <w:keepNext/>
              <w:keepLines/>
              <w:numPr>
                <w:ilvl w:val="0"/>
                <w:numId w:val="7"/>
              </w:numPr>
              <w:pBdr>
                <w:top w:val="nil"/>
                <w:left w:val="nil"/>
                <w:bottom w:val="nil"/>
                <w:right w:val="nil"/>
                <w:between w:val="nil"/>
              </w:pBdr>
              <w:tabs>
                <w:tab w:val="clear" w:pos="1247"/>
                <w:tab w:val="clear" w:pos="1814"/>
                <w:tab w:val="clear" w:pos="2381"/>
                <w:tab w:val="clear" w:pos="2948"/>
                <w:tab w:val="clear" w:pos="3515"/>
              </w:tabs>
              <w:spacing w:after="60" w:line="276" w:lineRule="auto"/>
              <w:ind w:left="222" w:hanging="181"/>
              <w:rPr>
                <w:b/>
                <w:bCs/>
                <w:lang w:val="en-GB" w:eastAsia="nl-NL"/>
              </w:rPr>
            </w:pPr>
            <w:r w:rsidRPr="009D0F8D">
              <w:rPr>
                <w:b/>
                <w:bCs/>
                <w:lang w:val="en-GB" w:eastAsia="nl-NL"/>
              </w:rPr>
              <w:t>Catalyse the generation of new Nature Futures scenarios that are case study-specific</w:t>
            </w:r>
          </w:p>
        </w:tc>
        <w:tc>
          <w:tcPr>
            <w:tcW w:w="1755" w:type="pct"/>
            <w:tcBorders>
              <w:top w:val="single" w:sz="4" w:space="0" w:color="000000"/>
              <w:left w:val="single" w:sz="4" w:space="0" w:color="000000"/>
              <w:right w:val="single" w:sz="4" w:space="0" w:color="000000"/>
            </w:tcBorders>
          </w:tcPr>
          <w:p w14:paraId="29B10270" w14:textId="77777777" w:rsidR="009D0F8D" w:rsidRPr="009D0F8D" w:rsidRDefault="009D0F8D" w:rsidP="00E75F0C">
            <w:pPr>
              <w:keepNext/>
              <w:keepLines/>
              <w:numPr>
                <w:ilvl w:val="0"/>
                <w:numId w:val="8"/>
              </w:numP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Refinement of the guide on conducting case studies using the Nature Futures Framework</w:t>
            </w:r>
          </w:p>
        </w:tc>
        <w:tc>
          <w:tcPr>
            <w:tcW w:w="363" w:type="pct"/>
            <w:tcBorders>
              <w:top w:val="single" w:sz="4" w:space="0" w:color="000000"/>
              <w:left w:val="single" w:sz="4" w:space="0" w:color="000000"/>
              <w:right w:val="single" w:sz="4" w:space="0" w:color="000000"/>
            </w:tcBorders>
            <w:shd w:val="clear" w:color="auto" w:fill="auto"/>
          </w:tcPr>
          <w:p w14:paraId="06B756D6"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63" w:type="pct"/>
            <w:tcBorders>
              <w:top w:val="single" w:sz="4" w:space="0" w:color="000000"/>
              <w:left w:val="single" w:sz="4" w:space="0" w:color="000000"/>
              <w:right w:val="single" w:sz="4" w:space="0" w:color="000000"/>
            </w:tcBorders>
          </w:tcPr>
          <w:p w14:paraId="428B028B"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63" w:type="pct"/>
            <w:tcBorders>
              <w:top w:val="single" w:sz="4" w:space="0" w:color="000000"/>
              <w:left w:val="single" w:sz="4" w:space="0" w:color="000000"/>
              <w:right w:val="single" w:sz="4" w:space="0" w:color="000000"/>
            </w:tcBorders>
          </w:tcPr>
          <w:p w14:paraId="69ED6E2D"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54A8B2D3" w14:textId="77777777" w:rsidR="009D0F8D" w:rsidRPr="009D0F8D" w:rsidRDefault="009D0F8D" w:rsidP="009D0F8D">
            <w:pPr>
              <w:tabs>
                <w:tab w:val="clear" w:pos="1247"/>
                <w:tab w:val="clear" w:pos="1814"/>
                <w:tab w:val="clear" w:pos="2381"/>
                <w:tab w:val="clear" w:pos="2948"/>
                <w:tab w:val="clear" w:pos="3515"/>
              </w:tabs>
              <w:rPr>
                <w:lang w:val="en-GB" w:eastAsia="nl-NL"/>
              </w:rPr>
            </w:pPr>
          </w:p>
        </w:tc>
      </w:tr>
      <w:tr w:rsidR="009D0F8D" w:rsidRPr="009F4251" w14:paraId="394B40FA" w14:textId="77777777" w:rsidTr="00E96390">
        <w:trPr>
          <w:trHeight w:val="895"/>
          <w:jc w:val="right"/>
        </w:trPr>
        <w:tc>
          <w:tcPr>
            <w:tcW w:w="737" w:type="pct"/>
            <w:tcBorders>
              <w:top w:val="single" w:sz="4" w:space="0" w:color="000000"/>
              <w:left w:val="single" w:sz="4" w:space="0" w:color="000000"/>
              <w:right w:val="single" w:sz="4" w:space="0" w:color="000000"/>
            </w:tcBorders>
          </w:tcPr>
          <w:p w14:paraId="6975E518"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r w:rsidRPr="009D0F8D">
              <w:rPr>
                <w:u w:val="single"/>
                <w:lang w:val="en-GB" w:eastAsia="nl-NL"/>
              </w:rPr>
              <w:lastRenderedPageBreak/>
              <w:t>Sub-deliverable (longer term)</w:t>
            </w:r>
            <w:r w:rsidRPr="009D0F8D">
              <w:rPr>
                <w:lang w:val="en-GB" w:eastAsia="nl-NL"/>
              </w:rPr>
              <w:t>:</w:t>
            </w:r>
          </w:p>
          <w:p w14:paraId="6AE2B5B0" w14:textId="77777777" w:rsidR="009D0F8D" w:rsidRPr="009D0F8D" w:rsidRDefault="009D0F8D" w:rsidP="009D0F8D">
            <w:pPr>
              <w:tabs>
                <w:tab w:val="clear" w:pos="1247"/>
                <w:tab w:val="clear" w:pos="1814"/>
                <w:tab w:val="clear" w:pos="2381"/>
                <w:tab w:val="clear" w:pos="2948"/>
                <w:tab w:val="clear" w:pos="3515"/>
              </w:tabs>
              <w:spacing w:after="60"/>
              <w:rPr>
                <w:lang w:val="en-GB" w:eastAsia="nl-NL"/>
              </w:rPr>
            </w:pPr>
            <w:r w:rsidRPr="009D0F8D">
              <w:rPr>
                <w:lang w:val="en-GB" w:eastAsia="nl-NL"/>
              </w:rPr>
              <w:t xml:space="preserve">Further catalysation of new scenarios on biodiversity and ecosystem services </w:t>
            </w:r>
          </w:p>
        </w:tc>
        <w:tc>
          <w:tcPr>
            <w:tcW w:w="1036" w:type="pct"/>
            <w:tcBorders>
              <w:top w:val="single" w:sz="4" w:space="0" w:color="000000"/>
              <w:left w:val="single" w:sz="4" w:space="0" w:color="000000"/>
              <w:right w:val="single" w:sz="4" w:space="0" w:color="000000"/>
            </w:tcBorders>
          </w:tcPr>
          <w:p w14:paraId="16611754" w14:textId="77777777" w:rsidR="009D0F8D" w:rsidRPr="009D0F8D" w:rsidRDefault="009D0F8D" w:rsidP="00E75F0C">
            <w:pPr>
              <w:keepNext/>
              <w:keepLines/>
              <w:numPr>
                <w:ilvl w:val="0"/>
                <w:numId w:val="7"/>
              </w:numPr>
              <w:tabs>
                <w:tab w:val="clear" w:pos="1247"/>
                <w:tab w:val="clear" w:pos="1814"/>
                <w:tab w:val="clear" w:pos="2381"/>
                <w:tab w:val="clear" w:pos="2948"/>
                <w:tab w:val="clear" w:pos="3515"/>
              </w:tabs>
              <w:spacing w:after="60" w:line="276" w:lineRule="auto"/>
              <w:ind w:left="222" w:hanging="181"/>
              <w:rPr>
                <w:b/>
                <w:bCs/>
                <w:lang w:val="en-GB" w:eastAsia="nl-NL"/>
              </w:rPr>
            </w:pPr>
            <w:r w:rsidRPr="009D0F8D">
              <w:rPr>
                <w:b/>
                <w:bCs/>
                <w:lang w:val="en-GB" w:eastAsia="nl-NL"/>
              </w:rPr>
              <w:t>Further development of the methodological guidance of the Nature Futures Framework</w:t>
            </w:r>
          </w:p>
          <w:p w14:paraId="25C8A4B2" w14:textId="77777777" w:rsidR="009D0F8D" w:rsidRPr="009D0F8D" w:rsidRDefault="009D0F8D" w:rsidP="00E75F0C">
            <w:pPr>
              <w:keepNext/>
              <w:keepLines/>
              <w:numPr>
                <w:ilvl w:val="0"/>
                <w:numId w:val="7"/>
              </w:numPr>
              <w:tabs>
                <w:tab w:val="clear" w:pos="1247"/>
                <w:tab w:val="clear" w:pos="1814"/>
                <w:tab w:val="clear" w:pos="2381"/>
                <w:tab w:val="clear" w:pos="2948"/>
                <w:tab w:val="clear" w:pos="3515"/>
              </w:tabs>
              <w:spacing w:after="60" w:line="276" w:lineRule="auto"/>
              <w:ind w:left="222" w:hanging="181"/>
              <w:rPr>
                <w:b/>
                <w:bCs/>
                <w:lang w:val="en-GB" w:eastAsia="nl-NL"/>
              </w:rPr>
            </w:pPr>
            <w:r w:rsidRPr="009D0F8D">
              <w:rPr>
                <w:b/>
                <w:bCs/>
                <w:lang w:val="en-GB" w:eastAsia="nl-NL"/>
              </w:rPr>
              <w:t xml:space="preserve">Outreach on the Nature Futures Framework to catalyse the application of the framework and the narrative scenario development methods by various stakeholders </w:t>
            </w:r>
          </w:p>
        </w:tc>
        <w:tc>
          <w:tcPr>
            <w:tcW w:w="1755" w:type="pct"/>
            <w:tcBorders>
              <w:top w:val="single" w:sz="4" w:space="0" w:color="000000"/>
              <w:left w:val="single" w:sz="4" w:space="0" w:color="000000"/>
              <w:right w:val="single" w:sz="4" w:space="0" w:color="000000"/>
            </w:tcBorders>
          </w:tcPr>
          <w:p w14:paraId="1D62F677" w14:textId="77777777" w:rsidR="009D0F8D" w:rsidRPr="009D0F8D" w:rsidRDefault="009D0F8D" w:rsidP="00E75F0C">
            <w:pPr>
              <w:keepNext/>
              <w:keepLines/>
              <w:numPr>
                <w:ilvl w:val="0"/>
                <w:numId w:val="8"/>
              </w:numP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Further development of the methodological guidance of the Nature Futures Framework;</w:t>
            </w:r>
          </w:p>
          <w:p w14:paraId="2C27A3C0" w14:textId="159EE456" w:rsidR="009D0F8D" w:rsidRPr="009D0F8D" w:rsidRDefault="009D0F8D" w:rsidP="00AD5B1F">
            <w:pPr>
              <w:keepNext/>
              <w:keepLines/>
              <w:numPr>
                <w:ilvl w:val="0"/>
                <w:numId w:val="8"/>
              </w:numPr>
              <w:tabs>
                <w:tab w:val="clear" w:pos="1247"/>
                <w:tab w:val="clear" w:pos="1814"/>
                <w:tab w:val="clear" w:pos="2381"/>
                <w:tab w:val="clear" w:pos="2948"/>
                <w:tab w:val="clear" w:pos="3515"/>
              </w:tabs>
              <w:spacing w:after="60" w:line="276" w:lineRule="auto"/>
              <w:ind w:left="304"/>
              <w:rPr>
                <w:lang w:val="en-GB" w:eastAsia="nl-NL"/>
              </w:rPr>
            </w:pPr>
            <w:r w:rsidRPr="009D0F8D">
              <w:rPr>
                <w:lang w:val="en-GB" w:eastAsia="nl-NL"/>
              </w:rPr>
              <w:t xml:space="preserve">Outreach on the Nature Futures Framework, </w:t>
            </w:r>
            <w:r w:rsidR="00AD5B1F">
              <w:rPr>
                <w:lang w:val="en-GB" w:eastAsia="nl-NL"/>
              </w:rPr>
              <w:br/>
            </w:r>
            <w:r w:rsidRPr="009D0F8D">
              <w:rPr>
                <w:lang w:val="en-GB" w:eastAsia="nl-NL"/>
              </w:rPr>
              <w:t>e.g., through publications in peer-reviewed journals (on, for instance, modelling the Nature Futures Framework, and illustrative examples of nature futures) which would provide the wider scientific community with examples of how the Nature Futures Framework could be used to imagine new desirable futures for nature.</w:t>
            </w:r>
          </w:p>
        </w:tc>
        <w:tc>
          <w:tcPr>
            <w:tcW w:w="363" w:type="pct"/>
            <w:tcBorders>
              <w:top w:val="single" w:sz="4" w:space="0" w:color="000000"/>
              <w:left w:val="single" w:sz="4" w:space="0" w:color="000000"/>
              <w:right w:val="single" w:sz="4" w:space="0" w:color="000000"/>
            </w:tcBorders>
            <w:shd w:val="clear" w:color="auto" w:fill="auto"/>
          </w:tcPr>
          <w:p w14:paraId="07C1D698"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63" w:type="pct"/>
            <w:tcBorders>
              <w:top w:val="single" w:sz="4" w:space="0" w:color="000000"/>
              <w:left w:val="single" w:sz="4" w:space="0" w:color="000000"/>
              <w:right w:val="single" w:sz="4" w:space="0" w:color="000000"/>
            </w:tcBorders>
          </w:tcPr>
          <w:p w14:paraId="32523087"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63" w:type="pct"/>
            <w:tcBorders>
              <w:top w:val="single" w:sz="4" w:space="0" w:color="000000"/>
              <w:left w:val="single" w:sz="4" w:space="0" w:color="000000"/>
              <w:right w:val="single" w:sz="4" w:space="0" w:color="000000"/>
            </w:tcBorders>
            <w:shd w:val="clear" w:color="auto" w:fill="auto"/>
          </w:tcPr>
          <w:p w14:paraId="161C846F" w14:textId="77777777" w:rsidR="009D0F8D" w:rsidRPr="009D0F8D" w:rsidRDefault="009D0F8D" w:rsidP="009D0F8D">
            <w:pPr>
              <w:tabs>
                <w:tab w:val="clear" w:pos="1247"/>
                <w:tab w:val="clear" w:pos="1814"/>
                <w:tab w:val="clear" w:pos="2381"/>
                <w:tab w:val="clear" w:pos="2948"/>
                <w:tab w:val="clear" w:pos="3515"/>
              </w:tabs>
              <w:rPr>
                <w:lang w:val="en-GB" w:eastAsia="nl-NL"/>
              </w:rPr>
            </w:pPr>
          </w:p>
        </w:tc>
        <w:tc>
          <w:tcPr>
            <w:tcW w:w="382" w:type="pct"/>
            <w:tcBorders>
              <w:top w:val="single" w:sz="4" w:space="0" w:color="000000"/>
              <w:left w:val="single" w:sz="4" w:space="0" w:color="000000"/>
              <w:right w:val="single" w:sz="4" w:space="0" w:color="000000"/>
            </w:tcBorders>
            <w:shd w:val="clear" w:color="auto" w:fill="BDD7EE"/>
          </w:tcPr>
          <w:p w14:paraId="5F11648C" w14:textId="77777777" w:rsidR="009D0F8D" w:rsidRPr="009D0F8D" w:rsidRDefault="009D0F8D" w:rsidP="009D0F8D">
            <w:pPr>
              <w:tabs>
                <w:tab w:val="clear" w:pos="1247"/>
                <w:tab w:val="clear" w:pos="1814"/>
                <w:tab w:val="clear" w:pos="2381"/>
                <w:tab w:val="clear" w:pos="2948"/>
                <w:tab w:val="clear" w:pos="3515"/>
              </w:tabs>
              <w:rPr>
                <w:lang w:val="en-GB" w:eastAsia="nl-NL"/>
              </w:rPr>
            </w:pPr>
          </w:p>
        </w:tc>
      </w:tr>
    </w:tbl>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883"/>
        <w:gridCol w:w="2884"/>
        <w:gridCol w:w="2884"/>
        <w:gridCol w:w="2884"/>
      </w:tblGrid>
      <w:tr w:rsidR="006813ED" w:rsidRPr="009F4251" w14:paraId="189C001B" w14:textId="77777777" w:rsidTr="006813ED">
        <w:tc>
          <w:tcPr>
            <w:tcW w:w="2883" w:type="dxa"/>
          </w:tcPr>
          <w:p w14:paraId="35064842" w14:textId="77777777" w:rsidR="006813ED" w:rsidRDefault="006813ED" w:rsidP="006813ED">
            <w:pPr>
              <w:pStyle w:val="Normal-pool"/>
              <w:spacing w:before="520"/>
            </w:pPr>
          </w:p>
        </w:tc>
        <w:tc>
          <w:tcPr>
            <w:tcW w:w="2883" w:type="dxa"/>
          </w:tcPr>
          <w:p w14:paraId="4D0ECFA3" w14:textId="77777777" w:rsidR="006813ED" w:rsidRDefault="006813ED" w:rsidP="006813ED">
            <w:pPr>
              <w:pStyle w:val="Normal-pool"/>
              <w:spacing w:before="520"/>
            </w:pPr>
          </w:p>
        </w:tc>
        <w:tc>
          <w:tcPr>
            <w:tcW w:w="2884" w:type="dxa"/>
            <w:tcBorders>
              <w:bottom w:val="single" w:sz="4" w:space="0" w:color="auto"/>
            </w:tcBorders>
          </w:tcPr>
          <w:p w14:paraId="4C407AE1" w14:textId="77777777" w:rsidR="006813ED" w:rsidRDefault="006813ED" w:rsidP="006813ED">
            <w:pPr>
              <w:pStyle w:val="Normal-pool"/>
              <w:spacing w:before="520"/>
            </w:pPr>
          </w:p>
        </w:tc>
        <w:tc>
          <w:tcPr>
            <w:tcW w:w="2884" w:type="dxa"/>
          </w:tcPr>
          <w:p w14:paraId="60B6DB55" w14:textId="77777777" w:rsidR="006813ED" w:rsidRDefault="006813ED" w:rsidP="006813ED">
            <w:pPr>
              <w:pStyle w:val="Normal-pool"/>
              <w:spacing w:before="520"/>
            </w:pPr>
          </w:p>
        </w:tc>
        <w:tc>
          <w:tcPr>
            <w:tcW w:w="2884" w:type="dxa"/>
          </w:tcPr>
          <w:p w14:paraId="620944A9" w14:textId="77777777" w:rsidR="006813ED" w:rsidRDefault="006813ED" w:rsidP="006813ED">
            <w:pPr>
              <w:pStyle w:val="Normal-pool"/>
              <w:spacing w:before="520"/>
            </w:pPr>
          </w:p>
        </w:tc>
      </w:tr>
    </w:tbl>
    <w:p w14:paraId="7DB3246F" w14:textId="77777777" w:rsidR="006813ED" w:rsidRPr="00761E49" w:rsidRDefault="006813ED" w:rsidP="006813ED">
      <w:pPr>
        <w:pStyle w:val="Normal-pool"/>
      </w:pPr>
    </w:p>
    <w:sectPr w:rsidR="006813ED" w:rsidRPr="00761E49" w:rsidSect="006813ED">
      <w:headerReference w:type="even" r:id="rId29"/>
      <w:headerReference w:type="first" r:id="rId30"/>
      <w:footerReference w:type="first" r:id="rId31"/>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6E351" w14:textId="77777777" w:rsidR="00EC48B1" w:rsidRDefault="00EC48B1">
      <w:r>
        <w:separator/>
      </w:r>
    </w:p>
  </w:endnote>
  <w:endnote w:type="continuationSeparator" w:id="0">
    <w:p w14:paraId="3DBDC0C2" w14:textId="77777777" w:rsidR="00EC48B1" w:rsidRDefault="00EC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E236" w14:textId="77777777" w:rsidR="009D0F8D" w:rsidRPr="0032647B" w:rsidRDefault="00CC1038" w:rsidP="0032647B">
    <w:pPr>
      <w:pStyle w:val="Footer"/>
      <w:tabs>
        <w:tab w:val="clear" w:pos="4320"/>
        <w:tab w:val="clear" w:pos="8640"/>
        <w:tab w:val="left" w:pos="4215"/>
      </w:tabs>
      <w:rPr>
        <w:b/>
      </w:rPr>
    </w:pPr>
    <w:sdt>
      <w:sdtPr>
        <w:id w:val="-1725830198"/>
        <w:docPartObj>
          <w:docPartGallery w:val="Page Numbers (Bottom of Page)"/>
          <w:docPartUnique/>
        </w:docPartObj>
      </w:sdtPr>
      <w:sdtEndPr>
        <w:rPr>
          <w:b/>
          <w:noProof/>
        </w:rPr>
      </w:sdtEndPr>
      <w:sdtContent>
        <w:r w:rsidR="009D0F8D" w:rsidRPr="0032647B">
          <w:rPr>
            <w:b/>
          </w:rPr>
          <w:fldChar w:fldCharType="begin"/>
        </w:r>
        <w:r w:rsidR="009D0F8D" w:rsidRPr="0032647B">
          <w:rPr>
            <w:b/>
          </w:rPr>
          <w:instrText xml:space="preserve"> PAGE   \* MERGEFORMAT </w:instrText>
        </w:r>
        <w:r w:rsidR="009D0F8D" w:rsidRPr="0032647B">
          <w:rPr>
            <w:b/>
          </w:rPr>
          <w:fldChar w:fldCharType="separate"/>
        </w:r>
        <w:r w:rsidR="009D0F8D">
          <w:rPr>
            <w:b/>
            <w:noProof/>
          </w:rPr>
          <w:t>12</w:t>
        </w:r>
        <w:r w:rsidR="009D0F8D" w:rsidRPr="0032647B">
          <w:rPr>
            <w:b/>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586213"/>
      <w:docPartObj>
        <w:docPartGallery w:val="Page Numbers (Bottom of Page)"/>
        <w:docPartUnique/>
      </w:docPartObj>
    </w:sdtPr>
    <w:sdtEndPr>
      <w:rPr>
        <w:rStyle w:val="Normal-poolChar"/>
        <w:b/>
        <w:bCs/>
      </w:rPr>
    </w:sdtEndPr>
    <w:sdtContent>
      <w:p w14:paraId="7ECDDAB9" w14:textId="77777777" w:rsidR="009D0F8D" w:rsidRPr="006813ED" w:rsidRDefault="009D0F8D" w:rsidP="009436C2">
        <w:pPr>
          <w:pStyle w:val="Footer"/>
          <w:jc w:val="right"/>
          <w:rPr>
            <w:rStyle w:val="Normal-poolChar"/>
            <w:b/>
            <w:bCs/>
          </w:rPr>
        </w:pPr>
        <w:r w:rsidRPr="006813ED">
          <w:rPr>
            <w:rStyle w:val="Normal-poolChar"/>
            <w:b/>
            <w:bCs/>
          </w:rPr>
          <w:fldChar w:fldCharType="begin"/>
        </w:r>
        <w:r w:rsidRPr="006813ED">
          <w:rPr>
            <w:rStyle w:val="Normal-poolChar"/>
            <w:b/>
            <w:bCs/>
          </w:rPr>
          <w:instrText xml:space="preserve"> PAGE   \* MERGEFORMAT </w:instrText>
        </w:r>
        <w:r w:rsidRPr="006813ED">
          <w:rPr>
            <w:rStyle w:val="Normal-poolChar"/>
            <w:b/>
            <w:bCs/>
          </w:rPr>
          <w:fldChar w:fldCharType="separate"/>
        </w:r>
        <w:r w:rsidRPr="006813ED">
          <w:rPr>
            <w:rStyle w:val="Normal-poolChar"/>
            <w:b/>
            <w:bCs/>
          </w:rPr>
          <w:t>11</w:t>
        </w:r>
        <w:r w:rsidRPr="006813ED">
          <w:rPr>
            <w:rStyle w:val="Normal-poolCha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A68A" w14:textId="279EC79F" w:rsidR="009D0F8D" w:rsidRDefault="009D0F8D" w:rsidP="009D0F8D">
    <w:pPr>
      <w:pStyle w:val="Normal-pool"/>
    </w:pPr>
    <w:r>
      <w:t>K2101211</w:t>
    </w:r>
    <w:r>
      <w:tab/>
    </w:r>
    <w:r w:rsidR="00AF62FD">
      <w:t>24</w:t>
    </w:r>
    <w:r>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78F2" w14:textId="6CB16083" w:rsidR="009D0F8D" w:rsidRPr="009D0F8D" w:rsidRDefault="009D0F8D" w:rsidP="009D0F8D">
    <w:pPr>
      <w:pStyle w:val="Normal-pool"/>
      <w:rPr>
        <w:b/>
        <w:bCs/>
        <w:sz w:val="18"/>
        <w:szCs w:val="18"/>
      </w:rPr>
    </w:pPr>
    <w:r w:rsidRPr="009D0F8D">
      <w:rPr>
        <w:b/>
        <w:bCs/>
        <w:sz w:val="18"/>
        <w:szCs w:val="18"/>
      </w:rPr>
      <w:fldChar w:fldCharType="begin"/>
    </w:r>
    <w:r w:rsidRPr="009D0F8D">
      <w:rPr>
        <w:b/>
        <w:bCs/>
        <w:sz w:val="18"/>
        <w:szCs w:val="18"/>
      </w:rPr>
      <w:instrText xml:space="preserve"> PAGE   \* MERGEFORMAT </w:instrText>
    </w:r>
    <w:r w:rsidRPr="009D0F8D">
      <w:rPr>
        <w:b/>
        <w:bCs/>
        <w:sz w:val="18"/>
        <w:szCs w:val="18"/>
      </w:rPr>
      <w:fldChar w:fldCharType="separate"/>
    </w:r>
    <w:r w:rsidRPr="009D0F8D">
      <w:rPr>
        <w:b/>
        <w:bCs/>
        <w:noProof/>
        <w:sz w:val="18"/>
        <w:szCs w:val="18"/>
      </w:rPr>
      <w:t>1</w:t>
    </w:r>
    <w:r w:rsidRPr="009D0F8D">
      <w:rPr>
        <w:b/>
        <w:bCs/>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4F85" w14:textId="77777777"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B31B" w14:textId="77777777"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989232"/>
      <w:docPartObj>
        <w:docPartGallery w:val="Page Numbers (Bottom of Page)"/>
        <w:docPartUnique/>
      </w:docPartObj>
    </w:sdtPr>
    <w:sdtEndPr>
      <w:rPr>
        <w:noProof/>
      </w:rPr>
    </w:sdtEndPr>
    <w:sdtContent>
      <w:p w14:paraId="5C533F05" w14:textId="2CB7C3B7" w:rsidR="008D2C27" w:rsidRPr="009D0F8D" w:rsidRDefault="00564D85" w:rsidP="00E9639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1272" w14:textId="67B4D6D5" w:rsidR="00761E49" w:rsidRPr="00761E49" w:rsidRDefault="00761E49" w:rsidP="00761E49">
    <w:pPr>
      <w:pStyle w:val="Footer"/>
      <w:jc w:val="right"/>
      <w:rPr>
        <w:b/>
        <w:bCs/>
      </w:rPr>
    </w:pPr>
    <w:r w:rsidRPr="00761E49">
      <w:rPr>
        <w:b/>
        <w:bCs/>
      </w:rPr>
      <w:fldChar w:fldCharType="begin"/>
    </w:r>
    <w:r w:rsidRPr="00761E49">
      <w:rPr>
        <w:b/>
        <w:bCs/>
      </w:rPr>
      <w:instrText xml:space="preserve"> PAGE   \* MERGEFORMAT </w:instrText>
    </w:r>
    <w:r w:rsidRPr="00761E49">
      <w:rPr>
        <w:b/>
        <w:bCs/>
      </w:rPr>
      <w:fldChar w:fldCharType="separate"/>
    </w:r>
    <w:r w:rsidRPr="00761E49">
      <w:rPr>
        <w:b/>
        <w:bCs/>
        <w:noProof/>
      </w:rPr>
      <w:t>1</w:t>
    </w:r>
    <w:r w:rsidRPr="00761E4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4D0BA" w14:textId="77777777" w:rsidR="00EC48B1" w:rsidRDefault="00EC48B1" w:rsidP="00D92DE0">
      <w:pPr>
        <w:ind w:left="624"/>
      </w:pPr>
      <w:r>
        <w:separator/>
      </w:r>
    </w:p>
  </w:footnote>
  <w:footnote w:type="continuationSeparator" w:id="0">
    <w:p w14:paraId="1B36F3C8" w14:textId="77777777" w:rsidR="00EC48B1" w:rsidRDefault="00EC48B1">
      <w:r>
        <w:continuationSeparator/>
      </w:r>
    </w:p>
  </w:footnote>
  <w:footnote w:id="1">
    <w:p w14:paraId="7E47D32E" w14:textId="77777777" w:rsidR="00A54604" w:rsidRPr="008E340B" w:rsidRDefault="00A54604" w:rsidP="00A54604">
      <w:pPr>
        <w:pStyle w:val="Normal-pool"/>
        <w:spacing w:before="20" w:after="40"/>
        <w:ind w:left="1247"/>
        <w:rPr>
          <w:sz w:val="18"/>
          <w:szCs w:val="18"/>
        </w:rPr>
      </w:pPr>
      <w:r w:rsidRPr="00B059A3">
        <w:rPr>
          <w:rStyle w:val="FootnoteReference"/>
          <w:sz w:val="18"/>
          <w:vertAlign w:val="baseline"/>
        </w:rPr>
        <w:t>*</w:t>
      </w:r>
      <w:r w:rsidRPr="00B059A3">
        <w:rPr>
          <w:sz w:val="18"/>
          <w:szCs w:val="18"/>
        </w:rPr>
        <w:t xml:space="preserve"> IPBES/8/1.</w:t>
      </w:r>
    </w:p>
  </w:footnote>
  <w:footnote w:id="2">
    <w:p w14:paraId="2F15253A" w14:textId="6FD6B950" w:rsidR="009D0F8D" w:rsidRPr="00EB473F" w:rsidRDefault="009D0F8D" w:rsidP="00EB473F">
      <w:pPr>
        <w:pStyle w:val="Normal-pool"/>
        <w:spacing w:before="20" w:after="40"/>
        <w:ind w:left="1247"/>
        <w:rPr>
          <w:sz w:val="18"/>
          <w:szCs w:val="18"/>
        </w:rPr>
      </w:pPr>
      <w:r w:rsidRPr="00EB473F">
        <w:rPr>
          <w:rStyle w:val="FootnoteReference"/>
          <w:sz w:val="18"/>
        </w:rPr>
        <w:footnoteRef/>
      </w:r>
      <w:r w:rsidRPr="00EB473F">
        <w:rPr>
          <w:sz w:val="18"/>
          <w:szCs w:val="18"/>
        </w:rPr>
        <w:t xml:space="preserve"> The three priority topics are: (a) </w:t>
      </w:r>
      <w:r w:rsidR="0039121C" w:rsidRPr="00EB473F">
        <w:rPr>
          <w:sz w:val="18"/>
          <w:szCs w:val="18"/>
        </w:rPr>
        <w:t>u</w:t>
      </w:r>
      <w:r w:rsidRPr="00EB473F">
        <w:rPr>
          <w:sz w:val="18"/>
          <w:szCs w:val="18"/>
        </w:rPr>
        <w:t xml:space="preserve">nderstanding the importance of biodiversity in achieving the 2030 Agenda for Sustainable Development; (b) </w:t>
      </w:r>
      <w:r w:rsidR="0039121C" w:rsidRPr="00EB473F">
        <w:rPr>
          <w:sz w:val="18"/>
          <w:szCs w:val="18"/>
        </w:rPr>
        <w:t>u</w:t>
      </w:r>
      <w:r w:rsidRPr="00EB473F">
        <w:rPr>
          <w:sz w:val="18"/>
          <w:szCs w:val="18"/>
        </w:rPr>
        <w:t xml:space="preserve">nderstanding the underlying causes of biodiversity loss and determinants of transformative change and options for achieving the 2050 Vision for Biodiversity; and (c) </w:t>
      </w:r>
      <w:r w:rsidR="0039121C" w:rsidRPr="00EB473F">
        <w:rPr>
          <w:sz w:val="18"/>
          <w:szCs w:val="18"/>
        </w:rPr>
        <w:t>m</w:t>
      </w:r>
      <w:r w:rsidRPr="00EB473F">
        <w:rPr>
          <w:sz w:val="18"/>
          <w:szCs w:val="18"/>
        </w:rPr>
        <w:t>easuring business impact and dependence on biodiversity and nature’s contributions to people.</w:t>
      </w:r>
    </w:p>
  </w:footnote>
  <w:footnote w:id="3">
    <w:p w14:paraId="5941FA42" w14:textId="77777777" w:rsidR="009D0F8D" w:rsidRPr="00834C5B" w:rsidRDefault="009D0F8D" w:rsidP="009D0F8D">
      <w:pPr>
        <w:pStyle w:val="FootnoteText"/>
        <w:rPr>
          <w:lang w:val="en-US"/>
        </w:rPr>
      </w:pPr>
      <w:r>
        <w:rPr>
          <w:rStyle w:val="FootnoteReference"/>
        </w:rPr>
        <w:footnoteRef/>
      </w:r>
      <w:r w:rsidRPr="003B309B">
        <w:rPr>
          <w:lang w:val="en-US"/>
        </w:rPr>
        <w:t xml:space="preserve"> PBL (2019), Report on the workshop ‘Global Modelling of Biodiversity and Ecosystem Services’. PBL Netherlands Environmental Assessment Agency, The Hague. </w:t>
      </w:r>
      <w:r>
        <w:rPr>
          <w:lang w:val="en-US"/>
        </w:rPr>
        <w:t xml:space="preserve">Available from: </w:t>
      </w:r>
      <w:hyperlink r:id="rId1" w:history="1">
        <w:r w:rsidRPr="00BB1951">
          <w:rPr>
            <w:rStyle w:val="Hyperlink"/>
            <w:lang w:val="en-US"/>
          </w:rPr>
          <w:t>https://www.pbl.nl/en/publications/workshop-report-global-modelling-of-biodiversity-and-ecosystem-services</w:t>
        </w:r>
      </w:hyperlink>
      <w:r>
        <w:rPr>
          <w:lang w:val="en-US"/>
        </w:rPr>
        <w:t xml:space="preserve"> </w:t>
      </w:r>
    </w:p>
  </w:footnote>
  <w:footnote w:id="4">
    <w:p w14:paraId="532AAE29" w14:textId="77777777" w:rsidR="009D0F8D" w:rsidRPr="00834C5B" w:rsidRDefault="009D0F8D" w:rsidP="009D0F8D">
      <w:pPr>
        <w:pStyle w:val="FootnoteText"/>
        <w:rPr>
          <w:lang w:val="en-US"/>
        </w:rPr>
      </w:pPr>
      <w:r>
        <w:rPr>
          <w:rStyle w:val="FootnoteReference"/>
        </w:rPr>
        <w:footnoteRef/>
      </w:r>
      <w:r w:rsidRPr="003B309B">
        <w:rPr>
          <w:lang w:val="en-US"/>
        </w:rPr>
        <w:t xml:space="preserve"> </w:t>
      </w:r>
      <w:bookmarkStart w:id="5" w:name="_Hlk67057711"/>
      <w:r w:rsidRPr="003B309B">
        <w:rPr>
          <w:lang w:val="en-US"/>
        </w:rPr>
        <w:t>PBL (2020), Report on the Workshop ‘New Narratives for Nature: operationalizing the IPBES Nature Futures Scenarios’. PBL Netherlands Environmental Assessment Agency, The Hague. Available from: https://www.pbl.nl/en/publications/report-on-the-workshop-new-narratives-for-nature-operationalizing-the-ipbes-nature-futures-scenarios</w:t>
      </w:r>
      <w:bookmarkEnd w:id="5"/>
    </w:p>
  </w:footnote>
  <w:footnote w:id="5">
    <w:p w14:paraId="27684239" w14:textId="77777777" w:rsidR="009D0F8D" w:rsidRPr="00AD5B1F" w:rsidRDefault="009D0F8D" w:rsidP="00AD5B1F">
      <w:pPr>
        <w:pStyle w:val="Normal-pool"/>
        <w:ind w:left="1247"/>
        <w:rPr>
          <w:sz w:val="18"/>
          <w:szCs w:val="18"/>
        </w:rPr>
      </w:pPr>
      <w:r w:rsidRPr="00AD5B1F">
        <w:rPr>
          <w:rStyle w:val="FootnoteReference"/>
          <w:sz w:val="18"/>
        </w:rPr>
        <w:footnoteRef/>
      </w:r>
      <w:r w:rsidRPr="00AD5B1F">
        <w:rPr>
          <w:sz w:val="18"/>
          <w:szCs w:val="18"/>
        </w:rPr>
        <w:t xml:space="preserve"> Pereira L. et al. 2020. Developing multi-scale and integrative nature-people scenarios using the Nature Futures Framework. People Nat. 1–24. doi:10.31235/osf.io/ka69n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4AB0" w14:textId="77777777" w:rsidR="009D0F8D" w:rsidRPr="00CB426D" w:rsidRDefault="009D0F8D" w:rsidP="00894338">
    <w:pPr>
      <w:pStyle w:val="Header"/>
      <w:tabs>
        <w:tab w:val="left" w:pos="624"/>
      </w:tabs>
      <w:rPr>
        <w:rFonts w:eastAsiaTheme="minorEastAsia"/>
        <w:szCs w:val="18"/>
        <w:lang w:val="en-GB"/>
      </w:rPr>
    </w:pPr>
    <w:r>
      <w:rPr>
        <w:szCs w:val="18"/>
      </w:rPr>
      <w:t>IPBES/8/INF/14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87C6" w14:textId="77777777" w:rsidR="009D0F8D" w:rsidRPr="00CB426D" w:rsidRDefault="009D0F8D" w:rsidP="00894338">
    <w:pPr>
      <w:pStyle w:val="Header"/>
      <w:tabs>
        <w:tab w:val="left" w:pos="624"/>
      </w:tabs>
      <w:jc w:val="right"/>
      <w:rPr>
        <w:rFonts w:eastAsiaTheme="minorEastAsia"/>
        <w:szCs w:val="18"/>
        <w:lang w:val="en-GB"/>
      </w:rPr>
    </w:pPr>
    <w:r>
      <w:rPr>
        <w:szCs w:val="18"/>
      </w:rPr>
      <w:t>IPBES/8/INF</w:t>
    </w:r>
    <w:r w:rsidRPr="000D62F6">
      <w:rPr>
        <w:szCs w:val="18"/>
      </w:rPr>
      <w:t>/</w:t>
    </w:r>
    <w:r w:rsidRPr="00774CAC">
      <w:rPr>
        <w:szCs w:val="18"/>
      </w:rPr>
      <w:t>1</w:t>
    </w:r>
    <w:r>
      <w:rPr>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DA45" w14:textId="7F67D478" w:rsidR="009D0F8D" w:rsidRDefault="009D0F8D" w:rsidP="00EF5177">
    <w:pPr>
      <w:pStyle w:val="Header"/>
      <w:pBdr>
        <w:bottom w:val="none" w:sz="0" w:space="0" w:color="auto"/>
      </w:pBdr>
      <w:tabs>
        <w:tab w:val="clear" w:pos="4536"/>
        <w:tab w:val="clear" w:pos="9072"/>
        <w:tab w:val="left" w:pos="225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63BD" w14:textId="35CFB65A" w:rsidR="009D0F8D" w:rsidRPr="009D0F8D" w:rsidRDefault="009D0F8D" w:rsidP="009D0F8D">
    <w:pPr>
      <w:pStyle w:val="Header-pool"/>
      <w:rPr>
        <w:rFonts w:eastAsia="Yu Mincho"/>
      </w:rPr>
    </w:pPr>
    <w:r>
      <w:t>IPBES/</w:t>
    </w:r>
    <w:r w:rsidR="009F4251">
      <w:t>8</w:t>
    </w:r>
    <w:r>
      <w:t>/INF</w:t>
    </w:r>
    <w:r w:rsidRPr="000D62F6">
      <w:t>/</w:t>
    </w:r>
    <w:r w:rsidRPr="00774CAC">
      <w:t>1</w:t>
    </w:r>
    <w: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11AB" w14:textId="464D3E61" w:rsidR="00123699" w:rsidRPr="009D0F8D" w:rsidRDefault="009D0F8D" w:rsidP="00894338">
    <w:pPr>
      <w:pStyle w:val="Header"/>
      <w:tabs>
        <w:tab w:val="left" w:pos="624"/>
      </w:tabs>
      <w:rPr>
        <w:rFonts w:eastAsiaTheme="minorEastAsia"/>
        <w:szCs w:val="18"/>
        <w:lang w:val="en-GB"/>
      </w:rPr>
    </w:pPr>
    <w:r>
      <w:rPr>
        <w:szCs w:val="18"/>
      </w:rPr>
      <w:t>IPBES/8/INF</w:t>
    </w:r>
    <w:r w:rsidRPr="000D62F6">
      <w:rPr>
        <w:szCs w:val="18"/>
      </w:rPr>
      <w:t>/</w:t>
    </w:r>
    <w:r w:rsidRPr="00774CAC">
      <w:rPr>
        <w:szCs w:val="18"/>
      </w:rPr>
      <w:t>1</w:t>
    </w:r>
    <w:r>
      <w:rPr>
        <w:szCs w:val="18"/>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3112" w14:textId="33BD95D2" w:rsidR="00123699" w:rsidRPr="009D0F8D" w:rsidRDefault="009D0F8D" w:rsidP="009D0F8D">
    <w:pPr>
      <w:pStyle w:val="Header"/>
      <w:tabs>
        <w:tab w:val="left" w:pos="624"/>
      </w:tabs>
      <w:jc w:val="right"/>
      <w:rPr>
        <w:rFonts w:eastAsiaTheme="minorEastAsia"/>
        <w:szCs w:val="18"/>
        <w:lang w:val="en-GB"/>
      </w:rPr>
    </w:pPr>
    <w:r>
      <w:rPr>
        <w:szCs w:val="18"/>
      </w:rPr>
      <w:t>IPBES/8/INF</w:t>
    </w:r>
    <w:r w:rsidRPr="000D62F6">
      <w:rPr>
        <w:szCs w:val="18"/>
      </w:rPr>
      <w:t>/</w:t>
    </w:r>
    <w:r w:rsidRPr="00774CAC">
      <w:rPr>
        <w:szCs w:val="18"/>
      </w:rPr>
      <w:t>1</w:t>
    </w:r>
    <w:r>
      <w:rPr>
        <w:szCs w:val="18"/>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AA5B" w14:textId="187F0E8C" w:rsidR="008D2C27" w:rsidRPr="009D0F8D" w:rsidRDefault="009D0F8D" w:rsidP="009D0F8D">
    <w:pPr>
      <w:pStyle w:val="Header"/>
      <w:tabs>
        <w:tab w:val="left" w:pos="624"/>
      </w:tabs>
      <w:jc w:val="right"/>
      <w:rPr>
        <w:rFonts w:eastAsiaTheme="minorEastAsia"/>
        <w:szCs w:val="18"/>
        <w:lang w:val="en-GB"/>
      </w:rPr>
    </w:pPr>
    <w:r>
      <w:rPr>
        <w:szCs w:val="18"/>
      </w:rPr>
      <w:t>IPBES/8/INF</w:t>
    </w:r>
    <w:r w:rsidRPr="000D62F6">
      <w:rPr>
        <w:szCs w:val="18"/>
      </w:rPr>
      <w:t>/</w:t>
    </w:r>
    <w:r w:rsidRPr="00774CAC">
      <w:rPr>
        <w:szCs w:val="18"/>
      </w:rPr>
      <w:t>1</w:t>
    </w:r>
    <w:r>
      <w:rPr>
        <w:szCs w:val="18"/>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59F9" w14:textId="77777777" w:rsidR="006813ED" w:rsidRPr="009D0F8D" w:rsidRDefault="006813ED" w:rsidP="006813ED">
    <w:pPr>
      <w:pStyle w:val="Header"/>
      <w:tabs>
        <w:tab w:val="left" w:pos="624"/>
      </w:tabs>
      <w:rPr>
        <w:rFonts w:eastAsiaTheme="minorEastAsia"/>
        <w:szCs w:val="18"/>
        <w:lang w:val="en-GB"/>
      </w:rPr>
    </w:pPr>
    <w:r>
      <w:rPr>
        <w:szCs w:val="18"/>
      </w:rPr>
      <w:t>IPBES/8/INF</w:t>
    </w:r>
    <w:r w:rsidRPr="000D62F6">
      <w:rPr>
        <w:szCs w:val="18"/>
      </w:rPr>
      <w:t>/</w:t>
    </w:r>
    <w:r w:rsidRPr="00774CAC">
      <w:rPr>
        <w:szCs w:val="18"/>
      </w:rPr>
      <w:t>1</w:t>
    </w:r>
    <w:r>
      <w:rPr>
        <w:szCs w:val="18"/>
      </w:rPr>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1361" w14:textId="6BB23045" w:rsidR="00700AD7" w:rsidRPr="006813ED" w:rsidRDefault="006813ED" w:rsidP="006813ED">
    <w:pPr>
      <w:pStyle w:val="Header"/>
      <w:tabs>
        <w:tab w:val="left" w:pos="624"/>
      </w:tabs>
      <w:jc w:val="right"/>
      <w:rPr>
        <w:rFonts w:eastAsiaTheme="minorEastAsia"/>
        <w:szCs w:val="18"/>
        <w:lang w:val="en-GB"/>
      </w:rPr>
    </w:pPr>
    <w:r>
      <w:rPr>
        <w:szCs w:val="18"/>
      </w:rPr>
      <w:t>IPBES/8/INF</w:t>
    </w:r>
    <w:r w:rsidRPr="000D62F6">
      <w:rPr>
        <w:szCs w:val="18"/>
      </w:rPr>
      <w:t>/</w:t>
    </w:r>
    <w:r w:rsidRPr="00774CAC">
      <w:rPr>
        <w:szCs w:val="18"/>
      </w:rPr>
      <w:t>1</w:t>
    </w:r>
    <w:r>
      <w:rPr>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37414"/>
    <w:multiLevelType w:val="multilevel"/>
    <w:tmpl w:val="D694A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2A60343"/>
    <w:multiLevelType w:val="hybridMultilevel"/>
    <w:tmpl w:val="AA8C3D7A"/>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9A11A62"/>
    <w:multiLevelType w:val="hybridMultilevel"/>
    <w:tmpl w:val="B788589C"/>
    <w:lvl w:ilvl="0" w:tplc="04130001">
      <w:start w:val="1"/>
      <w:numFmt w:val="bullet"/>
      <w:lvlText w:val=""/>
      <w:lvlJc w:val="left"/>
      <w:pPr>
        <w:ind w:left="1608" w:hanging="360"/>
      </w:pPr>
      <w:rPr>
        <w:rFonts w:ascii="Symbol" w:hAnsi="Symbol" w:hint="default"/>
      </w:rPr>
    </w:lvl>
    <w:lvl w:ilvl="1" w:tplc="04130003" w:tentative="1">
      <w:start w:val="1"/>
      <w:numFmt w:val="bullet"/>
      <w:lvlText w:val="o"/>
      <w:lvlJc w:val="left"/>
      <w:pPr>
        <w:ind w:left="2328" w:hanging="360"/>
      </w:pPr>
      <w:rPr>
        <w:rFonts w:ascii="Courier New" w:hAnsi="Courier New" w:cs="Courier New" w:hint="default"/>
      </w:rPr>
    </w:lvl>
    <w:lvl w:ilvl="2" w:tplc="04130005" w:tentative="1">
      <w:start w:val="1"/>
      <w:numFmt w:val="bullet"/>
      <w:lvlText w:val=""/>
      <w:lvlJc w:val="left"/>
      <w:pPr>
        <w:ind w:left="3048" w:hanging="360"/>
      </w:pPr>
      <w:rPr>
        <w:rFonts w:ascii="Wingdings" w:hAnsi="Wingdings" w:hint="default"/>
      </w:rPr>
    </w:lvl>
    <w:lvl w:ilvl="3" w:tplc="04130001" w:tentative="1">
      <w:start w:val="1"/>
      <w:numFmt w:val="bullet"/>
      <w:lvlText w:val=""/>
      <w:lvlJc w:val="left"/>
      <w:pPr>
        <w:ind w:left="3768" w:hanging="360"/>
      </w:pPr>
      <w:rPr>
        <w:rFonts w:ascii="Symbol" w:hAnsi="Symbol" w:hint="default"/>
      </w:rPr>
    </w:lvl>
    <w:lvl w:ilvl="4" w:tplc="04130003" w:tentative="1">
      <w:start w:val="1"/>
      <w:numFmt w:val="bullet"/>
      <w:lvlText w:val="o"/>
      <w:lvlJc w:val="left"/>
      <w:pPr>
        <w:ind w:left="4488" w:hanging="360"/>
      </w:pPr>
      <w:rPr>
        <w:rFonts w:ascii="Courier New" w:hAnsi="Courier New" w:cs="Courier New" w:hint="default"/>
      </w:rPr>
    </w:lvl>
    <w:lvl w:ilvl="5" w:tplc="04130005" w:tentative="1">
      <w:start w:val="1"/>
      <w:numFmt w:val="bullet"/>
      <w:lvlText w:val=""/>
      <w:lvlJc w:val="left"/>
      <w:pPr>
        <w:ind w:left="5208" w:hanging="360"/>
      </w:pPr>
      <w:rPr>
        <w:rFonts w:ascii="Wingdings" w:hAnsi="Wingdings" w:hint="default"/>
      </w:rPr>
    </w:lvl>
    <w:lvl w:ilvl="6" w:tplc="04130001" w:tentative="1">
      <w:start w:val="1"/>
      <w:numFmt w:val="bullet"/>
      <w:lvlText w:val=""/>
      <w:lvlJc w:val="left"/>
      <w:pPr>
        <w:ind w:left="5928" w:hanging="360"/>
      </w:pPr>
      <w:rPr>
        <w:rFonts w:ascii="Symbol" w:hAnsi="Symbol" w:hint="default"/>
      </w:rPr>
    </w:lvl>
    <w:lvl w:ilvl="7" w:tplc="04130003" w:tentative="1">
      <w:start w:val="1"/>
      <w:numFmt w:val="bullet"/>
      <w:lvlText w:val="o"/>
      <w:lvlJc w:val="left"/>
      <w:pPr>
        <w:ind w:left="6648" w:hanging="360"/>
      </w:pPr>
      <w:rPr>
        <w:rFonts w:ascii="Courier New" w:hAnsi="Courier New" w:cs="Courier New" w:hint="default"/>
      </w:rPr>
    </w:lvl>
    <w:lvl w:ilvl="8" w:tplc="04130005" w:tentative="1">
      <w:start w:val="1"/>
      <w:numFmt w:val="bullet"/>
      <w:lvlText w:val=""/>
      <w:lvlJc w:val="left"/>
      <w:pPr>
        <w:ind w:left="7368" w:hanging="360"/>
      </w:pPr>
      <w:rPr>
        <w:rFonts w:ascii="Wingdings" w:hAnsi="Wingdings" w:hint="default"/>
      </w:rPr>
    </w:lvl>
  </w:abstractNum>
  <w:abstractNum w:abstractNumId="5" w15:restartNumberingAfterBreak="0">
    <w:nsid w:val="3C3912D5"/>
    <w:multiLevelType w:val="multilevel"/>
    <w:tmpl w:val="940C265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2291BF8"/>
    <w:multiLevelType w:val="multilevel"/>
    <w:tmpl w:val="D07A6E4C"/>
    <w:styleLink w:val="Normallist1"/>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717F6DBE"/>
    <w:multiLevelType w:val="multilevel"/>
    <w:tmpl w:val="D694A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3"/>
  </w:num>
  <w:num w:numId="4">
    <w:abstractNumId w:val="6"/>
  </w:num>
  <w:num w:numId="5">
    <w:abstractNumId w:val="6"/>
    <w:lvlOverride w:ilvl="0">
      <w:lvl w:ilvl="0">
        <w:start w:val="1"/>
        <w:numFmt w:val="decimal"/>
        <w:pStyle w:val="Normalnumber"/>
        <w:lvlText w:val="%1."/>
        <w:lvlJc w:val="left"/>
        <w:pPr>
          <w:tabs>
            <w:tab w:val="num" w:pos="1134"/>
          </w:tabs>
          <w:ind w:left="1247" w:firstLine="0"/>
        </w:pPr>
        <w:rPr>
          <w:rFonts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04"/>
    <w:rsid w:val="00005A2E"/>
    <w:rsid w:val="000149E6"/>
    <w:rsid w:val="000247B0"/>
    <w:rsid w:val="00026997"/>
    <w:rsid w:val="00033E0B"/>
    <w:rsid w:val="00035EDE"/>
    <w:rsid w:val="0004312D"/>
    <w:rsid w:val="00047774"/>
    <w:rsid w:val="000509A3"/>
    <w:rsid w:val="000509B4"/>
    <w:rsid w:val="0006035B"/>
    <w:rsid w:val="0007104C"/>
    <w:rsid w:val="00071886"/>
    <w:rsid w:val="000742BC"/>
    <w:rsid w:val="00082A0C"/>
    <w:rsid w:val="00083504"/>
    <w:rsid w:val="0009640C"/>
    <w:rsid w:val="000A7790"/>
    <w:rsid w:val="000B22A2"/>
    <w:rsid w:val="000C2A52"/>
    <w:rsid w:val="000D33C0"/>
    <w:rsid w:val="000D6941"/>
    <w:rsid w:val="001202E3"/>
    <w:rsid w:val="00123699"/>
    <w:rsid w:val="0013059D"/>
    <w:rsid w:val="00141A55"/>
    <w:rsid w:val="001446A3"/>
    <w:rsid w:val="00155395"/>
    <w:rsid w:val="00160D74"/>
    <w:rsid w:val="00167D02"/>
    <w:rsid w:val="00181EC8"/>
    <w:rsid w:val="00184349"/>
    <w:rsid w:val="00195F33"/>
    <w:rsid w:val="001B1617"/>
    <w:rsid w:val="001B504B"/>
    <w:rsid w:val="001D3874"/>
    <w:rsid w:val="001D7E75"/>
    <w:rsid w:val="001E56D2"/>
    <w:rsid w:val="001E7D56"/>
    <w:rsid w:val="001F75DE"/>
    <w:rsid w:val="00200D58"/>
    <w:rsid w:val="002013BE"/>
    <w:rsid w:val="002063A4"/>
    <w:rsid w:val="0021145B"/>
    <w:rsid w:val="00237C90"/>
    <w:rsid w:val="00243D36"/>
    <w:rsid w:val="00247707"/>
    <w:rsid w:val="0026018E"/>
    <w:rsid w:val="00262B89"/>
    <w:rsid w:val="00263B34"/>
    <w:rsid w:val="00286740"/>
    <w:rsid w:val="002929D8"/>
    <w:rsid w:val="002A237D"/>
    <w:rsid w:val="002A4C53"/>
    <w:rsid w:val="002B0672"/>
    <w:rsid w:val="002B247F"/>
    <w:rsid w:val="002B4384"/>
    <w:rsid w:val="002C145D"/>
    <w:rsid w:val="002C1B46"/>
    <w:rsid w:val="002C2C3E"/>
    <w:rsid w:val="002C533E"/>
    <w:rsid w:val="002D027F"/>
    <w:rsid w:val="002D7A85"/>
    <w:rsid w:val="002D7B60"/>
    <w:rsid w:val="002F4761"/>
    <w:rsid w:val="002F5C79"/>
    <w:rsid w:val="003019E2"/>
    <w:rsid w:val="0031413F"/>
    <w:rsid w:val="003148BB"/>
    <w:rsid w:val="00317976"/>
    <w:rsid w:val="00355EA9"/>
    <w:rsid w:val="003578DE"/>
    <w:rsid w:val="003814DA"/>
    <w:rsid w:val="0039121C"/>
    <w:rsid w:val="00396257"/>
    <w:rsid w:val="00397EB8"/>
    <w:rsid w:val="003A4FD0"/>
    <w:rsid w:val="003A69D1"/>
    <w:rsid w:val="003A7705"/>
    <w:rsid w:val="003A77F1"/>
    <w:rsid w:val="003B1545"/>
    <w:rsid w:val="003B40F8"/>
    <w:rsid w:val="003C409D"/>
    <w:rsid w:val="003C5BA6"/>
    <w:rsid w:val="003F0E85"/>
    <w:rsid w:val="00410C55"/>
    <w:rsid w:val="00416854"/>
    <w:rsid w:val="00417725"/>
    <w:rsid w:val="00427F78"/>
    <w:rsid w:val="00437F26"/>
    <w:rsid w:val="00444037"/>
    <w:rsid w:val="00444097"/>
    <w:rsid w:val="00445487"/>
    <w:rsid w:val="00454769"/>
    <w:rsid w:val="00466991"/>
    <w:rsid w:val="0047064C"/>
    <w:rsid w:val="004A42E1"/>
    <w:rsid w:val="004B162C"/>
    <w:rsid w:val="004C3DBE"/>
    <w:rsid w:val="004C5C96"/>
    <w:rsid w:val="004C6732"/>
    <w:rsid w:val="004D06A4"/>
    <w:rsid w:val="004F1A81"/>
    <w:rsid w:val="005017D4"/>
    <w:rsid w:val="005218D9"/>
    <w:rsid w:val="00536186"/>
    <w:rsid w:val="00544CBB"/>
    <w:rsid w:val="00564D85"/>
    <w:rsid w:val="0057315F"/>
    <w:rsid w:val="00576104"/>
    <w:rsid w:val="005C67C8"/>
    <w:rsid w:val="005C7D1E"/>
    <w:rsid w:val="005D0249"/>
    <w:rsid w:val="005D6E8C"/>
    <w:rsid w:val="005F100C"/>
    <w:rsid w:val="005F68DA"/>
    <w:rsid w:val="0060773B"/>
    <w:rsid w:val="006157B5"/>
    <w:rsid w:val="00626FC6"/>
    <w:rsid w:val="006303B4"/>
    <w:rsid w:val="00633D3D"/>
    <w:rsid w:val="00641703"/>
    <w:rsid w:val="006431A6"/>
    <w:rsid w:val="00644632"/>
    <w:rsid w:val="006459F6"/>
    <w:rsid w:val="006501AD"/>
    <w:rsid w:val="00651BFA"/>
    <w:rsid w:val="00654475"/>
    <w:rsid w:val="00665A4B"/>
    <w:rsid w:val="006813ED"/>
    <w:rsid w:val="00692E2A"/>
    <w:rsid w:val="006A7042"/>
    <w:rsid w:val="006A76F2"/>
    <w:rsid w:val="006D7EFB"/>
    <w:rsid w:val="006E6672"/>
    <w:rsid w:val="006E6722"/>
    <w:rsid w:val="006F431C"/>
    <w:rsid w:val="00700AD7"/>
    <w:rsid w:val="007027B9"/>
    <w:rsid w:val="0070758E"/>
    <w:rsid w:val="00715E88"/>
    <w:rsid w:val="00734CAA"/>
    <w:rsid w:val="00747A94"/>
    <w:rsid w:val="0075533C"/>
    <w:rsid w:val="00757581"/>
    <w:rsid w:val="007611A0"/>
    <w:rsid w:val="00761E49"/>
    <w:rsid w:val="00777292"/>
    <w:rsid w:val="00796D3F"/>
    <w:rsid w:val="007A1683"/>
    <w:rsid w:val="007A5C12"/>
    <w:rsid w:val="007A7CB0"/>
    <w:rsid w:val="007B68A3"/>
    <w:rsid w:val="007C2541"/>
    <w:rsid w:val="007D1E93"/>
    <w:rsid w:val="007D66A8"/>
    <w:rsid w:val="007E003F"/>
    <w:rsid w:val="008164F2"/>
    <w:rsid w:val="00821395"/>
    <w:rsid w:val="00830E26"/>
    <w:rsid w:val="00843576"/>
    <w:rsid w:val="00843B64"/>
    <w:rsid w:val="008478FC"/>
    <w:rsid w:val="0085268C"/>
    <w:rsid w:val="00867BFF"/>
    <w:rsid w:val="0088480A"/>
    <w:rsid w:val="0088757A"/>
    <w:rsid w:val="008901EA"/>
    <w:rsid w:val="00894338"/>
    <w:rsid w:val="008957DD"/>
    <w:rsid w:val="00897D98"/>
    <w:rsid w:val="008A6DF2"/>
    <w:rsid w:val="008A7807"/>
    <w:rsid w:val="008B4CC9"/>
    <w:rsid w:val="008B55F8"/>
    <w:rsid w:val="008D2C27"/>
    <w:rsid w:val="008D7C99"/>
    <w:rsid w:val="008E0FCB"/>
    <w:rsid w:val="0092178C"/>
    <w:rsid w:val="00930B88"/>
    <w:rsid w:val="00940DCC"/>
    <w:rsid w:val="0094179A"/>
    <w:rsid w:val="0094459E"/>
    <w:rsid w:val="00944DBC"/>
    <w:rsid w:val="00950977"/>
    <w:rsid w:val="00951A7B"/>
    <w:rsid w:val="009564A6"/>
    <w:rsid w:val="00960A0C"/>
    <w:rsid w:val="00967621"/>
    <w:rsid w:val="00967E6A"/>
    <w:rsid w:val="009B3649"/>
    <w:rsid w:val="009B4A0F"/>
    <w:rsid w:val="009C11D2"/>
    <w:rsid w:val="009C6C70"/>
    <w:rsid w:val="009D0B63"/>
    <w:rsid w:val="009D0F8D"/>
    <w:rsid w:val="009D1637"/>
    <w:rsid w:val="009E307E"/>
    <w:rsid w:val="009E4D3C"/>
    <w:rsid w:val="009F4251"/>
    <w:rsid w:val="00A07870"/>
    <w:rsid w:val="00A07F19"/>
    <w:rsid w:val="00A1348D"/>
    <w:rsid w:val="00A232EE"/>
    <w:rsid w:val="00A4175F"/>
    <w:rsid w:val="00A44411"/>
    <w:rsid w:val="00A469FA"/>
    <w:rsid w:val="00A54604"/>
    <w:rsid w:val="00A55B01"/>
    <w:rsid w:val="00A56B5B"/>
    <w:rsid w:val="00A603FF"/>
    <w:rsid w:val="00A657DD"/>
    <w:rsid w:val="00A666A6"/>
    <w:rsid w:val="00A675FD"/>
    <w:rsid w:val="00A72437"/>
    <w:rsid w:val="00A741CF"/>
    <w:rsid w:val="00A80611"/>
    <w:rsid w:val="00AA7FA6"/>
    <w:rsid w:val="00AB5340"/>
    <w:rsid w:val="00AC0A89"/>
    <w:rsid w:val="00AC7C96"/>
    <w:rsid w:val="00AD5B1F"/>
    <w:rsid w:val="00AE237D"/>
    <w:rsid w:val="00AE40F2"/>
    <w:rsid w:val="00AE502A"/>
    <w:rsid w:val="00AF62FD"/>
    <w:rsid w:val="00AF7C07"/>
    <w:rsid w:val="00B059A3"/>
    <w:rsid w:val="00B22C93"/>
    <w:rsid w:val="00B27589"/>
    <w:rsid w:val="00B405B7"/>
    <w:rsid w:val="00B52222"/>
    <w:rsid w:val="00B54FE7"/>
    <w:rsid w:val="00B5572C"/>
    <w:rsid w:val="00B61F7F"/>
    <w:rsid w:val="00B66901"/>
    <w:rsid w:val="00B71E6D"/>
    <w:rsid w:val="00B72070"/>
    <w:rsid w:val="00B779E1"/>
    <w:rsid w:val="00B91EE1"/>
    <w:rsid w:val="00BA0090"/>
    <w:rsid w:val="00BA1A67"/>
    <w:rsid w:val="00BE5B5F"/>
    <w:rsid w:val="00C02176"/>
    <w:rsid w:val="00C26F55"/>
    <w:rsid w:val="00C30C63"/>
    <w:rsid w:val="00C36B8B"/>
    <w:rsid w:val="00C415C1"/>
    <w:rsid w:val="00C47DBF"/>
    <w:rsid w:val="00C552FF"/>
    <w:rsid w:val="00C558DA"/>
    <w:rsid w:val="00C55AF3"/>
    <w:rsid w:val="00C67156"/>
    <w:rsid w:val="00C84759"/>
    <w:rsid w:val="00C919EA"/>
    <w:rsid w:val="00CA5200"/>
    <w:rsid w:val="00CA6C7F"/>
    <w:rsid w:val="00CC1038"/>
    <w:rsid w:val="00CC10A6"/>
    <w:rsid w:val="00CD27E4"/>
    <w:rsid w:val="00CD4302"/>
    <w:rsid w:val="00CD5EB8"/>
    <w:rsid w:val="00CD7044"/>
    <w:rsid w:val="00CE08B9"/>
    <w:rsid w:val="00CE524C"/>
    <w:rsid w:val="00CF141F"/>
    <w:rsid w:val="00CF4777"/>
    <w:rsid w:val="00D067BB"/>
    <w:rsid w:val="00D1352A"/>
    <w:rsid w:val="00D169AF"/>
    <w:rsid w:val="00D231FD"/>
    <w:rsid w:val="00D25249"/>
    <w:rsid w:val="00D44172"/>
    <w:rsid w:val="00D63B8C"/>
    <w:rsid w:val="00D643B2"/>
    <w:rsid w:val="00D739CC"/>
    <w:rsid w:val="00D8093D"/>
    <w:rsid w:val="00D8108C"/>
    <w:rsid w:val="00D842AE"/>
    <w:rsid w:val="00D9211C"/>
    <w:rsid w:val="00D92DE0"/>
    <w:rsid w:val="00D92FEF"/>
    <w:rsid w:val="00D93A0F"/>
    <w:rsid w:val="00DA1BCA"/>
    <w:rsid w:val="00DC46FF"/>
    <w:rsid w:val="00DC5254"/>
    <w:rsid w:val="00DD1A4F"/>
    <w:rsid w:val="00DD3107"/>
    <w:rsid w:val="00DD7C2C"/>
    <w:rsid w:val="00E06797"/>
    <w:rsid w:val="00E07236"/>
    <w:rsid w:val="00E1265B"/>
    <w:rsid w:val="00E13B48"/>
    <w:rsid w:val="00E1404F"/>
    <w:rsid w:val="00E21C83"/>
    <w:rsid w:val="00E22DE8"/>
    <w:rsid w:val="00E24ADA"/>
    <w:rsid w:val="00E32F59"/>
    <w:rsid w:val="00E46D9A"/>
    <w:rsid w:val="00E55825"/>
    <w:rsid w:val="00E565FF"/>
    <w:rsid w:val="00E65388"/>
    <w:rsid w:val="00E75F0C"/>
    <w:rsid w:val="00E85B7D"/>
    <w:rsid w:val="00E9121B"/>
    <w:rsid w:val="00E96390"/>
    <w:rsid w:val="00EA0AE2"/>
    <w:rsid w:val="00EA39E5"/>
    <w:rsid w:val="00EB473F"/>
    <w:rsid w:val="00EC48B1"/>
    <w:rsid w:val="00EC5A46"/>
    <w:rsid w:val="00EC63E2"/>
    <w:rsid w:val="00EC75AD"/>
    <w:rsid w:val="00ED3CD2"/>
    <w:rsid w:val="00EF22B3"/>
    <w:rsid w:val="00F03B69"/>
    <w:rsid w:val="00F07A50"/>
    <w:rsid w:val="00F113DA"/>
    <w:rsid w:val="00F37DC8"/>
    <w:rsid w:val="00F439B3"/>
    <w:rsid w:val="00F46532"/>
    <w:rsid w:val="00F47B71"/>
    <w:rsid w:val="00F650C3"/>
    <w:rsid w:val="00F65D85"/>
    <w:rsid w:val="00F8091E"/>
    <w:rsid w:val="00F8615C"/>
    <w:rsid w:val="00F969E5"/>
    <w:rsid w:val="00FA6BB0"/>
    <w:rsid w:val="00FD4B11"/>
    <w:rsid w:val="00FD5860"/>
    <w:rsid w:val="00FE352D"/>
    <w:rsid w:val="00FE40EB"/>
    <w:rsid w:val="00FE4D02"/>
    <w:rsid w:val="00FE7D62"/>
    <w:rsid w:val="00FF25CE"/>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qFormat/>
    <w:rsid w:val="004C6732"/>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2C1B46"/>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C1B46"/>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4C6732"/>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C1B46"/>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5017D4"/>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qFormat/>
    <w:rsid w:val="005017D4"/>
    <w:pPr>
      <w:tabs>
        <w:tab w:val="left" w:pos="624"/>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uiPriority w:val="99"/>
    <w:qFormat/>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paragraph" w:styleId="BalloonText">
    <w:name w:val="Balloon Text"/>
    <w:basedOn w:val="Normal"/>
    <w:link w:val="BalloonTextChar"/>
    <w:rsid w:val="00A54604"/>
    <w:rPr>
      <w:rFonts w:ascii="Segoe UI" w:hAnsi="Segoe UI" w:cs="Segoe UI"/>
      <w:sz w:val="18"/>
      <w:szCs w:val="18"/>
    </w:rPr>
  </w:style>
  <w:style w:type="character" w:customStyle="1" w:styleId="BalloonTextChar">
    <w:name w:val="Balloon Text Char"/>
    <w:basedOn w:val="DefaultParagraphFont"/>
    <w:link w:val="BalloonText"/>
    <w:rsid w:val="00A54604"/>
    <w:rPr>
      <w:rFonts w:ascii="Segoe UI" w:hAnsi="Segoe UI" w:cs="Segoe UI"/>
      <w:sz w:val="18"/>
      <w:szCs w:val="18"/>
      <w:lang w:val="fr-FR" w:eastAsia="en-US"/>
    </w:rPr>
  </w:style>
  <w:style w:type="character" w:customStyle="1" w:styleId="Normal-poolChar">
    <w:name w:val="Normal-pool Char"/>
    <w:link w:val="Normal-pool"/>
    <w:rsid w:val="005017D4"/>
    <w:rPr>
      <w:lang w:eastAsia="en-US"/>
    </w:rPr>
  </w:style>
  <w:style w:type="table" w:styleId="TableGrid">
    <w:name w:val="Table Grid"/>
    <w:basedOn w:val="TableNormal"/>
    <w:uiPriority w:val="5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017D4"/>
    <w:pPr>
      <w:keepNext/>
      <w:keepLines/>
      <w:tabs>
        <w:tab w:val="left" w:pos="624"/>
      </w:tabs>
      <w:suppressAutoHyphens/>
      <w:ind w:right="5103"/>
    </w:pPr>
    <w:rPr>
      <w:b/>
      <w:lang w:eastAsia="en-US"/>
    </w:rPr>
  </w:style>
  <w:style w:type="paragraph" w:customStyle="1" w:styleId="AATitle2">
    <w:name w:val="AA_Title2"/>
    <w:rsid w:val="00B61F7F"/>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4"/>
      </w:numPr>
    </w:pPr>
  </w:style>
  <w:style w:type="paragraph" w:customStyle="1" w:styleId="NormalNonumber">
    <w:name w:val="Normal_No_number"/>
    <w:rsid w:val="002C1B46"/>
    <w:pPr>
      <w:tabs>
        <w:tab w:val="left" w:pos="624"/>
      </w:tabs>
      <w:spacing w:after="120"/>
      <w:ind w:left="1247"/>
    </w:pPr>
    <w:rPr>
      <w:lang w:eastAsia="en-US"/>
    </w:rPr>
  </w:style>
  <w:style w:type="paragraph" w:customStyle="1" w:styleId="Normalnumber">
    <w:name w:val="Normal_number"/>
    <w:link w:val="NormalnumberChar"/>
    <w:uiPriority w:val="99"/>
    <w:qFormat/>
    <w:rsid w:val="005017D4"/>
    <w:pPr>
      <w:numPr>
        <w:numId w:val="5"/>
      </w:numPr>
      <w:tabs>
        <w:tab w:val="left" w:pos="624"/>
      </w:tabs>
      <w:spacing w:after="120"/>
    </w:pPr>
    <w:rPr>
      <w:lang w:eastAsia="en-US"/>
    </w:rPr>
  </w:style>
  <w:style w:type="paragraph" w:customStyle="1" w:styleId="Titletable">
    <w:name w:val="Title_table"/>
    <w:rsid w:val="005017D4"/>
    <w:pPr>
      <w:keepNext/>
      <w:keepLines/>
      <w:tabs>
        <w:tab w:val="left" w:pos="624"/>
      </w:tabs>
      <w:suppressAutoHyphens/>
      <w:spacing w:after="60"/>
      <w:ind w:left="1247"/>
    </w:pPr>
    <w:rPr>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numbering" w:customStyle="1" w:styleId="NoList1">
    <w:name w:val="No List1"/>
    <w:next w:val="NoList"/>
    <w:uiPriority w:val="99"/>
    <w:semiHidden/>
    <w:unhideWhenUsed/>
    <w:rsid w:val="009D0F8D"/>
  </w:style>
  <w:style w:type="numbering" w:customStyle="1" w:styleId="Normallist1">
    <w:name w:val="Normal_list1"/>
    <w:basedOn w:val="NoList"/>
    <w:rsid w:val="009D0F8D"/>
    <w:pPr>
      <w:numPr>
        <w:numId w:val="1"/>
      </w:numPr>
    </w:pPr>
  </w:style>
  <w:style w:type="character" w:styleId="CommentReference">
    <w:name w:val="annotation reference"/>
    <w:basedOn w:val="DefaultParagraphFont"/>
    <w:uiPriority w:val="99"/>
    <w:rsid w:val="009D0F8D"/>
    <w:rPr>
      <w:sz w:val="16"/>
      <w:szCs w:val="16"/>
    </w:rPr>
  </w:style>
  <w:style w:type="paragraph" w:styleId="CommentText">
    <w:name w:val="annotation text"/>
    <w:basedOn w:val="Normal"/>
    <w:link w:val="CommentTextChar"/>
    <w:uiPriority w:val="99"/>
    <w:rsid w:val="009D0F8D"/>
    <w:pPr>
      <w:tabs>
        <w:tab w:val="clear" w:pos="1247"/>
        <w:tab w:val="clear" w:pos="1814"/>
        <w:tab w:val="clear" w:pos="2381"/>
        <w:tab w:val="clear" w:pos="2948"/>
        <w:tab w:val="clear" w:pos="3515"/>
      </w:tabs>
      <w:spacing w:after="200"/>
    </w:pPr>
    <w:rPr>
      <w:rFonts w:ascii="Calibri" w:eastAsia="MS Mincho" w:hAnsi="Calibri"/>
      <w:lang w:val="en-US"/>
    </w:rPr>
  </w:style>
  <w:style w:type="character" w:customStyle="1" w:styleId="CommentTextChar">
    <w:name w:val="Comment Text Char"/>
    <w:basedOn w:val="DefaultParagraphFont"/>
    <w:link w:val="CommentText"/>
    <w:uiPriority w:val="99"/>
    <w:rsid w:val="009D0F8D"/>
    <w:rPr>
      <w:rFonts w:ascii="Calibri" w:eastAsia="MS Mincho" w:hAnsi="Calibri"/>
      <w:lang w:val="en-US" w:eastAsia="en-US"/>
    </w:rPr>
  </w:style>
  <w:style w:type="paragraph" w:styleId="CommentSubject">
    <w:name w:val="annotation subject"/>
    <w:basedOn w:val="CommentText"/>
    <w:next w:val="CommentText"/>
    <w:link w:val="CommentSubjectChar"/>
    <w:rsid w:val="009D0F8D"/>
    <w:rPr>
      <w:b/>
      <w:bCs/>
    </w:rPr>
  </w:style>
  <w:style w:type="character" w:customStyle="1" w:styleId="CommentSubjectChar">
    <w:name w:val="Comment Subject Char"/>
    <w:basedOn w:val="CommentTextChar"/>
    <w:link w:val="CommentSubject"/>
    <w:rsid w:val="009D0F8D"/>
    <w:rPr>
      <w:rFonts w:ascii="Calibri" w:eastAsia="MS Mincho" w:hAnsi="Calibri"/>
      <w:b/>
      <w:bCs/>
      <w:lang w:val="en-US" w:eastAsia="en-US"/>
    </w:rPr>
  </w:style>
  <w:style w:type="character" w:customStyle="1" w:styleId="NormalnumberChar">
    <w:name w:val="Normal_number Char"/>
    <w:link w:val="Normalnumber"/>
    <w:uiPriority w:val="99"/>
    <w:locked/>
    <w:rsid w:val="009D0F8D"/>
    <w:rPr>
      <w:lang w:eastAsia="en-US"/>
    </w:rPr>
  </w:style>
  <w:style w:type="character" w:customStyle="1" w:styleId="FootnoteTextChar">
    <w:name w:val="Footnote Text Char"/>
    <w:basedOn w:val="DefaultParagraphFont"/>
    <w:link w:val="FootnoteText"/>
    <w:uiPriority w:val="99"/>
    <w:semiHidden/>
    <w:rsid w:val="009D0F8D"/>
    <w:rPr>
      <w:sz w:val="18"/>
      <w:lang w:val="fr-FR" w:eastAsia="en-US"/>
    </w:rPr>
  </w:style>
  <w:style w:type="character" w:customStyle="1" w:styleId="CH2Char">
    <w:name w:val="CH2 Char"/>
    <w:link w:val="CH2"/>
    <w:locked/>
    <w:rsid w:val="009D0F8D"/>
    <w:rPr>
      <w:b/>
      <w:sz w:val="24"/>
      <w:szCs w:val="24"/>
      <w:lang w:eastAsia="en-US"/>
    </w:rPr>
  </w:style>
  <w:style w:type="table" w:customStyle="1" w:styleId="TableGrid1">
    <w:name w:val="Table Grid1"/>
    <w:basedOn w:val="TableNormal"/>
    <w:next w:val="TableGrid"/>
    <w:uiPriority w:val="59"/>
    <w:rsid w:val="009D0F8D"/>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D0F8D"/>
    <w:pPr>
      <w:keepNext/>
      <w:keepLines/>
      <w:suppressAutoHyphens/>
      <w:spacing w:before="320" w:after="240"/>
      <w:ind w:left="1247" w:right="567"/>
    </w:pPr>
    <w:rPr>
      <w:b/>
      <w:sz w:val="28"/>
      <w:szCs w:val="28"/>
      <w:lang w:val="en-US"/>
    </w:rPr>
  </w:style>
  <w:style w:type="character" w:customStyle="1" w:styleId="TitleChar">
    <w:name w:val="Title Char"/>
    <w:basedOn w:val="DefaultParagraphFont"/>
    <w:link w:val="Title"/>
    <w:rsid w:val="009D0F8D"/>
    <w:rPr>
      <w:b/>
      <w:sz w:val="28"/>
      <w:szCs w:val="28"/>
      <w:lang w:val="en-US" w:eastAsia="en-US"/>
    </w:rPr>
  </w:style>
  <w:style w:type="character" w:customStyle="1" w:styleId="UnresolvedMention1">
    <w:name w:val="Unresolved Mention1"/>
    <w:basedOn w:val="DefaultParagraphFont"/>
    <w:uiPriority w:val="99"/>
    <w:semiHidden/>
    <w:unhideWhenUsed/>
    <w:rsid w:val="009D0F8D"/>
    <w:rPr>
      <w:color w:val="808080"/>
      <w:shd w:val="clear" w:color="auto" w:fill="E6E6E6"/>
    </w:rPr>
  </w:style>
  <w:style w:type="paragraph" w:customStyle="1" w:styleId="Default">
    <w:name w:val="Default"/>
    <w:rsid w:val="009D0F8D"/>
    <w:pPr>
      <w:autoSpaceDE w:val="0"/>
      <w:autoSpaceDN w:val="0"/>
      <w:adjustRightInd w:val="0"/>
    </w:pPr>
    <w:rPr>
      <w:color w:val="000000"/>
      <w:sz w:val="24"/>
      <w:szCs w:val="24"/>
    </w:rPr>
  </w:style>
  <w:style w:type="character" w:customStyle="1" w:styleId="HeaderChar">
    <w:name w:val="Header Char"/>
    <w:basedOn w:val="DefaultParagraphFont"/>
    <w:link w:val="Header"/>
    <w:uiPriority w:val="99"/>
    <w:semiHidden/>
    <w:rsid w:val="009D0F8D"/>
    <w:rPr>
      <w:b/>
      <w:sz w:val="18"/>
      <w:lang w:val="fr-FR" w:eastAsia="en-US"/>
    </w:rPr>
  </w:style>
  <w:style w:type="numbering" w:customStyle="1" w:styleId="Normallist11">
    <w:name w:val="Normal_list11"/>
    <w:rsid w:val="009D0F8D"/>
  </w:style>
  <w:style w:type="paragraph" w:styleId="ListParagraph">
    <w:name w:val="List Paragraph"/>
    <w:basedOn w:val="Normal"/>
    <w:link w:val="ListParagraphChar"/>
    <w:uiPriority w:val="34"/>
    <w:qFormat/>
    <w:rsid w:val="009D0F8D"/>
    <w:pPr>
      <w:tabs>
        <w:tab w:val="clear" w:pos="1247"/>
        <w:tab w:val="clear" w:pos="1814"/>
        <w:tab w:val="clear" w:pos="2381"/>
        <w:tab w:val="clear" w:pos="2948"/>
        <w:tab w:val="clear" w:pos="3515"/>
      </w:tabs>
      <w:spacing w:after="200" w:line="276" w:lineRule="auto"/>
      <w:ind w:left="720"/>
      <w:contextualSpacing/>
    </w:pPr>
    <w:rPr>
      <w:rFonts w:ascii="Calibri" w:eastAsia="MS Mincho" w:hAnsi="Calibri"/>
      <w:sz w:val="22"/>
      <w:szCs w:val="22"/>
      <w:lang w:val="en-US"/>
    </w:rPr>
  </w:style>
  <w:style w:type="character" w:customStyle="1" w:styleId="ListParagraphChar">
    <w:name w:val="List Paragraph Char"/>
    <w:basedOn w:val="DefaultParagraphFont"/>
    <w:link w:val="ListParagraph"/>
    <w:uiPriority w:val="34"/>
    <w:locked/>
    <w:rsid w:val="009D0F8D"/>
    <w:rPr>
      <w:rFonts w:ascii="Calibri" w:eastAsia="MS Mincho" w:hAnsi="Calibri"/>
      <w:sz w:val="22"/>
      <w:szCs w:val="22"/>
      <w:lang w:val="en-US" w:eastAsia="en-US"/>
    </w:rPr>
  </w:style>
  <w:style w:type="table" w:customStyle="1" w:styleId="TableGrid11">
    <w:name w:val="Table Grid11"/>
    <w:basedOn w:val="TableNormal"/>
    <w:next w:val="TableGrid"/>
    <w:uiPriority w:val="39"/>
    <w:rsid w:val="009D0F8D"/>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0F8D"/>
    <w:rPr>
      <w:rFonts w:ascii="Calibri" w:eastAsia="MS Mincho" w:hAnsi="Calibri"/>
      <w:sz w:val="22"/>
      <w:szCs w:val="22"/>
      <w:lang w:val="en-US" w:eastAsia="en-US"/>
    </w:rPr>
  </w:style>
  <w:style w:type="character" w:customStyle="1" w:styleId="FooterChar">
    <w:name w:val="Footer Char"/>
    <w:basedOn w:val="DefaultParagraphFont"/>
    <w:link w:val="Footer"/>
    <w:uiPriority w:val="99"/>
    <w:rsid w:val="009D0F8D"/>
    <w:rPr>
      <w:sz w:val="18"/>
      <w:lang w:val="fr-FR" w:eastAsia="en-US"/>
    </w:rPr>
  </w:style>
  <w:style w:type="character" w:styleId="UnresolvedMention">
    <w:name w:val="Unresolved Mention"/>
    <w:basedOn w:val="DefaultParagraphFont"/>
    <w:uiPriority w:val="99"/>
    <w:semiHidden/>
    <w:unhideWhenUsed/>
    <w:rsid w:val="009D0F8D"/>
    <w:rPr>
      <w:color w:val="605E5C"/>
      <w:shd w:val="clear" w:color="auto" w:fill="E1DFDD"/>
    </w:rPr>
  </w:style>
  <w:style w:type="table" w:customStyle="1" w:styleId="ListTable6Colorful1">
    <w:name w:val="List Table 6 Colorful1"/>
    <w:basedOn w:val="TableNormal"/>
    <w:next w:val="ListTable6Colorful"/>
    <w:uiPriority w:val="51"/>
    <w:rsid w:val="009D0F8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9D0F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webSettings" Target="webSettings.xml"/><Relationship Id="rId12" Type="http://schemas.openxmlformats.org/officeDocument/2006/relationships/hyperlink" Target="https://www.ipbes.net/sites/default/files/em_2019_09_call_for_nominations_and_tsus_0.pdf"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7.xml"/><Relationship Id="rId30" Type="http://schemas.openxmlformats.org/officeDocument/2006/relationships/header" Target="header9.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pbl.nl/en/publications/workshop-report-global-modelling-of-biodiversity-and-ecosystem-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2021-05-25T09:40:15+00:00</Uploadeddate>
  </documentManagement>
</p:properties>
</file>

<file path=customXml/itemProps1.xml><?xml version="1.0" encoding="utf-8"?>
<ds:datastoreItem xmlns:ds="http://schemas.openxmlformats.org/officeDocument/2006/customXml" ds:itemID="{2E17AEA0-C438-40D1-BA36-37244808E99D}"/>
</file>

<file path=customXml/itemProps2.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3.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5453</Words>
  <Characters>30639</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2010-07-07T11:56:00Z</cp:lastPrinted>
  <dcterms:created xsi:type="dcterms:W3CDTF">2021-05-25T09:40:00Z</dcterms:created>
  <dcterms:modified xsi:type="dcterms:W3CDTF">2021-05-25T09:40:00Z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