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5349"/>
        <w:gridCol w:w="627"/>
        <w:gridCol w:w="1558"/>
      </w:tblGrid>
      <w:tr w:rsidR="00E4228B" w:rsidRPr="00076FE0" w14:paraId="3A620DE5" w14:textId="77777777" w:rsidTr="00140418">
        <w:trPr>
          <w:cantSplit/>
          <w:trHeight w:val="57"/>
          <w:jc w:val="right"/>
        </w:trPr>
        <w:tc>
          <w:tcPr>
            <w:tcW w:w="1489" w:type="dxa"/>
          </w:tcPr>
          <w:p w14:paraId="408F6359" w14:textId="77777777" w:rsidR="00E4228B" w:rsidRPr="00076FE0" w:rsidRDefault="00E4228B" w:rsidP="00140418">
            <w:pPr>
              <w:pStyle w:val="Normal-pool"/>
            </w:pPr>
            <w:r w:rsidRPr="00076FE0">
              <w:rPr>
                <w:rFonts w:ascii="Arial" w:hAnsi="Arial" w:cs="Arial"/>
                <w:b/>
                <w:sz w:val="27"/>
                <w:szCs w:val="27"/>
              </w:rPr>
              <w:t xml:space="preserve">UNITED </w:t>
            </w:r>
            <w:r w:rsidRPr="00076FE0">
              <w:rPr>
                <w:rFonts w:ascii="Arial" w:hAnsi="Arial" w:cs="Arial"/>
                <w:b/>
                <w:sz w:val="27"/>
                <w:szCs w:val="27"/>
              </w:rPr>
              <w:br/>
              <w:t>NATIONS</w:t>
            </w:r>
          </w:p>
        </w:tc>
        <w:tc>
          <w:tcPr>
            <w:tcW w:w="6449" w:type="dxa"/>
            <w:gridSpan w:val="3"/>
          </w:tcPr>
          <w:p w14:paraId="57E32D04" w14:textId="77777777" w:rsidR="00E4228B" w:rsidRPr="00076FE0" w:rsidRDefault="00E4228B" w:rsidP="00140418">
            <w:pPr>
              <w:pStyle w:val="Normal-pool"/>
              <w:spacing w:before="20"/>
              <w:ind w:left="-113"/>
            </w:pPr>
            <w:r w:rsidRPr="00076FE0">
              <w:rPr>
                <w:noProof/>
              </w:rPr>
              <w:drawing>
                <wp:inline distT="0" distB="0" distL="0" distR="0" wp14:anchorId="3B7866FE" wp14:editId="1513FF89">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4142CA92" w14:textId="77777777" w:rsidR="00E4228B" w:rsidRPr="00076FE0" w:rsidRDefault="00E4228B" w:rsidP="00140418">
            <w:pPr>
              <w:pStyle w:val="Normal-pool"/>
              <w:spacing w:after="120"/>
              <w:jc w:val="right"/>
            </w:pPr>
            <w:r w:rsidRPr="00076FE0">
              <w:rPr>
                <w:rFonts w:ascii="Arial" w:hAnsi="Arial" w:cs="Arial"/>
                <w:b/>
                <w:sz w:val="64"/>
                <w:szCs w:val="64"/>
              </w:rPr>
              <w:t>BES</w:t>
            </w:r>
          </w:p>
        </w:tc>
      </w:tr>
      <w:tr w:rsidR="00E4228B" w:rsidRPr="00076FE0" w14:paraId="3B042797" w14:textId="77777777" w:rsidTr="00140418">
        <w:trPr>
          <w:cantSplit/>
          <w:trHeight w:val="57"/>
          <w:jc w:val="right"/>
        </w:trPr>
        <w:tc>
          <w:tcPr>
            <w:tcW w:w="1489" w:type="dxa"/>
            <w:tcBorders>
              <w:bottom w:val="single" w:sz="2" w:space="0" w:color="auto"/>
            </w:tcBorders>
          </w:tcPr>
          <w:p w14:paraId="5EBBCF46" w14:textId="77777777" w:rsidR="00E4228B" w:rsidRPr="00076FE0" w:rsidRDefault="00E4228B" w:rsidP="00140418">
            <w:pPr>
              <w:pStyle w:val="Normal-pool"/>
            </w:pPr>
          </w:p>
        </w:tc>
        <w:tc>
          <w:tcPr>
            <w:tcW w:w="5822" w:type="dxa"/>
            <w:gridSpan w:val="2"/>
            <w:tcBorders>
              <w:bottom w:val="single" w:sz="2" w:space="0" w:color="auto"/>
            </w:tcBorders>
          </w:tcPr>
          <w:p w14:paraId="660B9C66" w14:textId="77777777" w:rsidR="00E4228B" w:rsidRPr="00076FE0" w:rsidRDefault="00E4228B" w:rsidP="00140418">
            <w:pPr>
              <w:pStyle w:val="Normal-pool"/>
            </w:pPr>
          </w:p>
        </w:tc>
        <w:tc>
          <w:tcPr>
            <w:tcW w:w="2185" w:type="dxa"/>
            <w:gridSpan w:val="2"/>
            <w:tcBorders>
              <w:bottom w:val="single" w:sz="2" w:space="0" w:color="auto"/>
            </w:tcBorders>
          </w:tcPr>
          <w:p w14:paraId="667BEB70" w14:textId="6FF76BA0" w:rsidR="00E4228B" w:rsidRPr="00076FE0" w:rsidRDefault="00E4228B" w:rsidP="00140418">
            <w:pPr>
              <w:pStyle w:val="Normal-pool"/>
              <w:rPr>
                <w:sz w:val="24"/>
                <w:szCs w:val="24"/>
              </w:rPr>
            </w:pPr>
            <w:r w:rsidRPr="00076FE0">
              <w:rPr>
                <w:b/>
                <w:sz w:val="24"/>
                <w:szCs w:val="24"/>
              </w:rPr>
              <w:t>IPBES</w:t>
            </w:r>
            <w:r w:rsidRPr="00076FE0">
              <w:t>/8/1/Add.1</w:t>
            </w:r>
          </w:p>
        </w:tc>
      </w:tr>
      <w:tr w:rsidR="00E4228B" w:rsidRPr="00076FE0" w14:paraId="6CDF4774" w14:textId="77777777" w:rsidTr="00140418">
        <w:trPr>
          <w:cantSplit/>
          <w:trHeight w:val="57"/>
          <w:jc w:val="right"/>
        </w:trPr>
        <w:tc>
          <w:tcPr>
            <w:tcW w:w="1963" w:type="dxa"/>
            <w:gridSpan w:val="2"/>
            <w:tcBorders>
              <w:top w:val="single" w:sz="2" w:space="0" w:color="auto"/>
              <w:bottom w:val="single" w:sz="24" w:space="0" w:color="auto"/>
            </w:tcBorders>
          </w:tcPr>
          <w:p w14:paraId="296FA805" w14:textId="77777777" w:rsidR="00E4228B" w:rsidRPr="00076FE0" w:rsidRDefault="00E4228B" w:rsidP="00140418">
            <w:pPr>
              <w:pStyle w:val="Normal-pool"/>
              <w:spacing w:before="160" w:after="240"/>
              <w:rPr>
                <w:sz w:val="28"/>
                <w:szCs w:val="28"/>
              </w:rPr>
            </w:pPr>
            <w:r w:rsidRPr="00076FE0">
              <w:rPr>
                <w:noProof/>
                <w:sz w:val="28"/>
                <w:szCs w:val="28"/>
                <w:lang w:eastAsia="en-GB"/>
              </w:rPr>
              <w:drawing>
                <wp:inline distT="0" distB="0" distL="0" distR="0" wp14:anchorId="3B3ED568" wp14:editId="748DB7D1">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3B8D8B54" w14:textId="77777777" w:rsidR="00E4228B" w:rsidRPr="00076FE0" w:rsidRDefault="00E4228B" w:rsidP="00140418">
            <w:pPr>
              <w:pStyle w:val="Normal-pool"/>
              <w:spacing w:before="120" w:after="360"/>
              <w:rPr>
                <w:rFonts w:ascii="Arial" w:hAnsi="Arial" w:cs="Arial"/>
                <w:b/>
              </w:rPr>
            </w:pPr>
            <w:r w:rsidRPr="00076FE0">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4026E23E" w14:textId="4F44FA47" w:rsidR="00E4228B" w:rsidRPr="00076FE0" w:rsidRDefault="00E4228B" w:rsidP="00140418">
            <w:pPr>
              <w:pStyle w:val="Normal-pool"/>
              <w:spacing w:before="120"/>
            </w:pPr>
            <w:r w:rsidRPr="00076FE0">
              <w:t xml:space="preserve">Distr.: General </w:t>
            </w:r>
            <w:r w:rsidRPr="00076FE0">
              <w:br/>
              <w:t>23 March 2021</w:t>
            </w:r>
          </w:p>
          <w:p w14:paraId="2EC23E5D" w14:textId="77777777" w:rsidR="00E4228B" w:rsidRPr="00076FE0" w:rsidRDefault="00E4228B" w:rsidP="00140418">
            <w:pPr>
              <w:pStyle w:val="Normal-pool"/>
              <w:spacing w:before="120" w:after="240"/>
            </w:pPr>
            <w:r w:rsidRPr="00076FE0">
              <w:t>Original: English</w:t>
            </w:r>
          </w:p>
        </w:tc>
      </w:tr>
    </w:tbl>
    <w:p w14:paraId="4CC52CE5" w14:textId="77777777" w:rsidR="00E4228B" w:rsidRPr="00076FE0" w:rsidRDefault="00E4228B" w:rsidP="00E4228B">
      <w:pPr>
        <w:pStyle w:val="AATitle"/>
      </w:pPr>
      <w:r w:rsidRPr="00076FE0">
        <w:t xml:space="preserve">Plenary of the Intergovernmental Science-Policy </w:t>
      </w:r>
      <w:r w:rsidRPr="00076FE0">
        <w:br/>
        <w:t>Platform on Biodiversity and Ecosystem Services</w:t>
      </w:r>
    </w:p>
    <w:p w14:paraId="43581B7E" w14:textId="77777777" w:rsidR="00E4228B" w:rsidRPr="00076FE0" w:rsidRDefault="00E4228B" w:rsidP="00E4228B">
      <w:pPr>
        <w:pStyle w:val="AATitle"/>
      </w:pPr>
      <w:r w:rsidRPr="00076FE0">
        <w:t>Eighth session</w:t>
      </w:r>
    </w:p>
    <w:p w14:paraId="2623837F" w14:textId="77777777" w:rsidR="00E4228B" w:rsidRPr="00076FE0" w:rsidRDefault="00E4228B" w:rsidP="00E4228B">
      <w:pPr>
        <w:pStyle w:val="AATitle"/>
        <w:rPr>
          <w:b w:val="0"/>
        </w:rPr>
      </w:pPr>
      <w:r w:rsidRPr="00076FE0">
        <w:rPr>
          <w:b w:val="0"/>
          <w:lang w:eastAsia="ja-JP"/>
        </w:rPr>
        <w:t>Online, 14–24 June 2021</w:t>
      </w:r>
    </w:p>
    <w:p w14:paraId="548576E6" w14:textId="77777777" w:rsidR="000F7401" w:rsidRPr="00076FE0" w:rsidRDefault="000F7401" w:rsidP="000F7401">
      <w:pPr>
        <w:pStyle w:val="AATitle"/>
        <w:rPr>
          <w:b w:val="0"/>
        </w:rPr>
      </w:pPr>
      <w:r w:rsidRPr="00076FE0">
        <w:rPr>
          <w:b w:val="0"/>
        </w:rPr>
        <w:t>Item 2 (a) of the provisional agenda</w:t>
      </w:r>
      <w:r w:rsidRPr="00076FE0">
        <w:rPr>
          <w:rStyle w:val="FootnoteReference"/>
          <w:b w:val="0"/>
          <w:vertAlign w:val="baseline"/>
        </w:rPr>
        <w:footnoteReference w:customMarkFollows="1" w:id="2"/>
        <w:t>*</w:t>
      </w:r>
    </w:p>
    <w:p w14:paraId="1F2F2EA6" w14:textId="77777777" w:rsidR="000F7401" w:rsidRPr="00076FE0" w:rsidRDefault="000F7401" w:rsidP="000F7401">
      <w:pPr>
        <w:pStyle w:val="AATitle2"/>
      </w:pPr>
      <w:r w:rsidRPr="00076FE0">
        <w:t xml:space="preserve">Organizational matters: adoption of the agenda </w:t>
      </w:r>
      <w:r w:rsidRPr="00076FE0">
        <w:br/>
        <w:t>and organization of work</w:t>
      </w:r>
    </w:p>
    <w:p w14:paraId="701D48A7" w14:textId="489FCAFC" w:rsidR="000F7401" w:rsidRPr="00076FE0" w:rsidRDefault="000F7401" w:rsidP="00CA2BEC">
      <w:pPr>
        <w:pStyle w:val="BBTitle"/>
      </w:pPr>
      <w:r w:rsidRPr="00076FE0">
        <w:t>Annotat</w:t>
      </w:r>
      <w:r w:rsidR="00A5120B" w:rsidRPr="00076FE0">
        <w:t>ed</w:t>
      </w:r>
      <w:r w:rsidRPr="00076FE0">
        <w:t xml:space="preserve"> provisional agenda</w:t>
      </w:r>
    </w:p>
    <w:p w14:paraId="2E793145" w14:textId="77777777" w:rsidR="000F7401" w:rsidRPr="00076FE0" w:rsidRDefault="000F7401" w:rsidP="00B05D9D">
      <w:pPr>
        <w:pStyle w:val="CH2"/>
        <w:spacing w:after="0"/>
        <w:ind w:left="1248" w:hanging="624"/>
        <w:rPr>
          <w:rFonts w:eastAsia="Gulim"/>
          <w:lang w:eastAsia="x-none"/>
        </w:rPr>
      </w:pPr>
      <w:r w:rsidRPr="00076FE0">
        <w:rPr>
          <w:lang w:eastAsia="x-none"/>
        </w:rPr>
        <w:t>Item 1</w:t>
      </w:r>
    </w:p>
    <w:p w14:paraId="7A63EE9E" w14:textId="77777777" w:rsidR="000F7401" w:rsidRPr="00076FE0" w:rsidRDefault="000F7401" w:rsidP="0037491D">
      <w:pPr>
        <w:pStyle w:val="CH2"/>
        <w:ind w:left="1248" w:hanging="624"/>
        <w:rPr>
          <w:lang w:eastAsia="x-none"/>
        </w:rPr>
      </w:pPr>
      <w:r w:rsidRPr="00076FE0">
        <w:rPr>
          <w:lang w:eastAsia="x-none"/>
        </w:rPr>
        <w:t>Opening of the session</w:t>
      </w:r>
    </w:p>
    <w:p w14:paraId="66C61955" w14:textId="4B1FD301" w:rsidR="000F7401" w:rsidRPr="00076FE0" w:rsidRDefault="000F7401" w:rsidP="00AC2651">
      <w:pPr>
        <w:pStyle w:val="Normalnumber"/>
      </w:pPr>
      <w:r w:rsidRPr="00076FE0">
        <w:t xml:space="preserve">The eighth session of the Plenary of the Intergovernmental Science-Policy Platform on Biodiversity and Ecosystem Services (IPBES) will be held online from 14 to 24 June 2021. The session will begin at 12.45 p.m. </w:t>
      </w:r>
      <w:r w:rsidR="00B0214D" w:rsidRPr="00076FE0">
        <w:t>(</w:t>
      </w:r>
      <w:r w:rsidRPr="00076FE0">
        <w:t>C</w:t>
      </w:r>
      <w:r w:rsidR="00CB0053" w:rsidRPr="00076FE0">
        <w:t>EST (UTC + 2)</w:t>
      </w:r>
      <w:r w:rsidR="00B0214D" w:rsidRPr="00076FE0">
        <w:t>)</w:t>
      </w:r>
      <w:r w:rsidR="00CB0053" w:rsidRPr="00076FE0">
        <w:rPr>
          <w:rStyle w:val="FootnoteReference"/>
        </w:rPr>
        <w:footnoteReference w:id="3"/>
      </w:r>
      <w:r w:rsidRPr="00076FE0">
        <w:t xml:space="preserve"> on Monday, 14 June. </w:t>
      </w:r>
    </w:p>
    <w:p w14:paraId="58C6CE7C" w14:textId="5957EB25" w:rsidR="000F7401" w:rsidRPr="00076FE0" w:rsidRDefault="000F7401" w:rsidP="00AC2651">
      <w:pPr>
        <w:pStyle w:val="Normalnumber"/>
      </w:pPr>
      <w:r w:rsidRPr="00076FE0">
        <w:t xml:space="preserve">Welcoming remarks are expected to be delivered by the Chair and the Executive Secretary of IPBES and a representative of the </w:t>
      </w:r>
      <w:r w:rsidR="000D0241" w:rsidRPr="00076FE0">
        <w:t>United Nations Development Programme (UNDP)</w:t>
      </w:r>
      <w:r w:rsidRPr="00076FE0">
        <w:t xml:space="preserve">, speaking also on behalf of the United Nations Environment Programme (UNEP), </w:t>
      </w:r>
      <w:r w:rsidR="002D0CF5" w:rsidRPr="00076FE0">
        <w:t xml:space="preserve">the </w:t>
      </w:r>
      <w:r w:rsidRPr="00076FE0">
        <w:t xml:space="preserve">United Nations Educational, Scientific and Cultural Organization (UNESCO) and the </w:t>
      </w:r>
      <w:r w:rsidR="000D0241" w:rsidRPr="00076FE0">
        <w:t>Food and Agriculture Organization of the United Nations (FAO)</w:t>
      </w:r>
      <w:r w:rsidRPr="00076FE0">
        <w:t xml:space="preserve">. Regional consultations will be held </w:t>
      </w:r>
      <w:r w:rsidR="00CB0053" w:rsidRPr="00076FE0">
        <w:t>from</w:t>
      </w:r>
      <w:r w:rsidRPr="00076FE0">
        <w:t xml:space="preserve"> 7 </w:t>
      </w:r>
      <w:r w:rsidR="00CB0053" w:rsidRPr="00076FE0">
        <w:t>to</w:t>
      </w:r>
      <w:r w:rsidRPr="00076FE0">
        <w:t xml:space="preserve"> 11 June </w:t>
      </w:r>
      <w:r w:rsidR="008800DA" w:rsidRPr="00076FE0">
        <w:t xml:space="preserve">2021 </w:t>
      </w:r>
      <w:r w:rsidRPr="00076FE0">
        <w:t>and stakeholders’ days on 3 June (opening session 1 to 3 p.m.), 4 June (5 to 8 p.m.; for the Americas); 7 June (1 to 3</w:t>
      </w:r>
      <w:r w:rsidR="00D16818" w:rsidRPr="00076FE0">
        <w:t> </w:t>
      </w:r>
      <w:r w:rsidRPr="00076FE0">
        <w:t>p.m.; for Europe and Africa); 8</w:t>
      </w:r>
      <w:r w:rsidR="002D0CF5" w:rsidRPr="00076FE0">
        <w:t xml:space="preserve"> June</w:t>
      </w:r>
      <w:r w:rsidR="00E331E5" w:rsidRPr="00076FE0">
        <w:t xml:space="preserve"> </w:t>
      </w:r>
      <w:r w:rsidRPr="00076FE0">
        <w:t xml:space="preserve">(9 a.m. to noon; for </w:t>
      </w:r>
      <w:r w:rsidR="009B0A18" w:rsidRPr="00076FE0">
        <w:t>Asia</w:t>
      </w:r>
      <w:r w:rsidR="009B0A18" w:rsidRPr="00076FE0">
        <w:noBreakHyphen/>
        <w:t>Pacific</w:t>
      </w:r>
      <w:r w:rsidRPr="00076FE0">
        <w:t>) and 9 June 2021 (closing session</w:t>
      </w:r>
      <w:r w:rsidR="002D0CF5" w:rsidRPr="00076FE0">
        <w:t xml:space="preserve"> for the stakeholders’ days</w:t>
      </w:r>
      <w:r w:rsidR="001F134D" w:rsidRPr="00076FE0">
        <w:t>,</w:t>
      </w:r>
      <w:r w:rsidRPr="00076FE0">
        <w:t xml:space="preserve"> 1 to 5 p.m.).</w:t>
      </w:r>
    </w:p>
    <w:p w14:paraId="5DEC4782" w14:textId="77777777" w:rsidR="000F7401" w:rsidRPr="00076FE0" w:rsidRDefault="000F7401" w:rsidP="00B55CCE">
      <w:pPr>
        <w:pStyle w:val="CH2"/>
        <w:spacing w:before="240" w:after="0"/>
        <w:ind w:left="1248" w:hanging="624"/>
        <w:rPr>
          <w:lang w:eastAsia="x-none"/>
        </w:rPr>
      </w:pPr>
      <w:r w:rsidRPr="00076FE0">
        <w:rPr>
          <w:lang w:eastAsia="x-none"/>
        </w:rPr>
        <w:t>Item 2</w:t>
      </w:r>
    </w:p>
    <w:p w14:paraId="4C80259C" w14:textId="77777777" w:rsidR="000F7401" w:rsidRPr="00076FE0" w:rsidRDefault="000F7401" w:rsidP="0037491D">
      <w:pPr>
        <w:pStyle w:val="CH2"/>
        <w:ind w:left="1248" w:hanging="624"/>
        <w:rPr>
          <w:lang w:eastAsia="ko-KR"/>
        </w:rPr>
      </w:pPr>
      <w:r w:rsidRPr="00076FE0">
        <w:t>Organizational matters</w:t>
      </w:r>
    </w:p>
    <w:p w14:paraId="6B2FB446" w14:textId="2CEB1941" w:rsidR="000F7401" w:rsidRPr="00076FE0" w:rsidRDefault="000F7401" w:rsidP="00017200">
      <w:pPr>
        <w:pStyle w:val="Normalnumber"/>
        <w:tabs>
          <w:tab w:val="clear" w:pos="1134"/>
        </w:tabs>
      </w:pPr>
      <w:r w:rsidRPr="00076FE0">
        <w:t xml:space="preserve">The rules of procedure for the Plenary of the Platform, as adopted by the Plenary in its decision IPBES-1/1 and amended in its decision IPBES-2/1, will govern the eighth session of the Plenary. </w:t>
      </w:r>
    </w:p>
    <w:p w14:paraId="2023E322" w14:textId="77777777" w:rsidR="000F7401" w:rsidRPr="00076FE0" w:rsidRDefault="000F7401" w:rsidP="000F7401">
      <w:pPr>
        <w:pStyle w:val="CH3"/>
        <w:keepNext w:val="0"/>
        <w:keepLines w:val="0"/>
      </w:pPr>
      <w:r w:rsidRPr="00076FE0">
        <w:tab/>
        <w:t>(a)</w:t>
      </w:r>
      <w:r w:rsidRPr="00076FE0">
        <w:tab/>
        <w:t>Adoption of the agenda and organization of work</w:t>
      </w:r>
    </w:p>
    <w:p w14:paraId="1BCD5304" w14:textId="77777777" w:rsidR="000F7401" w:rsidRPr="00076FE0" w:rsidRDefault="000F7401">
      <w:pPr>
        <w:pStyle w:val="Normalnumber"/>
        <w:tabs>
          <w:tab w:val="clear" w:pos="1134"/>
        </w:tabs>
      </w:pPr>
      <w:r w:rsidRPr="00076FE0">
        <w:t xml:space="preserve">The Plenary may wish to adopt the agenda on the basis of the provisional agenda (IPBES/8/1). </w:t>
      </w:r>
    </w:p>
    <w:p w14:paraId="2EF674C1" w14:textId="5EEC59F0" w:rsidR="000F7401" w:rsidRPr="00076FE0" w:rsidRDefault="000F7401" w:rsidP="00AC2651">
      <w:pPr>
        <w:pStyle w:val="Normalnumber"/>
        <w:tabs>
          <w:tab w:val="clear" w:pos="1134"/>
        </w:tabs>
      </w:pPr>
      <w:r w:rsidRPr="00076FE0">
        <w:t xml:space="preserve">It is suggested that deliberations take place in the form of plenary meetings. When </w:t>
      </w:r>
      <w:r w:rsidR="008800DA" w:rsidRPr="00076FE0">
        <w:t xml:space="preserve">it is </w:t>
      </w:r>
      <w:r w:rsidRPr="00076FE0">
        <w:t xml:space="preserve">deemed necessary, however, the Plenary may wish to establish working groups and contact groups to discuss specific matters. </w:t>
      </w:r>
    </w:p>
    <w:p w14:paraId="3FE9E1B6" w14:textId="34A05CB8" w:rsidR="000F7401" w:rsidRPr="00076FE0" w:rsidRDefault="000F7401" w:rsidP="000328A6">
      <w:pPr>
        <w:pStyle w:val="Normalnumber"/>
        <w:tabs>
          <w:tab w:val="clear" w:pos="1134"/>
        </w:tabs>
      </w:pPr>
      <w:r w:rsidRPr="00076FE0">
        <w:t>The Plenary may wis</w:t>
      </w:r>
      <w:bookmarkStart w:id="0" w:name="_GoBack"/>
      <w:bookmarkEnd w:id="0"/>
      <w:r w:rsidRPr="00076FE0">
        <w:t>h to establish a working group to consider</w:t>
      </w:r>
      <w:r w:rsidR="00075A16" w:rsidRPr="00076FE0">
        <w:t>,</w:t>
      </w:r>
      <w:r w:rsidRPr="00076FE0">
        <w:t xml:space="preserve"> under item 7 </w:t>
      </w:r>
      <w:r w:rsidR="008800DA" w:rsidRPr="00076FE0">
        <w:t>(</w:t>
      </w:r>
      <w:r w:rsidRPr="00076FE0">
        <w:t>assessing knowledge</w:t>
      </w:r>
      <w:r w:rsidR="008800DA" w:rsidRPr="00076FE0">
        <w:t>)</w:t>
      </w:r>
      <w:r w:rsidR="00075A16" w:rsidRPr="00076FE0">
        <w:t>,</w:t>
      </w:r>
      <w:r w:rsidRPr="00076FE0">
        <w:t xml:space="preserve"> </w:t>
      </w:r>
      <w:r w:rsidR="009B0A18" w:rsidRPr="00076FE0">
        <w:t>sub</w:t>
      </w:r>
      <w:r w:rsidR="009B0A18" w:rsidRPr="00076FE0">
        <w:noBreakHyphen/>
        <w:t>item</w:t>
      </w:r>
      <w:r w:rsidR="00FF4978" w:rsidRPr="00076FE0">
        <w:t>s</w:t>
      </w:r>
      <w:r w:rsidRPr="00076FE0">
        <w:t xml:space="preserve"> </w:t>
      </w:r>
      <w:r w:rsidR="00FF4978" w:rsidRPr="00076FE0">
        <w:t xml:space="preserve">7 </w:t>
      </w:r>
      <w:r w:rsidRPr="00076FE0">
        <w:t xml:space="preserve">(a) </w:t>
      </w:r>
      <w:r w:rsidR="00FF4978" w:rsidRPr="00076FE0">
        <w:t>(</w:t>
      </w:r>
      <w:r w:rsidRPr="00076FE0">
        <w:t>scoping report for a thematic assessment of the interlinkages among biodiversity, water, food and health</w:t>
      </w:r>
      <w:r w:rsidR="00FF4978" w:rsidRPr="00076FE0">
        <w:t>) and</w:t>
      </w:r>
      <w:r w:rsidR="00FE7EF9" w:rsidRPr="00076FE0">
        <w:t xml:space="preserve"> </w:t>
      </w:r>
      <w:r w:rsidR="00FF4978" w:rsidRPr="00076FE0">
        <w:t xml:space="preserve">7 </w:t>
      </w:r>
      <w:r w:rsidRPr="00076FE0">
        <w:t xml:space="preserve">(b) </w:t>
      </w:r>
      <w:r w:rsidR="00FF4978" w:rsidRPr="00076FE0">
        <w:t>(</w:t>
      </w:r>
      <w:r w:rsidRPr="00076FE0">
        <w:t>scoping report for a thematic assessment of the underlying causes of biodiversity loss and the determinants of transformative change and options for achieving the 2050 Vision for Biodiversity</w:t>
      </w:r>
      <w:r w:rsidR="00FF4978" w:rsidRPr="00076FE0">
        <w:t>),</w:t>
      </w:r>
      <w:r w:rsidR="00FE7EF9" w:rsidRPr="00076FE0">
        <w:t xml:space="preserve"> </w:t>
      </w:r>
      <w:r w:rsidR="00075A16" w:rsidRPr="00076FE0">
        <w:t>a</w:t>
      </w:r>
      <w:r w:rsidR="00FF4978" w:rsidRPr="00076FE0">
        <w:t>nd to consider</w:t>
      </w:r>
      <w:r w:rsidRPr="00076FE0">
        <w:t xml:space="preserve"> item 8 </w:t>
      </w:r>
      <w:r w:rsidR="008800DA" w:rsidRPr="00076FE0">
        <w:t>(</w:t>
      </w:r>
      <w:r w:rsidRPr="00076FE0">
        <w:t>building capacity, strengthening knowledge foundations and supporting policy</w:t>
      </w:r>
      <w:r w:rsidR="008800DA" w:rsidRPr="00076FE0">
        <w:t>)</w:t>
      </w:r>
      <w:r w:rsidRPr="00076FE0">
        <w:t>.</w:t>
      </w:r>
    </w:p>
    <w:p w14:paraId="0A84D58B" w14:textId="695052A1" w:rsidR="000F7401" w:rsidRPr="00076FE0" w:rsidRDefault="000F7401" w:rsidP="00AC2651">
      <w:pPr>
        <w:pStyle w:val="Normalnumber"/>
        <w:tabs>
          <w:tab w:val="clear" w:pos="1134"/>
        </w:tabs>
      </w:pPr>
      <w:r w:rsidRPr="00076FE0">
        <w:lastRenderedPageBreak/>
        <w:t xml:space="preserve">The working group is expected to provide a report on progress on </w:t>
      </w:r>
      <w:r w:rsidR="009B0A18" w:rsidRPr="00076FE0">
        <w:t>sub</w:t>
      </w:r>
      <w:r w:rsidR="009B0A18" w:rsidRPr="00076FE0">
        <w:noBreakHyphen/>
        <w:t>item</w:t>
      </w:r>
      <w:r w:rsidRPr="00076FE0">
        <w:t>s 7</w:t>
      </w:r>
      <w:r w:rsidR="00777477" w:rsidRPr="00076FE0">
        <w:t xml:space="preserve"> </w:t>
      </w:r>
      <w:r w:rsidRPr="00076FE0">
        <w:t>(a)</w:t>
      </w:r>
      <w:r w:rsidR="00A00327" w:rsidRPr="00076FE0">
        <w:t xml:space="preserve"> and</w:t>
      </w:r>
      <w:r w:rsidRPr="00076FE0">
        <w:t xml:space="preserve"> 7</w:t>
      </w:r>
      <w:r w:rsidR="00777477" w:rsidRPr="00076FE0">
        <w:t xml:space="preserve"> </w:t>
      </w:r>
      <w:r w:rsidRPr="00076FE0">
        <w:t xml:space="preserve">(b) and </w:t>
      </w:r>
      <w:r w:rsidR="00532467" w:rsidRPr="00076FE0">
        <w:t xml:space="preserve">item </w:t>
      </w:r>
      <w:r w:rsidRPr="00076FE0">
        <w:t>8 to the Plenary on Monday, 21 June and a final report on th</w:t>
      </w:r>
      <w:r w:rsidR="00777477" w:rsidRPr="00076FE0">
        <w:t>o</w:t>
      </w:r>
      <w:r w:rsidRPr="00076FE0">
        <w:t xml:space="preserve">se items on Thursday, 24 June. </w:t>
      </w:r>
    </w:p>
    <w:p w14:paraId="2500E17B" w14:textId="14314BB7" w:rsidR="000F7401" w:rsidRPr="00076FE0" w:rsidRDefault="000F7401" w:rsidP="00AC2651">
      <w:pPr>
        <w:pStyle w:val="Normalnumber"/>
        <w:tabs>
          <w:tab w:val="clear" w:pos="1134"/>
        </w:tabs>
      </w:pPr>
      <w:r w:rsidRPr="00076FE0">
        <w:t xml:space="preserve">In line with </w:t>
      </w:r>
      <w:r w:rsidR="00777477" w:rsidRPr="00076FE0">
        <w:t xml:space="preserve">the </w:t>
      </w:r>
      <w:r w:rsidRPr="00076FE0">
        <w:t xml:space="preserve">practice at previous sessions of the Plenary, the Plenary may also wish to establish a contact group on item 6 </w:t>
      </w:r>
      <w:r w:rsidR="008800DA" w:rsidRPr="00076FE0">
        <w:t>(</w:t>
      </w:r>
      <w:r w:rsidRPr="00076FE0">
        <w:t>financial and budgetary arrangements for the Platform</w:t>
      </w:r>
      <w:r w:rsidR="008800DA" w:rsidRPr="00076FE0">
        <w:t>)</w:t>
      </w:r>
      <w:r w:rsidRPr="00076FE0">
        <w:t xml:space="preserve">. Considering the nature of the online meeting, </w:t>
      </w:r>
      <w:r w:rsidR="00B91493" w:rsidRPr="00076FE0">
        <w:t xml:space="preserve">every </w:t>
      </w:r>
      <w:r w:rsidRPr="00076FE0">
        <w:t>effort will be made to avoid parallel meetings.</w:t>
      </w:r>
    </w:p>
    <w:p w14:paraId="2DD6F710" w14:textId="0C26F641" w:rsidR="000F7401" w:rsidRPr="00076FE0" w:rsidRDefault="000F7401" w:rsidP="00D5387B">
      <w:pPr>
        <w:pStyle w:val="Normalnumber"/>
        <w:tabs>
          <w:tab w:val="clear" w:pos="1134"/>
        </w:tabs>
      </w:pPr>
      <w:r w:rsidRPr="00076FE0">
        <w:t>It is further suggested that meetings be held from 12.45 to 2.45 p.m. and from 3.15 to 5.15 p.m. each day. If it becomes necessary, meetings may be scheduled from 6 to 8 p.m. on Thursday, 17 June, Monday, 21 June and Tuesday, 22 June</w:t>
      </w:r>
      <w:r w:rsidR="00011A49" w:rsidRPr="00076FE0">
        <w:t xml:space="preserve"> in order to ensure that the agenda is fully addressed during the week</w:t>
      </w:r>
      <w:r w:rsidRPr="00076FE0">
        <w:t>.</w:t>
      </w:r>
    </w:p>
    <w:p w14:paraId="2AD0F050" w14:textId="4DC1C340" w:rsidR="000F7401" w:rsidRPr="00076FE0" w:rsidRDefault="00CB0053" w:rsidP="00AC2651">
      <w:pPr>
        <w:pStyle w:val="Normalnumber"/>
        <w:tabs>
          <w:tab w:val="clear" w:pos="1134"/>
        </w:tabs>
      </w:pPr>
      <w:r w:rsidRPr="00076FE0">
        <w:t>T</w:t>
      </w:r>
      <w:r w:rsidR="000F7401" w:rsidRPr="00076FE0">
        <w:t xml:space="preserve">o accommodate the agenda within the limited time available for the online meeting, a number of measures are proposed: </w:t>
      </w:r>
    </w:p>
    <w:p w14:paraId="2C9FFC30" w14:textId="14FBB52D" w:rsidR="000F7401" w:rsidRPr="00076FE0" w:rsidRDefault="00622167" w:rsidP="00217BC4">
      <w:pPr>
        <w:pStyle w:val="Normalnumber"/>
        <w:numPr>
          <w:ilvl w:val="1"/>
          <w:numId w:val="5"/>
        </w:numPr>
        <w:tabs>
          <w:tab w:val="clear" w:pos="567"/>
        </w:tabs>
        <w:ind w:firstLine="624"/>
      </w:pPr>
      <w:r w:rsidRPr="00076FE0">
        <w:t>The p</w:t>
      </w:r>
      <w:r w:rsidR="000F7401" w:rsidRPr="00076FE0">
        <w:t xml:space="preserve">resentation of reports will be pre-recorded and made available to participants </w:t>
      </w:r>
      <w:r w:rsidRPr="00076FE0">
        <w:t xml:space="preserve">in advance </w:t>
      </w:r>
      <w:r w:rsidR="000F7401" w:rsidRPr="00076FE0">
        <w:t>of the session</w:t>
      </w:r>
      <w:r w:rsidRPr="00076FE0">
        <w:t>, including</w:t>
      </w:r>
      <w:r w:rsidR="004640B0" w:rsidRPr="00076FE0">
        <w:t xml:space="preserve"> on</w:t>
      </w:r>
      <w:r w:rsidR="000F7401" w:rsidRPr="00076FE0">
        <w:t xml:space="preserve">: </w:t>
      </w:r>
    </w:p>
    <w:p w14:paraId="109A9016" w14:textId="17624628" w:rsidR="000F7401" w:rsidRPr="00076FE0" w:rsidRDefault="00416BE9" w:rsidP="00217BC4">
      <w:pPr>
        <w:pStyle w:val="Normalnumber"/>
        <w:numPr>
          <w:ilvl w:val="2"/>
          <w:numId w:val="5"/>
        </w:numPr>
        <w:tabs>
          <w:tab w:val="clear" w:pos="567"/>
        </w:tabs>
        <w:ind w:left="3119" w:hanging="624"/>
      </w:pPr>
      <w:r w:rsidRPr="00076FE0">
        <w:t>The s</w:t>
      </w:r>
      <w:r w:rsidR="000F7401" w:rsidRPr="00076FE0">
        <w:t xml:space="preserve">tatus of </w:t>
      </w:r>
      <w:r w:rsidR="00CA5EFE" w:rsidRPr="00076FE0">
        <w:t xml:space="preserve">the </w:t>
      </w:r>
      <w:r w:rsidR="000F7401" w:rsidRPr="00076FE0">
        <w:t>membership of the Platform (item 2</w:t>
      </w:r>
      <w:r w:rsidR="00591406" w:rsidRPr="00076FE0">
        <w:t xml:space="preserve"> </w:t>
      </w:r>
      <w:r w:rsidR="000F7401" w:rsidRPr="00076FE0">
        <w:t xml:space="preserve">(b)); </w:t>
      </w:r>
    </w:p>
    <w:p w14:paraId="14965CE2" w14:textId="1D9EE60A" w:rsidR="000F7401" w:rsidRPr="00076FE0" w:rsidRDefault="00AE4BF8" w:rsidP="00217BC4">
      <w:pPr>
        <w:pStyle w:val="Normalnumber"/>
        <w:numPr>
          <w:ilvl w:val="2"/>
          <w:numId w:val="5"/>
        </w:numPr>
        <w:tabs>
          <w:tab w:val="clear" w:pos="567"/>
        </w:tabs>
        <w:ind w:left="3119" w:hanging="624"/>
      </w:pPr>
      <w:r w:rsidRPr="00076FE0">
        <w:t>P</w:t>
      </w:r>
      <w:r w:rsidR="000F7401" w:rsidRPr="00076FE0">
        <w:t xml:space="preserve">rogress in the implementation of the rolling work programme </w:t>
      </w:r>
      <w:r w:rsidR="0036571D" w:rsidRPr="00076FE0">
        <w:t xml:space="preserve">up to 2030 </w:t>
      </w:r>
      <w:r w:rsidR="000F7401" w:rsidRPr="00076FE0">
        <w:t xml:space="preserve">(item 5); </w:t>
      </w:r>
    </w:p>
    <w:p w14:paraId="6776091D" w14:textId="73EBBF28" w:rsidR="000F7401" w:rsidRPr="00076FE0" w:rsidRDefault="0036571D" w:rsidP="00217BC4">
      <w:pPr>
        <w:pStyle w:val="Normalnumber"/>
        <w:numPr>
          <w:ilvl w:val="2"/>
          <w:numId w:val="5"/>
        </w:numPr>
        <w:tabs>
          <w:tab w:val="clear" w:pos="567"/>
        </w:tabs>
        <w:ind w:left="3119" w:hanging="624"/>
      </w:pPr>
      <w:r w:rsidRPr="00076FE0">
        <w:t>F</w:t>
      </w:r>
      <w:r w:rsidR="000F7401" w:rsidRPr="00076FE0">
        <w:t xml:space="preserve">inancial and budgetary arrangements for the Platform (item 6); </w:t>
      </w:r>
    </w:p>
    <w:p w14:paraId="36489486" w14:textId="6CF9BBDF" w:rsidR="000F7401" w:rsidRPr="00076FE0" w:rsidRDefault="00DB36EF" w:rsidP="00217BC4">
      <w:pPr>
        <w:pStyle w:val="Normalnumber"/>
        <w:numPr>
          <w:ilvl w:val="2"/>
          <w:numId w:val="5"/>
        </w:numPr>
        <w:tabs>
          <w:tab w:val="clear" w:pos="567"/>
        </w:tabs>
        <w:ind w:left="3119" w:hanging="624"/>
      </w:pPr>
      <w:r w:rsidRPr="00076FE0">
        <w:t>Scoping for a</w:t>
      </w:r>
      <w:r w:rsidR="000F7401" w:rsidRPr="00076FE0">
        <w:t xml:space="preserve"> thematic assessment of the interlinkages among biodiversity, water, food and health (item 7</w:t>
      </w:r>
      <w:r w:rsidR="00591406" w:rsidRPr="00076FE0">
        <w:t xml:space="preserve"> </w:t>
      </w:r>
      <w:r w:rsidR="000F7401" w:rsidRPr="00076FE0">
        <w:t xml:space="preserve">(a)); </w:t>
      </w:r>
    </w:p>
    <w:p w14:paraId="19769D3E" w14:textId="5313806F" w:rsidR="000F7401" w:rsidRPr="00076FE0" w:rsidRDefault="006E24EC" w:rsidP="00217BC4">
      <w:pPr>
        <w:pStyle w:val="Normalnumber"/>
        <w:numPr>
          <w:ilvl w:val="2"/>
          <w:numId w:val="5"/>
        </w:numPr>
        <w:tabs>
          <w:tab w:val="clear" w:pos="567"/>
        </w:tabs>
        <w:ind w:left="3119" w:hanging="624"/>
      </w:pPr>
      <w:r w:rsidRPr="00076FE0">
        <w:t xml:space="preserve">The </w:t>
      </w:r>
      <w:r w:rsidR="000F7401" w:rsidRPr="00076FE0">
        <w:t>Platform workshop on biodiversity and pandemics (item 7</w:t>
      </w:r>
      <w:r w:rsidR="00591406" w:rsidRPr="00076FE0">
        <w:t xml:space="preserve"> </w:t>
      </w:r>
      <w:r w:rsidR="000F7401" w:rsidRPr="00076FE0">
        <w:t xml:space="preserve">(a)); </w:t>
      </w:r>
    </w:p>
    <w:p w14:paraId="767B0EB7" w14:textId="2A780BD0" w:rsidR="000F7401" w:rsidRPr="00076FE0" w:rsidRDefault="006E24EC" w:rsidP="00217BC4">
      <w:pPr>
        <w:pStyle w:val="Normalnumber"/>
        <w:numPr>
          <w:ilvl w:val="2"/>
          <w:numId w:val="5"/>
        </w:numPr>
        <w:tabs>
          <w:tab w:val="clear" w:pos="567"/>
        </w:tabs>
        <w:ind w:left="3119" w:hanging="624"/>
      </w:pPr>
      <w:r w:rsidRPr="00076FE0">
        <w:t xml:space="preserve">The </w:t>
      </w:r>
      <w:r w:rsidR="000F7401" w:rsidRPr="00076FE0">
        <w:t>workshop on biodiversity and ecosystem services</w:t>
      </w:r>
      <w:r w:rsidR="00853804" w:rsidRPr="00076FE0">
        <w:t xml:space="preserve"> co-sponsored by IPBES and the Intergovernmental Panel on Climate Change (IPCC)</w:t>
      </w:r>
      <w:r w:rsidR="000F7401" w:rsidRPr="00076FE0">
        <w:t xml:space="preserve"> (item 7</w:t>
      </w:r>
      <w:r w:rsidR="00591406" w:rsidRPr="00076FE0">
        <w:t xml:space="preserve"> </w:t>
      </w:r>
      <w:r w:rsidR="000F7401" w:rsidRPr="00076FE0">
        <w:t xml:space="preserve">(a)); </w:t>
      </w:r>
    </w:p>
    <w:p w14:paraId="69F06F59" w14:textId="19CA370A" w:rsidR="000F7401" w:rsidRPr="00076FE0" w:rsidRDefault="00DB36EF" w:rsidP="00217BC4">
      <w:pPr>
        <w:pStyle w:val="Normalnumber"/>
        <w:numPr>
          <w:ilvl w:val="2"/>
          <w:numId w:val="5"/>
        </w:numPr>
        <w:tabs>
          <w:tab w:val="clear" w:pos="567"/>
        </w:tabs>
        <w:ind w:left="3119" w:hanging="624"/>
      </w:pPr>
      <w:r w:rsidRPr="00076FE0">
        <w:t>Scoping for a</w:t>
      </w:r>
      <w:r w:rsidR="000F7401" w:rsidRPr="00076FE0">
        <w:t xml:space="preserve"> thematic assessment of the underlying causes of biodiversity loss and the determinants of transformative change and options for achieving the 2050 Vision for Biodiversity (item 7</w:t>
      </w:r>
      <w:r w:rsidR="00885BA4" w:rsidRPr="00076FE0">
        <w:t xml:space="preserve"> </w:t>
      </w:r>
      <w:r w:rsidR="000F7401" w:rsidRPr="00076FE0">
        <w:t xml:space="preserve">(b)); </w:t>
      </w:r>
    </w:p>
    <w:p w14:paraId="47ECA6B0" w14:textId="37CC375E" w:rsidR="000F7401" w:rsidRPr="00076FE0" w:rsidRDefault="00143077" w:rsidP="00217BC4">
      <w:pPr>
        <w:pStyle w:val="Normalnumber"/>
        <w:numPr>
          <w:ilvl w:val="2"/>
          <w:numId w:val="5"/>
        </w:numPr>
        <w:tabs>
          <w:tab w:val="clear" w:pos="567"/>
        </w:tabs>
        <w:ind w:left="3119" w:hanging="624"/>
      </w:pPr>
      <w:r w:rsidRPr="00076FE0">
        <w:t>W</w:t>
      </w:r>
      <w:r w:rsidR="000F7401" w:rsidRPr="00076FE0">
        <w:t xml:space="preserve">ork related to </w:t>
      </w:r>
      <w:r w:rsidR="00C630A0" w:rsidRPr="00076FE0">
        <w:t xml:space="preserve">the interlinkages between </w:t>
      </w:r>
      <w:r w:rsidR="000F7401" w:rsidRPr="00076FE0">
        <w:t>biodiversity and climate change and collaboration with IPCC (item 7</w:t>
      </w:r>
      <w:r w:rsidR="00885BA4" w:rsidRPr="00076FE0">
        <w:t xml:space="preserve"> </w:t>
      </w:r>
      <w:r w:rsidR="00CF33D3" w:rsidRPr="00076FE0">
        <w:t>(c)</w:t>
      </w:r>
      <w:r w:rsidR="000F7401" w:rsidRPr="00076FE0">
        <w:t xml:space="preserve">); </w:t>
      </w:r>
    </w:p>
    <w:p w14:paraId="5CC3835B" w14:textId="72D4D42D" w:rsidR="000F7401" w:rsidRPr="00076FE0" w:rsidRDefault="00C630A0" w:rsidP="00217BC4">
      <w:pPr>
        <w:pStyle w:val="Normalnumber"/>
        <w:numPr>
          <w:ilvl w:val="2"/>
          <w:numId w:val="5"/>
        </w:numPr>
        <w:tabs>
          <w:tab w:val="clear" w:pos="567"/>
        </w:tabs>
        <w:ind w:left="3119" w:hanging="624"/>
      </w:pPr>
      <w:r w:rsidRPr="00076FE0">
        <w:t>I</w:t>
      </w:r>
      <w:r w:rsidR="000F7401" w:rsidRPr="00076FE0">
        <w:t xml:space="preserve">nterim workplans related to building capacity, strengthening knowledge foundations and supporting policy (item 8); </w:t>
      </w:r>
    </w:p>
    <w:p w14:paraId="53931698" w14:textId="7252358A" w:rsidR="000F7401" w:rsidRPr="00076FE0" w:rsidRDefault="00143077" w:rsidP="00217BC4">
      <w:pPr>
        <w:pStyle w:val="Normalnumber"/>
        <w:numPr>
          <w:ilvl w:val="2"/>
          <w:numId w:val="5"/>
        </w:numPr>
        <w:tabs>
          <w:tab w:val="clear" w:pos="567"/>
        </w:tabs>
        <w:ind w:left="3119" w:hanging="624"/>
      </w:pPr>
      <w:r w:rsidRPr="00076FE0">
        <w:t>P</w:t>
      </w:r>
      <w:r w:rsidR="000F7401" w:rsidRPr="00076FE0">
        <w:t>rogress in addressing the recommendations set out in the report on the review of IPBES at the end of its first work programme</w:t>
      </w:r>
      <w:r w:rsidR="00D852D6" w:rsidRPr="00076FE0">
        <w:t xml:space="preserve"> </w:t>
      </w:r>
      <w:r w:rsidR="00416BE9" w:rsidRPr="00076FE0">
        <w:t>in relation to</w:t>
      </w:r>
      <w:r w:rsidR="00D852D6" w:rsidRPr="00076FE0">
        <w:t xml:space="preserve"> improving the effectiveness of the Platform</w:t>
      </w:r>
      <w:r w:rsidR="000F7401" w:rsidRPr="00076FE0">
        <w:t xml:space="preserve"> (item 9);</w:t>
      </w:r>
    </w:p>
    <w:p w14:paraId="4CD6AB92" w14:textId="06B6D7A9" w:rsidR="000F7401" w:rsidRPr="00A74DDA" w:rsidRDefault="00143077" w:rsidP="00217BC4">
      <w:pPr>
        <w:pStyle w:val="Normalnumber"/>
        <w:numPr>
          <w:ilvl w:val="2"/>
          <w:numId w:val="5"/>
        </w:numPr>
        <w:tabs>
          <w:tab w:val="clear" w:pos="567"/>
        </w:tabs>
        <w:ind w:left="3119" w:hanging="624"/>
      </w:pPr>
      <w:r w:rsidRPr="00076FE0">
        <w:t>T</w:t>
      </w:r>
      <w:r w:rsidR="000F7401" w:rsidRPr="00076FE0">
        <w:t>he United Nations collaborative partnership arrangement for the work of the Platform and its secretariat (</w:t>
      </w:r>
      <w:r w:rsidR="000F7401" w:rsidRPr="00A74DDA">
        <w:t>item 11)</w:t>
      </w:r>
      <w:r w:rsidR="000F7401" w:rsidRPr="00C962AE">
        <w:t>.</w:t>
      </w:r>
    </w:p>
    <w:p w14:paraId="6280DE86" w14:textId="0D398D7E" w:rsidR="000F7401" w:rsidRPr="00A74DDA" w:rsidRDefault="000F7401" w:rsidP="00217BC4">
      <w:pPr>
        <w:pStyle w:val="Normalnumber"/>
        <w:numPr>
          <w:ilvl w:val="1"/>
          <w:numId w:val="5"/>
        </w:numPr>
        <w:tabs>
          <w:tab w:val="clear" w:pos="567"/>
        </w:tabs>
        <w:ind w:firstLine="624"/>
      </w:pPr>
      <w:r w:rsidRPr="00A74DDA">
        <w:t xml:space="preserve">Under a number of items, it is suggested that the Plenary only receive a report on progress, </w:t>
      </w:r>
      <w:r w:rsidR="00402EB3" w:rsidRPr="00A74DDA">
        <w:t xml:space="preserve">be invited to adopt </w:t>
      </w:r>
      <w:r w:rsidRPr="00A74DDA">
        <w:t xml:space="preserve">a procedural decision and defer further consideration of the item to its ninth session. Such items include: </w:t>
      </w:r>
    </w:p>
    <w:p w14:paraId="04E59665" w14:textId="2F134367" w:rsidR="000F7401" w:rsidRPr="00A74DDA" w:rsidRDefault="000F7401" w:rsidP="00217BC4">
      <w:pPr>
        <w:pStyle w:val="Normalnumber"/>
        <w:numPr>
          <w:ilvl w:val="2"/>
          <w:numId w:val="5"/>
        </w:numPr>
        <w:tabs>
          <w:tab w:val="clear" w:pos="567"/>
        </w:tabs>
        <w:ind w:left="3119" w:hanging="624"/>
      </w:pPr>
      <w:r w:rsidRPr="00A74DDA">
        <w:t>Item 7</w:t>
      </w:r>
      <w:r w:rsidR="008800DA" w:rsidRPr="00A74DDA">
        <w:t xml:space="preserve"> (c)</w:t>
      </w:r>
      <w:r w:rsidR="002C4732" w:rsidRPr="00A74DDA">
        <w:t xml:space="preserve"> </w:t>
      </w:r>
      <w:r w:rsidR="008800DA" w:rsidRPr="00A74DDA">
        <w:t>(</w:t>
      </w:r>
      <w:r w:rsidRPr="00A74DDA">
        <w:t xml:space="preserve">work related to </w:t>
      </w:r>
      <w:r w:rsidR="00402EB3" w:rsidRPr="00A74DDA">
        <w:t xml:space="preserve">the interlinkages between </w:t>
      </w:r>
      <w:r w:rsidRPr="00A74DDA">
        <w:t xml:space="preserve">biodiversity and climate change and collaboration with </w:t>
      </w:r>
      <w:r w:rsidR="00402EB3" w:rsidRPr="00A74DDA">
        <w:t>IPCC</w:t>
      </w:r>
      <w:r w:rsidR="008800DA" w:rsidRPr="00A74DDA">
        <w:t>)</w:t>
      </w:r>
      <w:r w:rsidRPr="00A74DDA">
        <w:t>;</w:t>
      </w:r>
    </w:p>
    <w:p w14:paraId="76C760C1" w14:textId="110DA235" w:rsidR="000F7401" w:rsidRPr="00A74DDA" w:rsidRDefault="000F7401" w:rsidP="00217BC4">
      <w:pPr>
        <w:pStyle w:val="Normalnumber"/>
        <w:numPr>
          <w:ilvl w:val="2"/>
          <w:numId w:val="5"/>
        </w:numPr>
        <w:tabs>
          <w:tab w:val="clear" w:pos="567"/>
        </w:tabs>
        <w:ind w:left="3119" w:hanging="624"/>
      </w:pPr>
      <w:r w:rsidRPr="00A74DDA">
        <w:t xml:space="preserve">Item 9 </w:t>
      </w:r>
      <w:r w:rsidR="008800DA" w:rsidRPr="00A74DDA">
        <w:t>(</w:t>
      </w:r>
      <w:r w:rsidRPr="00A74DDA">
        <w:t>improving the effectiveness of the Platform</w:t>
      </w:r>
      <w:r w:rsidR="008800DA" w:rsidRPr="00A74DDA">
        <w:t>)</w:t>
      </w:r>
      <w:r w:rsidRPr="00C962AE">
        <w:t>;</w:t>
      </w:r>
    </w:p>
    <w:p w14:paraId="59D7B191" w14:textId="47B88523" w:rsidR="000F7401" w:rsidRPr="00076FE0" w:rsidRDefault="000F7401" w:rsidP="00217BC4">
      <w:pPr>
        <w:pStyle w:val="Normalnumber"/>
        <w:numPr>
          <w:ilvl w:val="1"/>
          <w:numId w:val="5"/>
        </w:numPr>
        <w:tabs>
          <w:tab w:val="clear" w:pos="567"/>
        </w:tabs>
        <w:ind w:firstLine="624"/>
      </w:pPr>
      <w:r w:rsidRPr="00A74DDA">
        <w:t xml:space="preserve">Under item 8 </w:t>
      </w:r>
      <w:r w:rsidR="008800DA" w:rsidRPr="00A74DDA">
        <w:t>(</w:t>
      </w:r>
      <w:r w:rsidRPr="00A74DDA">
        <w:t>building capacity, strengthening knowledge foundations</w:t>
      </w:r>
      <w:r w:rsidRPr="00076FE0">
        <w:t xml:space="preserve"> and supporting policy</w:t>
      </w:r>
      <w:r w:rsidR="008800DA" w:rsidRPr="00076FE0">
        <w:t>)</w:t>
      </w:r>
      <w:r w:rsidRPr="00076FE0">
        <w:t xml:space="preserve">, the Plenary </w:t>
      </w:r>
      <w:r w:rsidR="00A71823" w:rsidRPr="00076FE0">
        <w:t xml:space="preserve">will be </w:t>
      </w:r>
      <w:r w:rsidRPr="00076FE0">
        <w:t>invited to consider for approval interim workplans for the intersessional period 2021</w:t>
      </w:r>
      <w:r w:rsidR="00A71823" w:rsidRPr="00076FE0">
        <w:softHyphen/>
        <w:t>–</w:t>
      </w:r>
      <w:r w:rsidRPr="00076FE0">
        <w:t xml:space="preserve">2022 and to postpone </w:t>
      </w:r>
      <w:r w:rsidR="00D20707" w:rsidRPr="00076FE0">
        <w:t>to its ninth session</w:t>
      </w:r>
      <w:r w:rsidR="00D20707" w:rsidRPr="00076FE0" w:rsidDel="00A71823">
        <w:t xml:space="preserve"> </w:t>
      </w:r>
      <w:r w:rsidRPr="00076FE0">
        <w:t>consideration of</w:t>
      </w:r>
      <w:r w:rsidR="00A71823" w:rsidRPr="00076FE0">
        <w:t xml:space="preserve"> the</w:t>
      </w:r>
      <w:r w:rsidRPr="00076FE0">
        <w:t xml:space="preserve"> deliverables for objectives 2, 3 and 4 of the IPBES rolling work </w:t>
      </w:r>
      <w:r w:rsidR="00885BA4" w:rsidRPr="00076FE0">
        <w:t xml:space="preserve">programme </w:t>
      </w:r>
      <w:r w:rsidRPr="00076FE0">
        <w:t>up to 2030 and of workplans for the intersessional period 2022</w:t>
      </w:r>
      <w:r w:rsidR="00885BA4" w:rsidRPr="00076FE0">
        <w:t>–</w:t>
      </w:r>
      <w:r w:rsidRPr="00076FE0">
        <w:t xml:space="preserve">2023. </w:t>
      </w:r>
    </w:p>
    <w:p w14:paraId="42C3DF6B" w14:textId="14666EF5" w:rsidR="000F7401" w:rsidRPr="00076FE0" w:rsidRDefault="000F7401" w:rsidP="00D5387B">
      <w:pPr>
        <w:pStyle w:val="Normalnumber"/>
        <w:tabs>
          <w:tab w:val="clear" w:pos="1134"/>
        </w:tabs>
      </w:pPr>
      <w:r w:rsidRPr="00076FE0">
        <w:t xml:space="preserve">A proposal on how the Plenary may wish to organize its work in </w:t>
      </w:r>
      <w:r w:rsidR="00D20707" w:rsidRPr="00076FE0">
        <w:t>the</w:t>
      </w:r>
      <w:r w:rsidRPr="00076FE0">
        <w:t xml:space="preserve"> online setting </w:t>
      </w:r>
      <w:r w:rsidR="006318D0" w:rsidRPr="00076FE0">
        <w:t>is provided in</w:t>
      </w:r>
      <w:r w:rsidRPr="00076FE0">
        <w:t xml:space="preserve"> annex I</w:t>
      </w:r>
      <w:r w:rsidR="006318D0" w:rsidRPr="00076FE0">
        <w:t xml:space="preserve"> to the present document</w:t>
      </w:r>
      <w:r w:rsidRPr="00076FE0">
        <w:t xml:space="preserve"> and a list of documents</w:t>
      </w:r>
      <w:r w:rsidR="00D20707" w:rsidRPr="00076FE0">
        <w:t xml:space="preserve"> for the session</w:t>
      </w:r>
      <w:r w:rsidRPr="00076FE0">
        <w:t xml:space="preserve"> i</w:t>
      </w:r>
      <w:r w:rsidR="006318D0" w:rsidRPr="00076FE0">
        <w:t>n</w:t>
      </w:r>
      <w:r w:rsidR="0008069B" w:rsidRPr="00076FE0">
        <w:t xml:space="preserve"> </w:t>
      </w:r>
      <w:r w:rsidRPr="00076FE0">
        <w:t xml:space="preserve">annex II. The proposal includes the allocation of time and tasks to working and contact groups that the Plenary may wish to establish. </w:t>
      </w:r>
    </w:p>
    <w:p w14:paraId="6F5EDA3E" w14:textId="77777777" w:rsidR="000F7401" w:rsidRPr="00076FE0" w:rsidRDefault="000F7401" w:rsidP="00D5387B">
      <w:pPr>
        <w:pStyle w:val="Normalnumber"/>
        <w:tabs>
          <w:tab w:val="clear" w:pos="1134"/>
        </w:tabs>
      </w:pPr>
      <w:r w:rsidRPr="00076FE0">
        <w:t>Simultaneous interpretation into the six official languages of the United Nations will be provided for the plenary meetings and meetings of the working group indicated in annex I. Meetings of the contact group will be held in English only.</w:t>
      </w:r>
    </w:p>
    <w:p w14:paraId="24E77C94" w14:textId="77777777" w:rsidR="000F7401" w:rsidRPr="00076FE0" w:rsidRDefault="000F7401" w:rsidP="000F7401">
      <w:pPr>
        <w:pStyle w:val="CH3"/>
      </w:pPr>
      <w:r w:rsidRPr="00076FE0">
        <w:lastRenderedPageBreak/>
        <w:tab/>
        <w:t>(b)</w:t>
      </w:r>
      <w:r w:rsidRPr="00076FE0">
        <w:tab/>
        <w:t>Status of the membership of the Platform</w:t>
      </w:r>
    </w:p>
    <w:p w14:paraId="5FA2FD93" w14:textId="77777777" w:rsidR="000F7401" w:rsidRPr="00076FE0" w:rsidRDefault="000F7401" w:rsidP="00D5387B">
      <w:pPr>
        <w:pStyle w:val="Normalnumber"/>
        <w:tabs>
          <w:tab w:val="clear" w:pos="1134"/>
        </w:tabs>
      </w:pPr>
      <w:r w:rsidRPr="00076FE0">
        <w:t>The Chair of IPBES will present information on the status of the membership of IPBES. Any State Member of the United Nations that intends to become a member of IPBES is requested to express its intent to the secretariat in an official letter from the appropriate governmental authority.</w:t>
      </w:r>
    </w:p>
    <w:p w14:paraId="0AE6D901" w14:textId="77777777" w:rsidR="000F7401" w:rsidRPr="00076FE0" w:rsidRDefault="000F7401" w:rsidP="000F7401">
      <w:pPr>
        <w:pStyle w:val="CH3"/>
      </w:pPr>
      <w:r w:rsidRPr="00076FE0">
        <w:tab/>
        <w:t>(c)</w:t>
      </w:r>
      <w:r w:rsidRPr="00076FE0">
        <w:tab/>
        <w:t xml:space="preserve">Election of officers </w:t>
      </w:r>
    </w:p>
    <w:p w14:paraId="551FC4B8" w14:textId="5A7577B0" w:rsidR="000F7401" w:rsidRPr="00076FE0" w:rsidRDefault="00A0467A" w:rsidP="00D5387B">
      <w:pPr>
        <w:pStyle w:val="Normalnumber"/>
        <w:tabs>
          <w:tab w:val="clear" w:pos="1134"/>
        </w:tabs>
      </w:pPr>
      <w:r w:rsidRPr="00076FE0">
        <w:t>A</w:t>
      </w:r>
      <w:r w:rsidR="000F7401" w:rsidRPr="00076FE0">
        <w:t xml:space="preserve">t its sixth session, held in Medellin, Colombia, in March 2018, </w:t>
      </w:r>
      <w:r w:rsidRPr="00076FE0">
        <w:t xml:space="preserve">the Plenary </w:t>
      </w:r>
      <w:r w:rsidR="000F7401" w:rsidRPr="00076FE0">
        <w:t xml:space="preserve">elected a Multidisciplinary Expert Panel consisting of 25 members. </w:t>
      </w:r>
      <w:r w:rsidRPr="00076FE0">
        <w:t>Paragraph 1 of r</w:t>
      </w:r>
      <w:r w:rsidR="000F7401" w:rsidRPr="00076FE0">
        <w:t>ule 29</w:t>
      </w:r>
      <w:r w:rsidR="00304376" w:rsidRPr="00076FE0">
        <w:t xml:space="preserve"> </w:t>
      </w:r>
      <w:r w:rsidR="00F65E80" w:rsidRPr="00076FE0">
        <w:t xml:space="preserve">of the rules of procedure for sessions of the Plenary </w:t>
      </w:r>
      <w:r w:rsidR="00304376" w:rsidRPr="00076FE0">
        <w:t>provides</w:t>
      </w:r>
      <w:r w:rsidR="000F7401" w:rsidRPr="00076FE0">
        <w:t xml:space="preserve"> that the term of office of all the Panel members is three years and that the term of office of each Panel member should start at the end of the session at which he or she is elected and end at the close of the session at which his or her successor is elected. </w:t>
      </w:r>
    </w:p>
    <w:p w14:paraId="3ECA9A04" w14:textId="5F6E0312" w:rsidR="000F7401" w:rsidRPr="00076FE0" w:rsidRDefault="00304376" w:rsidP="00D5387B">
      <w:pPr>
        <w:pStyle w:val="Normalnumber"/>
        <w:tabs>
          <w:tab w:val="clear" w:pos="1134"/>
        </w:tabs>
      </w:pPr>
      <w:r w:rsidRPr="00076FE0">
        <w:t>At</w:t>
      </w:r>
      <w:r w:rsidR="000F7401" w:rsidRPr="00076FE0">
        <w:t xml:space="preserve"> its seventh session, held in Paris in April</w:t>
      </w:r>
      <w:r w:rsidR="006318D0" w:rsidRPr="00076FE0">
        <w:t xml:space="preserve"> and</w:t>
      </w:r>
      <w:r w:rsidR="0008069B" w:rsidRPr="00076FE0">
        <w:t xml:space="preserve"> </w:t>
      </w:r>
      <w:r w:rsidR="000F7401" w:rsidRPr="00076FE0">
        <w:t xml:space="preserve">May 2019, </w:t>
      </w:r>
      <w:r w:rsidRPr="00076FE0">
        <w:t xml:space="preserve">the Plenary </w:t>
      </w:r>
      <w:r w:rsidR="000F7401" w:rsidRPr="00076FE0">
        <w:t xml:space="preserve">elected a Bureau </w:t>
      </w:r>
      <w:r w:rsidR="000F7401" w:rsidRPr="00076FE0">
        <w:rPr>
          <w:rFonts w:eastAsia="Calibri"/>
        </w:rPr>
        <w:t>consisting of a chair, four vice-</w:t>
      </w:r>
      <w:r w:rsidR="000F7401" w:rsidRPr="00076FE0">
        <w:t>chairs</w:t>
      </w:r>
      <w:r w:rsidR="000F7401" w:rsidRPr="00076FE0">
        <w:rPr>
          <w:rFonts w:eastAsia="Calibri"/>
        </w:rPr>
        <w:t xml:space="preserve"> and five other officers</w:t>
      </w:r>
      <w:r w:rsidR="000F7401" w:rsidRPr="00076FE0">
        <w:t xml:space="preserve">. </w:t>
      </w:r>
      <w:r w:rsidR="00F65E80" w:rsidRPr="00076FE0">
        <w:t>Paragraph 3 of r</w:t>
      </w:r>
      <w:r w:rsidR="000F7401" w:rsidRPr="00076FE0">
        <w:t xml:space="preserve">ule 15 </w:t>
      </w:r>
      <w:r w:rsidR="00A01A4F" w:rsidRPr="00076FE0">
        <w:t xml:space="preserve">states </w:t>
      </w:r>
      <w:r w:rsidR="000F7401" w:rsidRPr="00076FE0">
        <w:t xml:space="preserve">that the term of office of a Bureau member is three years and that such term of office starts at the end of the session at which </w:t>
      </w:r>
      <w:r w:rsidR="006318D0" w:rsidRPr="00076FE0">
        <w:t>the member</w:t>
      </w:r>
      <w:r w:rsidR="000F7401" w:rsidRPr="00076FE0">
        <w:t xml:space="preserve"> is elected and ends at the close of the session at which </w:t>
      </w:r>
      <w:r w:rsidR="006318D0" w:rsidRPr="00076FE0">
        <w:t>the member’s</w:t>
      </w:r>
      <w:r w:rsidR="000F7401" w:rsidRPr="00076FE0">
        <w:t xml:space="preserve"> successor is elected. </w:t>
      </w:r>
    </w:p>
    <w:p w14:paraId="7D8356C1" w14:textId="7FD89628" w:rsidR="000F7401" w:rsidRPr="00076FE0" w:rsidRDefault="00A01A4F" w:rsidP="00D5387B">
      <w:pPr>
        <w:pStyle w:val="Normalnumber"/>
        <w:tabs>
          <w:tab w:val="clear" w:pos="1134"/>
        </w:tabs>
      </w:pPr>
      <w:r w:rsidRPr="00076FE0">
        <w:t>Also at</w:t>
      </w:r>
      <w:r w:rsidR="000F7401" w:rsidRPr="00076FE0">
        <w:t xml:space="preserve"> its seventh session, </w:t>
      </w:r>
      <w:r w:rsidRPr="00076FE0">
        <w:t xml:space="preserve">the Plenary </w:t>
      </w:r>
      <w:r w:rsidR="000F7401" w:rsidRPr="00076FE0">
        <w:t>decided to schedule its eighth session for January or February 2021</w:t>
      </w:r>
      <w:r w:rsidR="00075A16" w:rsidRPr="00076FE0">
        <w:t>. Because of</w:t>
      </w:r>
      <w:r w:rsidR="000F7401" w:rsidRPr="00076FE0">
        <w:t xml:space="preserve"> the </w:t>
      </w:r>
      <w:r w:rsidRPr="00076FE0">
        <w:t>coronavirus disease (</w:t>
      </w:r>
      <w:r w:rsidR="000F7401" w:rsidRPr="00076FE0">
        <w:t>COVID-19</w:t>
      </w:r>
      <w:r w:rsidRPr="00076FE0">
        <w:t>)</w:t>
      </w:r>
      <w:r w:rsidR="000F7401" w:rsidRPr="00076FE0">
        <w:t xml:space="preserve"> pandemic</w:t>
      </w:r>
      <w:r w:rsidR="00075A16" w:rsidRPr="00076FE0">
        <w:t>,</w:t>
      </w:r>
      <w:r w:rsidR="000F7401" w:rsidRPr="00076FE0">
        <w:t xml:space="preserve"> </w:t>
      </w:r>
      <w:r w:rsidR="00075A16" w:rsidRPr="00076FE0">
        <w:t xml:space="preserve">the session </w:t>
      </w:r>
      <w:r w:rsidR="000F7401" w:rsidRPr="00076FE0">
        <w:t xml:space="preserve">had to be </w:t>
      </w:r>
      <w:r w:rsidR="00667CE4">
        <w:t>re</w:t>
      </w:r>
      <w:r w:rsidR="00667CE4">
        <w:noBreakHyphen/>
        <w:t>scheduled</w:t>
      </w:r>
      <w:r w:rsidR="000F7401" w:rsidRPr="00076FE0">
        <w:t xml:space="preserve"> to June 2021. </w:t>
      </w:r>
      <w:r w:rsidR="00B93755" w:rsidRPr="00076FE0">
        <w:t>As a result</w:t>
      </w:r>
      <w:r w:rsidR="000F7401" w:rsidRPr="00076FE0">
        <w:t xml:space="preserve">, the </w:t>
      </w:r>
      <w:r w:rsidR="00532467" w:rsidRPr="00076FE0">
        <w:t xml:space="preserve">total length of the three intersessional periods following the Plenary at which elections were held would exceed the </w:t>
      </w:r>
      <w:r w:rsidR="000F7401" w:rsidRPr="00076FE0">
        <w:t xml:space="preserve">term of office of three years </w:t>
      </w:r>
      <w:r w:rsidR="00B93755" w:rsidRPr="00076FE0">
        <w:t>provided</w:t>
      </w:r>
      <w:r w:rsidR="000F7401" w:rsidRPr="00076FE0">
        <w:t xml:space="preserve"> </w:t>
      </w:r>
      <w:r w:rsidR="00C56F6B" w:rsidRPr="00076FE0">
        <w:t xml:space="preserve">for </w:t>
      </w:r>
      <w:r w:rsidR="000F7401" w:rsidRPr="00076FE0">
        <w:t xml:space="preserve">in the rules of procedure. </w:t>
      </w:r>
    </w:p>
    <w:p w14:paraId="32A41902" w14:textId="76F73BD7" w:rsidR="000F7401" w:rsidRPr="00076FE0" w:rsidRDefault="007C6F41" w:rsidP="00D5387B">
      <w:pPr>
        <w:pStyle w:val="Normalnumber"/>
        <w:tabs>
          <w:tab w:val="clear" w:pos="1134"/>
        </w:tabs>
      </w:pPr>
      <w:r w:rsidRPr="00076FE0">
        <w:t>At</w:t>
      </w:r>
      <w:r w:rsidR="000F7401" w:rsidRPr="00076FE0">
        <w:t xml:space="preserve"> its eighth session</w:t>
      </w:r>
      <w:r w:rsidRPr="00076FE0">
        <w:t>, the Plenary</w:t>
      </w:r>
      <w:r w:rsidR="000F7401" w:rsidRPr="00076FE0">
        <w:t xml:space="preserve"> will</w:t>
      </w:r>
      <w:r w:rsidRPr="00076FE0">
        <w:t xml:space="preserve"> therefore</w:t>
      </w:r>
      <w:r w:rsidR="000F7401" w:rsidRPr="00076FE0">
        <w:t xml:space="preserve"> be invited to </w:t>
      </w:r>
      <w:r w:rsidRPr="00076FE0">
        <w:t xml:space="preserve">adopt </w:t>
      </w:r>
      <w:r w:rsidR="000F7401" w:rsidRPr="00076FE0">
        <w:t xml:space="preserve">a procedural decision that, notwithstanding rules 15 and 29 of the rules of procedure, </w:t>
      </w:r>
      <w:r w:rsidRPr="00076FE0">
        <w:t xml:space="preserve">will extend </w:t>
      </w:r>
      <w:r w:rsidR="000F7401" w:rsidRPr="00076FE0">
        <w:t xml:space="preserve">the term of office of the current members of the Multidisciplinary Expert Panel until the end of the ninth session of the Plenary and the term of office of the current members of the Bureau until the end of the tenth session of the Plenary. </w:t>
      </w:r>
    </w:p>
    <w:p w14:paraId="5C6034F8" w14:textId="77777777" w:rsidR="000F7401" w:rsidRPr="00076FE0" w:rsidRDefault="000F7401" w:rsidP="00D5387B">
      <w:pPr>
        <w:pStyle w:val="Normalnumber"/>
        <w:tabs>
          <w:tab w:val="clear" w:pos="1134"/>
        </w:tabs>
      </w:pPr>
      <w:r w:rsidRPr="00076FE0">
        <w:t xml:space="preserve">In case any member of the Bureau or Multidisciplinary Expert Panel, for whom the Plenary had not elected an alternate, resigns before the eighth session of the Plenary, the Plenary will be invited to elect a replacement under this item. </w:t>
      </w:r>
    </w:p>
    <w:p w14:paraId="71DD06BA" w14:textId="77777777" w:rsidR="000F7401" w:rsidRPr="00076FE0" w:rsidRDefault="000F7401" w:rsidP="00B55CCE">
      <w:pPr>
        <w:pStyle w:val="CH2"/>
        <w:spacing w:before="240" w:after="0"/>
        <w:ind w:left="1248" w:hanging="624"/>
        <w:rPr>
          <w:lang w:eastAsia="x-none"/>
        </w:rPr>
      </w:pPr>
      <w:r w:rsidRPr="00076FE0">
        <w:rPr>
          <w:lang w:eastAsia="x-none"/>
        </w:rPr>
        <w:t>Item 3</w:t>
      </w:r>
    </w:p>
    <w:p w14:paraId="4757F858" w14:textId="77777777" w:rsidR="000F7401" w:rsidRPr="00076FE0" w:rsidRDefault="000F7401" w:rsidP="0037491D">
      <w:pPr>
        <w:pStyle w:val="CH2"/>
        <w:ind w:left="1248" w:hanging="624"/>
        <w:rPr>
          <w:lang w:eastAsia="ko-KR"/>
        </w:rPr>
      </w:pPr>
      <w:r w:rsidRPr="00076FE0">
        <w:t xml:space="preserve">Admission of observers </w:t>
      </w:r>
    </w:p>
    <w:p w14:paraId="14DF1BAB" w14:textId="77777777" w:rsidR="000F7401" w:rsidRPr="00076FE0" w:rsidRDefault="000F7401" w:rsidP="00D5387B">
      <w:pPr>
        <w:pStyle w:val="Normalnumber"/>
        <w:tabs>
          <w:tab w:val="clear" w:pos="1134"/>
        </w:tabs>
      </w:pPr>
      <w:r w:rsidRPr="00076FE0">
        <w:t xml:space="preserve">The Chair of the Platform will propose, on behalf of the Bureau, the list of observers admitted to the eighth session (IPBES/8/INF/1) in accordance with the decision of the Plenary at its seventh session (IPBES/7/10, para. 29) that the interim procedure for the admission of observers to sessions of the Plenary, as described in paragraph 22 of the report of the first session of the Plenary (IPBES/1/12) and applied at its second to seventh sessions, would also be applied at its eighth session. </w:t>
      </w:r>
    </w:p>
    <w:p w14:paraId="4E351E7A" w14:textId="77777777" w:rsidR="000F7401" w:rsidRPr="00076FE0" w:rsidRDefault="000F7401" w:rsidP="00D5387B">
      <w:pPr>
        <w:pStyle w:val="Normalnumber"/>
        <w:tabs>
          <w:tab w:val="clear" w:pos="1134"/>
        </w:tabs>
      </w:pPr>
      <w:r w:rsidRPr="00076FE0">
        <w:t>The Plenary also decided that at its eighth session it would further consider the draft policy and procedures for the admission of observers, which are set out in the annex to the note by the secretariat on the matter (IPBES/8/10).</w:t>
      </w:r>
    </w:p>
    <w:p w14:paraId="66DF005D" w14:textId="77777777" w:rsidR="000F7401" w:rsidRPr="00076FE0" w:rsidRDefault="000F7401" w:rsidP="00B55CCE">
      <w:pPr>
        <w:pStyle w:val="CH2"/>
        <w:spacing w:before="240" w:after="0"/>
        <w:ind w:left="1248" w:hanging="624"/>
        <w:rPr>
          <w:lang w:eastAsia="x-none"/>
        </w:rPr>
      </w:pPr>
      <w:r w:rsidRPr="00076FE0">
        <w:rPr>
          <w:lang w:eastAsia="x-none"/>
        </w:rPr>
        <w:t>Item 4</w:t>
      </w:r>
    </w:p>
    <w:p w14:paraId="141DEC05" w14:textId="77777777" w:rsidR="000F7401" w:rsidRPr="00076FE0" w:rsidRDefault="000F7401" w:rsidP="0037491D">
      <w:pPr>
        <w:pStyle w:val="CH2"/>
        <w:ind w:left="1248" w:hanging="624"/>
        <w:rPr>
          <w:lang w:eastAsia="ko-KR"/>
        </w:rPr>
      </w:pPr>
      <w:r w:rsidRPr="00076FE0">
        <w:t>Credentials of representatives</w:t>
      </w:r>
    </w:p>
    <w:p w14:paraId="5AF4356F" w14:textId="77777777" w:rsidR="000F7401" w:rsidRPr="00076FE0" w:rsidRDefault="000F7401" w:rsidP="00D5387B">
      <w:pPr>
        <w:pStyle w:val="Normalnumber"/>
        <w:tabs>
          <w:tab w:val="clear" w:pos="1134"/>
        </w:tabs>
      </w:pPr>
      <w:r w:rsidRPr="00076FE0">
        <w:t xml:space="preserve">All States members of the Platform are invited to participate fully in the session. In accordance with rule 11 of the rules of procedure, each member of IPBES is to be represented by a delegation consisting of a head of delegation and such other accredited representatives, alternate representatives and advisers as it may require. </w:t>
      </w:r>
    </w:p>
    <w:p w14:paraId="65B2D750" w14:textId="70A99B4B" w:rsidR="000F7401" w:rsidRPr="00076FE0" w:rsidRDefault="000F7401" w:rsidP="00D5387B">
      <w:pPr>
        <w:pStyle w:val="Normalnumber"/>
        <w:tabs>
          <w:tab w:val="clear" w:pos="1134"/>
        </w:tabs>
      </w:pPr>
      <w:bookmarkStart w:id="1" w:name="_Hlk55472630"/>
      <w:r w:rsidRPr="00076FE0">
        <w:t>Pursuant to rule 12 of the rules of procedure, the credentials of representatives of States members of IPBES attending the session, issued by or on behalf of their Heads of State or Government or their ministers for foreign affairs consistent with each country’s policies and laws, should be submitted to the secretariat, if possible not later than 24 hours after the opening of the session. Such credentials are required for representatives to participate in the adoption of decisions at the session. A</w:t>
      </w:r>
      <w:r w:rsidR="00505EB5" w:rsidRPr="00076FE0">
        <w:t> </w:t>
      </w:r>
      <w:r w:rsidRPr="00076FE0">
        <w:t>scanned copy of the credentials, as well as other communications containing the names of representatives to the eighth session of the IPBES</w:t>
      </w:r>
      <w:r w:rsidR="000F7E25" w:rsidRPr="00076FE0">
        <w:t>,</w:t>
      </w:r>
      <w:r w:rsidRPr="00076FE0">
        <w:t xml:space="preserve"> such as letters and notes verbales</w:t>
      </w:r>
      <w:r w:rsidR="000F7E25" w:rsidRPr="00076FE0">
        <w:t>,</w:t>
      </w:r>
      <w:r w:rsidRPr="00076FE0">
        <w:t xml:space="preserve"> should be submitted by 9 June 2021 through the online platform</w:t>
      </w:r>
      <w:r w:rsidR="000F7E25" w:rsidRPr="00076FE0">
        <w:t xml:space="preserve"> at</w:t>
      </w:r>
      <w:r w:rsidRPr="00076FE0">
        <w:t xml:space="preserve"> https://ipbes.net/ipbes-8/nomination-letters-and-credentials. While the original hard copy of the credentials should normally be submitted to the </w:t>
      </w:r>
      <w:r w:rsidRPr="00076FE0">
        <w:lastRenderedPageBreak/>
        <w:t xml:space="preserve">IPBES secretariat, as the eighth session of the Plenary is being held </w:t>
      </w:r>
      <w:r w:rsidR="000F7E25" w:rsidRPr="00076FE0">
        <w:t>online</w:t>
      </w:r>
      <w:r w:rsidRPr="00076FE0">
        <w:t>, the IPBES secretariat is unable to receive the original hard copies until further notice.</w:t>
      </w:r>
    </w:p>
    <w:bookmarkEnd w:id="1"/>
    <w:p w14:paraId="18FAF8CC" w14:textId="70B425D5" w:rsidR="000F7401" w:rsidRPr="00076FE0" w:rsidRDefault="000F7401" w:rsidP="00D5387B">
      <w:pPr>
        <w:pStyle w:val="Normalnumber"/>
        <w:tabs>
          <w:tab w:val="clear" w:pos="1134"/>
        </w:tabs>
      </w:pPr>
      <w:r w:rsidRPr="00076FE0">
        <w:t xml:space="preserve">In accordance with rule 13 of the rules of procedure, the credentials of the representatives of members of IPBES will be examined by the Bureau, which will submit a report thereon to the Plenary. The Bureau will report on the outcome of its examination on </w:t>
      </w:r>
      <w:r w:rsidR="0024638F" w:rsidRPr="00076FE0">
        <w:t xml:space="preserve">Monday, </w:t>
      </w:r>
      <w:r w:rsidRPr="00076FE0">
        <w:t xml:space="preserve">14 June 2021, before the adoption of </w:t>
      </w:r>
      <w:r w:rsidR="0024638F" w:rsidRPr="00076FE0">
        <w:t xml:space="preserve">any </w:t>
      </w:r>
      <w:r w:rsidRPr="00076FE0">
        <w:t>decisions.</w:t>
      </w:r>
    </w:p>
    <w:p w14:paraId="6F2770B0" w14:textId="77777777" w:rsidR="000F7401" w:rsidRPr="00076FE0" w:rsidRDefault="000F7401" w:rsidP="007A7211">
      <w:pPr>
        <w:pStyle w:val="CH2"/>
        <w:spacing w:before="240" w:after="0"/>
        <w:ind w:left="1248" w:hanging="624"/>
        <w:rPr>
          <w:lang w:eastAsia="x-none"/>
        </w:rPr>
      </w:pPr>
      <w:r w:rsidRPr="00076FE0">
        <w:rPr>
          <w:lang w:eastAsia="x-none"/>
        </w:rPr>
        <w:t>Item 5</w:t>
      </w:r>
    </w:p>
    <w:p w14:paraId="571B142F" w14:textId="44EFDD48" w:rsidR="000F7401" w:rsidRPr="00076FE0" w:rsidRDefault="000F7401" w:rsidP="0037491D">
      <w:pPr>
        <w:pStyle w:val="CH2"/>
        <w:keepLines w:val="0"/>
        <w:tabs>
          <w:tab w:val="clear" w:pos="851"/>
        </w:tabs>
        <w:ind w:left="630" w:hanging="6"/>
      </w:pPr>
      <w:bookmarkStart w:id="2" w:name="_Hlk54192340"/>
      <w:r w:rsidRPr="00076FE0">
        <w:t>Report of the Executive Secretary on progress in the implementation of the rolling work programme</w:t>
      </w:r>
      <w:r w:rsidR="0024638F" w:rsidRPr="00076FE0">
        <w:t xml:space="preserve"> up to 2030</w:t>
      </w:r>
    </w:p>
    <w:bookmarkEnd w:id="2"/>
    <w:p w14:paraId="44E23FD7" w14:textId="2FFFD8A1" w:rsidR="000F7401" w:rsidRPr="00076FE0" w:rsidRDefault="000F7401" w:rsidP="00D5387B">
      <w:pPr>
        <w:pStyle w:val="Normalnumber"/>
        <w:tabs>
          <w:tab w:val="clear" w:pos="1134"/>
        </w:tabs>
      </w:pPr>
      <w:r w:rsidRPr="00076FE0">
        <w:t xml:space="preserve">Pursuant to decision IPBES-7/1, section I, on implementation of the rolling work programme of the Platform up to 2030, the Executive Secretary, in consultation with the Multidisciplinary Expert Panel and the Bureau, has developed for consideration by the Plenary a report on the implementation of the rolling work programme </w:t>
      </w:r>
      <w:r w:rsidR="00A01A99" w:rsidRPr="00076FE0">
        <w:t xml:space="preserve">up to 2030 </w:t>
      </w:r>
      <w:r w:rsidRPr="00076FE0">
        <w:t xml:space="preserve">(IPBES/8/2). The report provides comprehensive information on all aspects of the implementation of the work programme. </w:t>
      </w:r>
    </w:p>
    <w:p w14:paraId="36B8031B" w14:textId="77777777" w:rsidR="000F7401" w:rsidRPr="00076FE0" w:rsidRDefault="000F7401" w:rsidP="00D5387B">
      <w:pPr>
        <w:pStyle w:val="Normalnumber"/>
        <w:tabs>
          <w:tab w:val="clear" w:pos="1134"/>
        </w:tabs>
      </w:pPr>
      <w:r w:rsidRPr="00076FE0">
        <w:t xml:space="preserve">The Plenary may wish to welcome the information contained in the report and related documents, including: </w:t>
      </w:r>
    </w:p>
    <w:p w14:paraId="4C5C0125" w14:textId="77777777" w:rsidR="000F7401" w:rsidRPr="00076FE0" w:rsidRDefault="000F7401" w:rsidP="00217BC4">
      <w:pPr>
        <w:pStyle w:val="Normalnumber"/>
        <w:numPr>
          <w:ilvl w:val="1"/>
          <w:numId w:val="6"/>
        </w:numPr>
        <w:tabs>
          <w:tab w:val="clear" w:pos="567"/>
        </w:tabs>
        <w:ind w:firstLine="624"/>
      </w:pPr>
      <w:r w:rsidRPr="00076FE0">
        <w:t xml:space="preserve">Information on the institutional arrangements established to operationalize technical support for the implementation of the work programme (IPBES/8/INF/2); </w:t>
      </w:r>
    </w:p>
    <w:p w14:paraId="00A4B639" w14:textId="3561823D" w:rsidR="000F7401" w:rsidRPr="00076FE0" w:rsidRDefault="000F7401" w:rsidP="00217BC4">
      <w:pPr>
        <w:pStyle w:val="Normalnumber"/>
        <w:numPr>
          <w:ilvl w:val="1"/>
          <w:numId w:val="6"/>
        </w:numPr>
        <w:tabs>
          <w:tab w:val="clear" w:pos="567"/>
        </w:tabs>
        <w:ind w:firstLine="624"/>
      </w:pPr>
      <w:r w:rsidRPr="00076FE0">
        <w:t>Information on work related to assessing knowledge, including a report on progress in the undertaking of the assessment of the sustainable use of wild species, the assessment of invasive alien species, and the assessment regarding the diverse conceptualization of multiple values of nature and its benefits (assessment on values) in line with paragraphs 2 and 3 of section V and paragraph 3 of section VI of decision IPBES-6/1 (see IPBES/8/INF/3); information on the process of scoping a thematic assessment of the interlinkages among biodiversity, water, food and health (nexus assessment, see IPBES/8/INF/4) and a thematic assessment of the underlying causes of biodiver</w:t>
      </w:r>
      <w:r w:rsidR="00EA034F" w:rsidRPr="00076FE0">
        <w:t>sity</w:t>
      </w:r>
      <w:r w:rsidRPr="00076FE0">
        <w:t xml:space="preserve"> loss and the determinants of transformative change and options for achieving the 2050 Vision for Biodiver</w:t>
      </w:r>
      <w:r w:rsidR="00F839A0" w:rsidRPr="00076FE0">
        <w:t>si</w:t>
      </w:r>
      <w:r w:rsidRPr="00076FE0">
        <w:t>ty (transformative change assessment, see IPBES/8/INF/6), as well as progress in scoping a methodological assessment of the impact and dependence of business on biodiversity and nature’s contributions to people, in response to section II of decision IPBES-7/1 (see also IPBES/8/INF/7); and information related to the guide on the production of assessments in line with the same decision (see IPBES/8/INF/8);</w:t>
      </w:r>
    </w:p>
    <w:p w14:paraId="49EF4AA6" w14:textId="1921F6DE" w:rsidR="000F7401" w:rsidRPr="00076FE0" w:rsidRDefault="000F7401" w:rsidP="00217BC4">
      <w:pPr>
        <w:pStyle w:val="Normalnumber"/>
        <w:numPr>
          <w:ilvl w:val="1"/>
          <w:numId w:val="6"/>
        </w:numPr>
        <w:tabs>
          <w:tab w:val="clear" w:pos="567"/>
        </w:tabs>
        <w:ind w:firstLine="624"/>
      </w:pPr>
      <w:r w:rsidRPr="00076FE0">
        <w:t>Information on work related to building capacity, strengthening knowledge foundations and supporting policy (see IPBES/8/7), including information documents on work related to building capacity, in response to section III of decision IPBES-7/1 (IPBES/8/INF/9); work related to strengthening knowledge foundation</w:t>
      </w:r>
      <w:r w:rsidR="00CF5A63" w:rsidRPr="00076FE0">
        <w:t>s</w:t>
      </w:r>
      <w:r w:rsidRPr="00076FE0">
        <w:t xml:space="preserve">, in response to section IV of decision IPBES-7/1, in particular on indigenous and local knowledge systems (IPBES/8/INF/10) and knowledge and data (IPBES/8/INF/11); work on supporting policy, in response to section V of decision IPBES-7/1, in particular on policy tools and methodologies (IPBES/8/INF/13) and scenarios and models (IPBES/8/INF/14); </w:t>
      </w:r>
    </w:p>
    <w:p w14:paraId="7C0FA702" w14:textId="47085407" w:rsidR="000F7401" w:rsidRPr="00076FE0" w:rsidRDefault="000F7401" w:rsidP="00217BC4">
      <w:pPr>
        <w:pStyle w:val="Normalnumber"/>
        <w:numPr>
          <w:ilvl w:val="1"/>
          <w:numId w:val="6"/>
        </w:numPr>
        <w:tabs>
          <w:tab w:val="clear" w:pos="567"/>
        </w:tabs>
        <w:ind w:firstLine="624"/>
      </w:pPr>
      <w:r w:rsidRPr="00076FE0">
        <w:t>Information on work related to communicating and engaging, in particular information on the implementation of the communications and outreach strategy and the stakeholder engagement strategy, in response to decision IPBES-7/1 (IPBES/8/INF/15,</w:t>
      </w:r>
      <w:r w:rsidR="00E331E5" w:rsidRPr="00076FE0">
        <w:t xml:space="preserve"> </w:t>
      </w:r>
      <w:r w:rsidRPr="00076FE0">
        <w:t xml:space="preserve">IPBES/8/INF/16 and IPBES/8/INF/17) and information on collaboration and partnerships (see IPBES/8/INF/18); </w:t>
      </w:r>
    </w:p>
    <w:p w14:paraId="7F86E1D2" w14:textId="258C5EEB" w:rsidR="000F7401" w:rsidRPr="00076FE0" w:rsidRDefault="000F7401" w:rsidP="00217BC4">
      <w:pPr>
        <w:pStyle w:val="Normalnumber"/>
        <w:numPr>
          <w:ilvl w:val="1"/>
          <w:numId w:val="6"/>
        </w:numPr>
        <w:tabs>
          <w:tab w:val="clear" w:pos="567"/>
        </w:tabs>
        <w:ind w:firstLine="624"/>
      </w:pPr>
      <w:r w:rsidRPr="00076FE0">
        <w:t xml:space="preserve">Information on work related to improving the effectiveness of the Platform (IPBES/8/8, IPBES/8/INF/21 and IPBES/8/INF/22), which will be addressed under item 9; </w:t>
      </w:r>
    </w:p>
    <w:p w14:paraId="74923D48" w14:textId="77777777" w:rsidR="000F7401" w:rsidRPr="00076FE0" w:rsidRDefault="000F7401" w:rsidP="00217BC4">
      <w:pPr>
        <w:pStyle w:val="Normalnumber"/>
        <w:numPr>
          <w:ilvl w:val="1"/>
          <w:numId w:val="6"/>
        </w:numPr>
        <w:tabs>
          <w:tab w:val="clear" w:pos="567"/>
        </w:tabs>
        <w:ind w:firstLine="624"/>
      </w:pPr>
      <w:r w:rsidRPr="00076FE0">
        <w:t>Information on the implementation of the conflict of interest policy and procedures in line with decision IPBES-3/3, annex II (see also IPBES/8/INF/19).</w:t>
      </w:r>
    </w:p>
    <w:p w14:paraId="2945E712" w14:textId="77777777" w:rsidR="000F7401" w:rsidRPr="00076FE0" w:rsidRDefault="000F7401" w:rsidP="007A7211">
      <w:pPr>
        <w:pStyle w:val="CH2"/>
        <w:spacing w:before="240" w:after="0"/>
        <w:ind w:left="1248" w:hanging="624"/>
        <w:rPr>
          <w:lang w:eastAsia="x-none"/>
        </w:rPr>
      </w:pPr>
      <w:r w:rsidRPr="00076FE0">
        <w:rPr>
          <w:lang w:eastAsia="x-none"/>
        </w:rPr>
        <w:t>Item 6</w:t>
      </w:r>
    </w:p>
    <w:p w14:paraId="79BE7760" w14:textId="77777777" w:rsidR="000F7401" w:rsidRPr="00076FE0" w:rsidRDefault="000F7401" w:rsidP="007A7211">
      <w:pPr>
        <w:pStyle w:val="CH2"/>
        <w:ind w:left="624" w:right="289" w:firstLine="0"/>
      </w:pPr>
      <w:r w:rsidRPr="00076FE0">
        <w:t>Financial and budgetary arrangements for the Platform</w:t>
      </w:r>
    </w:p>
    <w:p w14:paraId="1AF695EA" w14:textId="3A7C3442" w:rsidR="000F7401" w:rsidRPr="00076FE0" w:rsidRDefault="000F7401" w:rsidP="00D5387B">
      <w:pPr>
        <w:pStyle w:val="Normalnumber"/>
        <w:tabs>
          <w:tab w:val="clear" w:pos="1134"/>
        </w:tabs>
      </w:pPr>
      <w:r w:rsidRPr="00076FE0">
        <w:t xml:space="preserve">In response to decision IPBES-7/4 on financial and budgetary arrangements, the Plenary will be invited to consider a note by the secretariat on financial and budgetary arrangements for the Platform (IPBES/8/5). The note provides information on the status of cash and in-kind contributions to the Platform, on expenditures for 2018, 2019 and 2020 and contains a revised budget for 2021, a </w:t>
      </w:r>
      <w:r w:rsidRPr="00076FE0">
        <w:lastRenderedPageBreak/>
        <w:t>budget for 2022 and a provisional budget for 2023, for consideration by the Plenary.</w:t>
      </w:r>
      <w:r w:rsidR="00BA75B2" w:rsidRPr="00076FE0">
        <w:t xml:space="preserve"> </w:t>
      </w:r>
      <w:r w:rsidR="00976AF0" w:rsidRPr="00076FE0">
        <w:t>Detailed i</w:t>
      </w:r>
      <w:r w:rsidR="00BA75B2" w:rsidRPr="00076FE0">
        <w:t xml:space="preserve">nformation on </w:t>
      </w:r>
      <w:r w:rsidR="00976AF0" w:rsidRPr="00076FE0">
        <w:t>the</w:t>
      </w:r>
      <w:r w:rsidR="00BA75B2" w:rsidRPr="00076FE0">
        <w:t xml:space="preserve"> cost of </w:t>
      </w:r>
      <w:r w:rsidR="001E00F0" w:rsidRPr="00076FE0">
        <w:t>implement</w:t>
      </w:r>
      <w:r w:rsidR="00976AF0" w:rsidRPr="00076FE0">
        <w:t>ing</w:t>
      </w:r>
      <w:r w:rsidR="00BA75B2" w:rsidRPr="00076FE0">
        <w:t xml:space="preserve"> the work programme </w:t>
      </w:r>
      <w:r w:rsidR="001E00F0" w:rsidRPr="00076FE0">
        <w:t>is</w:t>
      </w:r>
      <w:r w:rsidR="00BA75B2" w:rsidRPr="00076FE0">
        <w:t xml:space="preserve"> set out in document IPBES/8/INF/24.</w:t>
      </w:r>
    </w:p>
    <w:p w14:paraId="00E1E530" w14:textId="49EDAC15" w:rsidR="000F7401" w:rsidRPr="00076FE0" w:rsidRDefault="000F7401" w:rsidP="00D5387B">
      <w:pPr>
        <w:pStyle w:val="Normalnumber"/>
        <w:tabs>
          <w:tab w:val="clear" w:pos="1134"/>
        </w:tabs>
      </w:pPr>
      <w:r w:rsidRPr="00076FE0">
        <w:t>The note by the secretariat also contains information on activities related to fundraising and sets out draft guidelines t</w:t>
      </w:r>
      <w:r w:rsidR="00C67BC2" w:rsidRPr="00076FE0">
        <w:t>o</w:t>
      </w:r>
      <w:r w:rsidRPr="00076FE0">
        <w:t xml:space="preserve"> regulate contributions to the work of the Platform from the private sector and non-governmental stakeholders, for consideration by the Plenary. </w:t>
      </w:r>
    </w:p>
    <w:p w14:paraId="7522183C" w14:textId="77777777" w:rsidR="000F7401" w:rsidRPr="00076FE0" w:rsidRDefault="000F7401" w:rsidP="007A7211">
      <w:pPr>
        <w:pStyle w:val="CH2"/>
        <w:spacing w:before="240" w:after="0"/>
        <w:ind w:left="1248" w:hanging="624"/>
      </w:pPr>
      <w:r w:rsidRPr="00076FE0">
        <w:tab/>
      </w:r>
      <w:r w:rsidRPr="00076FE0">
        <w:rPr>
          <w:lang w:eastAsia="x-none"/>
        </w:rPr>
        <w:t>Item 7</w:t>
      </w:r>
    </w:p>
    <w:p w14:paraId="38089FAC" w14:textId="77777777" w:rsidR="000F7401" w:rsidRPr="00076FE0" w:rsidRDefault="000F7401" w:rsidP="000F7401">
      <w:pPr>
        <w:pStyle w:val="CH2"/>
        <w:ind w:left="624" w:firstLine="0"/>
      </w:pPr>
      <w:r w:rsidRPr="00076FE0">
        <w:tab/>
        <w:t>Assessing knowledge</w:t>
      </w:r>
    </w:p>
    <w:p w14:paraId="3DE261D3" w14:textId="77777777" w:rsidR="000F7401" w:rsidRPr="00076FE0" w:rsidRDefault="000F7401" w:rsidP="00FF4978">
      <w:pPr>
        <w:pStyle w:val="CH3"/>
      </w:pPr>
      <w:r w:rsidRPr="00076FE0">
        <w:tab/>
        <w:t>(a)</w:t>
      </w:r>
      <w:r w:rsidRPr="00076FE0">
        <w:tab/>
        <w:t>Scoping report for a thematic assessment of the interlinkages among biodiversity, water, food and health</w:t>
      </w:r>
    </w:p>
    <w:p w14:paraId="30CFBB69" w14:textId="3DEF6EE1" w:rsidR="000F7401" w:rsidRPr="00076FE0" w:rsidRDefault="000F7401" w:rsidP="00D5387B">
      <w:pPr>
        <w:pStyle w:val="Normalnumber"/>
        <w:tabs>
          <w:tab w:val="clear" w:pos="1134"/>
        </w:tabs>
      </w:pPr>
      <w:r w:rsidRPr="00076FE0">
        <w:t>In paragraph 2</w:t>
      </w:r>
      <w:r w:rsidR="003A426C" w:rsidRPr="00076FE0">
        <w:t xml:space="preserve"> </w:t>
      </w:r>
      <w:r w:rsidRPr="00076FE0">
        <w:t xml:space="preserve">(a) of section II of decision IPBES-7/1, the Plenary approved the scoping process for a thematic assessment of the interlinkages among biodiversity, water, food and health (nexus assessment), in accordance with the procedures for the preparation of Platform deliverables set out in annex I to decision IPBES-3/3 and based on the initial scoping report for the assessment, set out in </w:t>
      </w:r>
      <w:r w:rsidR="0074576D" w:rsidRPr="00076FE0">
        <w:t xml:space="preserve">section I of </w:t>
      </w:r>
      <w:r w:rsidRPr="00076FE0">
        <w:t>appendix II</w:t>
      </w:r>
      <w:r w:rsidR="0074576D" w:rsidRPr="00076FE0">
        <w:t xml:space="preserve"> </w:t>
      </w:r>
      <w:r w:rsidRPr="00076FE0">
        <w:t xml:space="preserve">to document IPBES/7/6. </w:t>
      </w:r>
    </w:p>
    <w:p w14:paraId="2C558A3B" w14:textId="5E23C2E1" w:rsidR="000F7401" w:rsidRPr="00076FE0" w:rsidRDefault="000F7401" w:rsidP="00D5387B">
      <w:pPr>
        <w:pStyle w:val="Normalnumber"/>
        <w:tabs>
          <w:tab w:val="clear" w:pos="1134"/>
        </w:tabs>
      </w:pPr>
      <w:r w:rsidRPr="00076FE0">
        <w:t xml:space="preserve">In paragraph 3 of </w:t>
      </w:r>
      <w:r w:rsidR="000140D6" w:rsidRPr="00076FE0">
        <w:t xml:space="preserve">section II of </w:t>
      </w:r>
      <w:r w:rsidRPr="00076FE0">
        <w:t xml:space="preserve">the same decision, the Plenary requested the Multidisciplinary Expert Panel, the Bureau and the Executive Secretary to facilitate discussions between the scoping processes for the nexus assessment and the transformative change assessment with a view to maximizing the synergies between the assessments and avoiding duplication of scope. In paragraph 5 of </w:t>
      </w:r>
      <w:r w:rsidR="00623FA3" w:rsidRPr="00076FE0">
        <w:t>section II</w:t>
      </w:r>
      <w:r w:rsidRPr="00076FE0">
        <w:t>, the Plenary decided, as part of the scoping processes</w:t>
      </w:r>
      <w:r w:rsidR="00623FA3" w:rsidRPr="00076FE0">
        <w:t xml:space="preserve"> for the assessments</w:t>
      </w:r>
      <w:r w:rsidRPr="00076FE0">
        <w:t>, to consider how the Platform’s functions of</w:t>
      </w:r>
      <w:r w:rsidR="009B0A18" w:rsidRPr="00076FE0">
        <w:t xml:space="preserve"> capacity</w:t>
      </w:r>
      <w:r w:rsidR="009B0A18" w:rsidRPr="00076FE0">
        <w:noBreakHyphen/>
        <w:t>building</w:t>
      </w:r>
      <w:r w:rsidRPr="00076FE0">
        <w:t>, strengthening knowledge foundations and supporting policy, and the respective task forces, c</w:t>
      </w:r>
      <w:r w:rsidR="00F922C2" w:rsidRPr="00076FE0">
        <w:t>ould</w:t>
      </w:r>
      <w:r w:rsidRPr="00076FE0">
        <w:t xml:space="preserve"> be used to support the preparation, delivery and policy uptake of the assessments in an integrated manner.</w:t>
      </w:r>
    </w:p>
    <w:p w14:paraId="68A4C02A" w14:textId="73317AD0" w:rsidR="000F7401" w:rsidRPr="00076FE0" w:rsidRDefault="00F922C2" w:rsidP="00D5387B">
      <w:pPr>
        <w:pStyle w:val="Normalnumber"/>
        <w:tabs>
          <w:tab w:val="clear" w:pos="1134"/>
        </w:tabs>
      </w:pPr>
      <w:r w:rsidRPr="00076FE0">
        <w:t xml:space="preserve">In the light of </w:t>
      </w:r>
      <w:r w:rsidR="000F7401" w:rsidRPr="00076FE0">
        <w:t xml:space="preserve">the extraordinary situation caused by the COVID-19 pandemic, the Bureau and Multidisciplinary Expert Panel approved a virtual Platform workshop on the link between biodiversity and pandemics, intended to mainly support the scoping of the nexus assessment on that topic. </w:t>
      </w:r>
      <w:r w:rsidR="003E0EDA" w:rsidRPr="00076FE0">
        <w:t>Participants in t</w:t>
      </w:r>
      <w:r w:rsidR="000F7401" w:rsidRPr="00076FE0">
        <w:t xml:space="preserve">he workshop reviewed evidence regarding the origin of infectious diseases transmitted from wild animals, the relationship between pandemics and biodiversity, in particular the drivers of pandemics and options for action related to biodiversity and ecosystem services in the context of the current crisis and the prevention of future outbreaks. </w:t>
      </w:r>
    </w:p>
    <w:p w14:paraId="136CF715" w14:textId="1923AE18" w:rsidR="000F7401" w:rsidRPr="00076FE0" w:rsidRDefault="000F7401" w:rsidP="00D5387B">
      <w:pPr>
        <w:pStyle w:val="Normalnumber"/>
        <w:tabs>
          <w:tab w:val="clear" w:pos="1134"/>
        </w:tabs>
      </w:pPr>
      <w:r w:rsidRPr="00076FE0">
        <w:t xml:space="preserve">The workshop on biodiversity and climate change, co-sponsored by IPCC and IPBES (see </w:t>
      </w:r>
      <w:r w:rsidR="009B0A18" w:rsidRPr="00076FE0">
        <w:t>sub</w:t>
      </w:r>
      <w:r w:rsidR="009B0A18" w:rsidRPr="00076FE0">
        <w:noBreakHyphen/>
        <w:t>item</w:t>
      </w:r>
      <w:r w:rsidRPr="00076FE0">
        <w:t xml:space="preserve"> </w:t>
      </w:r>
      <w:r w:rsidR="003E0EDA" w:rsidRPr="00076FE0">
        <w:t xml:space="preserve">7 </w:t>
      </w:r>
      <w:r w:rsidRPr="00076FE0">
        <w:t xml:space="preserve">(c) below), was also intended to support the scoping of the nexus assessment on that topic. </w:t>
      </w:r>
    </w:p>
    <w:p w14:paraId="564FA2B7" w14:textId="0765DB3F" w:rsidR="000F7401" w:rsidRPr="00076FE0" w:rsidRDefault="000F7401" w:rsidP="00D5387B">
      <w:pPr>
        <w:pStyle w:val="Normalnumber"/>
        <w:tabs>
          <w:tab w:val="clear" w:pos="1134"/>
        </w:tabs>
      </w:pPr>
      <w:r w:rsidRPr="00076FE0">
        <w:t xml:space="preserve">The Plenary will be invited to consider the scoping report (IPBES/8/3) for approval, </w:t>
      </w:r>
      <w:r w:rsidR="00096B23" w:rsidRPr="00076FE0">
        <w:t xml:space="preserve">to </w:t>
      </w:r>
      <w:r w:rsidRPr="00076FE0">
        <w:t xml:space="preserve">initiate the assessment and </w:t>
      </w:r>
      <w:r w:rsidR="00096B23" w:rsidRPr="00076FE0">
        <w:t xml:space="preserve">to </w:t>
      </w:r>
      <w:r w:rsidRPr="00076FE0">
        <w:t>welcome the reports on the workshop on biodiversity and pandemics (IPBES/8/INF/5) and on the co-sponsored workshop on biodiversity and climate change (IPBES/8/INF/20)</w:t>
      </w:r>
      <w:r w:rsidR="00096B23" w:rsidRPr="00076FE0">
        <w:t>,</w:t>
      </w:r>
      <w:r w:rsidRPr="00076FE0">
        <w:t xml:space="preserve"> and to invite </w:t>
      </w:r>
      <w:r w:rsidRPr="00076FE0">
        <w:rPr>
          <w:rFonts w:eastAsia="Calibri"/>
        </w:rPr>
        <w:t>the experts who will prepare the nexus assessment to make use of the reports in the undertaking of the assessment, in line with the procedures for the preparation of Platform deliverables</w:t>
      </w:r>
      <w:r w:rsidRPr="00076FE0">
        <w:t>. An overview of the process followed for the production of the scoping report is</w:t>
      </w:r>
      <w:r w:rsidR="00201B03" w:rsidRPr="00076FE0">
        <w:t xml:space="preserve"> set out </w:t>
      </w:r>
      <w:r w:rsidRPr="00076FE0">
        <w:t xml:space="preserve">in </w:t>
      </w:r>
      <w:r w:rsidR="00096B23" w:rsidRPr="00076FE0">
        <w:t xml:space="preserve">document </w:t>
      </w:r>
      <w:r w:rsidRPr="00076FE0">
        <w:t>IPBES/8/INF/4.</w:t>
      </w:r>
    </w:p>
    <w:p w14:paraId="48222843" w14:textId="77777777" w:rsidR="000F7401" w:rsidRPr="00076FE0" w:rsidRDefault="000F7401" w:rsidP="00FF4978">
      <w:pPr>
        <w:pStyle w:val="CH3"/>
      </w:pPr>
      <w:r w:rsidRPr="00076FE0">
        <w:tab/>
        <w:t>(b)</w:t>
      </w:r>
      <w:r w:rsidRPr="00076FE0">
        <w:tab/>
        <w:t>Scoping report for a thematic assessment of the underlying causes of biodiversity loss and the determinants of transformative change and options for achieving the 2050 Vision for Biodiversity</w:t>
      </w:r>
    </w:p>
    <w:p w14:paraId="616F6DC0" w14:textId="6998BCBA" w:rsidR="000F7401" w:rsidRPr="00076FE0" w:rsidRDefault="000F7401" w:rsidP="00D5387B">
      <w:pPr>
        <w:pStyle w:val="Normalnumber"/>
        <w:tabs>
          <w:tab w:val="clear" w:pos="1134"/>
        </w:tabs>
      </w:pPr>
      <w:r w:rsidRPr="00076FE0">
        <w:t>In paragraph 2</w:t>
      </w:r>
      <w:r w:rsidR="00096B23" w:rsidRPr="00076FE0">
        <w:t xml:space="preserve"> </w:t>
      </w:r>
      <w:r w:rsidRPr="00076FE0">
        <w:t>(b) of section II of decision IPBES-7/1, the Plenary approved the scoping process for a thematic assessment of the underlying causes of biodiversity loss and the determinants of transformative change and options for achieving the 2050 Vision for Biodiversity, in accordance with the procedures fo</w:t>
      </w:r>
      <w:r w:rsidR="00201B03" w:rsidRPr="00076FE0">
        <w:t>r</w:t>
      </w:r>
      <w:r w:rsidRPr="00076FE0">
        <w:t xml:space="preserve"> the preparation of Platform deliverables set out in annex I to decision IPBES-3/3 and based on the initial scoping report for the assessment, set out in </w:t>
      </w:r>
      <w:r w:rsidR="00201B03" w:rsidRPr="00076FE0">
        <w:t xml:space="preserve">section III of </w:t>
      </w:r>
      <w:r w:rsidRPr="00076FE0">
        <w:t xml:space="preserve">appendix II to document IPBES/7/6. </w:t>
      </w:r>
    </w:p>
    <w:p w14:paraId="0AD24FAC" w14:textId="76E9BE39" w:rsidR="000F7401" w:rsidRPr="00076FE0" w:rsidRDefault="000F7401" w:rsidP="00D5387B">
      <w:pPr>
        <w:pStyle w:val="Normalnumber"/>
        <w:tabs>
          <w:tab w:val="clear" w:pos="1134"/>
        </w:tabs>
      </w:pPr>
      <w:r w:rsidRPr="00076FE0">
        <w:t xml:space="preserve">In paragraph 3 of </w:t>
      </w:r>
      <w:r w:rsidR="00135B58" w:rsidRPr="00076FE0">
        <w:t xml:space="preserve">section II of </w:t>
      </w:r>
      <w:r w:rsidRPr="00076FE0">
        <w:t xml:space="preserve">the same decision, the Plenary requested the Multidisciplinary Expert Panel, the Bureau and the Executive Secretary to facilitate discussions between the scoping processes for the transformative change and nexus assessments, with a view to maximizing the synergies between the assessments and avoiding duplication of scope. In paragraph 5 of </w:t>
      </w:r>
      <w:r w:rsidR="00135B58" w:rsidRPr="00076FE0">
        <w:t>section II</w:t>
      </w:r>
      <w:r w:rsidRPr="00076FE0">
        <w:t>, the Plenary decided, as part of the scoping process, to consider how the Platform’s functions of</w:t>
      </w:r>
      <w:r w:rsidR="009B0A18" w:rsidRPr="00076FE0">
        <w:t xml:space="preserve"> capacity</w:t>
      </w:r>
      <w:r w:rsidR="009B0A18" w:rsidRPr="00076FE0">
        <w:noBreakHyphen/>
        <w:t>building</w:t>
      </w:r>
      <w:r w:rsidRPr="00076FE0">
        <w:t>, strengthening knowledge foundations and supporting policy, and the respective task forces, c</w:t>
      </w:r>
      <w:r w:rsidR="00135B58" w:rsidRPr="00076FE0">
        <w:t>ould</w:t>
      </w:r>
      <w:r w:rsidRPr="00076FE0">
        <w:t xml:space="preserve"> be used to support the preparation, delivery and policy</w:t>
      </w:r>
      <w:r w:rsidR="00D17247" w:rsidRPr="00076FE0">
        <w:t xml:space="preserve"> </w:t>
      </w:r>
      <w:r w:rsidRPr="00076FE0">
        <w:t>uptake of the assessments in an integrated manner.</w:t>
      </w:r>
    </w:p>
    <w:p w14:paraId="414722B2" w14:textId="00338DC4" w:rsidR="000F7401" w:rsidRPr="00076FE0" w:rsidRDefault="000F7401" w:rsidP="00D5387B">
      <w:pPr>
        <w:pStyle w:val="Normalnumber"/>
        <w:tabs>
          <w:tab w:val="clear" w:pos="1134"/>
        </w:tabs>
      </w:pPr>
      <w:r w:rsidRPr="00076FE0">
        <w:lastRenderedPageBreak/>
        <w:t xml:space="preserve">The Plenary will be invited to consider the scoping report (IPBES/8/4) for approval and to initiate the assessment. An overview of the process followed for the production of the scoping report is </w:t>
      </w:r>
      <w:r w:rsidR="00E77D1C" w:rsidRPr="00076FE0">
        <w:t>set out</w:t>
      </w:r>
      <w:r w:rsidRPr="00076FE0">
        <w:t xml:space="preserve"> in </w:t>
      </w:r>
      <w:r w:rsidR="00E77D1C" w:rsidRPr="00076FE0">
        <w:t xml:space="preserve">document </w:t>
      </w:r>
      <w:r w:rsidRPr="00076FE0">
        <w:t xml:space="preserve">IPBES/8/INF/6. </w:t>
      </w:r>
    </w:p>
    <w:p w14:paraId="610ADCC1" w14:textId="6188C3D1" w:rsidR="000F7401" w:rsidRPr="00076FE0" w:rsidRDefault="000F7401" w:rsidP="000F7401">
      <w:pPr>
        <w:pStyle w:val="CH3"/>
        <w:keepLines w:val="0"/>
        <w:ind w:left="1253" w:right="288" w:hanging="1253"/>
      </w:pPr>
      <w:r w:rsidRPr="00076FE0">
        <w:tab/>
        <w:t>(c)</w:t>
      </w:r>
      <w:r w:rsidRPr="00076FE0">
        <w:tab/>
      </w:r>
      <w:bookmarkStart w:id="3" w:name="_Hlk54193818"/>
      <w:r w:rsidRPr="00076FE0">
        <w:t xml:space="preserve">Work related to </w:t>
      </w:r>
      <w:r w:rsidR="00615597" w:rsidRPr="00076FE0">
        <w:t xml:space="preserve">the interlinkages between </w:t>
      </w:r>
      <w:r w:rsidRPr="00076FE0">
        <w:t>biodiversity and climate change and collaboration with the Intergovernmental Panel on Climate Change</w:t>
      </w:r>
      <w:bookmarkEnd w:id="3"/>
    </w:p>
    <w:p w14:paraId="78C3CD00" w14:textId="16E10A94" w:rsidR="000F7401" w:rsidRPr="00076FE0" w:rsidRDefault="000F7401" w:rsidP="00D5387B">
      <w:pPr>
        <w:pStyle w:val="Normalnumber"/>
        <w:tabs>
          <w:tab w:val="clear" w:pos="1134"/>
        </w:tabs>
      </w:pPr>
      <w:r w:rsidRPr="00076FE0">
        <w:t xml:space="preserve">In paragraph 6 of section II of decision IPBES-7/1, the Plenary agreed to the preparation of a technical paper on biodiversity and climate change, based on the material referenced or contained in the assessment reports of the Platform and, on an exceptional basis, assessment reports of IPCC, with a view to informing, inter alia, the Conference of the Parties to the Convention on Biological Diversity at its fifteenth meeting and the Conference of the Parties to the United Nations Framework Convention on Climate Change at its twenty-sixth session, with the technical paper to be produced in accordance with the clearance processes for technical papers set out in the procedures for the preparation of Platform deliverables and based on the concept note for the technical paper set out in section II of appendix II to </w:t>
      </w:r>
      <w:r w:rsidR="00E94E6B" w:rsidRPr="00076FE0">
        <w:t xml:space="preserve">document </w:t>
      </w:r>
      <w:r w:rsidRPr="00076FE0">
        <w:t xml:space="preserve">IPBES/7/6. </w:t>
      </w:r>
    </w:p>
    <w:p w14:paraId="0A9C60A1" w14:textId="347FDB9A" w:rsidR="000F7401" w:rsidRPr="00076FE0" w:rsidRDefault="000F7401" w:rsidP="00D5387B">
      <w:pPr>
        <w:pStyle w:val="Normalnumber"/>
        <w:tabs>
          <w:tab w:val="clear" w:pos="1134"/>
        </w:tabs>
      </w:pPr>
      <w:r w:rsidRPr="00076FE0">
        <w:t xml:space="preserve">In paragraph 7 of </w:t>
      </w:r>
      <w:r w:rsidR="00E94E6B" w:rsidRPr="00076FE0">
        <w:t xml:space="preserve">section II of </w:t>
      </w:r>
      <w:r w:rsidRPr="00076FE0">
        <w:t>the same decision, the Plenary requested the Executive Secretary, to th</w:t>
      </w:r>
      <w:r w:rsidR="00E94E6B" w:rsidRPr="00076FE0">
        <w:t>at</w:t>
      </w:r>
      <w:r w:rsidRPr="00076FE0">
        <w:t xml:space="preserve"> end, to explore, with the secretariat of IPCC, possible joint activities on biodiversity and climate change, including the possibility of jointly preparing the technical paper mentioned above, and to report on the discussions on further options for potential joint activities and deliverables related to biodiversity and ecosystem services and climate change, with reference to the time and resource implications thereof, to the Plenary at its eighth session. </w:t>
      </w:r>
    </w:p>
    <w:p w14:paraId="2C33BC0F" w14:textId="5457007C" w:rsidR="000F7401" w:rsidRPr="00076FE0" w:rsidRDefault="00D36534" w:rsidP="00D5387B">
      <w:pPr>
        <w:pStyle w:val="Normalnumber"/>
        <w:tabs>
          <w:tab w:val="clear" w:pos="1134"/>
        </w:tabs>
      </w:pPr>
      <w:r w:rsidRPr="00076FE0">
        <w:t>Owing</w:t>
      </w:r>
      <w:r w:rsidR="000F7401" w:rsidRPr="00076FE0">
        <w:t xml:space="preserve"> to the workload of IPCC, it was not possible for </w:t>
      </w:r>
      <w:bookmarkStart w:id="4" w:name="_Hlk39836467"/>
      <w:r w:rsidR="000F7401" w:rsidRPr="00076FE0">
        <w:t>the</w:t>
      </w:r>
      <w:r w:rsidRPr="00076FE0">
        <w:t xml:space="preserve"> Panel</w:t>
      </w:r>
      <w:r w:rsidR="000F7401" w:rsidRPr="00076FE0">
        <w:t xml:space="preserve"> to jointly prepare a technical paper with IPBES. However, IPCC agreed to co-sponsor a workshop on biodiversity and climate change </w:t>
      </w:r>
      <w:bookmarkEnd w:id="4"/>
      <w:r w:rsidR="000F7401" w:rsidRPr="00076FE0">
        <w:t xml:space="preserve">with IPBES. The workshop was approved by the IPBES Multidisciplinary Expert Panel and </w:t>
      </w:r>
      <w:r w:rsidR="00BD1CD6" w:rsidRPr="00076FE0">
        <w:t xml:space="preserve">the </w:t>
      </w:r>
      <w:r w:rsidR="000F7401" w:rsidRPr="00076FE0">
        <w:t>Bureau, under section 6.2 of the procedures for the preparation of IPBES deliverables set out in annex I to decision IPBES-3/3, and</w:t>
      </w:r>
      <w:r w:rsidR="00BD1CD6" w:rsidRPr="00076FE0">
        <w:t xml:space="preserve"> by</w:t>
      </w:r>
      <w:r w:rsidR="000F7401" w:rsidRPr="00076FE0">
        <w:t xml:space="preserve"> the Bureau of</w:t>
      </w:r>
      <w:r w:rsidR="00E331E5" w:rsidRPr="00076FE0">
        <w:t xml:space="preserve"> </w:t>
      </w:r>
      <w:r w:rsidR="000F7401" w:rsidRPr="00076FE0">
        <w:t xml:space="preserve">IPCC, under the relevant procedures of the Panel. The report of the workshop is set out in </w:t>
      </w:r>
      <w:r w:rsidR="00E94E6B" w:rsidRPr="00076FE0">
        <w:t xml:space="preserve">document </w:t>
      </w:r>
      <w:r w:rsidR="000F7401" w:rsidRPr="00076FE0">
        <w:t>IPBES/8/INF/20.</w:t>
      </w:r>
    </w:p>
    <w:p w14:paraId="57C24E6F" w14:textId="13E8F2BF" w:rsidR="000F7401" w:rsidRPr="00076FE0" w:rsidRDefault="00972FB1" w:rsidP="00D5387B">
      <w:pPr>
        <w:pStyle w:val="Normalnumber"/>
        <w:tabs>
          <w:tab w:val="clear" w:pos="1134"/>
        </w:tabs>
      </w:pPr>
      <w:r w:rsidRPr="00076FE0">
        <w:t>In</w:t>
      </w:r>
      <w:r w:rsidR="000F7401" w:rsidRPr="00076FE0">
        <w:t xml:space="preserve"> paragraph 12 of section II of decision IPBES-7/1,</w:t>
      </w:r>
      <w:r w:rsidRPr="00076FE0">
        <w:t xml:space="preserve"> the Plenary</w:t>
      </w:r>
      <w:r w:rsidR="000F7401" w:rsidRPr="00076FE0">
        <w:t xml:space="preserve"> recognized the need for ongoing adaptive management of the Platform, according to the needs and priorities of the Platform, and decided to consider any adjustments to the schedule and list of assessments as necessary. </w:t>
      </w:r>
    </w:p>
    <w:p w14:paraId="5447E100" w14:textId="6AB53CB6" w:rsidR="000F7401" w:rsidRPr="00076FE0" w:rsidRDefault="000F7401" w:rsidP="00D5387B">
      <w:pPr>
        <w:pStyle w:val="Normalnumber"/>
        <w:tabs>
          <w:tab w:val="clear" w:pos="1134"/>
        </w:tabs>
      </w:pPr>
      <w:r w:rsidRPr="00076FE0">
        <w:t xml:space="preserve">The Plenary will be invited to welcome the report on progress set out in the note </w:t>
      </w:r>
      <w:r w:rsidR="00F027E6" w:rsidRPr="00076FE0">
        <w:t xml:space="preserve">by the secretariat </w:t>
      </w:r>
      <w:r w:rsidRPr="00076FE0">
        <w:t xml:space="preserve">on biodiversity and climate change (IPBES/8/6) and request the Chair and </w:t>
      </w:r>
      <w:r w:rsidR="00F027E6" w:rsidRPr="00076FE0">
        <w:t xml:space="preserve">the </w:t>
      </w:r>
      <w:r w:rsidRPr="00076FE0">
        <w:t xml:space="preserve">Executive Secretary of IPBES to continue explorations with the Chair and </w:t>
      </w:r>
      <w:r w:rsidR="00F027E6" w:rsidRPr="00076FE0">
        <w:t xml:space="preserve">the </w:t>
      </w:r>
      <w:r w:rsidRPr="00076FE0">
        <w:t>Secretary of IPCC of possible joint activities between IPCC and IPBES, including those set out in section II of the note</w:t>
      </w:r>
      <w:r w:rsidR="00F027E6" w:rsidRPr="00076FE0">
        <w:t>,</w:t>
      </w:r>
      <w:r w:rsidRPr="00076FE0">
        <w:t xml:space="preserve"> and to report </w:t>
      </w:r>
      <w:r w:rsidR="001C6ED4" w:rsidRPr="00076FE0">
        <w:t xml:space="preserve">thereon </w:t>
      </w:r>
      <w:r w:rsidRPr="00076FE0">
        <w:t xml:space="preserve">to the Plenary at its ninth </w:t>
      </w:r>
      <w:r w:rsidR="001C6ED4" w:rsidRPr="00076FE0">
        <w:t>session</w:t>
      </w:r>
      <w:r w:rsidRPr="00076FE0">
        <w:t xml:space="preserve">. </w:t>
      </w:r>
    </w:p>
    <w:p w14:paraId="648F8D52" w14:textId="77777777" w:rsidR="000F7401" w:rsidRPr="00076FE0" w:rsidRDefault="000F7401" w:rsidP="007A7211">
      <w:pPr>
        <w:pStyle w:val="CH2"/>
        <w:spacing w:before="240" w:after="0"/>
        <w:ind w:left="1248" w:hanging="624"/>
        <w:rPr>
          <w:lang w:eastAsia="x-none"/>
        </w:rPr>
      </w:pPr>
      <w:r w:rsidRPr="00076FE0">
        <w:rPr>
          <w:lang w:eastAsia="x-none"/>
        </w:rPr>
        <w:t>Item 8</w:t>
      </w:r>
    </w:p>
    <w:p w14:paraId="722D7833" w14:textId="45E6FC37" w:rsidR="000F7401" w:rsidRPr="00076FE0" w:rsidRDefault="000F7401" w:rsidP="007A7211">
      <w:pPr>
        <w:pStyle w:val="CH2"/>
        <w:keepLines w:val="0"/>
        <w:ind w:left="1236" w:right="289" w:hanging="618"/>
      </w:pPr>
      <w:r w:rsidRPr="00076FE0">
        <w:tab/>
        <w:t>Building capacity, strengthening knowledge foundations and supporting policy</w:t>
      </w:r>
    </w:p>
    <w:p w14:paraId="55692E91" w14:textId="795D8E4E" w:rsidR="000F7401" w:rsidRPr="00076FE0" w:rsidRDefault="000F7401" w:rsidP="00D5387B">
      <w:pPr>
        <w:pStyle w:val="Normalnumber"/>
        <w:tabs>
          <w:tab w:val="clear" w:pos="1134"/>
        </w:tabs>
      </w:pPr>
      <w:r w:rsidRPr="00076FE0">
        <w:t>In decision IPBES-7/1, the Plenary extended the mandates of the task forces on</w:t>
      </w:r>
      <w:r w:rsidR="009B0A18" w:rsidRPr="00076FE0">
        <w:t xml:space="preserve"> capacity</w:t>
      </w:r>
      <w:r w:rsidR="009B0A18" w:rsidRPr="00076FE0">
        <w:noBreakHyphen/>
        <w:t>building</w:t>
      </w:r>
      <w:r w:rsidRPr="00076FE0">
        <w:t xml:space="preserve"> (section III of the decision), on knowledge and data and on indigenous and local knowledge systems (section IV), and established task forces on policy tools and methodologies and on scenarios and models (section V) for the implementation of the respective objectives of the rolling work programme of IPBES up to 2030. </w:t>
      </w:r>
    </w:p>
    <w:p w14:paraId="3F2C5C33" w14:textId="77777777" w:rsidR="000F7401" w:rsidRPr="00076FE0" w:rsidRDefault="000F7401" w:rsidP="00D5387B">
      <w:pPr>
        <w:pStyle w:val="Normalnumber"/>
        <w:tabs>
          <w:tab w:val="clear" w:pos="1134"/>
        </w:tabs>
      </w:pPr>
      <w:r w:rsidRPr="00076FE0">
        <w:t xml:space="preserve">In the same decision, the Plenary requested the task forces to develop specific deliverables for each of the priority topics set out in paragraph 8 of the work programme for consideration by the Plenary at its eighth session. </w:t>
      </w:r>
    </w:p>
    <w:p w14:paraId="23D9DD1B" w14:textId="77777777" w:rsidR="000F7401" w:rsidRPr="00076FE0" w:rsidRDefault="000F7401" w:rsidP="00D5387B">
      <w:pPr>
        <w:pStyle w:val="Normalnumber"/>
        <w:tabs>
          <w:tab w:val="clear" w:pos="1134"/>
        </w:tabs>
      </w:pPr>
      <w:r w:rsidRPr="00076FE0">
        <w:t>The general terms of reference of the task forces, set out in annex II to decision IPBES-7/1,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780420B5" w14:textId="4978BBA6" w:rsidR="000F7401" w:rsidRPr="00076FE0" w:rsidRDefault="000F7401" w:rsidP="00D5387B">
      <w:pPr>
        <w:pStyle w:val="Normalnumber"/>
        <w:tabs>
          <w:tab w:val="clear" w:pos="1134"/>
        </w:tabs>
      </w:pPr>
      <w:r w:rsidRPr="00076FE0">
        <w:t xml:space="preserve">The task force on knowledge and data, in response to its mandate to guide the secretariat, including the dedicated technical support units, in the management of the data, information and knowledge used in IPBES products (decision IPBES-7/1, annex II, section III), has prepared a data management policy for IPBES. The policy was approved by the Bureau and </w:t>
      </w:r>
      <w:r w:rsidR="005074E3" w:rsidRPr="00076FE0">
        <w:t xml:space="preserve">the </w:t>
      </w:r>
      <w:r w:rsidRPr="00076FE0">
        <w:t>Multidisciplinary Expert Panel at their</w:t>
      </w:r>
      <w:r w:rsidR="005074E3" w:rsidRPr="00076FE0">
        <w:t xml:space="preserve"> respective fourteenth </w:t>
      </w:r>
      <w:r w:rsidRPr="00076FE0">
        <w:t xml:space="preserve">meetings. </w:t>
      </w:r>
    </w:p>
    <w:p w14:paraId="5167C008" w14:textId="49697CFC" w:rsidR="000F7401" w:rsidRPr="00076FE0" w:rsidRDefault="004A032B" w:rsidP="00D5387B">
      <w:pPr>
        <w:pStyle w:val="Normalnumber"/>
        <w:tabs>
          <w:tab w:val="clear" w:pos="1134"/>
        </w:tabs>
      </w:pPr>
      <w:r w:rsidRPr="00076FE0">
        <w:lastRenderedPageBreak/>
        <w:t>In paragraph 9 of section II of</w:t>
      </w:r>
      <w:r w:rsidR="000F7401" w:rsidRPr="00076FE0">
        <w:t xml:space="preserve"> decision IPBES-7/1, </w:t>
      </w:r>
      <w:r w:rsidRPr="00076FE0">
        <w:t>the Plenary</w:t>
      </w:r>
      <w:r w:rsidR="000F7401" w:rsidRPr="00076FE0">
        <w:t xml:space="preserve"> requested the Executive Secretary to regularly update the guide on the production of assessments, taking into account the work of the task forces and expert groups of IPBES and any other relevant material. In response to th</w:t>
      </w:r>
      <w:r w:rsidRPr="00076FE0">
        <w:t>at</w:t>
      </w:r>
      <w:r w:rsidR="000F7401" w:rsidRPr="00076FE0">
        <w:t xml:space="preserve"> request, the guide on the production of assessments was updated to include the guidance relevant to assessment authors prepared by the IPBES task forces, which are continuously </w:t>
      </w:r>
      <w:r w:rsidRPr="00076FE0">
        <w:t xml:space="preserve">being </w:t>
      </w:r>
      <w:r w:rsidR="000F7401" w:rsidRPr="00076FE0">
        <w:t xml:space="preserve">updated (IPBES/8/INF/8). </w:t>
      </w:r>
    </w:p>
    <w:p w14:paraId="143ECB8D" w14:textId="6C729CD3" w:rsidR="000F7401" w:rsidRPr="00076FE0" w:rsidRDefault="000F7401" w:rsidP="00D5387B">
      <w:pPr>
        <w:pStyle w:val="Normalnumber"/>
        <w:tabs>
          <w:tab w:val="clear" w:pos="1134"/>
        </w:tabs>
      </w:pPr>
      <w:r w:rsidRPr="00076FE0">
        <w:t>The Plenary will be invited to consider the interim workplans for each of the task forces for the intersessional period 2021</w:t>
      </w:r>
      <w:r w:rsidR="004027FA" w:rsidRPr="00076FE0">
        <w:t>–20</w:t>
      </w:r>
      <w:r w:rsidRPr="00076FE0">
        <w:t xml:space="preserve">22 set out in the note </w:t>
      </w:r>
      <w:r w:rsidR="004027FA" w:rsidRPr="00076FE0">
        <w:t xml:space="preserve">by the secretariat </w:t>
      </w:r>
      <w:r w:rsidRPr="00076FE0">
        <w:t xml:space="preserve">on the </w:t>
      </w:r>
      <w:r w:rsidR="004027FA" w:rsidRPr="00076FE0">
        <w:t xml:space="preserve">matter </w:t>
      </w:r>
      <w:r w:rsidRPr="00076FE0">
        <w:t>(IPBES/8/7), take note of progress made in the development of work programme deliverables set out in the same note, and decide to defer its consideration of the deliverables to its ninth session. The Plenary will also be invited to take note of the IPBES data management policy (IPBES/8/INF/12).</w:t>
      </w:r>
    </w:p>
    <w:p w14:paraId="48138F21" w14:textId="77777777" w:rsidR="000F7401" w:rsidRPr="00076FE0" w:rsidRDefault="000F7401" w:rsidP="00E5727D">
      <w:pPr>
        <w:pStyle w:val="CH2"/>
        <w:keepLines w:val="0"/>
        <w:spacing w:before="240" w:after="0"/>
        <w:ind w:left="1236" w:right="289" w:hanging="618"/>
      </w:pPr>
      <w:r w:rsidRPr="00076FE0">
        <w:t>Item 9</w:t>
      </w:r>
    </w:p>
    <w:p w14:paraId="3166B397" w14:textId="77777777" w:rsidR="000F7401" w:rsidRPr="00076FE0" w:rsidRDefault="000F7401" w:rsidP="000F7401">
      <w:pPr>
        <w:pStyle w:val="CH2"/>
        <w:ind w:left="624" w:firstLine="0"/>
      </w:pPr>
      <w:r w:rsidRPr="00076FE0">
        <w:tab/>
        <w:t>Improving the effectiveness of the Platform</w:t>
      </w:r>
    </w:p>
    <w:p w14:paraId="4C047016" w14:textId="77777777" w:rsidR="000F7401" w:rsidRPr="00076FE0" w:rsidRDefault="000F7401" w:rsidP="00D5387B">
      <w:pPr>
        <w:pStyle w:val="Normalnumber"/>
        <w:tabs>
          <w:tab w:val="clear" w:pos="1134"/>
        </w:tabs>
      </w:pPr>
      <w:r w:rsidRPr="00076FE0">
        <w:t xml:space="preserve">In decision IPBES-5/2, the Plenary approved the terms of reference for the review of IPBES at the end of its first work programme, set out in the annex to that decision. In paragraph 1 of section VIII of decision IPBES-6/1 the Plenary took note of the report prepared by the internal review team. </w:t>
      </w:r>
    </w:p>
    <w:p w14:paraId="614CD9BA" w14:textId="66CA6119" w:rsidR="000F7401" w:rsidRPr="00076FE0" w:rsidRDefault="000F7401" w:rsidP="00C962AE">
      <w:pPr>
        <w:pStyle w:val="Normalnumber"/>
        <w:tabs>
          <w:tab w:val="clear" w:pos="1134"/>
        </w:tabs>
      </w:pPr>
      <w:r w:rsidRPr="00076FE0">
        <w:t xml:space="preserve">In decision IPBES-7/2, the Plenary welcomed the report </w:t>
      </w:r>
      <w:r w:rsidR="00811CB1">
        <w:t xml:space="preserve">by the review panel </w:t>
      </w:r>
      <w:r w:rsidRPr="00076FE0">
        <w:t xml:space="preserve">on the review of the Platform at the conclusion of its first work programme </w:t>
      </w:r>
      <w:r w:rsidR="00811CB1">
        <w:t>(</w:t>
      </w:r>
      <w:r w:rsidRPr="00076FE0">
        <w:t>IPBES/7/INF/18</w:t>
      </w:r>
      <w:r w:rsidR="00811CB1">
        <w:t>)</w:t>
      </w:r>
      <w:r w:rsidRPr="00076FE0">
        <w:t>,</w:t>
      </w:r>
      <w:r w:rsidR="00444FD7">
        <w:t xml:space="preserve"> as well as</w:t>
      </w:r>
      <w:r w:rsidRPr="00076FE0">
        <w:t xml:space="preserve"> the response by the Multidisciplinary Expert Panel and the Bureau </w:t>
      </w:r>
      <w:r w:rsidR="00444FD7">
        <w:t>(</w:t>
      </w:r>
      <w:r w:rsidRPr="00076FE0">
        <w:t>IPBES/7/INF/19</w:t>
      </w:r>
      <w:r w:rsidR="00444FD7">
        <w:t>)</w:t>
      </w:r>
      <w:r w:rsidRPr="00076FE0">
        <w:t xml:space="preserve"> and the response by the Executive Secretary </w:t>
      </w:r>
      <w:r w:rsidR="00444FD7">
        <w:t>(</w:t>
      </w:r>
      <w:r w:rsidRPr="00076FE0">
        <w:t>IPBES/7/INF/20</w:t>
      </w:r>
      <w:r w:rsidR="00444FD7">
        <w:t>) to that report</w:t>
      </w:r>
      <w:r w:rsidRPr="00076FE0">
        <w:t>.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the Platform up to 2030 and to identify solutions and/or issues for the Plenary to consider at its eighth session.</w:t>
      </w:r>
    </w:p>
    <w:p w14:paraId="5C499753" w14:textId="08977E61" w:rsidR="000F7401" w:rsidRPr="00076FE0" w:rsidRDefault="000F7401" w:rsidP="00D5387B">
      <w:pPr>
        <w:pStyle w:val="Normalnumber"/>
        <w:tabs>
          <w:tab w:val="clear" w:pos="1134"/>
        </w:tabs>
        <w:rPr>
          <w:rFonts w:eastAsia="MS Mincho"/>
        </w:rPr>
      </w:pPr>
      <w:r w:rsidRPr="00076FE0">
        <w:t xml:space="preserve">In </w:t>
      </w:r>
      <w:r w:rsidR="00444FD7">
        <w:t xml:space="preserve">paragraph 10 of section II of </w:t>
      </w:r>
      <w:r w:rsidRPr="00076FE0">
        <w:t xml:space="preserve">decision IPBES-7/1, the Plenary requested the Multidisciplinary Expert Panel and the Bureau to review the IPBES conceptual framework in line with objective 6 (b) of the work programme, </w:t>
      </w:r>
      <w:r w:rsidR="00E07A4A">
        <w:t xml:space="preserve">on the </w:t>
      </w:r>
      <w:r w:rsidRPr="00076FE0">
        <w:t xml:space="preserve">review of the IPBES conceptual framework, which aims to ensure that the use and impact of the IPBES conceptual framework are reviewed to inform the evolution of the rolling work programme. </w:t>
      </w:r>
    </w:p>
    <w:p w14:paraId="0E3F346E" w14:textId="4F02A36E" w:rsidR="000F7401" w:rsidRPr="00076FE0" w:rsidRDefault="000F7401" w:rsidP="00D5387B">
      <w:pPr>
        <w:pStyle w:val="Normalnumber"/>
        <w:tabs>
          <w:tab w:val="clear" w:pos="1134"/>
        </w:tabs>
      </w:pPr>
      <w:r w:rsidRPr="00076FE0">
        <w:t xml:space="preserve">Objective 6 (c) of the work programme, </w:t>
      </w:r>
      <w:r w:rsidR="00E07A4A">
        <w:t xml:space="preserve">on </w:t>
      </w:r>
      <w:r w:rsidRPr="00076FE0">
        <w:t xml:space="preserve">improving the effectiveness of the assessment process, aims to provide lessons learned and advice from the authors and other contributors of completed assessments to those undertaking future assessments. In </w:t>
      </w:r>
      <w:r w:rsidR="00E07A4A">
        <w:t xml:space="preserve">paragraph 11 of </w:t>
      </w:r>
      <w:r w:rsidRPr="00076FE0">
        <w:t>section II of decision IPBES-7/1, the Plenary requested the Executive Secretary to facilitate the exchange of lessons learned and advice from the authors and other contributors of the completed assessments to those undertaking future assessments.</w:t>
      </w:r>
    </w:p>
    <w:p w14:paraId="29CB1B4E" w14:textId="7CFBFB62" w:rsidR="000F7401" w:rsidRPr="00076FE0" w:rsidRDefault="000F7401" w:rsidP="00D5387B">
      <w:pPr>
        <w:pStyle w:val="Normalnumber"/>
        <w:tabs>
          <w:tab w:val="clear" w:pos="1134"/>
        </w:tabs>
      </w:pPr>
      <w:r w:rsidRPr="00076FE0">
        <w:t xml:space="preserve">The Plenary will be invited to welcome the report by the Bureau, </w:t>
      </w:r>
      <w:r w:rsidR="00E07A4A">
        <w:t xml:space="preserve">the </w:t>
      </w:r>
      <w:r w:rsidRPr="00076FE0">
        <w:t xml:space="preserve">Multidisciplinary Expert Panel and </w:t>
      </w:r>
      <w:r w:rsidR="00E07A4A">
        <w:t xml:space="preserve">the </w:t>
      </w:r>
      <w:r w:rsidRPr="00076FE0">
        <w:t xml:space="preserve">Executive Secretary on the implementation of the recommendations </w:t>
      </w:r>
      <w:r w:rsidR="00E07A4A">
        <w:t xml:space="preserve">made </w:t>
      </w:r>
      <w:r w:rsidRPr="00076FE0">
        <w:t xml:space="preserve">by the review panel in the context of the rolling work programme of the Platform up to 2030, including solutions and/or issues identified (IPBES/8/8) and the note </w:t>
      </w:r>
      <w:r w:rsidR="00E07A4A">
        <w:t xml:space="preserve">by the secretariat </w:t>
      </w:r>
      <w:r w:rsidRPr="00076FE0">
        <w:t>on the implementation of the roles of the Bureau and the Multidisciplinary Expert Panel in practice</w:t>
      </w:r>
      <w:r w:rsidR="00983619">
        <w:t xml:space="preserve"> (</w:t>
      </w:r>
      <w:r w:rsidRPr="00076FE0">
        <w:t>IPBES/8/INF/22</w:t>
      </w:r>
      <w:r w:rsidR="00983619">
        <w:t>)</w:t>
      </w:r>
      <w:r w:rsidRPr="00076FE0">
        <w:t>. An overview of responses to each recommendation of the review panel is provided in IPBES/8/INF/21.</w:t>
      </w:r>
    </w:p>
    <w:p w14:paraId="6FE353C7" w14:textId="7D1990A6" w:rsidR="000F7401" w:rsidRPr="00076FE0" w:rsidRDefault="000F7401" w:rsidP="00D5387B">
      <w:pPr>
        <w:pStyle w:val="Normalnumber"/>
        <w:tabs>
          <w:tab w:val="clear" w:pos="1134"/>
        </w:tabs>
      </w:pPr>
      <w:r w:rsidRPr="00076FE0">
        <w:t xml:space="preserve">The Plenary may wish to request the Bureau, the Multidisciplinary Expert Panel and the Executive Secretary, in accordance with their respective mandates, to continue to take the recommendations made by the review panel into account in the implementation of the rolling work programme of the Platform up to 2030 and report on progress </w:t>
      </w:r>
      <w:r w:rsidR="00983619">
        <w:t xml:space="preserve">in that regard </w:t>
      </w:r>
      <w:r w:rsidRPr="00076FE0">
        <w:t>to the Plenary at its ninth session, including on further solutions and/or issues identified. The Plenary may also wish to consider, following a recommendation by the Multidisciplinary Expert Panel and Bureau, pilot</w:t>
      </w:r>
      <w:r w:rsidR="001B636E">
        <w:t>ing</w:t>
      </w:r>
      <w:r w:rsidRPr="00076FE0">
        <w:t xml:space="preserve"> an additional review by </w:t>
      </w:r>
      <w:r w:rsidR="00C96C62">
        <w:t>G</w:t>
      </w:r>
      <w:r w:rsidRPr="00076FE0">
        <w:t xml:space="preserve">overnments of the summary for policymakers of the assessment on values. </w:t>
      </w:r>
    </w:p>
    <w:p w14:paraId="7F11EE54" w14:textId="77777777" w:rsidR="000F7401" w:rsidRPr="00076FE0" w:rsidRDefault="000F7401" w:rsidP="0037491D">
      <w:pPr>
        <w:pStyle w:val="CH2"/>
        <w:spacing w:before="240" w:after="0"/>
        <w:ind w:left="624" w:firstLine="0"/>
      </w:pPr>
      <w:bookmarkStart w:id="5" w:name="_Hlk34728909"/>
      <w:r w:rsidRPr="00076FE0">
        <w:t>Item 10</w:t>
      </w:r>
    </w:p>
    <w:p w14:paraId="6DF1023A" w14:textId="58CF2E55" w:rsidR="000F7401" w:rsidRPr="00076FE0" w:rsidRDefault="000F7401" w:rsidP="000F7401">
      <w:pPr>
        <w:pStyle w:val="CH2"/>
        <w:ind w:left="624" w:firstLine="0"/>
      </w:pPr>
      <w:r w:rsidRPr="00076FE0">
        <w:t>Organization of the Plenary</w:t>
      </w:r>
      <w:r w:rsidR="004B094C">
        <w:t>;</w:t>
      </w:r>
      <w:r w:rsidRPr="00076FE0">
        <w:t xml:space="preserve"> dates and venues of future sessions</w:t>
      </w:r>
      <w:bookmarkEnd w:id="5"/>
      <w:r w:rsidR="004B094C">
        <w:t xml:space="preserve"> of the Plenary</w:t>
      </w:r>
    </w:p>
    <w:p w14:paraId="51EF52B2" w14:textId="77777777" w:rsidR="000F7401" w:rsidRPr="00076FE0" w:rsidRDefault="000F7401" w:rsidP="00D5387B">
      <w:pPr>
        <w:pStyle w:val="Normalnumber"/>
        <w:tabs>
          <w:tab w:val="clear" w:pos="1134"/>
        </w:tabs>
      </w:pPr>
      <w:r w:rsidRPr="00076FE0">
        <w:t>In decision IPBES-7/3, the Plenary invited members in a position to do so to consider hosting the ninth session of the Plenary, which is scheduled to take place in 2022. Governments wishing to host the ninth or tenth sessions of the Plenary are encouraged to inform the secretariat in advance of the eighth session.</w:t>
      </w:r>
    </w:p>
    <w:p w14:paraId="65445898" w14:textId="700FCE6B" w:rsidR="000F7401" w:rsidRPr="00076FE0" w:rsidRDefault="000F7401" w:rsidP="00D5387B">
      <w:pPr>
        <w:pStyle w:val="Normalnumber"/>
        <w:tabs>
          <w:tab w:val="clear" w:pos="1134"/>
        </w:tabs>
      </w:pPr>
      <w:r w:rsidRPr="00076FE0">
        <w:lastRenderedPageBreak/>
        <w:t xml:space="preserve">Relevant information, including a draft provisional agenda and organization of work for the ninth and tenth sessions of the Plenary are set out in a note by the secretariat on the organization of work of the Plenary and dates and venues of future sessions of the Plenary (IPBES/8/9). </w:t>
      </w:r>
      <w:r w:rsidR="00D450E0" w:rsidRPr="00076FE0">
        <w:t>Offers received to host the ninth or tenth session of the Plenary are set out in document IPBES/8/9/Add.1.</w:t>
      </w:r>
    </w:p>
    <w:p w14:paraId="0A07A892" w14:textId="77777777" w:rsidR="000F7401" w:rsidRPr="00076FE0" w:rsidRDefault="000F7401" w:rsidP="00E5727D">
      <w:pPr>
        <w:pStyle w:val="CH2"/>
        <w:keepLines w:val="0"/>
        <w:spacing w:before="240" w:after="0"/>
        <w:ind w:left="1236" w:right="289" w:hanging="618"/>
      </w:pPr>
      <w:r w:rsidRPr="00076FE0">
        <w:t>Item 11</w:t>
      </w:r>
    </w:p>
    <w:p w14:paraId="62DAAB59" w14:textId="77777777" w:rsidR="000F7401" w:rsidRPr="00076FE0" w:rsidRDefault="000F7401" w:rsidP="000F7401">
      <w:pPr>
        <w:pStyle w:val="CH2"/>
        <w:ind w:left="624" w:firstLine="0"/>
      </w:pPr>
      <w:r w:rsidRPr="00076FE0">
        <w:t>Institutional arrangements: United Nations collaborative partnership arrangement for the work of the Platform and its secretariat</w:t>
      </w:r>
    </w:p>
    <w:p w14:paraId="79EC6C04" w14:textId="77777777" w:rsidR="000F7401" w:rsidRPr="00076FE0" w:rsidRDefault="000F7401" w:rsidP="001A4421">
      <w:pPr>
        <w:pStyle w:val="Normalnumber"/>
        <w:tabs>
          <w:tab w:val="clear" w:pos="1134"/>
        </w:tabs>
      </w:pPr>
      <w:r w:rsidRPr="00076FE0">
        <w:t xml:space="preserve">Following the approval by the Plenary, in decision IPBES-2/8, of the collaborative partnership arrangement to establish an institutional link between the Plenary and UNEP, UNESCO, FAO and UNDP, a progress report on the arrangement is set out in a note by the secretariat on the matter (IPBES/8/INF/23) for the information of the Plenary. </w:t>
      </w:r>
    </w:p>
    <w:p w14:paraId="7DF8CADD" w14:textId="77777777" w:rsidR="000F7401" w:rsidRPr="00076FE0" w:rsidRDefault="000F7401" w:rsidP="00E5727D">
      <w:pPr>
        <w:pStyle w:val="CH2"/>
        <w:spacing w:before="240" w:after="0"/>
        <w:ind w:left="1248" w:hanging="624"/>
      </w:pPr>
      <w:r w:rsidRPr="00076FE0">
        <w:t>Item 12</w:t>
      </w:r>
    </w:p>
    <w:p w14:paraId="4C8B7267" w14:textId="4287BE12" w:rsidR="000F7401" w:rsidRPr="00076FE0" w:rsidRDefault="000F7401" w:rsidP="000F7401">
      <w:pPr>
        <w:pStyle w:val="CH2"/>
        <w:ind w:left="624" w:firstLine="0"/>
      </w:pPr>
      <w:r w:rsidRPr="00076FE0">
        <w:t xml:space="preserve">Adoption of the decisions and </w:t>
      </w:r>
      <w:r w:rsidR="004B094C">
        <w:t xml:space="preserve">the </w:t>
      </w:r>
      <w:r w:rsidRPr="00076FE0">
        <w:t>report of the session</w:t>
      </w:r>
    </w:p>
    <w:p w14:paraId="1CB0A579" w14:textId="77777777" w:rsidR="000F7401" w:rsidRPr="00076FE0" w:rsidRDefault="000F7401" w:rsidP="00D5387B">
      <w:pPr>
        <w:pStyle w:val="Normalnumber"/>
        <w:tabs>
          <w:tab w:val="clear" w:pos="1134"/>
        </w:tabs>
      </w:pPr>
      <w:r w:rsidRPr="00076FE0">
        <w:t xml:space="preserve">Having considered the above matters, and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eighth session of the Plenary is set out in a note by the secretariat on the matter (IPBES/8/1/Add.2). </w:t>
      </w:r>
    </w:p>
    <w:p w14:paraId="3FC8D472" w14:textId="77777777" w:rsidR="000F7401" w:rsidRPr="00076FE0" w:rsidRDefault="000F7401" w:rsidP="00E5727D">
      <w:pPr>
        <w:pStyle w:val="CH2"/>
        <w:spacing w:before="240" w:after="0"/>
        <w:ind w:left="1248" w:hanging="624"/>
      </w:pPr>
      <w:r w:rsidRPr="00076FE0">
        <w:t>Item 13</w:t>
      </w:r>
    </w:p>
    <w:p w14:paraId="168AE9D1" w14:textId="77777777" w:rsidR="000F7401" w:rsidRPr="00076FE0" w:rsidRDefault="000F7401" w:rsidP="000F7401">
      <w:pPr>
        <w:pStyle w:val="CH2"/>
        <w:ind w:left="624" w:firstLine="0"/>
      </w:pPr>
      <w:r w:rsidRPr="00076FE0">
        <w:t>Closure of the session</w:t>
      </w:r>
    </w:p>
    <w:p w14:paraId="6A38A694" w14:textId="1EC91F39" w:rsidR="000F7401" w:rsidRPr="00076FE0" w:rsidRDefault="000F7401" w:rsidP="00D5387B">
      <w:pPr>
        <w:pStyle w:val="Normalnumber"/>
        <w:tabs>
          <w:tab w:val="clear" w:pos="1134"/>
        </w:tabs>
      </w:pPr>
      <w:r w:rsidRPr="00076FE0">
        <w:t>It is expected that the session will be closed by the Chair by 5.15 p.m. on Thursday, 24</w:t>
      </w:r>
      <w:r w:rsidR="00667CE4">
        <w:t> </w:t>
      </w:r>
      <w:r w:rsidRPr="00076FE0">
        <w:t>June</w:t>
      </w:r>
      <w:r w:rsidR="00667CE4">
        <w:t> </w:t>
      </w:r>
      <w:r w:rsidRPr="00076FE0">
        <w:t>2021.</w:t>
      </w:r>
    </w:p>
    <w:p w14:paraId="1D4C7C8D" w14:textId="77777777" w:rsidR="000F7401" w:rsidRPr="00076FE0" w:rsidRDefault="000F7401" w:rsidP="00CA2BEC">
      <w:pPr>
        <w:pStyle w:val="Normal-pool"/>
      </w:pPr>
    </w:p>
    <w:p w14:paraId="1A5B69B0" w14:textId="74B9F72D" w:rsidR="00CA2BEC" w:rsidRPr="00076FE0" w:rsidRDefault="00CA2BEC" w:rsidP="00CA2BEC">
      <w:pPr>
        <w:pStyle w:val="Normal-pool"/>
        <w:sectPr w:rsidR="00CA2BEC" w:rsidRPr="00076FE0" w:rsidSect="004A177A">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720"/>
          <w:titlePg/>
          <w:docGrid w:linePitch="272"/>
        </w:sectPr>
      </w:pPr>
    </w:p>
    <w:p w14:paraId="3FF24A52" w14:textId="77777777" w:rsidR="000F7401" w:rsidRPr="00076FE0" w:rsidRDefault="000F7401" w:rsidP="00CA2BEC">
      <w:pPr>
        <w:pStyle w:val="ZZAnxheader"/>
        <w:rPr>
          <w:rFonts w:eastAsia="Calibri"/>
        </w:rPr>
      </w:pPr>
      <w:bookmarkStart w:id="6" w:name="_Hlk67066031"/>
      <w:r w:rsidRPr="00076FE0">
        <w:rPr>
          <w:rFonts w:eastAsia="Calibri"/>
        </w:rPr>
        <w:lastRenderedPageBreak/>
        <w:t>Annex I</w:t>
      </w:r>
    </w:p>
    <w:p w14:paraId="4D1A0D45" w14:textId="77777777" w:rsidR="000F7401" w:rsidRPr="00076FE0" w:rsidRDefault="000F7401" w:rsidP="00CA2BEC">
      <w:pPr>
        <w:pStyle w:val="ZZAnxtitle"/>
      </w:pPr>
      <w:r w:rsidRPr="00076FE0">
        <w:t>Proposed organization of work for the eighth session of the Plenary of the Intergovernmental Science-Policy Platform on Biodiversity and Ecosystem Services</w:t>
      </w:r>
    </w:p>
    <w:p w14:paraId="345B52D6" w14:textId="77777777" w:rsidR="00AA5645" w:rsidRPr="00076FE0" w:rsidRDefault="00AA5645" w:rsidP="00CA2BEC">
      <w:pPr>
        <w:pStyle w:val="Normal-pool"/>
        <w:spacing w:before="40" w:after="40"/>
        <w:rPr>
          <w:i/>
          <w:iCs/>
          <w:sz w:val="18"/>
          <w:szCs w:val="18"/>
        </w:rPr>
        <w:sectPr w:rsidR="00AA5645" w:rsidRPr="00076FE0" w:rsidSect="004A177A">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907" w:right="992" w:bottom="1418" w:left="1418" w:header="539" w:footer="975" w:gutter="0"/>
          <w:cols w:space="539"/>
          <w:titlePg/>
          <w:docGrid w:linePitch="360"/>
        </w:sectPr>
      </w:pPr>
    </w:p>
    <w:p w14:paraId="59AB1146" w14:textId="77777777" w:rsidR="00AA5645" w:rsidRPr="00076FE0" w:rsidRDefault="00AA5645" w:rsidP="00CA2BEC">
      <w:pPr>
        <w:pStyle w:val="Normal-pool"/>
        <w:spacing w:before="40" w:after="40"/>
        <w:rPr>
          <w:i/>
          <w:iCs/>
          <w:sz w:val="18"/>
          <w:szCs w:val="18"/>
        </w:rPr>
        <w:sectPr w:rsidR="00AA5645" w:rsidRPr="00076FE0" w:rsidSect="00AA5645">
          <w:type w:val="continuous"/>
          <w:pgSz w:w="16840" w:h="11907" w:orient="landscape" w:code="9"/>
          <w:pgMar w:top="907" w:right="992" w:bottom="1418" w:left="1418" w:header="539" w:footer="975" w:gutter="0"/>
          <w:cols w:space="539"/>
          <w:titlePg/>
          <w:docGrid w:linePitch="360"/>
        </w:sect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02"/>
        <w:gridCol w:w="1403"/>
        <w:gridCol w:w="1403"/>
        <w:gridCol w:w="1403"/>
        <w:gridCol w:w="1402"/>
        <w:gridCol w:w="1403"/>
        <w:gridCol w:w="1403"/>
        <w:gridCol w:w="1403"/>
        <w:gridCol w:w="1403"/>
      </w:tblGrid>
      <w:tr w:rsidR="00581ABC" w:rsidRPr="00076FE0" w14:paraId="33B0A81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5D980621" w14:textId="24616F09" w:rsidR="000F7401" w:rsidRPr="00076FE0" w:rsidRDefault="000F7401" w:rsidP="00AE2101">
            <w:pPr>
              <w:pStyle w:val="Normal-pool"/>
              <w:spacing w:before="40" w:after="40"/>
              <w:jc w:val="center"/>
              <w:rPr>
                <w:i/>
                <w:iCs/>
                <w:sz w:val="18"/>
                <w:szCs w:val="18"/>
              </w:rPr>
            </w:pPr>
            <w:r w:rsidRPr="00076FE0">
              <w:rPr>
                <w:i/>
                <w:iCs/>
                <w:sz w:val="18"/>
                <w:szCs w:val="18"/>
              </w:rPr>
              <w:t>Time</w:t>
            </w:r>
            <w:r w:rsidR="00CB0053" w:rsidRPr="00076FE0">
              <w:rPr>
                <w:rStyle w:val="FootnoteReference"/>
                <w:i/>
                <w:iCs/>
              </w:rPr>
              <w:footnoteReference w:id="4"/>
            </w:r>
          </w:p>
        </w:tc>
        <w:tc>
          <w:tcPr>
            <w:tcW w:w="1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301481" w14:textId="4DBF4BE7" w:rsidR="000F7401" w:rsidRPr="00076FE0" w:rsidRDefault="000F7401" w:rsidP="00AE2101">
            <w:pPr>
              <w:pStyle w:val="Normal-pool"/>
              <w:spacing w:before="40" w:after="40"/>
              <w:jc w:val="center"/>
              <w:rPr>
                <w:i/>
                <w:iCs/>
                <w:sz w:val="18"/>
                <w:szCs w:val="18"/>
              </w:rPr>
            </w:pPr>
            <w:r w:rsidRPr="00076FE0">
              <w:rPr>
                <w:i/>
                <w:iCs/>
                <w:sz w:val="18"/>
                <w:szCs w:val="18"/>
              </w:rPr>
              <w:t>Monday</w:t>
            </w:r>
          </w:p>
          <w:p w14:paraId="4B8F5DA6" w14:textId="77777777" w:rsidR="000F7401" w:rsidRPr="00076FE0" w:rsidRDefault="000F7401" w:rsidP="00AE2101">
            <w:pPr>
              <w:pStyle w:val="Normal-pool"/>
              <w:spacing w:before="40" w:after="40"/>
              <w:jc w:val="center"/>
              <w:rPr>
                <w:i/>
                <w:iCs/>
                <w:sz w:val="18"/>
                <w:szCs w:val="18"/>
              </w:rPr>
            </w:pPr>
            <w:r w:rsidRPr="00076FE0">
              <w:rPr>
                <w:i/>
                <w:iCs/>
                <w:sz w:val="18"/>
                <w:szCs w:val="18"/>
              </w:rPr>
              <w:t>14 June 2021</w:t>
            </w:r>
          </w:p>
        </w:tc>
        <w:tc>
          <w:tcPr>
            <w:tcW w:w="1403" w:type="dxa"/>
            <w:tcBorders>
              <w:top w:val="single" w:sz="4" w:space="0" w:color="auto"/>
              <w:left w:val="single" w:sz="4" w:space="0" w:color="auto"/>
              <w:bottom w:val="single" w:sz="4" w:space="0" w:color="auto"/>
              <w:right w:val="single" w:sz="4" w:space="0" w:color="auto"/>
            </w:tcBorders>
            <w:vAlign w:val="center"/>
          </w:tcPr>
          <w:p w14:paraId="56087967" w14:textId="3ECFA97F" w:rsidR="000F7401" w:rsidRPr="00076FE0" w:rsidRDefault="000F7401" w:rsidP="00AE2101">
            <w:pPr>
              <w:pStyle w:val="Normal-pool"/>
              <w:spacing w:before="40" w:after="40"/>
              <w:jc w:val="center"/>
              <w:rPr>
                <w:i/>
                <w:iCs/>
                <w:sz w:val="18"/>
                <w:szCs w:val="18"/>
              </w:rPr>
            </w:pPr>
            <w:r w:rsidRPr="00076FE0">
              <w:rPr>
                <w:i/>
                <w:iCs/>
                <w:sz w:val="18"/>
                <w:szCs w:val="18"/>
              </w:rPr>
              <w:t>Tuesday</w:t>
            </w:r>
          </w:p>
          <w:p w14:paraId="1E2644EE" w14:textId="77777777" w:rsidR="000F7401" w:rsidRPr="00076FE0" w:rsidRDefault="000F7401" w:rsidP="00AE2101">
            <w:pPr>
              <w:pStyle w:val="Normal-pool"/>
              <w:spacing w:before="40" w:after="40"/>
              <w:jc w:val="center"/>
              <w:rPr>
                <w:i/>
                <w:iCs/>
                <w:sz w:val="18"/>
                <w:szCs w:val="18"/>
              </w:rPr>
            </w:pPr>
            <w:r w:rsidRPr="00076FE0">
              <w:rPr>
                <w:i/>
                <w:iCs/>
                <w:sz w:val="18"/>
                <w:szCs w:val="18"/>
              </w:rPr>
              <w:t>15 June 2021</w:t>
            </w:r>
          </w:p>
        </w:tc>
        <w:tc>
          <w:tcPr>
            <w:tcW w:w="1403" w:type="dxa"/>
            <w:tcBorders>
              <w:top w:val="single" w:sz="4" w:space="0" w:color="auto"/>
              <w:left w:val="single" w:sz="4" w:space="0" w:color="auto"/>
              <w:bottom w:val="single" w:sz="4" w:space="0" w:color="auto"/>
              <w:right w:val="single" w:sz="4" w:space="0" w:color="auto"/>
            </w:tcBorders>
            <w:vAlign w:val="center"/>
          </w:tcPr>
          <w:p w14:paraId="3D2F1024" w14:textId="3FA6390A" w:rsidR="000F7401" w:rsidRPr="00076FE0" w:rsidRDefault="000F7401" w:rsidP="00AE2101">
            <w:pPr>
              <w:pStyle w:val="Normal-pool"/>
              <w:spacing w:before="40" w:after="40"/>
              <w:jc w:val="center"/>
              <w:rPr>
                <w:i/>
                <w:iCs/>
                <w:sz w:val="18"/>
                <w:szCs w:val="18"/>
              </w:rPr>
            </w:pPr>
            <w:r w:rsidRPr="00076FE0">
              <w:rPr>
                <w:i/>
                <w:iCs/>
                <w:sz w:val="18"/>
                <w:szCs w:val="18"/>
              </w:rPr>
              <w:t>Wednesday</w:t>
            </w:r>
          </w:p>
          <w:p w14:paraId="518AF8F6" w14:textId="77777777" w:rsidR="000F7401" w:rsidRPr="00076FE0" w:rsidRDefault="000F7401" w:rsidP="00AE2101">
            <w:pPr>
              <w:pStyle w:val="Normal-pool"/>
              <w:spacing w:before="40" w:after="40"/>
              <w:jc w:val="center"/>
              <w:rPr>
                <w:i/>
                <w:iCs/>
                <w:sz w:val="18"/>
                <w:szCs w:val="18"/>
              </w:rPr>
            </w:pPr>
            <w:r w:rsidRPr="00076FE0">
              <w:rPr>
                <w:i/>
                <w:iCs/>
                <w:sz w:val="18"/>
                <w:szCs w:val="18"/>
              </w:rPr>
              <w:t>16 June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B7DE4EF" w14:textId="66E70E8B" w:rsidR="000F7401" w:rsidRPr="00076FE0" w:rsidRDefault="000F7401" w:rsidP="00AE2101">
            <w:pPr>
              <w:pStyle w:val="Normal-pool"/>
              <w:spacing w:before="40" w:after="40"/>
              <w:jc w:val="center"/>
              <w:rPr>
                <w:i/>
                <w:iCs/>
                <w:sz w:val="18"/>
                <w:szCs w:val="18"/>
              </w:rPr>
            </w:pPr>
            <w:r w:rsidRPr="00076FE0">
              <w:rPr>
                <w:i/>
                <w:iCs/>
                <w:sz w:val="18"/>
                <w:szCs w:val="18"/>
              </w:rPr>
              <w:t>Thursday</w:t>
            </w:r>
          </w:p>
          <w:p w14:paraId="07C4906D" w14:textId="77777777" w:rsidR="000F7401" w:rsidRPr="00076FE0" w:rsidRDefault="000F7401" w:rsidP="00AE2101">
            <w:pPr>
              <w:pStyle w:val="Normal-pool"/>
              <w:spacing w:before="40" w:after="40"/>
              <w:jc w:val="center"/>
              <w:rPr>
                <w:i/>
                <w:iCs/>
                <w:sz w:val="18"/>
                <w:szCs w:val="18"/>
              </w:rPr>
            </w:pPr>
            <w:r w:rsidRPr="00076FE0">
              <w:rPr>
                <w:i/>
                <w:iCs/>
                <w:sz w:val="18"/>
                <w:szCs w:val="18"/>
              </w:rPr>
              <w:t>17 June 2021</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14:paraId="1AE552C8" w14:textId="4925E980" w:rsidR="000F7401" w:rsidRPr="00076FE0" w:rsidRDefault="000F7401" w:rsidP="00AE2101">
            <w:pPr>
              <w:pStyle w:val="Normal-pool"/>
              <w:spacing w:before="40" w:after="40"/>
              <w:jc w:val="center"/>
              <w:rPr>
                <w:i/>
                <w:iCs/>
                <w:sz w:val="18"/>
                <w:szCs w:val="18"/>
              </w:rPr>
            </w:pPr>
            <w:r w:rsidRPr="00076FE0">
              <w:rPr>
                <w:i/>
                <w:iCs/>
                <w:sz w:val="18"/>
                <w:szCs w:val="18"/>
              </w:rPr>
              <w:t>Friday</w:t>
            </w:r>
          </w:p>
          <w:p w14:paraId="6AA58A6F" w14:textId="77777777" w:rsidR="000F7401" w:rsidRPr="00076FE0" w:rsidRDefault="000F7401" w:rsidP="00AE2101">
            <w:pPr>
              <w:pStyle w:val="Normal-pool"/>
              <w:spacing w:before="40" w:after="40"/>
              <w:jc w:val="center"/>
              <w:rPr>
                <w:i/>
                <w:iCs/>
                <w:sz w:val="18"/>
                <w:szCs w:val="18"/>
              </w:rPr>
            </w:pPr>
            <w:r w:rsidRPr="00076FE0">
              <w:rPr>
                <w:i/>
                <w:iCs/>
                <w:sz w:val="18"/>
                <w:szCs w:val="18"/>
              </w:rPr>
              <w:t>18 June 2021</w:t>
            </w:r>
          </w:p>
        </w:tc>
        <w:tc>
          <w:tcPr>
            <w:tcW w:w="1403" w:type="dxa"/>
            <w:tcBorders>
              <w:top w:val="single" w:sz="4" w:space="0" w:color="auto"/>
              <w:left w:val="single" w:sz="4" w:space="0" w:color="auto"/>
              <w:bottom w:val="single" w:sz="4" w:space="0" w:color="auto"/>
              <w:right w:val="single" w:sz="4" w:space="0" w:color="auto"/>
            </w:tcBorders>
            <w:vAlign w:val="center"/>
          </w:tcPr>
          <w:p w14:paraId="6BBCC4F9" w14:textId="4E7BA8C5" w:rsidR="000F7401" w:rsidRPr="00076FE0" w:rsidRDefault="000F7401" w:rsidP="00AE2101">
            <w:pPr>
              <w:pStyle w:val="Normal-pool"/>
              <w:spacing w:before="40" w:after="40"/>
              <w:jc w:val="center"/>
              <w:rPr>
                <w:i/>
                <w:iCs/>
                <w:sz w:val="18"/>
                <w:szCs w:val="18"/>
              </w:rPr>
            </w:pPr>
            <w:r w:rsidRPr="00076FE0">
              <w:rPr>
                <w:i/>
                <w:iCs/>
                <w:sz w:val="18"/>
                <w:szCs w:val="18"/>
              </w:rPr>
              <w:t>Monday</w:t>
            </w:r>
          </w:p>
          <w:p w14:paraId="43DD7FF0" w14:textId="77777777" w:rsidR="000F7401" w:rsidRPr="00076FE0" w:rsidRDefault="000F7401" w:rsidP="00AE2101">
            <w:pPr>
              <w:pStyle w:val="Normal-pool"/>
              <w:spacing w:before="40" w:after="40"/>
              <w:jc w:val="center"/>
              <w:rPr>
                <w:i/>
                <w:iCs/>
                <w:sz w:val="18"/>
                <w:szCs w:val="18"/>
              </w:rPr>
            </w:pPr>
            <w:r w:rsidRPr="00076FE0">
              <w:rPr>
                <w:i/>
                <w:iCs/>
                <w:sz w:val="18"/>
                <w:szCs w:val="18"/>
              </w:rPr>
              <w:t>21 June 2021</w:t>
            </w:r>
          </w:p>
        </w:tc>
        <w:tc>
          <w:tcPr>
            <w:tcW w:w="1403" w:type="dxa"/>
            <w:tcBorders>
              <w:top w:val="single" w:sz="4" w:space="0" w:color="auto"/>
              <w:left w:val="single" w:sz="4" w:space="0" w:color="auto"/>
              <w:bottom w:val="single" w:sz="4" w:space="0" w:color="auto"/>
              <w:right w:val="single" w:sz="4" w:space="0" w:color="auto"/>
            </w:tcBorders>
            <w:vAlign w:val="center"/>
          </w:tcPr>
          <w:p w14:paraId="23820137" w14:textId="79065C2A" w:rsidR="000F7401" w:rsidRPr="00076FE0" w:rsidRDefault="000F7401" w:rsidP="00AE2101">
            <w:pPr>
              <w:pStyle w:val="Normal-pool"/>
              <w:spacing w:before="40" w:after="40"/>
              <w:jc w:val="center"/>
              <w:rPr>
                <w:i/>
                <w:iCs/>
                <w:sz w:val="18"/>
                <w:szCs w:val="18"/>
              </w:rPr>
            </w:pPr>
            <w:r w:rsidRPr="00076FE0">
              <w:rPr>
                <w:i/>
                <w:iCs/>
                <w:sz w:val="18"/>
                <w:szCs w:val="18"/>
              </w:rPr>
              <w:t>Tuesday</w:t>
            </w:r>
          </w:p>
          <w:p w14:paraId="4D756B74" w14:textId="77777777" w:rsidR="000F7401" w:rsidRPr="00076FE0" w:rsidRDefault="000F7401" w:rsidP="00AE2101">
            <w:pPr>
              <w:pStyle w:val="Normal-pool"/>
              <w:spacing w:before="40" w:after="40"/>
              <w:jc w:val="center"/>
              <w:rPr>
                <w:i/>
                <w:iCs/>
                <w:sz w:val="18"/>
                <w:szCs w:val="18"/>
              </w:rPr>
            </w:pPr>
            <w:r w:rsidRPr="00076FE0">
              <w:rPr>
                <w:i/>
                <w:iCs/>
                <w:sz w:val="18"/>
                <w:szCs w:val="18"/>
              </w:rPr>
              <w:t>22 June 2021</w:t>
            </w:r>
          </w:p>
        </w:tc>
        <w:tc>
          <w:tcPr>
            <w:tcW w:w="1403" w:type="dxa"/>
            <w:tcBorders>
              <w:top w:val="single" w:sz="4" w:space="0" w:color="auto"/>
              <w:left w:val="single" w:sz="4" w:space="0" w:color="auto"/>
              <w:bottom w:val="single" w:sz="4" w:space="0" w:color="auto"/>
              <w:right w:val="single" w:sz="4" w:space="0" w:color="auto"/>
            </w:tcBorders>
            <w:vAlign w:val="center"/>
          </w:tcPr>
          <w:p w14:paraId="2CA81E21" w14:textId="040AA5DB" w:rsidR="000F7401" w:rsidRPr="00076FE0" w:rsidRDefault="000F7401" w:rsidP="00AE2101">
            <w:pPr>
              <w:pStyle w:val="Normal-pool"/>
              <w:spacing w:before="40" w:after="40"/>
              <w:jc w:val="center"/>
              <w:rPr>
                <w:i/>
                <w:iCs/>
                <w:sz w:val="18"/>
                <w:szCs w:val="18"/>
              </w:rPr>
            </w:pPr>
            <w:r w:rsidRPr="00076FE0">
              <w:rPr>
                <w:i/>
                <w:iCs/>
                <w:sz w:val="18"/>
                <w:szCs w:val="18"/>
              </w:rPr>
              <w:t>Wednesday</w:t>
            </w:r>
          </w:p>
          <w:p w14:paraId="48989B6C" w14:textId="77777777" w:rsidR="000F7401" w:rsidRPr="00076FE0" w:rsidRDefault="000F7401" w:rsidP="00AE2101">
            <w:pPr>
              <w:pStyle w:val="Normal-pool"/>
              <w:spacing w:before="40" w:after="40"/>
              <w:jc w:val="center"/>
              <w:rPr>
                <w:i/>
                <w:iCs/>
                <w:sz w:val="18"/>
                <w:szCs w:val="18"/>
              </w:rPr>
            </w:pPr>
            <w:r w:rsidRPr="00076FE0">
              <w:rPr>
                <w:i/>
                <w:iCs/>
                <w:sz w:val="18"/>
                <w:szCs w:val="18"/>
              </w:rPr>
              <w:t>23 June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8F6A5C" w14:textId="278979EF" w:rsidR="000F7401" w:rsidRPr="00076FE0" w:rsidRDefault="000F7401" w:rsidP="00AE2101">
            <w:pPr>
              <w:pStyle w:val="Normal-pool"/>
              <w:spacing w:before="40" w:after="40"/>
              <w:jc w:val="center"/>
              <w:rPr>
                <w:i/>
                <w:iCs/>
                <w:sz w:val="18"/>
                <w:szCs w:val="18"/>
              </w:rPr>
            </w:pPr>
            <w:r w:rsidRPr="00076FE0">
              <w:rPr>
                <w:i/>
                <w:iCs/>
                <w:sz w:val="18"/>
                <w:szCs w:val="18"/>
              </w:rPr>
              <w:t>Thursday</w:t>
            </w:r>
          </w:p>
          <w:p w14:paraId="15F00306" w14:textId="77777777" w:rsidR="000F7401" w:rsidRPr="00076FE0" w:rsidRDefault="000F7401" w:rsidP="00AE2101">
            <w:pPr>
              <w:pStyle w:val="Normal-pool"/>
              <w:spacing w:before="40" w:after="40"/>
              <w:jc w:val="center"/>
              <w:rPr>
                <w:i/>
                <w:iCs/>
                <w:sz w:val="18"/>
                <w:szCs w:val="18"/>
              </w:rPr>
            </w:pPr>
            <w:r w:rsidRPr="00076FE0">
              <w:rPr>
                <w:i/>
                <w:iCs/>
                <w:sz w:val="18"/>
                <w:szCs w:val="18"/>
              </w:rPr>
              <w:t>24 June 2021</w:t>
            </w:r>
          </w:p>
        </w:tc>
      </w:tr>
      <w:tr w:rsidR="00581ABC" w:rsidRPr="00076FE0" w14:paraId="576C287C"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2E3D73" w14:textId="77777777" w:rsidR="000F7401" w:rsidRPr="00076FE0" w:rsidRDefault="000F7401" w:rsidP="00AE2101">
            <w:pPr>
              <w:pStyle w:val="Normal-pool"/>
              <w:spacing w:before="40" w:after="40"/>
              <w:rPr>
                <w:sz w:val="18"/>
                <w:szCs w:val="18"/>
              </w:rPr>
            </w:pPr>
            <w:r w:rsidRPr="00076FE0">
              <w:rPr>
                <w:sz w:val="18"/>
                <w:szCs w:val="18"/>
              </w:rPr>
              <w:t>10.15–10.45 a.m.</w:t>
            </w:r>
          </w:p>
        </w:tc>
        <w:tc>
          <w:tcPr>
            <w:tcW w:w="1402" w:type="dxa"/>
            <w:tcBorders>
              <w:left w:val="single" w:sz="4" w:space="0" w:color="auto"/>
              <w:right w:val="single" w:sz="4" w:space="0" w:color="auto"/>
            </w:tcBorders>
            <w:shd w:val="clear" w:color="auto" w:fill="D9D9D9"/>
            <w:vAlign w:val="center"/>
            <w:hideMark/>
          </w:tcPr>
          <w:p w14:paraId="57F8213E" w14:textId="77777777" w:rsidR="000F7401" w:rsidRPr="00076FE0" w:rsidRDefault="000F7401" w:rsidP="00AE2101">
            <w:pPr>
              <w:pStyle w:val="Normal-pool"/>
              <w:spacing w:before="40" w:after="40"/>
              <w:jc w:val="center"/>
              <w:rPr>
                <w:sz w:val="16"/>
                <w:szCs w:val="16"/>
                <w:highlight w:val="lightGray"/>
              </w:rPr>
            </w:pPr>
          </w:p>
        </w:tc>
        <w:tc>
          <w:tcPr>
            <w:tcW w:w="1403" w:type="dxa"/>
            <w:tcBorders>
              <w:left w:val="single" w:sz="4" w:space="0" w:color="auto"/>
              <w:right w:val="single" w:sz="4" w:space="0" w:color="auto"/>
            </w:tcBorders>
            <w:shd w:val="clear" w:color="auto" w:fill="D9D9D9"/>
            <w:vAlign w:val="center"/>
          </w:tcPr>
          <w:p w14:paraId="652037C4"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200837CA"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76511533" w14:textId="77777777" w:rsidR="000F7401" w:rsidRPr="00076FE0" w:rsidRDefault="000F7401" w:rsidP="00AE2101">
            <w:pPr>
              <w:pStyle w:val="Normal-pool"/>
              <w:spacing w:before="40" w:after="40"/>
              <w:jc w:val="center"/>
              <w:rPr>
                <w:b/>
                <w:sz w:val="16"/>
                <w:szCs w:val="16"/>
              </w:rPr>
            </w:pPr>
          </w:p>
        </w:tc>
        <w:tc>
          <w:tcPr>
            <w:tcW w:w="1402" w:type="dxa"/>
            <w:tcBorders>
              <w:left w:val="single" w:sz="4" w:space="0" w:color="auto"/>
              <w:right w:val="single" w:sz="4" w:space="0" w:color="auto"/>
            </w:tcBorders>
            <w:shd w:val="clear" w:color="auto" w:fill="D9D9D9"/>
            <w:vAlign w:val="center"/>
          </w:tcPr>
          <w:p w14:paraId="1FA7370C"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6CF78207"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6E4428FF"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47E5B28D"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51FFA510" w14:textId="77777777" w:rsidR="000F7401" w:rsidRPr="00076FE0" w:rsidRDefault="000F7401" w:rsidP="00AE2101">
            <w:pPr>
              <w:pStyle w:val="Normal-pool"/>
              <w:spacing w:before="40" w:after="40"/>
              <w:jc w:val="center"/>
              <w:rPr>
                <w:bCs/>
                <w:sz w:val="16"/>
                <w:szCs w:val="16"/>
              </w:rPr>
            </w:pPr>
          </w:p>
        </w:tc>
      </w:tr>
      <w:tr w:rsidR="00581ABC" w:rsidRPr="00076FE0" w14:paraId="058C5D93"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59F66F" w14:textId="77777777" w:rsidR="000F7401" w:rsidRPr="00076FE0" w:rsidRDefault="000F7401" w:rsidP="00AE2101">
            <w:pPr>
              <w:pStyle w:val="Normal-pool"/>
              <w:spacing w:before="40" w:after="40"/>
              <w:rPr>
                <w:sz w:val="18"/>
                <w:szCs w:val="18"/>
              </w:rPr>
            </w:pPr>
            <w:r w:rsidRPr="00076FE0">
              <w:rPr>
                <w:sz w:val="18"/>
                <w:szCs w:val="18"/>
              </w:rPr>
              <w:t>10.45–11.15 a.m.</w:t>
            </w:r>
          </w:p>
        </w:tc>
        <w:tc>
          <w:tcPr>
            <w:tcW w:w="1402" w:type="dxa"/>
            <w:tcBorders>
              <w:left w:val="single" w:sz="4" w:space="0" w:color="auto"/>
              <w:right w:val="single" w:sz="4" w:space="0" w:color="auto"/>
            </w:tcBorders>
            <w:shd w:val="clear" w:color="auto" w:fill="D9D9D9"/>
            <w:vAlign w:val="center"/>
            <w:hideMark/>
          </w:tcPr>
          <w:p w14:paraId="754FF4E9" w14:textId="77777777" w:rsidR="000F7401" w:rsidRPr="00076FE0" w:rsidRDefault="000F7401" w:rsidP="00AE2101">
            <w:pPr>
              <w:pStyle w:val="Normal-pool"/>
              <w:spacing w:before="40" w:after="40"/>
              <w:jc w:val="center"/>
              <w:rPr>
                <w:sz w:val="16"/>
                <w:szCs w:val="16"/>
                <w:highlight w:val="lightGray"/>
              </w:rPr>
            </w:pPr>
          </w:p>
        </w:tc>
        <w:tc>
          <w:tcPr>
            <w:tcW w:w="1403" w:type="dxa"/>
            <w:tcBorders>
              <w:left w:val="single" w:sz="4" w:space="0" w:color="auto"/>
              <w:right w:val="single" w:sz="4" w:space="0" w:color="auto"/>
            </w:tcBorders>
            <w:shd w:val="clear" w:color="auto" w:fill="D9D9D9"/>
            <w:vAlign w:val="center"/>
          </w:tcPr>
          <w:p w14:paraId="177380C3"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451F84E4"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653A06AD" w14:textId="77777777" w:rsidR="000F7401" w:rsidRPr="00076FE0" w:rsidRDefault="000F7401" w:rsidP="00AE2101">
            <w:pPr>
              <w:pStyle w:val="Normal-pool"/>
              <w:spacing w:before="40" w:after="40"/>
              <w:jc w:val="center"/>
              <w:rPr>
                <w:b/>
                <w:sz w:val="16"/>
                <w:szCs w:val="16"/>
              </w:rPr>
            </w:pPr>
          </w:p>
        </w:tc>
        <w:tc>
          <w:tcPr>
            <w:tcW w:w="1402" w:type="dxa"/>
            <w:tcBorders>
              <w:left w:val="single" w:sz="4" w:space="0" w:color="auto"/>
              <w:right w:val="single" w:sz="4" w:space="0" w:color="auto"/>
            </w:tcBorders>
            <w:shd w:val="clear" w:color="auto" w:fill="D9D9D9"/>
            <w:vAlign w:val="center"/>
          </w:tcPr>
          <w:p w14:paraId="7E1F119B"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08F363B1"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7C4444DB"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6212714E"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78919EF7" w14:textId="77777777" w:rsidR="000F7401" w:rsidRPr="00076FE0" w:rsidRDefault="000F7401" w:rsidP="00AE2101">
            <w:pPr>
              <w:pStyle w:val="Normal-pool"/>
              <w:spacing w:before="40" w:after="40"/>
              <w:jc w:val="center"/>
              <w:rPr>
                <w:bCs/>
                <w:sz w:val="16"/>
                <w:szCs w:val="16"/>
              </w:rPr>
            </w:pPr>
          </w:p>
        </w:tc>
      </w:tr>
      <w:tr w:rsidR="00581ABC" w:rsidRPr="00076FE0" w14:paraId="7E3A198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EE7CFB" w14:textId="77777777" w:rsidR="000F7401" w:rsidRPr="00076FE0" w:rsidRDefault="000F7401" w:rsidP="00AE2101">
            <w:pPr>
              <w:pStyle w:val="Normal-pool"/>
              <w:spacing w:before="40" w:after="40"/>
              <w:rPr>
                <w:sz w:val="18"/>
                <w:szCs w:val="18"/>
              </w:rPr>
            </w:pPr>
            <w:r w:rsidRPr="00076FE0">
              <w:rPr>
                <w:sz w:val="18"/>
                <w:szCs w:val="18"/>
              </w:rPr>
              <w:t>11.15–11.45 a.m.</w:t>
            </w:r>
          </w:p>
        </w:tc>
        <w:tc>
          <w:tcPr>
            <w:tcW w:w="1402" w:type="dxa"/>
            <w:tcBorders>
              <w:left w:val="single" w:sz="4" w:space="0" w:color="auto"/>
              <w:right w:val="single" w:sz="4" w:space="0" w:color="auto"/>
            </w:tcBorders>
            <w:shd w:val="clear" w:color="auto" w:fill="D9D9D9"/>
            <w:vAlign w:val="center"/>
            <w:hideMark/>
          </w:tcPr>
          <w:p w14:paraId="7C3DAC4E" w14:textId="77777777" w:rsidR="000F7401" w:rsidRPr="00076FE0" w:rsidRDefault="000F7401" w:rsidP="00AE2101">
            <w:pPr>
              <w:pStyle w:val="Normal-pool"/>
              <w:spacing w:before="40" w:after="40"/>
              <w:jc w:val="center"/>
              <w:rPr>
                <w:sz w:val="16"/>
                <w:szCs w:val="16"/>
                <w:highlight w:val="lightGray"/>
              </w:rPr>
            </w:pPr>
          </w:p>
        </w:tc>
        <w:tc>
          <w:tcPr>
            <w:tcW w:w="1403" w:type="dxa"/>
            <w:vMerge w:val="restart"/>
            <w:tcBorders>
              <w:left w:val="single" w:sz="4" w:space="0" w:color="auto"/>
              <w:right w:val="single" w:sz="4" w:space="0" w:color="auto"/>
            </w:tcBorders>
            <w:shd w:val="clear" w:color="auto" w:fill="00B0F0"/>
            <w:vAlign w:val="center"/>
          </w:tcPr>
          <w:p w14:paraId="650827BE" w14:textId="77777777" w:rsidR="000F7401" w:rsidRPr="00076FE0" w:rsidRDefault="000F7401" w:rsidP="00AE2101">
            <w:pPr>
              <w:pStyle w:val="Normal-pool"/>
              <w:spacing w:before="40" w:after="40"/>
              <w:jc w:val="center"/>
              <w:rPr>
                <w:b/>
                <w:bCs/>
                <w:sz w:val="16"/>
                <w:szCs w:val="16"/>
              </w:rPr>
            </w:pPr>
            <w:r w:rsidRPr="00076FE0">
              <w:rPr>
                <w:b/>
                <w:bCs/>
                <w:sz w:val="16"/>
                <w:szCs w:val="16"/>
              </w:rPr>
              <w:t>Contact group</w:t>
            </w:r>
          </w:p>
          <w:p w14:paraId="10BBE339" w14:textId="60E41CB6" w:rsidR="004B57C7" w:rsidRPr="00076FE0" w:rsidRDefault="000F7401" w:rsidP="00AE2101">
            <w:pPr>
              <w:pStyle w:val="Normal-pool"/>
              <w:spacing w:before="40" w:after="40"/>
              <w:jc w:val="center"/>
              <w:rPr>
                <w:sz w:val="16"/>
                <w:szCs w:val="16"/>
              </w:rPr>
            </w:pPr>
            <w:r w:rsidRPr="00076FE0">
              <w:rPr>
                <w:sz w:val="16"/>
                <w:szCs w:val="16"/>
              </w:rPr>
              <w:t>Item 6</w:t>
            </w:r>
          </w:p>
          <w:p w14:paraId="04E98429" w14:textId="27E4D493" w:rsidR="000F7401" w:rsidRPr="00076FE0" w:rsidRDefault="000F7401" w:rsidP="00AE2101">
            <w:pPr>
              <w:pStyle w:val="Normal-pool"/>
              <w:spacing w:before="40" w:after="40"/>
              <w:jc w:val="center"/>
              <w:rPr>
                <w:sz w:val="16"/>
                <w:szCs w:val="16"/>
              </w:rPr>
            </w:pPr>
            <w:r w:rsidRPr="00076FE0">
              <w:rPr>
                <w:sz w:val="16"/>
                <w:szCs w:val="16"/>
              </w:rPr>
              <w:t>Budget</w:t>
            </w:r>
          </w:p>
        </w:tc>
        <w:tc>
          <w:tcPr>
            <w:tcW w:w="1403" w:type="dxa"/>
            <w:vMerge w:val="restart"/>
            <w:tcBorders>
              <w:left w:val="single" w:sz="4" w:space="0" w:color="auto"/>
              <w:right w:val="single" w:sz="4" w:space="0" w:color="auto"/>
            </w:tcBorders>
            <w:shd w:val="clear" w:color="auto" w:fill="00B0F0"/>
            <w:vAlign w:val="center"/>
          </w:tcPr>
          <w:p w14:paraId="0D7FCE19" w14:textId="77777777" w:rsidR="000F7401" w:rsidRPr="00076FE0" w:rsidRDefault="000F7401" w:rsidP="00AE2101">
            <w:pPr>
              <w:pStyle w:val="Normal-pool"/>
              <w:spacing w:before="40" w:after="40"/>
              <w:jc w:val="center"/>
              <w:rPr>
                <w:b/>
                <w:bCs/>
                <w:sz w:val="16"/>
                <w:szCs w:val="16"/>
              </w:rPr>
            </w:pPr>
            <w:r w:rsidRPr="00076FE0">
              <w:rPr>
                <w:b/>
                <w:bCs/>
                <w:sz w:val="16"/>
                <w:szCs w:val="16"/>
              </w:rPr>
              <w:t>Contact group</w:t>
            </w:r>
          </w:p>
          <w:p w14:paraId="4F6F2581" w14:textId="2A2E5FAA" w:rsidR="004B57C7" w:rsidRPr="00076FE0" w:rsidRDefault="000F7401" w:rsidP="00AE2101">
            <w:pPr>
              <w:pStyle w:val="Normal-pool"/>
              <w:spacing w:before="40" w:after="40"/>
              <w:jc w:val="center"/>
              <w:rPr>
                <w:sz w:val="16"/>
                <w:szCs w:val="16"/>
              </w:rPr>
            </w:pPr>
            <w:r w:rsidRPr="00076FE0">
              <w:rPr>
                <w:sz w:val="16"/>
                <w:szCs w:val="16"/>
              </w:rPr>
              <w:t>Item 6</w:t>
            </w:r>
          </w:p>
          <w:p w14:paraId="7B124735" w14:textId="1308B0B1" w:rsidR="000F7401" w:rsidRPr="00076FE0" w:rsidRDefault="000F7401" w:rsidP="00AE2101">
            <w:pPr>
              <w:pStyle w:val="Normal-pool"/>
              <w:spacing w:before="40" w:after="40"/>
              <w:jc w:val="center"/>
              <w:rPr>
                <w:sz w:val="16"/>
                <w:szCs w:val="16"/>
              </w:rPr>
            </w:pPr>
            <w:r w:rsidRPr="00076FE0">
              <w:rPr>
                <w:sz w:val="16"/>
                <w:szCs w:val="16"/>
              </w:rPr>
              <w:t>Budget</w:t>
            </w:r>
          </w:p>
        </w:tc>
        <w:tc>
          <w:tcPr>
            <w:tcW w:w="1403" w:type="dxa"/>
            <w:tcBorders>
              <w:left w:val="single" w:sz="4" w:space="0" w:color="auto"/>
              <w:right w:val="single" w:sz="4" w:space="0" w:color="auto"/>
            </w:tcBorders>
            <w:shd w:val="clear" w:color="auto" w:fill="D9D9D9"/>
            <w:vAlign w:val="center"/>
          </w:tcPr>
          <w:p w14:paraId="0742A9F4" w14:textId="77777777" w:rsidR="000F7401" w:rsidRPr="00076FE0" w:rsidRDefault="000F7401" w:rsidP="00AE2101">
            <w:pPr>
              <w:pStyle w:val="Normal-pool"/>
              <w:spacing w:before="40" w:after="40"/>
              <w:jc w:val="center"/>
              <w:rPr>
                <w:b/>
                <w:sz w:val="16"/>
                <w:szCs w:val="16"/>
              </w:rPr>
            </w:pPr>
          </w:p>
        </w:tc>
        <w:tc>
          <w:tcPr>
            <w:tcW w:w="1402" w:type="dxa"/>
            <w:tcBorders>
              <w:left w:val="single" w:sz="4" w:space="0" w:color="auto"/>
              <w:right w:val="single" w:sz="4" w:space="0" w:color="auto"/>
            </w:tcBorders>
            <w:shd w:val="clear" w:color="auto" w:fill="D9D9D9"/>
            <w:vAlign w:val="center"/>
          </w:tcPr>
          <w:p w14:paraId="237EA61F"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4CB7BABE"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3F83EFCD"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43937113"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0A65CB6F" w14:textId="77777777" w:rsidR="000F7401" w:rsidRPr="00076FE0" w:rsidRDefault="000F7401" w:rsidP="00AE2101">
            <w:pPr>
              <w:pStyle w:val="Normal-pool"/>
              <w:spacing w:before="40" w:after="40"/>
              <w:jc w:val="center"/>
              <w:rPr>
                <w:bCs/>
                <w:sz w:val="16"/>
                <w:szCs w:val="16"/>
              </w:rPr>
            </w:pPr>
          </w:p>
        </w:tc>
      </w:tr>
      <w:tr w:rsidR="00581ABC" w:rsidRPr="00076FE0" w14:paraId="1F3C6E28"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1E600" w14:textId="622FCC90" w:rsidR="000F7401" w:rsidRPr="00076FE0" w:rsidRDefault="000F7401" w:rsidP="00AE2101">
            <w:pPr>
              <w:pStyle w:val="Normal-pool"/>
              <w:spacing w:before="40" w:after="40"/>
              <w:ind w:right="-227"/>
              <w:rPr>
                <w:sz w:val="18"/>
                <w:szCs w:val="18"/>
              </w:rPr>
            </w:pPr>
            <w:r w:rsidRPr="00076FE0">
              <w:rPr>
                <w:sz w:val="18"/>
                <w:szCs w:val="18"/>
              </w:rPr>
              <w:t>11.45</w:t>
            </w:r>
            <w:r w:rsidR="003A426C" w:rsidRPr="00076FE0">
              <w:rPr>
                <w:sz w:val="18"/>
                <w:szCs w:val="18"/>
              </w:rPr>
              <w:t xml:space="preserve"> a.m.</w:t>
            </w:r>
            <w:r w:rsidRPr="00076FE0">
              <w:rPr>
                <w:sz w:val="18"/>
                <w:szCs w:val="18"/>
              </w:rPr>
              <w:t>–12.15 p.m.</w:t>
            </w:r>
          </w:p>
        </w:tc>
        <w:tc>
          <w:tcPr>
            <w:tcW w:w="1402" w:type="dxa"/>
            <w:tcBorders>
              <w:left w:val="single" w:sz="4" w:space="0" w:color="auto"/>
              <w:right w:val="single" w:sz="4" w:space="0" w:color="auto"/>
            </w:tcBorders>
            <w:shd w:val="clear" w:color="auto" w:fill="D9D9D9"/>
            <w:vAlign w:val="center"/>
            <w:hideMark/>
          </w:tcPr>
          <w:p w14:paraId="7C114A04" w14:textId="77777777" w:rsidR="000F7401" w:rsidRPr="00076FE0" w:rsidRDefault="000F7401" w:rsidP="00AE2101">
            <w:pPr>
              <w:pStyle w:val="Normal-pool"/>
              <w:spacing w:before="40" w:after="40"/>
              <w:jc w:val="center"/>
              <w:rPr>
                <w:sz w:val="16"/>
                <w:szCs w:val="16"/>
                <w:highlight w:val="lightGray"/>
              </w:rPr>
            </w:pPr>
          </w:p>
        </w:tc>
        <w:tc>
          <w:tcPr>
            <w:tcW w:w="1403" w:type="dxa"/>
            <w:vMerge/>
            <w:tcBorders>
              <w:left w:val="single" w:sz="4" w:space="0" w:color="auto"/>
              <w:right w:val="single" w:sz="4" w:space="0" w:color="auto"/>
            </w:tcBorders>
            <w:shd w:val="clear" w:color="auto" w:fill="00B0F0"/>
            <w:vAlign w:val="center"/>
          </w:tcPr>
          <w:p w14:paraId="3E516840" w14:textId="77777777" w:rsidR="000F7401" w:rsidRPr="00076FE0" w:rsidRDefault="000F7401" w:rsidP="00AE2101">
            <w:pPr>
              <w:pStyle w:val="Normal-pool"/>
              <w:spacing w:before="40" w:after="40"/>
              <w:jc w:val="center"/>
              <w:rPr>
                <w:b/>
                <w:sz w:val="16"/>
                <w:szCs w:val="16"/>
              </w:rPr>
            </w:pPr>
          </w:p>
        </w:tc>
        <w:tc>
          <w:tcPr>
            <w:tcW w:w="1403" w:type="dxa"/>
            <w:vMerge/>
            <w:tcBorders>
              <w:left w:val="single" w:sz="4" w:space="0" w:color="auto"/>
              <w:right w:val="single" w:sz="4" w:space="0" w:color="auto"/>
            </w:tcBorders>
            <w:shd w:val="clear" w:color="auto" w:fill="00B0F0"/>
            <w:vAlign w:val="center"/>
          </w:tcPr>
          <w:p w14:paraId="54192F33"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65348A19" w14:textId="77777777" w:rsidR="000F7401" w:rsidRPr="00076FE0" w:rsidRDefault="000F7401" w:rsidP="00AE2101">
            <w:pPr>
              <w:pStyle w:val="Normal-pool"/>
              <w:spacing w:before="40" w:after="40"/>
              <w:jc w:val="center"/>
              <w:rPr>
                <w:b/>
                <w:sz w:val="16"/>
                <w:szCs w:val="16"/>
              </w:rPr>
            </w:pPr>
          </w:p>
        </w:tc>
        <w:tc>
          <w:tcPr>
            <w:tcW w:w="1402" w:type="dxa"/>
            <w:vMerge w:val="restart"/>
            <w:tcBorders>
              <w:left w:val="single" w:sz="4" w:space="0" w:color="auto"/>
              <w:right w:val="single" w:sz="4" w:space="0" w:color="auto"/>
            </w:tcBorders>
            <w:shd w:val="clear" w:color="auto" w:fill="00B0F0"/>
            <w:vAlign w:val="center"/>
          </w:tcPr>
          <w:p w14:paraId="2BA2C15E" w14:textId="77777777" w:rsidR="000F7401" w:rsidRPr="00076FE0" w:rsidRDefault="000F7401" w:rsidP="00AE2101">
            <w:pPr>
              <w:pStyle w:val="Normal-pool"/>
              <w:spacing w:before="40" w:after="40"/>
              <w:jc w:val="center"/>
              <w:rPr>
                <w:b/>
                <w:bCs/>
                <w:sz w:val="16"/>
                <w:szCs w:val="16"/>
              </w:rPr>
            </w:pPr>
            <w:r w:rsidRPr="00076FE0">
              <w:rPr>
                <w:b/>
                <w:bCs/>
                <w:sz w:val="16"/>
                <w:szCs w:val="16"/>
              </w:rPr>
              <w:t>Contact group</w:t>
            </w:r>
          </w:p>
          <w:p w14:paraId="1DE0F649" w14:textId="77777777" w:rsidR="000F7401" w:rsidRPr="00076FE0" w:rsidRDefault="000F7401" w:rsidP="00AE2101">
            <w:pPr>
              <w:pStyle w:val="Normal-pool"/>
              <w:spacing w:before="40" w:after="40"/>
              <w:jc w:val="center"/>
              <w:rPr>
                <w:sz w:val="16"/>
                <w:szCs w:val="16"/>
              </w:rPr>
            </w:pPr>
            <w:r w:rsidRPr="00076FE0">
              <w:rPr>
                <w:sz w:val="16"/>
                <w:szCs w:val="16"/>
              </w:rPr>
              <w:t>Item 6</w:t>
            </w:r>
          </w:p>
          <w:p w14:paraId="5A551EC4" w14:textId="77777777" w:rsidR="000F7401" w:rsidRPr="00076FE0" w:rsidRDefault="000F7401" w:rsidP="00AE2101">
            <w:pPr>
              <w:pStyle w:val="Normal-pool"/>
              <w:spacing w:before="40" w:after="40"/>
              <w:jc w:val="center"/>
              <w:rPr>
                <w:bCs/>
                <w:sz w:val="16"/>
                <w:szCs w:val="16"/>
              </w:rPr>
            </w:pPr>
            <w:r w:rsidRPr="00076FE0">
              <w:rPr>
                <w:sz w:val="16"/>
                <w:szCs w:val="16"/>
              </w:rPr>
              <w:t>Budget</w:t>
            </w:r>
          </w:p>
        </w:tc>
        <w:tc>
          <w:tcPr>
            <w:tcW w:w="1403" w:type="dxa"/>
            <w:tcBorders>
              <w:left w:val="single" w:sz="4" w:space="0" w:color="auto"/>
              <w:right w:val="single" w:sz="4" w:space="0" w:color="auto"/>
            </w:tcBorders>
            <w:shd w:val="clear" w:color="auto" w:fill="D9D9D9"/>
            <w:vAlign w:val="center"/>
          </w:tcPr>
          <w:p w14:paraId="0E8A33A7"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66EC371A"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0F0ACB72"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2C2B9694" w14:textId="77777777" w:rsidR="000F7401" w:rsidRPr="00076FE0" w:rsidRDefault="000F7401" w:rsidP="00AE2101">
            <w:pPr>
              <w:pStyle w:val="Normal-pool"/>
              <w:spacing w:before="40" w:after="40"/>
              <w:jc w:val="center"/>
              <w:rPr>
                <w:bCs/>
                <w:sz w:val="16"/>
                <w:szCs w:val="16"/>
              </w:rPr>
            </w:pPr>
          </w:p>
        </w:tc>
      </w:tr>
      <w:tr w:rsidR="00581ABC" w:rsidRPr="00076FE0" w14:paraId="0F005E4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5AA575" w14:textId="77777777" w:rsidR="000F7401" w:rsidRPr="00076FE0" w:rsidRDefault="000F7401" w:rsidP="00AE2101">
            <w:pPr>
              <w:pStyle w:val="Normal-pool"/>
              <w:spacing w:before="40" w:after="40"/>
              <w:rPr>
                <w:sz w:val="18"/>
                <w:szCs w:val="18"/>
              </w:rPr>
            </w:pPr>
            <w:r w:rsidRPr="00076FE0">
              <w:rPr>
                <w:sz w:val="18"/>
                <w:szCs w:val="18"/>
              </w:rPr>
              <w:t>12.15–12.45 p.m.</w:t>
            </w:r>
          </w:p>
        </w:tc>
        <w:tc>
          <w:tcPr>
            <w:tcW w:w="1402" w:type="dxa"/>
            <w:tcBorders>
              <w:left w:val="single" w:sz="4" w:space="0" w:color="auto"/>
              <w:right w:val="single" w:sz="4" w:space="0" w:color="auto"/>
            </w:tcBorders>
            <w:shd w:val="clear" w:color="auto" w:fill="D9D9D9"/>
            <w:vAlign w:val="center"/>
            <w:hideMark/>
          </w:tcPr>
          <w:p w14:paraId="6C8A6ACB" w14:textId="77777777" w:rsidR="000F7401" w:rsidRPr="00076FE0" w:rsidRDefault="000F7401" w:rsidP="00AE2101">
            <w:pPr>
              <w:pStyle w:val="Normal-pool"/>
              <w:spacing w:before="40" w:after="40"/>
              <w:jc w:val="center"/>
              <w:rPr>
                <w:sz w:val="16"/>
                <w:szCs w:val="16"/>
                <w:highlight w:val="lightGray"/>
              </w:rPr>
            </w:pPr>
          </w:p>
        </w:tc>
        <w:tc>
          <w:tcPr>
            <w:tcW w:w="1403" w:type="dxa"/>
            <w:tcBorders>
              <w:left w:val="single" w:sz="4" w:space="0" w:color="auto"/>
              <w:right w:val="single" w:sz="4" w:space="0" w:color="auto"/>
            </w:tcBorders>
            <w:shd w:val="clear" w:color="auto" w:fill="D9D9D9"/>
            <w:vAlign w:val="center"/>
          </w:tcPr>
          <w:p w14:paraId="152FE02A"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68B76CD1"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5FD68BA7" w14:textId="77777777" w:rsidR="000F7401" w:rsidRPr="00076FE0" w:rsidRDefault="000F7401" w:rsidP="00AE2101">
            <w:pPr>
              <w:pStyle w:val="Normal-pool"/>
              <w:spacing w:before="40" w:after="40"/>
              <w:jc w:val="center"/>
              <w:rPr>
                <w:b/>
                <w:sz w:val="16"/>
                <w:szCs w:val="16"/>
              </w:rPr>
            </w:pPr>
          </w:p>
        </w:tc>
        <w:tc>
          <w:tcPr>
            <w:tcW w:w="1402" w:type="dxa"/>
            <w:vMerge/>
            <w:tcBorders>
              <w:left w:val="single" w:sz="4" w:space="0" w:color="auto"/>
              <w:right w:val="single" w:sz="4" w:space="0" w:color="auto"/>
            </w:tcBorders>
            <w:shd w:val="clear" w:color="auto" w:fill="00B0F0"/>
            <w:vAlign w:val="center"/>
          </w:tcPr>
          <w:p w14:paraId="44B87DEE"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74C3DB64"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18C4738E"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4391DB8A"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vAlign w:val="center"/>
          </w:tcPr>
          <w:p w14:paraId="4DA00583" w14:textId="77777777" w:rsidR="000F7401" w:rsidRPr="00076FE0" w:rsidRDefault="000F7401" w:rsidP="00AE2101">
            <w:pPr>
              <w:pStyle w:val="Normal-pool"/>
              <w:spacing w:before="40" w:after="40"/>
              <w:jc w:val="center"/>
              <w:rPr>
                <w:bCs/>
                <w:sz w:val="16"/>
                <w:szCs w:val="16"/>
              </w:rPr>
            </w:pPr>
          </w:p>
        </w:tc>
      </w:tr>
      <w:tr w:rsidR="00581ABC" w:rsidRPr="00076FE0" w14:paraId="0F630C39"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2D0ADB" w14:textId="77777777" w:rsidR="000F7401" w:rsidRPr="00076FE0" w:rsidRDefault="000F7401" w:rsidP="00AE2101">
            <w:pPr>
              <w:pStyle w:val="Normal-pool"/>
              <w:spacing w:before="40" w:after="40"/>
              <w:rPr>
                <w:sz w:val="18"/>
                <w:szCs w:val="18"/>
              </w:rPr>
            </w:pPr>
            <w:r w:rsidRPr="00076FE0">
              <w:rPr>
                <w:sz w:val="18"/>
                <w:szCs w:val="18"/>
              </w:rPr>
              <w:t>12.45–1.15 p.m.</w:t>
            </w:r>
          </w:p>
        </w:tc>
        <w:tc>
          <w:tcPr>
            <w:tcW w:w="1402" w:type="dxa"/>
            <w:vMerge w:val="restart"/>
            <w:tcBorders>
              <w:left w:val="single" w:sz="4" w:space="0" w:color="auto"/>
              <w:right w:val="single" w:sz="4" w:space="0" w:color="auto"/>
            </w:tcBorders>
            <w:shd w:val="clear" w:color="auto" w:fill="FFC000"/>
            <w:tcMar>
              <w:top w:w="0" w:type="dxa"/>
              <w:left w:w="57" w:type="dxa"/>
              <w:bottom w:w="0" w:type="dxa"/>
              <w:right w:w="57" w:type="dxa"/>
            </w:tcMar>
            <w:vAlign w:val="center"/>
          </w:tcPr>
          <w:p w14:paraId="07063739" w14:textId="77777777" w:rsidR="000F7401" w:rsidRPr="00076FE0" w:rsidRDefault="000F7401" w:rsidP="00AE2101">
            <w:pPr>
              <w:pStyle w:val="Normal-pool"/>
              <w:spacing w:before="40" w:after="40"/>
              <w:jc w:val="center"/>
              <w:rPr>
                <w:b/>
                <w:sz w:val="16"/>
                <w:szCs w:val="16"/>
              </w:rPr>
            </w:pPr>
            <w:r w:rsidRPr="00076FE0">
              <w:rPr>
                <w:b/>
                <w:sz w:val="16"/>
                <w:szCs w:val="16"/>
              </w:rPr>
              <w:t>Plenary</w:t>
            </w:r>
          </w:p>
          <w:p w14:paraId="2899B293" w14:textId="7474CD14" w:rsidR="000F7401" w:rsidRPr="00076FE0" w:rsidRDefault="000F7401" w:rsidP="00AE2101">
            <w:pPr>
              <w:pStyle w:val="Normal-pool"/>
              <w:spacing w:before="40" w:after="40"/>
              <w:jc w:val="center"/>
              <w:rPr>
                <w:sz w:val="16"/>
                <w:szCs w:val="16"/>
              </w:rPr>
            </w:pPr>
            <w:r w:rsidRPr="00076FE0">
              <w:rPr>
                <w:sz w:val="16"/>
                <w:szCs w:val="16"/>
              </w:rPr>
              <w:t>Items 1 to 3</w:t>
            </w:r>
          </w:p>
        </w:tc>
        <w:tc>
          <w:tcPr>
            <w:tcW w:w="1403" w:type="dxa"/>
            <w:vMerge w:val="restart"/>
            <w:tcBorders>
              <w:left w:val="single" w:sz="4" w:space="0" w:color="auto"/>
              <w:right w:val="single" w:sz="4" w:space="0" w:color="auto"/>
            </w:tcBorders>
            <w:shd w:val="clear" w:color="auto" w:fill="FFC000"/>
            <w:vAlign w:val="center"/>
          </w:tcPr>
          <w:p w14:paraId="2B6483C0" w14:textId="77777777" w:rsidR="000F7401" w:rsidRPr="00076FE0" w:rsidRDefault="000F7401" w:rsidP="00AE2101">
            <w:pPr>
              <w:pStyle w:val="Normal-pool"/>
              <w:spacing w:before="40" w:after="40"/>
              <w:jc w:val="center"/>
              <w:rPr>
                <w:b/>
                <w:sz w:val="16"/>
                <w:szCs w:val="16"/>
              </w:rPr>
            </w:pPr>
            <w:r w:rsidRPr="00076FE0">
              <w:rPr>
                <w:b/>
                <w:sz w:val="16"/>
                <w:szCs w:val="16"/>
              </w:rPr>
              <w:t>Plenary</w:t>
            </w:r>
          </w:p>
          <w:p w14:paraId="4A1F2821" w14:textId="77777777" w:rsidR="000F7401" w:rsidRPr="00076FE0" w:rsidRDefault="000F7401" w:rsidP="00AE2101">
            <w:pPr>
              <w:pStyle w:val="Normal-pool"/>
              <w:spacing w:before="40" w:after="40"/>
              <w:jc w:val="center"/>
              <w:rPr>
                <w:sz w:val="16"/>
                <w:szCs w:val="16"/>
              </w:rPr>
            </w:pPr>
            <w:r w:rsidRPr="00076FE0">
              <w:rPr>
                <w:sz w:val="16"/>
                <w:szCs w:val="16"/>
              </w:rPr>
              <w:t>Items 9 to 11</w:t>
            </w:r>
          </w:p>
        </w:tc>
        <w:tc>
          <w:tcPr>
            <w:tcW w:w="1403" w:type="dxa"/>
            <w:vMerge w:val="restart"/>
            <w:tcBorders>
              <w:left w:val="single" w:sz="4" w:space="0" w:color="auto"/>
              <w:right w:val="single" w:sz="4" w:space="0" w:color="auto"/>
            </w:tcBorders>
            <w:shd w:val="clear" w:color="auto" w:fill="92D050"/>
            <w:vAlign w:val="center"/>
          </w:tcPr>
          <w:p w14:paraId="2853497D"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1E370F89" w14:textId="59FF094E" w:rsidR="000F7401" w:rsidRPr="00076FE0" w:rsidRDefault="000F7401" w:rsidP="00AE2101">
            <w:pPr>
              <w:pStyle w:val="Normal-pool"/>
              <w:spacing w:before="40" w:after="40"/>
              <w:jc w:val="center"/>
              <w:rPr>
                <w:sz w:val="16"/>
                <w:szCs w:val="16"/>
              </w:rPr>
            </w:pPr>
            <w:r w:rsidRPr="00076FE0">
              <w:rPr>
                <w:sz w:val="16"/>
                <w:szCs w:val="16"/>
              </w:rPr>
              <w:t>Item 7</w:t>
            </w:r>
            <w:r w:rsidR="00595C1F" w:rsidRPr="00076FE0">
              <w:rPr>
                <w:sz w:val="16"/>
                <w:szCs w:val="16"/>
              </w:rPr>
              <w:t xml:space="preserve"> </w:t>
            </w:r>
            <w:r w:rsidRPr="00076FE0">
              <w:rPr>
                <w:sz w:val="16"/>
                <w:szCs w:val="16"/>
              </w:rPr>
              <w:t>(b)</w:t>
            </w:r>
          </w:p>
          <w:p w14:paraId="415BCD6A" w14:textId="77777777" w:rsidR="000F7401" w:rsidRPr="00076FE0" w:rsidRDefault="000F7401" w:rsidP="00AE2101">
            <w:pPr>
              <w:pStyle w:val="Normal-pool"/>
              <w:spacing w:before="40" w:after="40"/>
              <w:jc w:val="center"/>
              <w:rPr>
                <w:b/>
                <w:bCs/>
                <w:sz w:val="16"/>
                <w:szCs w:val="16"/>
              </w:rPr>
            </w:pPr>
            <w:r w:rsidRPr="00076FE0">
              <w:rPr>
                <w:sz w:val="16"/>
                <w:szCs w:val="16"/>
              </w:rPr>
              <w:t>Scoping report for transformative change assessment</w:t>
            </w:r>
          </w:p>
        </w:tc>
        <w:tc>
          <w:tcPr>
            <w:tcW w:w="1403" w:type="dxa"/>
            <w:vMerge w:val="restart"/>
            <w:tcBorders>
              <w:left w:val="single" w:sz="4" w:space="0" w:color="auto"/>
              <w:right w:val="single" w:sz="4" w:space="0" w:color="auto"/>
            </w:tcBorders>
            <w:shd w:val="clear" w:color="auto" w:fill="92D050"/>
            <w:vAlign w:val="center"/>
          </w:tcPr>
          <w:p w14:paraId="79E442C1"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3DF4855B" w14:textId="77777777" w:rsidR="001E6DB9" w:rsidRPr="00076FE0" w:rsidRDefault="000F7401" w:rsidP="00AE2101">
            <w:pPr>
              <w:pStyle w:val="Normal-pool"/>
              <w:spacing w:before="40" w:after="40"/>
              <w:jc w:val="center"/>
              <w:rPr>
                <w:sz w:val="16"/>
                <w:szCs w:val="16"/>
              </w:rPr>
            </w:pPr>
            <w:r w:rsidRPr="00076FE0">
              <w:rPr>
                <w:sz w:val="16"/>
                <w:szCs w:val="16"/>
              </w:rPr>
              <w:t>Item 8</w:t>
            </w:r>
          </w:p>
          <w:p w14:paraId="44E1F1DB" w14:textId="48ED8476" w:rsidR="000F7401" w:rsidRPr="00076FE0" w:rsidRDefault="000F7401" w:rsidP="00AE2101">
            <w:pPr>
              <w:pStyle w:val="Normal-pool"/>
              <w:spacing w:before="40" w:after="40"/>
              <w:jc w:val="center"/>
              <w:rPr>
                <w:b/>
                <w:bCs/>
                <w:sz w:val="16"/>
                <w:szCs w:val="16"/>
              </w:rPr>
            </w:pPr>
            <w:r w:rsidRPr="00076FE0">
              <w:rPr>
                <w:sz w:val="16"/>
                <w:szCs w:val="16"/>
              </w:rPr>
              <w:t>Building capacity, strengthening knowledge foundations and supporting policy</w:t>
            </w:r>
          </w:p>
        </w:tc>
        <w:tc>
          <w:tcPr>
            <w:tcW w:w="1402" w:type="dxa"/>
            <w:vMerge/>
            <w:tcBorders>
              <w:left w:val="single" w:sz="4" w:space="0" w:color="auto"/>
              <w:right w:val="single" w:sz="4" w:space="0" w:color="auto"/>
            </w:tcBorders>
            <w:shd w:val="clear" w:color="auto" w:fill="00B0F0"/>
            <w:vAlign w:val="center"/>
          </w:tcPr>
          <w:p w14:paraId="2B082F42" w14:textId="77777777" w:rsidR="000F7401" w:rsidRPr="00076FE0" w:rsidRDefault="000F7401" w:rsidP="00AE2101">
            <w:pPr>
              <w:pStyle w:val="Normal-pool"/>
              <w:spacing w:before="40" w:after="40"/>
              <w:jc w:val="center"/>
              <w:rPr>
                <w:bCs/>
                <w:sz w:val="16"/>
                <w:szCs w:val="16"/>
              </w:rPr>
            </w:pPr>
          </w:p>
        </w:tc>
        <w:tc>
          <w:tcPr>
            <w:tcW w:w="1403" w:type="dxa"/>
            <w:vMerge w:val="restart"/>
            <w:tcBorders>
              <w:left w:val="single" w:sz="4" w:space="0" w:color="auto"/>
              <w:right w:val="single" w:sz="4" w:space="0" w:color="auto"/>
            </w:tcBorders>
            <w:shd w:val="clear" w:color="auto" w:fill="FFC000"/>
            <w:vAlign w:val="center"/>
          </w:tcPr>
          <w:p w14:paraId="7409C280" w14:textId="77777777" w:rsidR="000F7401" w:rsidRPr="00076FE0" w:rsidRDefault="000F7401" w:rsidP="00AE2101">
            <w:pPr>
              <w:pStyle w:val="Normal-pool"/>
              <w:spacing w:before="40" w:after="40"/>
              <w:jc w:val="center"/>
              <w:rPr>
                <w:b/>
                <w:sz w:val="16"/>
                <w:szCs w:val="16"/>
              </w:rPr>
            </w:pPr>
            <w:r w:rsidRPr="00076FE0">
              <w:rPr>
                <w:b/>
                <w:sz w:val="16"/>
                <w:szCs w:val="16"/>
              </w:rPr>
              <w:t>Stocktaking Plenary</w:t>
            </w:r>
          </w:p>
        </w:tc>
        <w:tc>
          <w:tcPr>
            <w:tcW w:w="1403" w:type="dxa"/>
            <w:vMerge w:val="restart"/>
            <w:tcBorders>
              <w:left w:val="single" w:sz="4" w:space="0" w:color="auto"/>
              <w:right w:val="single" w:sz="4" w:space="0" w:color="auto"/>
            </w:tcBorders>
            <w:shd w:val="clear" w:color="auto" w:fill="92D050"/>
            <w:vAlign w:val="center"/>
          </w:tcPr>
          <w:p w14:paraId="3577AC4D"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37D7A0D3" w14:textId="54D26E78" w:rsidR="000F7401" w:rsidRPr="00076FE0" w:rsidRDefault="000F7401" w:rsidP="00AE2101">
            <w:pPr>
              <w:pStyle w:val="Normal-pool"/>
              <w:spacing w:before="40" w:after="40"/>
              <w:jc w:val="center"/>
              <w:rPr>
                <w:bCs/>
                <w:sz w:val="16"/>
                <w:szCs w:val="16"/>
              </w:rPr>
            </w:pPr>
            <w:r w:rsidRPr="00076FE0">
              <w:rPr>
                <w:sz w:val="16"/>
                <w:szCs w:val="16"/>
              </w:rPr>
              <w:t>Item 7</w:t>
            </w:r>
            <w:r w:rsidR="004B57C7" w:rsidRPr="00076FE0">
              <w:rPr>
                <w:sz w:val="16"/>
                <w:szCs w:val="16"/>
              </w:rPr>
              <w:t xml:space="preserve"> </w:t>
            </w:r>
            <w:r w:rsidRPr="00076FE0">
              <w:rPr>
                <w:sz w:val="16"/>
                <w:szCs w:val="16"/>
              </w:rPr>
              <w:t>(b)</w:t>
            </w:r>
          </w:p>
        </w:tc>
        <w:tc>
          <w:tcPr>
            <w:tcW w:w="1403" w:type="dxa"/>
            <w:tcBorders>
              <w:left w:val="single" w:sz="4" w:space="0" w:color="auto"/>
              <w:right w:val="single" w:sz="4" w:space="0" w:color="auto"/>
            </w:tcBorders>
            <w:shd w:val="clear" w:color="auto" w:fill="D9D9D9" w:themeFill="background1" w:themeFillShade="D9"/>
            <w:vAlign w:val="center"/>
          </w:tcPr>
          <w:p w14:paraId="66419ABD" w14:textId="77777777" w:rsidR="000F7401" w:rsidRPr="00076FE0" w:rsidRDefault="000F7401" w:rsidP="00AE2101">
            <w:pPr>
              <w:pStyle w:val="Normal-pool"/>
              <w:spacing w:before="40" w:after="40"/>
              <w:jc w:val="center"/>
              <w:rPr>
                <w:bCs/>
                <w:sz w:val="16"/>
                <w:szCs w:val="16"/>
              </w:rPr>
            </w:pPr>
          </w:p>
        </w:tc>
        <w:tc>
          <w:tcPr>
            <w:tcW w:w="1403" w:type="dxa"/>
            <w:vMerge w:val="restart"/>
            <w:tcBorders>
              <w:left w:val="single" w:sz="4" w:space="0" w:color="auto"/>
              <w:right w:val="single" w:sz="4" w:space="0" w:color="auto"/>
            </w:tcBorders>
            <w:shd w:val="clear" w:color="auto" w:fill="FFC000"/>
            <w:vAlign w:val="center"/>
          </w:tcPr>
          <w:p w14:paraId="7DDA2790" w14:textId="517478B5" w:rsidR="000F7401" w:rsidRPr="00076FE0" w:rsidRDefault="000F7401" w:rsidP="00AE2101">
            <w:pPr>
              <w:pStyle w:val="Normal-pool"/>
              <w:spacing w:before="40" w:after="40"/>
              <w:jc w:val="center"/>
              <w:rPr>
                <w:b/>
                <w:bCs/>
                <w:sz w:val="16"/>
                <w:szCs w:val="16"/>
              </w:rPr>
            </w:pPr>
            <w:r w:rsidRPr="00076FE0">
              <w:rPr>
                <w:b/>
                <w:bCs/>
                <w:sz w:val="16"/>
                <w:szCs w:val="16"/>
              </w:rPr>
              <w:t>Plenary</w:t>
            </w:r>
          </w:p>
          <w:p w14:paraId="352CB686" w14:textId="77777777" w:rsidR="000F7401" w:rsidRPr="00076FE0" w:rsidRDefault="000F7401" w:rsidP="00AE2101">
            <w:pPr>
              <w:pStyle w:val="Normal-pool"/>
              <w:spacing w:before="40" w:after="40"/>
              <w:jc w:val="center"/>
              <w:rPr>
                <w:sz w:val="16"/>
                <w:szCs w:val="16"/>
              </w:rPr>
            </w:pPr>
            <w:r w:rsidRPr="00076FE0">
              <w:rPr>
                <w:sz w:val="16"/>
                <w:szCs w:val="16"/>
              </w:rPr>
              <w:t>Item 12</w:t>
            </w:r>
          </w:p>
        </w:tc>
      </w:tr>
      <w:tr w:rsidR="00581ABC" w:rsidRPr="00076FE0" w14:paraId="2795C3A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D89C81" w14:textId="77777777" w:rsidR="000F7401" w:rsidRPr="00076FE0" w:rsidRDefault="000F7401" w:rsidP="00AE2101">
            <w:pPr>
              <w:pStyle w:val="Normal-pool"/>
              <w:spacing w:before="40" w:after="40"/>
              <w:rPr>
                <w:sz w:val="18"/>
                <w:szCs w:val="18"/>
              </w:rPr>
            </w:pPr>
            <w:r w:rsidRPr="00076FE0">
              <w:rPr>
                <w:sz w:val="18"/>
                <w:szCs w:val="18"/>
              </w:rPr>
              <w:t>1.15–1.45 p.m.</w:t>
            </w:r>
          </w:p>
        </w:tc>
        <w:tc>
          <w:tcPr>
            <w:tcW w:w="1402" w:type="dxa"/>
            <w:vMerge/>
            <w:tcBorders>
              <w:left w:val="single" w:sz="4" w:space="0" w:color="auto"/>
              <w:right w:val="single" w:sz="4" w:space="0" w:color="auto"/>
            </w:tcBorders>
            <w:shd w:val="clear" w:color="auto" w:fill="FFC000"/>
            <w:vAlign w:val="center"/>
            <w:hideMark/>
          </w:tcPr>
          <w:p w14:paraId="41F8EABD"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FFC000"/>
            <w:vAlign w:val="center"/>
          </w:tcPr>
          <w:p w14:paraId="05522164"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3AD7ACCE"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7F0D2C81" w14:textId="77777777" w:rsidR="000F7401" w:rsidRPr="00076FE0" w:rsidRDefault="000F7401" w:rsidP="00AE2101">
            <w:pPr>
              <w:pStyle w:val="Normal-pool"/>
              <w:spacing w:before="40" w:after="40"/>
              <w:jc w:val="center"/>
              <w:rPr>
                <w:sz w:val="16"/>
                <w:szCs w:val="16"/>
              </w:rPr>
            </w:pPr>
          </w:p>
        </w:tc>
        <w:tc>
          <w:tcPr>
            <w:tcW w:w="1402" w:type="dxa"/>
            <w:tcBorders>
              <w:left w:val="single" w:sz="4" w:space="0" w:color="auto"/>
              <w:right w:val="single" w:sz="4" w:space="0" w:color="auto"/>
            </w:tcBorders>
            <w:shd w:val="clear" w:color="auto" w:fill="D9D9D9" w:themeFill="background1" w:themeFillShade="D9"/>
            <w:vAlign w:val="center"/>
          </w:tcPr>
          <w:p w14:paraId="3771509E"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FFC000"/>
            <w:vAlign w:val="center"/>
          </w:tcPr>
          <w:p w14:paraId="112E8BB4"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41B224C0"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6A38A19B"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FFC000"/>
            <w:vAlign w:val="center"/>
          </w:tcPr>
          <w:p w14:paraId="199C9891" w14:textId="77777777" w:rsidR="000F7401" w:rsidRPr="00076FE0" w:rsidRDefault="000F7401" w:rsidP="00AE2101">
            <w:pPr>
              <w:pStyle w:val="Normal-pool"/>
              <w:spacing w:before="40" w:after="40"/>
              <w:jc w:val="center"/>
              <w:rPr>
                <w:bCs/>
                <w:sz w:val="16"/>
                <w:szCs w:val="16"/>
              </w:rPr>
            </w:pPr>
          </w:p>
        </w:tc>
      </w:tr>
      <w:tr w:rsidR="00581ABC" w:rsidRPr="00076FE0" w14:paraId="5576FD66"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8084E3" w14:textId="77777777" w:rsidR="000F7401" w:rsidRPr="00076FE0" w:rsidRDefault="000F7401" w:rsidP="00AE2101">
            <w:pPr>
              <w:pStyle w:val="Normal-pool"/>
              <w:spacing w:before="40" w:after="40"/>
              <w:rPr>
                <w:sz w:val="18"/>
                <w:szCs w:val="18"/>
              </w:rPr>
            </w:pPr>
            <w:r w:rsidRPr="00076FE0">
              <w:rPr>
                <w:sz w:val="18"/>
                <w:szCs w:val="18"/>
              </w:rPr>
              <w:t>1.45–2.15 p.m.</w:t>
            </w:r>
          </w:p>
        </w:tc>
        <w:tc>
          <w:tcPr>
            <w:tcW w:w="1402" w:type="dxa"/>
            <w:vMerge/>
            <w:tcBorders>
              <w:left w:val="single" w:sz="4" w:space="0" w:color="auto"/>
              <w:right w:val="single" w:sz="4" w:space="0" w:color="auto"/>
            </w:tcBorders>
            <w:shd w:val="clear" w:color="auto" w:fill="FFC000"/>
            <w:vAlign w:val="center"/>
            <w:hideMark/>
          </w:tcPr>
          <w:p w14:paraId="5876C56A" w14:textId="77777777" w:rsidR="000F7401" w:rsidRPr="00076FE0" w:rsidRDefault="000F7401" w:rsidP="00AE2101">
            <w:pPr>
              <w:pStyle w:val="Normal-pool"/>
              <w:spacing w:before="40" w:after="40"/>
              <w:jc w:val="center"/>
              <w:rPr>
                <w:sz w:val="16"/>
                <w:szCs w:val="16"/>
              </w:rPr>
            </w:pPr>
          </w:p>
        </w:tc>
        <w:tc>
          <w:tcPr>
            <w:tcW w:w="1403" w:type="dxa"/>
            <w:vMerge w:val="restart"/>
            <w:tcBorders>
              <w:left w:val="single" w:sz="4" w:space="0" w:color="auto"/>
              <w:right w:val="single" w:sz="4" w:space="0" w:color="auto"/>
            </w:tcBorders>
            <w:shd w:val="clear" w:color="auto" w:fill="92D050"/>
            <w:vAlign w:val="center"/>
          </w:tcPr>
          <w:p w14:paraId="5F806240"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45C33416" w14:textId="77777777" w:rsidR="000F7401" w:rsidRPr="00076FE0" w:rsidRDefault="000F7401" w:rsidP="00AE2101">
            <w:pPr>
              <w:pStyle w:val="Normal-pool"/>
              <w:spacing w:before="40" w:after="40"/>
              <w:jc w:val="center"/>
              <w:rPr>
                <w:sz w:val="16"/>
                <w:szCs w:val="16"/>
              </w:rPr>
            </w:pPr>
            <w:r w:rsidRPr="00076FE0">
              <w:rPr>
                <w:sz w:val="16"/>
                <w:szCs w:val="16"/>
              </w:rPr>
              <w:t>Item 7</w:t>
            </w:r>
            <w:r w:rsidR="00595C1F" w:rsidRPr="00076FE0">
              <w:rPr>
                <w:sz w:val="16"/>
                <w:szCs w:val="16"/>
              </w:rPr>
              <w:t xml:space="preserve"> </w:t>
            </w:r>
            <w:r w:rsidRPr="00076FE0">
              <w:rPr>
                <w:sz w:val="16"/>
                <w:szCs w:val="16"/>
              </w:rPr>
              <w:t>(a)</w:t>
            </w:r>
          </w:p>
          <w:p w14:paraId="5B461CEC" w14:textId="6CB21332" w:rsidR="00595C1F" w:rsidRPr="00076FE0" w:rsidRDefault="00595C1F" w:rsidP="00AE2101">
            <w:pPr>
              <w:pStyle w:val="Normal-pool"/>
              <w:spacing w:before="40" w:after="40"/>
              <w:jc w:val="center"/>
              <w:rPr>
                <w:sz w:val="16"/>
                <w:szCs w:val="16"/>
              </w:rPr>
            </w:pPr>
            <w:r w:rsidRPr="00076FE0">
              <w:rPr>
                <w:sz w:val="16"/>
                <w:szCs w:val="16"/>
              </w:rPr>
              <w:t>Scoping report for nexus assessment</w:t>
            </w:r>
          </w:p>
        </w:tc>
        <w:tc>
          <w:tcPr>
            <w:tcW w:w="1403" w:type="dxa"/>
            <w:vMerge/>
            <w:tcBorders>
              <w:left w:val="single" w:sz="4" w:space="0" w:color="auto"/>
              <w:right w:val="single" w:sz="4" w:space="0" w:color="auto"/>
            </w:tcBorders>
            <w:shd w:val="clear" w:color="auto" w:fill="92D050"/>
            <w:vAlign w:val="center"/>
          </w:tcPr>
          <w:p w14:paraId="2BD06440"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74A2AEE8" w14:textId="77777777" w:rsidR="000F7401" w:rsidRPr="00076FE0" w:rsidRDefault="000F7401" w:rsidP="00AE2101">
            <w:pPr>
              <w:pStyle w:val="Normal-pool"/>
              <w:spacing w:before="40" w:after="40"/>
              <w:jc w:val="center"/>
              <w:rPr>
                <w:sz w:val="16"/>
                <w:szCs w:val="16"/>
              </w:rPr>
            </w:pPr>
          </w:p>
        </w:tc>
        <w:tc>
          <w:tcPr>
            <w:tcW w:w="1402" w:type="dxa"/>
            <w:vMerge w:val="restart"/>
            <w:tcBorders>
              <w:left w:val="single" w:sz="4" w:space="0" w:color="auto"/>
              <w:right w:val="single" w:sz="4" w:space="0" w:color="auto"/>
            </w:tcBorders>
            <w:shd w:val="clear" w:color="auto" w:fill="00B0F0"/>
            <w:vAlign w:val="center"/>
          </w:tcPr>
          <w:p w14:paraId="201CFB4F" w14:textId="77777777" w:rsidR="000F7401" w:rsidRPr="00076FE0" w:rsidRDefault="000F7401" w:rsidP="00AE2101">
            <w:pPr>
              <w:pStyle w:val="Normal-pool"/>
              <w:spacing w:before="40" w:after="40"/>
              <w:jc w:val="center"/>
              <w:rPr>
                <w:b/>
                <w:bCs/>
                <w:sz w:val="16"/>
                <w:szCs w:val="16"/>
              </w:rPr>
            </w:pPr>
            <w:r w:rsidRPr="00076FE0">
              <w:rPr>
                <w:b/>
                <w:bCs/>
                <w:sz w:val="16"/>
                <w:szCs w:val="16"/>
              </w:rPr>
              <w:t>Contact group</w:t>
            </w:r>
          </w:p>
          <w:p w14:paraId="12E1D773" w14:textId="77777777" w:rsidR="000F7401" w:rsidRPr="00076FE0" w:rsidRDefault="000F7401" w:rsidP="00AE2101">
            <w:pPr>
              <w:pStyle w:val="Normal-pool"/>
              <w:spacing w:before="40" w:after="40"/>
              <w:jc w:val="center"/>
              <w:rPr>
                <w:sz w:val="16"/>
                <w:szCs w:val="16"/>
              </w:rPr>
            </w:pPr>
            <w:r w:rsidRPr="00076FE0">
              <w:rPr>
                <w:sz w:val="16"/>
                <w:szCs w:val="16"/>
              </w:rPr>
              <w:t>Item 6</w:t>
            </w:r>
          </w:p>
          <w:p w14:paraId="7D1310C5" w14:textId="77777777" w:rsidR="000F7401" w:rsidRPr="00076FE0" w:rsidRDefault="000F7401" w:rsidP="00AE2101">
            <w:pPr>
              <w:pStyle w:val="Normal-pool"/>
              <w:spacing w:before="40" w:after="40"/>
              <w:jc w:val="center"/>
              <w:rPr>
                <w:bCs/>
                <w:sz w:val="16"/>
                <w:szCs w:val="16"/>
              </w:rPr>
            </w:pPr>
            <w:r w:rsidRPr="00076FE0">
              <w:rPr>
                <w:sz w:val="16"/>
                <w:szCs w:val="16"/>
              </w:rPr>
              <w:t>Budget</w:t>
            </w:r>
          </w:p>
        </w:tc>
        <w:tc>
          <w:tcPr>
            <w:tcW w:w="1403" w:type="dxa"/>
            <w:vMerge w:val="restart"/>
            <w:tcBorders>
              <w:left w:val="single" w:sz="4" w:space="0" w:color="auto"/>
              <w:right w:val="single" w:sz="4" w:space="0" w:color="auto"/>
            </w:tcBorders>
            <w:shd w:val="clear" w:color="auto" w:fill="92D050"/>
            <w:vAlign w:val="center"/>
          </w:tcPr>
          <w:p w14:paraId="5F774608"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7DC69378" w14:textId="77777777" w:rsidR="000F7401" w:rsidRPr="00076FE0" w:rsidRDefault="000F7401" w:rsidP="00AE2101">
            <w:pPr>
              <w:pStyle w:val="Normal-pool"/>
              <w:spacing w:before="40" w:after="40"/>
              <w:jc w:val="center"/>
              <w:rPr>
                <w:bCs/>
                <w:sz w:val="16"/>
                <w:szCs w:val="16"/>
              </w:rPr>
            </w:pPr>
            <w:r w:rsidRPr="00076FE0">
              <w:rPr>
                <w:sz w:val="16"/>
                <w:szCs w:val="16"/>
              </w:rPr>
              <w:t>Item 8</w:t>
            </w:r>
          </w:p>
        </w:tc>
        <w:tc>
          <w:tcPr>
            <w:tcW w:w="1403" w:type="dxa"/>
            <w:vMerge/>
            <w:tcBorders>
              <w:left w:val="single" w:sz="4" w:space="0" w:color="auto"/>
              <w:right w:val="single" w:sz="4" w:space="0" w:color="auto"/>
            </w:tcBorders>
            <w:shd w:val="clear" w:color="auto" w:fill="92D050"/>
            <w:vAlign w:val="center"/>
          </w:tcPr>
          <w:p w14:paraId="46145862"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158F6FC3"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FFC000"/>
            <w:vAlign w:val="center"/>
          </w:tcPr>
          <w:p w14:paraId="3ABF3C3F" w14:textId="77777777" w:rsidR="000F7401" w:rsidRPr="00076FE0" w:rsidRDefault="000F7401" w:rsidP="00AE2101">
            <w:pPr>
              <w:pStyle w:val="Normal-pool"/>
              <w:spacing w:before="40" w:after="40"/>
              <w:jc w:val="center"/>
              <w:rPr>
                <w:bCs/>
                <w:sz w:val="16"/>
                <w:szCs w:val="16"/>
              </w:rPr>
            </w:pPr>
          </w:p>
        </w:tc>
      </w:tr>
      <w:tr w:rsidR="00581ABC" w:rsidRPr="00076FE0" w14:paraId="0BBF6D00"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41AF4" w14:textId="77777777" w:rsidR="000F7401" w:rsidRPr="00076FE0" w:rsidRDefault="000F7401" w:rsidP="00AE2101">
            <w:pPr>
              <w:pStyle w:val="Normal-pool"/>
              <w:spacing w:before="40" w:after="40"/>
              <w:rPr>
                <w:sz w:val="18"/>
                <w:szCs w:val="18"/>
              </w:rPr>
            </w:pPr>
            <w:r w:rsidRPr="00076FE0">
              <w:rPr>
                <w:sz w:val="18"/>
                <w:szCs w:val="18"/>
              </w:rPr>
              <w:t>2.15–2.45 p.m.</w:t>
            </w:r>
          </w:p>
        </w:tc>
        <w:tc>
          <w:tcPr>
            <w:tcW w:w="1402" w:type="dxa"/>
            <w:vMerge/>
            <w:tcBorders>
              <w:left w:val="single" w:sz="4" w:space="0" w:color="auto"/>
              <w:right w:val="single" w:sz="4" w:space="0" w:color="auto"/>
            </w:tcBorders>
            <w:shd w:val="clear" w:color="auto" w:fill="FFC000"/>
            <w:vAlign w:val="center"/>
            <w:hideMark/>
          </w:tcPr>
          <w:p w14:paraId="59EAE7DE"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23CE18B3"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349657D4"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06B440D4" w14:textId="77777777" w:rsidR="000F7401" w:rsidRPr="00076FE0" w:rsidRDefault="000F7401" w:rsidP="00AE2101">
            <w:pPr>
              <w:pStyle w:val="Normal-pool"/>
              <w:spacing w:before="40" w:after="40"/>
              <w:jc w:val="center"/>
              <w:rPr>
                <w:sz w:val="16"/>
                <w:szCs w:val="16"/>
              </w:rPr>
            </w:pPr>
          </w:p>
        </w:tc>
        <w:tc>
          <w:tcPr>
            <w:tcW w:w="1402" w:type="dxa"/>
            <w:vMerge/>
            <w:tcBorders>
              <w:left w:val="single" w:sz="4" w:space="0" w:color="auto"/>
              <w:right w:val="single" w:sz="4" w:space="0" w:color="auto"/>
            </w:tcBorders>
            <w:shd w:val="clear" w:color="auto" w:fill="00B0F0"/>
            <w:vAlign w:val="center"/>
          </w:tcPr>
          <w:p w14:paraId="4C27AC34"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290620A8"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6B1F97BC"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360CE4CF"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FFC000"/>
            <w:vAlign w:val="center"/>
          </w:tcPr>
          <w:p w14:paraId="27B2A70D" w14:textId="77777777" w:rsidR="000F7401" w:rsidRPr="00076FE0" w:rsidRDefault="000F7401" w:rsidP="00AE2101">
            <w:pPr>
              <w:pStyle w:val="Normal-pool"/>
              <w:spacing w:before="40" w:after="40"/>
              <w:jc w:val="center"/>
              <w:rPr>
                <w:bCs/>
                <w:sz w:val="16"/>
                <w:szCs w:val="16"/>
              </w:rPr>
            </w:pPr>
          </w:p>
        </w:tc>
      </w:tr>
      <w:tr w:rsidR="00581ABC" w:rsidRPr="00076FE0" w14:paraId="4FF6D15F"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C55338" w14:textId="77777777" w:rsidR="000F7401" w:rsidRPr="00076FE0" w:rsidRDefault="000F7401" w:rsidP="00AE2101">
            <w:pPr>
              <w:pStyle w:val="Normal-pool"/>
              <w:spacing w:before="40" w:after="40"/>
              <w:rPr>
                <w:sz w:val="18"/>
                <w:szCs w:val="18"/>
              </w:rPr>
            </w:pPr>
            <w:r w:rsidRPr="00076FE0">
              <w:rPr>
                <w:sz w:val="18"/>
                <w:szCs w:val="18"/>
              </w:rPr>
              <w:t>2.45–3.15 p.m.</w:t>
            </w:r>
          </w:p>
        </w:tc>
        <w:tc>
          <w:tcPr>
            <w:tcW w:w="1402" w:type="dxa"/>
            <w:tcBorders>
              <w:left w:val="single" w:sz="4" w:space="0" w:color="auto"/>
              <w:right w:val="single" w:sz="4" w:space="0" w:color="auto"/>
            </w:tcBorders>
            <w:shd w:val="clear" w:color="auto" w:fill="D9D9D9"/>
            <w:tcMar>
              <w:top w:w="0" w:type="dxa"/>
              <w:left w:w="57" w:type="dxa"/>
              <w:bottom w:w="0" w:type="dxa"/>
              <w:right w:w="57" w:type="dxa"/>
            </w:tcMar>
            <w:vAlign w:val="center"/>
          </w:tcPr>
          <w:p w14:paraId="32166A5B"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right w:val="single" w:sz="4" w:space="0" w:color="auto"/>
            </w:tcBorders>
            <w:shd w:val="clear" w:color="auto" w:fill="D9D9D9"/>
            <w:vAlign w:val="center"/>
          </w:tcPr>
          <w:p w14:paraId="20FAE4D3"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54293C3B"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4CF88B82" w14:textId="77777777" w:rsidR="000F7401" w:rsidRPr="00076FE0" w:rsidRDefault="000F7401" w:rsidP="00AE2101">
            <w:pPr>
              <w:pStyle w:val="Normal-pool"/>
              <w:spacing w:before="40" w:after="40"/>
              <w:jc w:val="center"/>
              <w:rPr>
                <w:b/>
                <w:sz w:val="16"/>
                <w:szCs w:val="16"/>
              </w:rPr>
            </w:pPr>
          </w:p>
        </w:tc>
        <w:tc>
          <w:tcPr>
            <w:tcW w:w="1402" w:type="dxa"/>
            <w:vMerge/>
            <w:tcBorders>
              <w:left w:val="single" w:sz="4" w:space="0" w:color="auto"/>
              <w:right w:val="single" w:sz="4" w:space="0" w:color="auto"/>
            </w:tcBorders>
            <w:shd w:val="clear" w:color="auto" w:fill="D9D9D9"/>
            <w:vAlign w:val="center"/>
          </w:tcPr>
          <w:p w14:paraId="760CDF87"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66E82E0F"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743BE491"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38BC76D4" w14:textId="77777777" w:rsidR="000F7401" w:rsidRPr="00076FE0" w:rsidRDefault="000F7401" w:rsidP="00AE2101">
            <w:pPr>
              <w:pStyle w:val="Normal-pool"/>
              <w:spacing w:before="40" w:after="40"/>
              <w:jc w:val="center"/>
              <w:rPr>
                <w:b/>
                <w:sz w:val="16"/>
                <w:szCs w:val="16"/>
              </w:rPr>
            </w:pPr>
          </w:p>
        </w:tc>
        <w:tc>
          <w:tcPr>
            <w:tcW w:w="1403" w:type="dxa"/>
            <w:tcBorders>
              <w:left w:val="single" w:sz="4" w:space="0" w:color="auto"/>
              <w:right w:val="single" w:sz="4" w:space="0" w:color="auto"/>
            </w:tcBorders>
            <w:shd w:val="clear" w:color="auto" w:fill="D9D9D9"/>
            <w:vAlign w:val="center"/>
          </w:tcPr>
          <w:p w14:paraId="31276913" w14:textId="77777777" w:rsidR="000F7401" w:rsidRPr="00076FE0" w:rsidRDefault="000F7401" w:rsidP="00AE2101">
            <w:pPr>
              <w:pStyle w:val="Normal-pool"/>
              <w:spacing w:before="40" w:after="40"/>
              <w:jc w:val="center"/>
              <w:rPr>
                <w:b/>
                <w:sz w:val="16"/>
                <w:szCs w:val="16"/>
              </w:rPr>
            </w:pPr>
          </w:p>
        </w:tc>
      </w:tr>
      <w:tr w:rsidR="00581ABC" w:rsidRPr="00076FE0" w14:paraId="42EE14C7"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CB10B0" w14:textId="77777777" w:rsidR="000F7401" w:rsidRPr="00076FE0" w:rsidRDefault="000F7401" w:rsidP="00AE2101">
            <w:pPr>
              <w:pStyle w:val="Normal-pool"/>
              <w:spacing w:before="40" w:after="40"/>
              <w:rPr>
                <w:sz w:val="18"/>
                <w:szCs w:val="18"/>
              </w:rPr>
            </w:pPr>
            <w:r w:rsidRPr="00076FE0">
              <w:rPr>
                <w:sz w:val="18"/>
                <w:szCs w:val="18"/>
              </w:rPr>
              <w:t>3.15–3.45 p.m.</w:t>
            </w:r>
          </w:p>
        </w:tc>
        <w:tc>
          <w:tcPr>
            <w:tcW w:w="1402" w:type="dxa"/>
            <w:vMerge w:val="restart"/>
            <w:tcBorders>
              <w:left w:val="single" w:sz="4" w:space="0" w:color="auto"/>
              <w:right w:val="single" w:sz="4" w:space="0" w:color="auto"/>
            </w:tcBorders>
            <w:shd w:val="clear" w:color="auto" w:fill="FFC000"/>
            <w:vAlign w:val="center"/>
            <w:hideMark/>
          </w:tcPr>
          <w:p w14:paraId="6B4C0E58" w14:textId="77777777" w:rsidR="000F7401" w:rsidRPr="00076FE0" w:rsidRDefault="000F7401" w:rsidP="00AE2101">
            <w:pPr>
              <w:pStyle w:val="Normal-pool"/>
              <w:spacing w:before="40" w:after="40"/>
              <w:jc w:val="center"/>
              <w:rPr>
                <w:b/>
                <w:sz w:val="16"/>
                <w:szCs w:val="16"/>
              </w:rPr>
            </w:pPr>
            <w:r w:rsidRPr="00076FE0">
              <w:rPr>
                <w:b/>
                <w:sz w:val="16"/>
                <w:szCs w:val="16"/>
              </w:rPr>
              <w:t>Plenary</w:t>
            </w:r>
          </w:p>
          <w:p w14:paraId="0283E0BB" w14:textId="3FEC770B" w:rsidR="000F7401" w:rsidRPr="00076FE0" w:rsidRDefault="000F7401" w:rsidP="00AE2101">
            <w:pPr>
              <w:pStyle w:val="Normal-pool"/>
              <w:spacing w:before="40" w:after="40"/>
              <w:jc w:val="center"/>
              <w:rPr>
                <w:sz w:val="16"/>
                <w:szCs w:val="16"/>
              </w:rPr>
            </w:pPr>
            <w:r w:rsidRPr="00076FE0">
              <w:rPr>
                <w:sz w:val="16"/>
                <w:szCs w:val="16"/>
              </w:rPr>
              <w:t>Items 4 to 8</w:t>
            </w:r>
          </w:p>
        </w:tc>
        <w:tc>
          <w:tcPr>
            <w:tcW w:w="1403" w:type="dxa"/>
            <w:vMerge w:val="restart"/>
            <w:tcBorders>
              <w:left w:val="single" w:sz="4" w:space="0" w:color="auto"/>
              <w:right w:val="single" w:sz="4" w:space="0" w:color="auto"/>
            </w:tcBorders>
            <w:shd w:val="clear" w:color="auto" w:fill="92D050"/>
            <w:vAlign w:val="center"/>
          </w:tcPr>
          <w:p w14:paraId="18511691"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71276478" w14:textId="152C6B44" w:rsidR="000F7401" w:rsidRPr="00076FE0" w:rsidRDefault="000F7401" w:rsidP="00AE2101">
            <w:pPr>
              <w:pStyle w:val="Normal-pool"/>
              <w:spacing w:before="40" w:after="40"/>
              <w:jc w:val="center"/>
              <w:rPr>
                <w:sz w:val="16"/>
                <w:szCs w:val="16"/>
              </w:rPr>
            </w:pPr>
            <w:r w:rsidRPr="00076FE0">
              <w:rPr>
                <w:sz w:val="16"/>
                <w:szCs w:val="16"/>
              </w:rPr>
              <w:t>Item 7</w:t>
            </w:r>
            <w:r w:rsidR="00595C1F" w:rsidRPr="00076FE0">
              <w:rPr>
                <w:sz w:val="16"/>
                <w:szCs w:val="16"/>
              </w:rPr>
              <w:t xml:space="preserve"> </w:t>
            </w:r>
            <w:r w:rsidRPr="00076FE0">
              <w:rPr>
                <w:sz w:val="16"/>
                <w:szCs w:val="16"/>
              </w:rPr>
              <w:t>(a)</w:t>
            </w:r>
          </w:p>
        </w:tc>
        <w:tc>
          <w:tcPr>
            <w:tcW w:w="1403" w:type="dxa"/>
            <w:vMerge w:val="restart"/>
            <w:tcBorders>
              <w:left w:val="single" w:sz="4" w:space="0" w:color="auto"/>
              <w:right w:val="single" w:sz="4" w:space="0" w:color="auto"/>
            </w:tcBorders>
            <w:shd w:val="clear" w:color="auto" w:fill="92D050"/>
            <w:vAlign w:val="center"/>
          </w:tcPr>
          <w:p w14:paraId="0F465365"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17FA10A7" w14:textId="21184B19" w:rsidR="000F7401" w:rsidRPr="00076FE0" w:rsidRDefault="000F7401" w:rsidP="00AE2101">
            <w:pPr>
              <w:pStyle w:val="Normal-pool"/>
              <w:spacing w:before="40" w:after="40"/>
              <w:jc w:val="center"/>
              <w:rPr>
                <w:sz w:val="16"/>
                <w:szCs w:val="16"/>
              </w:rPr>
            </w:pPr>
            <w:r w:rsidRPr="00076FE0">
              <w:rPr>
                <w:sz w:val="16"/>
                <w:szCs w:val="16"/>
              </w:rPr>
              <w:t>Item 7</w:t>
            </w:r>
            <w:r w:rsidR="001C43BD" w:rsidRPr="00076FE0">
              <w:rPr>
                <w:sz w:val="16"/>
                <w:szCs w:val="16"/>
              </w:rPr>
              <w:t xml:space="preserve"> </w:t>
            </w:r>
            <w:r w:rsidRPr="00076FE0">
              <w:rPr>
                <w:sz w:val="16"/>
                <w:szCs w:val="16"/>
              </w:rPr>
              <w:t>(b)</w:t>
            </w:r>
          </w:p>
        </w:tc>
        <w:tc>
          <w:tcPr>
            <w:tcW w:w="1403" w:type="dxa"/>
            <w:vMerge w:val="restart"/>
            <w:tcBorders>
              <w:left w:val="single" w:sz="4" w:space="0" w:color="auto"/>
              <w:right w:val="single" w:sz="4" w:space="0" w:color="auto"/>
            </w:tcBorders>
            <w:shd w:val="clear" w:color="auto" w:fill="92D050"/>
            <w:vAlign w:val="center"/>
          </w:tcPr>
          <w:p w14:paraId="6F5D8AAA"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729D9E35" w14:textId="77777777" w:rsidR="000F7401" w:rsidRPr="00076FE0" w:rsidRDefault="000F7401" w:rsidP="00AE2101">
            <w:pPr>
              <w:pStyle w:val="Normal-pool"/>
              <w:spacing w:before="40" w:after="40"/>
              <w:jc w:val="center"/>
              <w:rPr>
                <w:sz w:val="16"/>
                <w:szCs w:val="16"/>
              </w:rPr>
            </w:pPr>
            <w:r w:rsidRPr="00076FE0">
              <w:rPr>
                <w:sz w:val="16"/>
                <w:szCs w:val="16"/>
              </w:rPr>
              <w:t>Item 8</w:t>
            </w:r>
          </w:p>
        </w:tc>
        <w:tc>
          <w:tcPr>
            <w:tcW w:w="1402" w:type="dxa"/>
            <w:vMerge/>
            <w:tcBorders>
              <w:left w:val="single" w:sz="4" w:space="0" w:color="auto"/>
              <w:right w:val="single" w:sz="4" w:space="0" w:color="auto"/>
            </w:tcBorders>
            <w:shd w:val="clear" w:color="auto" w:fill="D9D9D9"/>
            <w:vAlign w:val="center"/>
          </w:tcPr>
          <w:p w14:paraId="23CB3A3C" w14:textId="77777777" w:rsidR="000F7401" w:rsidRPr="00076FE0" w:rsidRDefault="000F7401" w:rsidP="00AE2101">
            <w:pPr>
              <w:pStyle w:val="Normal-pool"/>
              <w:spacing w:before="40" w:after="40"/>
              <w:jc w:val="center"/>
              <w:rPr>
                <w:bCs/>
                <w:sz w:val="16"/>
                <w:szCs w:val="16"/>
              </w:rPr>
            </w:pPr>
          </w:p>
        </w:tc>
        <w:tc>
          <w:tcPr>
            <w:tcW w:w="1403" w:type="dxa"/>
            <w:vMerge w:val="restart"/>
            <w:tcBorders>
              <w:left w:val="single" w:sz="4" w:space="0" w:color="auto"/>
              <w:right w:val="single" w:sz="4" w:space="0" w:color="auto"/>
            </w:tcBorders>
            <w:shd w:val="clear" w:color="auto" w:fill="92D050"/>
            <w:vAlign w:val="center"/>
          </w:tcPr>
          <w:p w14:paraId="4685E7B0" w14:textId="77777777" w:rsidR="000F7401" w:rsidRPr="00076FE0" w:rsidRDefault="000F7401" w:rsidP="00AE2101">
            <w:pPr>
              <w:pStyle w:val="Normal-pool"/>
              <w:spacing w:before="40" w:after="40"/>
              <w:jc w:val="center"/>
              <w:rPr>
                <w:b/>
                <w:sz w:val="16"/>
                <w:szCs w:val="16"/>
              </w:rPr>
            </w:pPr>
            <w:r w:rsidRPr="00076FE0">
              <w:rPr>
                <w:b/>
                <w:sz w:val="16"/>
                <w:szCs w:val="16"/>
              </w:rPr>
              <w:t>Working group</w:t>
            </w:r>
          </w:p>
          <w:p w14:paraId="1A162740" w14:textId="59A2EA30" w:rsidR="000F7401" w:rsidRPr="00076FE0" w:rsidRDefault="000F7401" w:rsidP="00AE2101">
            <w:pPr>
              <w:pStyle w:val="Normal-pool"/>
              <w:spacing w:before="40" w:after="40"/>
              <w:jc w:val="center"/>
              <w:rPr>
                <w:sz w:val="16"/>
                <w:szCs w:val="16"/>
              </w:rPr>
            </w:pPr>
            <w:r w:rsidRPr="00076FE0">
              <w:rPr>
                <w:sz w:val="16"/>
                <w:szCs w:val="16"/>
              </w:rPr>
              <w:t>Item 7</w:t>
            </w:r>
            <w:r w:rsidR="00595C1F" w:rsidRPr="00076FE0">
              <w:rPr>
                <w:sz w:val="16"/>
                <w:szCs w:val="16"/>
              </w:rPr>
              <w:t xml:space="preserve"> </w:t>
            </w:r>
            <w:r w:rsidRPr="00076FE0">
              <w:rPr>
                <w:sz w:val="16"/>
                <w:szCs w:val="16"/>
              </w:rPr>
              <w:t>(a)</w:t>
            </w:r>
          </w:p>
        </w:tc>
        <w:tc>
          <w:tcPr>
            <w:tcW w:w="1403" w:type="dxa"/>
            <w:vMerge w:val="restart"/>
            <w:tcBorders>
              <w:left w:val="single" w:sz="4" w:space="0" w:color="auto"/>
              <w:right w:val="single" w:sz="4" w:space="0" w:color="auto"/>
            </w:tcBorders>
            <w:shd w:val="clear" w:color="auto" w:fill="00B0F0"/>
            <w:vAlign w:val="center"/>
          </w:tcPr>
          <w:p w14:paraId="5EEC93B2" w14:textId="77777777" w:rsidR="000F7401" w:rsidRPr="00076FE0" w:rsidRDefault="000F7401" w:rsidP="00AE2101">
            <w:pPr>
              <w:pStyle w:val="Normal-pool"/>
              <w:spacing w:before="40" w:after="40"/>
              <w:jc w:val="center"/>
              <w:rPr>
                <w:b/>
                <w:bCs/>
                <w:sz w:val="16"/>
                <w:szCs w:val="16"/>
              </w:rPr>
            </w:pPr>
            <w:r w:rsidRPr="00076FE0">
              <w:rPr>
                <w:b/>
                <w:bCs/>
                <w:sz w:val="16"/>
                <w:szCs w:val="16"/>
              </w:rPr>
              <w:t>Contact group</w:t>
            </w:r>
          </w:p>
          <w:p w14:paraId="46BFB15A" w14:textId="5018C5AA" w:rsidR="004B57C7" w:rsidRPr="00076FE0" w:rsidRDefault="000F7401" w:rsidP="00AE2101">
            <w:pPr>
              <w:pStyle w:val="Normal-pool"/>
              <w:spacing w:before="40" w:after="40"/>
              <w:jc w:val="center"/>
              <w:rPr>
                <w:sz w:val="16"/>
                <w:szCs w:val="16"/>
              </w:rPr>
            </w:pPr>
            <w:r w:rsidRPr="00076FE0">
              <w:rPr>
                <w:sz w:val="16"/>
                <w:szCs w:val="16"/>
              </w:rPr>
              <w:t>Item 6</w:t>
            </w:r>
          </w:p>
          <w:p w14:paraId="34EAFE83" w14:textId="75FEB055" w:rsidR="000F7401" w:rsidRPr="00076FE0" w:rsidRDefault="000F7401" w:rsidP="00AE2101">
            <w:pPr>
              <w:pStyle w:val="Normal-pool"/>
              <w:spacing w:before="40" w:after="40"/>
              <w:jc w:val="center"/>
              <w:rPr>
                <w:bCs/>
                <w:sz w:val="16"/>
                <w:szCs w:val="16"/>
              </w:rPr>
            </w:pPr>
            <w:r w:rsidRPr="00076FE0">
              <w:rPr>
                <w:sz w:val="16"/>
                <w:szCs w:val="16"/>
              </w:rPr>
              <w:t>Budget</w:t>
            </w:r>
          </w:p>
        </w:tc>
        <w:tc>
          <w:tcPr>
            <w:tcW w:w="1403" w:type="dxa"/>
            <w:tcBorders>
              <w:left w:val="single" w:sz="4" w:space="0" w:color="auto"/>
              <w:right w:val="single" w:sz="4" w:space="0" w:color="auto"/>
            </w:tcBorders>
            <w:shd w:val="clear" w:color="auto" w:fill="D9D9D9" w:themeFill="background1" w:themeFillShade="D9"/>
            <w:vAlign w:val="center"/>
          </w:tcPr>
          <w:p w14:paraId="3632C22E" w14:textId="77777777" w:rsidR="000F7401" w:rsidRPr="00076FE0" w:rsidRDefault="000F7401" w:rsidP="00AE2101">
            <w:pPr>
              <w:pStyle w:val="Normal-pool"/>
              <w:spacing w:before="40" w:after="40"/>
              <w:jc w:val="center"/>
              <w:rPr>
                <w:bCs/>
                <w:sz w:val="16"/>
                <w:szCs w:val="16"/>
              </w:rPr>
            </w:pPr>
          </w:p>
        </w:tc>
        <w:tc>
          <w:tcPr>
            <w:tcW w:w="1403" w:type="dxa"/>
            <w:vMerge w:val="restart"/>
            <w:tcBorders>
              <w:left w:val="single" w:sz="4" w:space="0" w:color="auto"/>
              <w:right w:val="single" w:sz="4" w:space="0" w:color="auto"/>
            </w:tcBorders>
            <w:shd w:val="clear" w:color="auto" w:fill="FFC000"/>
            <w:vAlign w:val="center"/>
          </w:tcPr>
          <w:p w14:paraId="54502957" w14:textId="7C478E98" w:rsidR="000F7401" w:rsidRPr="00076FE0" w:rsidRDefault="000F7401" w:rsidP="00AE2101">
            <w:pPr>
              <w:pStyle w:val="Normal-pool"/>
              <w:spacing w:before="40" w:after="40"/>
              <w:jc w:val="center"/>
              <w:rPr>
                <w:b/>
                <w:bCs/>
                <w:sz w:val="16"/>
                <w:szCs w:val="16"/>
              </w:rPr>
            </w:pPr>
            <w:r w:rsidRPr="00076FE0">
              <w:rPr>
                <w:b/>
                <w:bCs/>
                <w:sz w:val="16"/>
                <w:szCs w:val="16"/>
              </w:rPr>
              <w:t>Plenary</w:t>
            </w:r>
          </w:p>
          <w:p w14:paraId="224EC526" w14:textId="77777777" w:rsidR="000F7401" w:rsidRPr="00076FE0" w:rsidRDefault="000F7401" w:rsidP="00AE2101">
            <w:pPr>
              <w:pStyle w:val="Normal-pool"/>
              <w:spacing w:before="40" w:after="40"/>
              <w:jc w:val="center"/>
              <w:rPr>
                <w:sz w:val="16"/>
                <w:szCs w:val="16"/>
              </w:rPr>
            </w:pPr>
            <w:r w:rsidRPr="00076FE0">
              <w:rPr>
                <w:sz w:val="16"/>
                <w:szCs w:val="16"/>
              </w:rPr>
              <w:t>Items 12 and 13</w:t>
            </w:r>
          </w:p>
        </w:tc>
      </w:tr>
      <w:tr w:rsidR="00581ABC" w:rsidRPr="00076FE0" w14:paraId="08144BE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FE531" w14:textId="77777777" w:rsidR="000F7401" w:rsidRPr="00076FE0" w:rsidRDefault="000F7401" w:rsidP="00AE2101">
            <w:pPr>
              <w:pStyle w:val="Normal-pool"/>
              <w:spacing w:before="40" w:after="40"/>
              <w:rPr>
                <w:sz w:val="18"/>
                <w:szCs w:val="18"/>
              </w:rPr>
            </w:pPr>
            <w:r w:rsidRPr="00076FE0">
              <w:rPr>
                <w:sz w:val="18"/>
                <w:szCs w:val="18"/>
              </w:rPr>
              <w:t>3.45–4.15 p.m.</w:t>
            </w:r>
          </w:p>
        </w:tc>
        <w:tc>
          <w:tcPr>
            <w:tcW w:w="1402" w:type="dxa"/>
            <w:vMerge/>
            <w:tcBorders>
              <w:left w:val="single" w:sz="4" w:space="0" w:color="auto"/>
              <w:right w:val="single" w:sz="4" w:space="0" w:color="auto"/>
            </w:tcBorders>
            <w:shd w:val="clear" w:color="auto" w:fill="FFC000"/>
            <w:vAlign w:val="center"/>
            <w:hideMark/>
          </w:tcPr>
          <w:p w14:paraId="0B286CE9"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28E6CD89"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3967BEA9"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5C0A3495" w14:textId="77777777" w:rsidR="000F7401" w:rsidRPr="00076FE0" w:rsidRDefault="000F7401" w:rsidP="00AE2101">
            <w:pPr>
              <w:pStyle w:val="Normal-pool"/>
              <w:spacing w:before="40" w:after="40"/>
              <w:jc w:val="center"/>
              <w:rPr>
                <w:bCs/>
                <w:sz w:val="16"/>
                <w:szCs w:val="16"/>
              </w:rPr>
            </w:pPr>
          </w:p>
        </w:tc>
        <w:tc>
          <w:tcPr>
            <w:tcW w:w="1402" w:type="dxa"/>
            <w:vMerge/>
            <w:tcBorders>
              <w:left w:val="single" w:sz="4" w:space="0" w:color="auto"/>
              <w:right w:val="single" w:sz="4" w:space="0" w:color="auto"/>
            </w:tcBorders>
            <w:shd w:val="clear" w:color="auto" w:fill="D9D9D9"/>
            <w:vAlign w:val="center"/>
          </w:tcPr>
          <w:p w14:paraId="0E901425"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48618504"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00B0F0"/>
            <w:vAlign w:val="center"/>
          </w:tcPr>
          <w:p w14:paraId="6038BF6C"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7C146B52"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FFC000"/>
            <w:vAlign w:val="center"/>
          </w:tcPr>
          <w:p w14:paraId="366627DE" w14:textId="77777777" w:rsidR="000F7401" w:rsidRPr="00076FE0" w:rsidRDefault="000F7401" w:rsidP="00AE2101">
            <w:pPr>
              <w:pStyle w:val="Normal-pool"/>
              <w:spacing w:before="40" w:after="40"/>
              <w:jc w:val="center"/>
              <w:rPr>
                <w:sz w:val="16"/>
                <w:szCs w:val="16"/>
              </w:rPr>
            </w:pPr>
          </w:p>
        </w:tc>
      </w:tr>
      <w:tr w:rsidR="00581ABC" w:rsidRPr="00076FE0" w14:paraId="7082EAF0"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00DF2" w14:textId="77777777" w:rsidR="000F7401" w:rsidRPr="00076FE0" w:rsidRDefault="000F7401" w:rsidP="00AE2101">
            <w:pPr>
              <w:pStyle w:val="Normal-pool"/>
              <w:spacing w:before="40" w:after="40"/>
              <w:rPr>
                <w:sz w:val="18"/>
                <w:szCs w:val="18"/>
              </w:rPr>
            </w:pPr>
            <w:r w:rsidRPr="00076FE0">
              <w:rPr>
                <w:sz w:val="18"/>
                <w:szCs w:val="18"/>
              </w:rPr>
              <w:t>4.15–4.45 p.m.</w:t>
            </w:r>
          </w:p>
        </w:tc>
        <w:tc>
          <w:tcPr>
            <w:tcW w:w="1402" w:type="dxa"/>
            <w:vMerge/>
            <w:tcBorders>
              <w:left w:val="single" w:sz="4" w:space="0" w:color="auto"/>
              <w:right w:val="single" w:sz="4" w:space="0" w:color="auto"/>
            </w:tcBorders>
            <w:shd w:val="clear" w:color="auto" w:fill="FFC000"/>
            <w:tcMar>
              <w:top w:w="0" w:type="dxa"/>
              <w:left w:w="57" w:type="dxa"/>
              <w:bottom w:w="0" w:type="dxa"/>
              <w:right w:w="57" w:type="dxa"/>
            </w:tcMar>
            <w:vAlign w:val="center"/>
          </w:tcPr>
          <w:p w14:paraId="3613C585"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2F8D5988"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5CB0848E"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7ADA26BB" w14:textId="77777777" w:rsidR="000F7401" w:rsidRPr="00076FE0" w:rsidRDefault="000F7401" w:rsidP="00AE2101">
            <w:pPr>
              <w:pStyle w:val="Normal-pool"/>
              <w:spacing w:before="40" w:after="40"/>
              <w:jc w:val="center"/>
              <w:rPr>
                <w:sz w:val="16"/>
                <w:szCs w:val="16"/>
              </w:rPr>
            </w:pPr>
          </w:p>
        </w:tc>
        <w:tc>
          <w:tcPr>
            <w:tcW w:w="1402" w:type="dxa"/>
            <w:tcBorders>
              <w:left w:val="single" w:sz="4" w:space="0" w:color="auto"/>
              <w:right w:val="single" w:sz="4" w:space="0" w:color="auto"/>
            </w:tcBorders>
            <w:shd w:val="clear" w:color="auto" w:fill="D9D9D9"/>
            <w:vAlign w:val="center"/>
          </w:tcPr>
          <w:p w14:paraId="1E0CCA66"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6BBD6546"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00B0F0"/>
            <w:vAlign w:val="center"/>
          </w:tcPr>
          <w:p w14:paraId="5BE30D70"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308767D1"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FFC000"/>
            <w:vAlign w:val="center"/>
          </w:tcPr>
          <w:p w14:paraId="55A68681" w14:textId="77777777" w:rsidR="000F7401" w:rsidRPr="00076FE0" w:rsidRDefault="000F7401" w:rsidP="00AE2101">
            <w:pPr>
              <w:pStyle w:val="Normal-pool"/>
              <w:spacing w:before="40" w:after="40"/>
              <w:jc w:val="center"/>
              <w:rPr>
                <w:sz w:val="16"/>
                <w:szCs w:val="16"/>
              </w:rPr>
            </w:pPr>
          </w:p>
        </w:tc>
      </w:tr>
      <w:tr w:rsidR="00581ABC" w:rsidRPr="00076FE0" w14:paraId="6B2D500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7BDE7D" w14:textId="77777777" w:rsidR="000F7401" w:rsidRPr="00076FE0" w:rsidRDefault="000F7401" w:rsidP="00AE2101">
            <w:pPr>
              <w:pStyle w:val="Normal-pool"/>
              <w:spacing w:before="40" w:after="40"/>
              <w:rPr>
                <w:sz w:val="18"/>
                <w:szCs w:val="18"/>
              </w:rPr>
            </w:pPr>
            <w:r w:rsidRPr="00076FE0">
              <w:rPr>
                <w:sz w:val="18"/>
                <w:szCs w:val="18"/>
              </w:rPr>
              <w:t>4.45–5.15 p.m.</w:t>
            </w:r>
          </w:p>
        </w:tc>
        <w:tc>
          <w:tcPr>
            <w:tcW w:w="1402" w:type="dxa"/>
            <w:vMerge/>
            <w:tcBorders>
              <w:left w:val="single" w:sz="4" w:space="0" w:color="auto"/>
              <w:right w:val="single" w:sz="4" w:space="0" w:color="auto"/>
            </w:tcBorders>
            <w:shd w:val="clear" w:color="auto" w:fill="FFC000"/>
            <w:vAlign w:val="center"/>
            <w:hideMark/>
          </w:tcPr>
          <w:p w14:paraId="5013516D"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1027B1A5"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5DD6C1C2" w14:textId="77777777" w:rsidR="000F7401" w:rsidRPr="00076FE0" w:rsidRDefault="000F7401" w:rsidP="00AE2101">
            <w:pPr>
              <w:pStyle w:val="Normal-pool"/>
              <w:spacing w:before="40" w:after="40"/>
              <w:jc w:val="center"/>
              <w:rPr>
                <w:bCs/>
                <w:sz w:val="16"/>
                <w:szCs w:val="16"/>
              </w:rPr>
            </w:pPr>
          </w:p>
        </w:tc>
        <w:tc>
          <w:tcPr>
            <w:tcW w:w="1403" w:type="dxa"/>
            <w:vMerge/>
            <w:tcBorders>
              <w:left w:val="single" w:sz="4" w:space="0" w:color="auto"/>
              <w:right w:val="single" w:sz="4" w:space="0" w:color="auto"/>
            </w:tcBorders>
            <w:shd w:val="clear" w:color="auto" w:fill="92D050"/>
            <w:vAlign w:val="center"/>
          </w:tcPr>
          <w:p w14:paraId="12D41FDF" w14:textId="77777777" w:rsidR="000F7401" w:rsidRPr="00076FE0" w:rsidRDefault="000F7401" w:rsidP="00AE2101">
            <w:pPr>
              <w:pStyle w:val="Normal-pool"/>
              <w:spacing w:before="40" w:after="40"/>
              <w:jc w:val="center"/>
              <w:rPr>
                <w:bCs/>
                <w:sz w:val="16"/>
                <w:szCs w:val="16"/>
              </w:rPr>
            </w:pPr>
          </w:p>
        </w:tc>
        <w:tc>
          <w:tcPr>
            <w:tcW w:w="1402" w:type="dxa"/>
            <w:tcBorders>
              <w:left w:val="single" w:sz="4" w:space="0" w:color="auto"/>
              <w:right w:val="single" w:sz="4" w:space="0" w:color="auto"/>
            </w:tcBorders>
            <w:shd w:val="clear" w:color="auto" w:fill="D9D9D9"/>
            <w:vAlign w:val="center"/>
          </w:tcPr>
          <w:p w14:paraId="6ED7732B"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92D050"/>
            <w:vAlign w:val="center"/>
          </w:tcPr>
          <w:p w14:paraId="5A6A2B8F"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00B0F0"/>
            <w:vAlign w:val="center"/>
          </w:tcPr>
          <w:p w14:paraId="3615FF5E"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right w:val="single" w:sz="4" w:space="0" w:color="auto"/>
            </w:tcBorders>
            <w:shd w:val="clear" w:color="auto" w:fill="D9D9D9" w:themeFill="background1" w:themeFillShade="D9"/>
            <w:vAlign w:val="center"/>
          </w:tcPr>
          <w:p w14:paraId="04F27AA4" w14:textId="77777777" w:rsidR="000F7401" w:rsidRPr="00076FE0" w:rsidRDefault="000F7401" w:rsidP="00AE2101">
            <w:pPr>
              <w:pStyle w:val="Normal-pool"/>
              <w:spacing w:before="40" w:after="40"/>
              <w:jc w:val="center"/>
              <w:rPr>
                <w:sz w:val="16"/>
                <w:szCs w:val="16"/>
              </w:rPr>
            </w:pPr>
          </w:p>
        </w:tc>
        <w:tc>
          <w:tcPr>
            <w:tcW w:w="1403" w:type="dxa"/>
            <w:vMerge/>
            <w:tcBorders>
              <w:left w:val="single" w:sz="4" w:space="0" w:color="auto"/>
              <w:right w:val="single" w:sz="4" w:space="0" w:color="auto"/>
            </w:tcBorders>
            <w:shd w:val="clear" w:color="auto" w:fill="FFC000"/>
            <w:vAlign w:val="center"/>
          </w:tcPr>
          <w:p w14:paraId="65578F9C" w14:textId="77777777" w:rsidR="000F7401" w:rsidRPr="00076FE0" w:rsidRDefault="000F7401" w:rsidP="00AE2101">
            <w:pPr>
              <w:pStyle w:val="Normal-pool"/>
              <w:spacing w:before="40" w:after="40"/>
              <w:jc w:val="center"/>
              <w:rPr>
                <w:sz w:val="16"/>
                <w:szCs w:val="16"/>
              </w:rPr>
            </w:pPr>
          </w:p>
        </w:tc>
      </w:tr>
      <w:tr w:rsidR="00581ABC" w:rsidRPr="00076FE0" w14:paraId="509AC5DE"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64F0A4" w14:textId="77777777" w:rsidR="000F7401" w:rsidRPr="00076FE0" w:rsidRDefault="000F7401" w:rsidP="00AE2101">
            <w:pPr>
              <w:pStyle w:val="Normal-pool"/>
              <w:spacing w:before="40" w:after="40"/>
              <w:rPr>
                <w:sz w:val="18"/>
                <w:szCs w:val="18"/>
              </w:rPr>
            </w:pPr>
            <w:r w:rsidRPr="00076FE0">
              <w:rPr>
                <w:sz w:val="18"/>
                <w:szCs w:val="18"/>
              </w:rPr>
              <w:t>5.15–5.45 p.m.</w:t>
            </w:r>
          </w:p>
        </w:tc>
        <w:tc>
          <w:tcPr>
            <w:tcW w:w="1402" w:type="dxa"/>
            <w:tcBorders>
              <w:left w:val="single" w:sz="4" w:space="0" w:color="auto"/>
              <w:bottom w:val="single" w:sz="4" w:space="0" w:color="auto"/>
              <w:right w:val="single" w:sz="4" w:space="0" w:color="auto"/>
            </w:tcBorders>
            <w:shd w:val="clear" w:color="auto" w:fill="D9D9D9"/>
            <w:vAlign w:val="center"/>
            <w:hideMark/>
          </w:tcPr>
          <w:p w14:paraId="6F70AF66"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5105C481"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65506ACB" w14:textId="77777777" w:rsidR="000F7401" w:rsidRPr="00076FE0" w:rsidRDefault="000F7401" w:rsidP="00AE2101">
            <w:pPr>
              <w:pStyle w:val="Normal-pool"/>
              <w:spacing w:before="40" w:after="40"/>
              <w:jc w:val="center"/>
              <w:rPr>
                <w:bCs/>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591DD718" w14:textId="77777777" w:rsidR="000F7401" w:rsidRPr="00076FE0" w:rsidRDefault="000F7401" w:rsidP="00AE2101">
            <w:pPr>
              <w:pStyle w:val="Normal-pool"/>
              <w:spacing w:before="40" w:after="40"/>
              <w:jc w:val="center"/>
              <w:rPr>
                <w:bCs/>
                <w:sz w:val="16"/>
                <w:szCs w:val="16"/>
              </w:rPr>
            </w:pPr>
          </w:p>
        </w:tc>
        <w:tc>
          <w:tcPr>
            <w:tcW w:w="1402" w:type="dxa"/>
            <w:tcBorders>
              <w:left w:val="single" w:sz="4" w:space="0" w:color="auto"/>
              <w:bottom w:val="single" w:sz="4" w:space="0" w:color="auto"/>
              <w:right w:val="single" w:sz="4" w:space="0" w:color="auto"/>
            </w:tcBorders>
            <w:shd w:val="clear" w:color="auto" w:fill="D9D9D9"/>
            <w:vAlign w:val="center"/>
          </w:tcPr>
          <w:p w14:paraId="68D19C64"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4C699F04"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0B062B82"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06BFBF8B" w14:textId="77777777" w:rsidR="000F7401" w:rsidRPr="00076FE0" w:rsidRDefault="000F7401" w:rsidP="00AE2101">
            <w:pPr>
              <w:pStyle w:val="Normal-pool"/>
              <w:spacing w:before="40" w:after="40"/>
              <w:jc w:val="center"/>
              <w:rPr>
                <w:sz w:val="16"/>
                <w:szCs w:val="16"/>
              </w:rPr>
            </w:pPr>
          </w:p>
        </w:tc>
        <w:tc>
          <w:tcPr>
            <w:tcW w:w="1403" w:type="dxa"/>
            <w:tcBorders>
              <w:left w:val="single" w:sz="4" w:space="0" w:color="auto"/>
              <w:bottom w:val="single" w:sz="4" w:space="0" w:color="auto"/>
              <w:right w:val="single" w:sz="4" w:space="0" w:color="auto"/>
            </w:tcBorders>
            <w:shd w:val="clear" w:color="auto" w:fill="D9D9D9"/>
            <w:vAlign w:val="center"/>
          </w:tcPr>
          <w:p w14:paraId="0523FC82" w14:textId="77777777" w:rsidR="000F7401" w:rsidRPr="00076FE0" w:rsidRDefault="000F7401" w:rsidP="00AE2101">
            <w:pPr>
              <w:pStyle w:val="Normal-pool"/>
              <w:spacing w:before="40" w:after="40"/>
              <w:jc w:val="center"/>
              <w:rPr>
                <w:sz w:val="16"/>
                <w:szCs w:val="16"/>
              </w:rPr>
            </w:pPr>
          </w:p>
        </w:tc>
      </w:tr>
      <w:tr w:rsidR="00581ABC" w:rsidRPr="00076FE0" w14:paraId="0C257FA5"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5A9CB" w14:textId="77777777" w:rsidR="000F7401" w:rsidRPr="00076FE0" w:rsidRDefault="000F7401" w:rsidP="00AE2101">
            <w:pPr>
              <w:pStyle w:val="Normal-pool"/>
              <w:spacing w:before="40" w:after="40"/>
              <w:rPr>
                <w:sz w:val="18"/>
                <w:szCs w:val="18"/>
              </w:rPr>
            </w:pPr>
            <w:r w:rsidRPr="00076FE0">
              <w:rPr>
                <w:sz w:val="18"/>
                <w:szCs w:val="18"/>
              </w:rPr>
              <w:t>5.45–6.15 p.m.</w:t>
            </w:r>
          </w:p>
        </w:tc>
        <w:tc>
          <w:tcPr>
            <w:tcW w:w="1402" w:type="dxa"/>
            <w:tcBorders>
              <w:top w:val="single" w:sz="4" w:space="0" w:color="auto"/>
              <w:left w:val="single" w:sz="4" w:space="0" w:color="auto"/>
              <w:right w:val="single" w:sz="4" w:space="0" w:color="auto"/>
            </w:tcBorders>
            <w:shd w:val="clear" w:color="auto" w:fill="D9D9D9"/>
            <w:tcMar>
              <w:top w:w="0" w:type="dxa"/>
              <w:left w:w="57" w:type="dxa"/>
              <w:bottom w:w="0" w:type="dxa"/>
              <w:right w:w="57" w:type="dxa"/>
            </w:tcMar>
            <w:vAlign w:val="center"/>
            <w:hideMark/>
          </w:tcPr>
          <w:p w14:paraId="5A6FA9E9"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vAlign w:val="center"/>
          </w:tcPr>
          <w:p w14:paraId="08D62F55" w14:textId="77777777" w:rsidR="000F7401" w:rsidRPr="00076FE0" w:rsidRDefault="000F7401" w:rsidP="00AE2101">
            <w:pPr>
              <w:pStyle w:val="Normal-pool"/>
              <w:spacing w:before="40" w:after="40"/>
              <w:jc w:val="center"/>
              <w:rPr>
                <w:bCs/>
                <w:sz w:val="16"/>
                <w:szCs w:val="16"/>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BE281A2"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5B93EEB4" w14:textId="77777777" w:rsidR="000F7401" w:rsidRPr="00076FE0" w:rsidRDefault="000F7401" w:rsidP="00AE2101">
            <w:pPr>
              <w:pStyle w:val="Normal-pool"/>
              <w:spacing w:before="40" w:after="40"/>
              <w:jc w:val="center"/>
              <w:rPr>
                <w:sz w:val="16"/>
                <w:szCs w:val="16"/>
              </w:rPr>
            </w:pPr>
          </w:p>
        </w:tc>
        <w:tc>
          <w:tcPr>
            <w:tcW w:w="1402" w:type="dxa"/>
            <w:tcBorders>
              <w:top w:val="single" w:sz="4" w:space="0" w:color="auto"/>
              <w:left w:val="single" w:sz="4" w:space="0" w:color="auto"/>
              <w:right w:val="single" w:sz="4" w:space="0" w:color="auto"/>
            </w:tcBorders>
            <w:shd w:val="clear" w:color="auto" w:fill="D9D9D9" w:themeFill="background1" w:themeFillShade="D9"/>
            <w:vAlign w:val="center"/>
          </w:tcPr>
          <w:p w14:paraId="55395AD6"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45EAFB8"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0F87CF82"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68306167" w14:textId="77777777" w:rsidR="000F7401" w:rsidRPr="00076FE0" w:rsidRDefault="000F7401" w:rsidP="00AE2101">
            <w:pPr>
              <w:pStyle w:val="Normal-pool"/>
              <w:spacing w:before="40" w:after="40"/>
              <w:jc w:val="center"/>
              <w:rPr>
                <w:sz w:val="16"/>
                <w:szCs w:val="16"/>
              </w:rPr>
            </w:pPr>
          </w:p>
        </w:tc>
        <w:tc>
          <w:tcPr>
            <w:tcW w:w="1403" w:type="dxa"/>
            <w:tcBorders>
              <w:top w:val="single" w:sz="4" w:space="0" w:color="auto"/>
              <w:left w:val="single" w:sz="4" w:space="0" w:color="auto"/>
              <w:right w:val="single" w:sz="4" w:space="0" w:color="auto"/>
            </w:tcBorders>
            <w:shd w:val="clear" w:color="auto" w:fill="D9D9D9"/>
            <w:vAlign w:val="center"/>
          </w:tcPr>
          <w:p w14:paraId="23158895" w14:textId="77777777" w:rsidR="000F7401" w:rsidRPr="00076FE0" w:rsidRDefault="000F7401" w:rsidP="00AE2101">
            <w:pPr>
              <w:pStyle w:val="Normal-pool"/>
              <w:spacing w:before="40" w:after="40"/>
              <w:jc w:val="center"/>
              <w:rPr>
                <w:sz w:val="16"/>
                <w:szCs w:val="16"/>
              </w:rPr>
            </w:pPr>
          </w:p>
        </w:tc>
      </w:tr>
    </w:tbl>
    <w:p w14:paraId="159E834F" w14:textId="77777777" w:rsidR="000F7401" w:rsidRPr="00076FE0" w:rsidRDefault="000F7401" w:rsidP="000F7401">
      <w:pPr>
        <w:pStyle w:val="ZZAnxtitle"/>
        <w:tabs>
          <w:tab w:val="right" w:pos="14430"/>
        </w:tabs>
        <w:spacing w:before="200"/>
        <w:ind w:left="0"/>
        <w:sectPr w:rsidR="000F7401" w:rsidRPr="00076FE0" w:rsidSect="00AA5645">
          <w:footnotePr>
            <w:numRestart w:val="eachSect"/>
          </w:footnotePr>
          <w:type w:val="continuous"/>
          <w:pgSz w:w="16840" w:h="11907" w:orient="landscape" w:code="9"/>
          <w:pgMar w:top="907" w:right="992" w:bottom="1418" w:left="1418" w:header="539" w:footer="975" w:gutter="0"/>
          <w:cols w:space="539"/>
          <w:titlePg/>
          <w:docGrid w:linePitch="360"/>
        </w:sectPr>
      </w:pPr>
    </w:p>
    <w:bookmarkEnd w:id="6"/>
    <w:p w14:paraId="7D20212C" w14:textId="77777777" w:rsidR="000F7401" w:rsidRPr="00076FE0" w:rsidRDefault="000F7401" w:rsidP="000F7401">
      <w:pPr>
        <w:pStyle w:val="ZZAnxheader"/>
      </w:pPr>
      <w:r w:rsidRPr="00076FE0">
        <w:rPr>
          <w:rFonts w:eastAsia="Calibri"/>
          <w:w w:val="103"/>
        </w:rPr>
        <w:lastRenderedPageBreak/>
        <w:t>Annex II</w:t>
      </w:r>
    </w:p>
    <w:p w14:paraId="54A58D05" w14:textId="77777777" w:rsidR="000F7401" w:rsidRPr="00076FE0" w:rsidRDefault="000F7401" w:rsidP="000F7401">
      <w:pPr>
        <w:pStyle w:val="ZZAnxtitle"/>
      </w:pPr>
      <w:r w:rsidRPr="00076FE0">
        <w:t xml:space="preserve">List of working documents </w:t>
      </w:r>
    </w:p>
    <w:tbl>
      <w:tblPr>
        <w:tblW w:w="8307" w:type="dxa"/>
        <w:jc w:val="right"/>
        <w:tblLook w:val="04A0" w:firstRow="1" w:lastRow="0" w:firstColumn="1" w:lastColumn="0" w:noHBand="0" w:noVBand="1"/>
      </w:tblPr>
      <w:tblGrid>
        <w:gridCol w:w="1497"/>
        <w:gridCol w:w="5654"/>
        <w:gridCol w:w="1156"/>
      </w:tblGrid>
      <w:tr w:rsidR="000F7401" w:rsidRPr="000328A6" w14:paraId="4CAC17D0" w14:textId="77777777" w:rsidTr="00D450E0">
        <w:trPr>
          <w:trHeight w:val="57"/>
          <w:jc w:val="right"/>
        </w:trPr>
        <w:tc>
          <w:tcPr>
            <w:tcW w:w="1497" w:type="dxa"/>
            <w:tcBorders>
              <w:top w:val="single" w:sz="4" w:space="0" w:color="auto"/>
              <w:left w:val="nil"/>
              <w:bottom w:val="single" w:sz="12" w:space="0" w:color="auto"/>
              <w:right w:val="nil"/>
            </w:tcBorders>
            <w:vAlign w:val="bottom"/>
            <w:hideMark/>
          </w:tcPr>
          <w:p w14:paraId="6E1FD25A" w14:textId="77777777" w:rsidR="000F7401" w:rsidRPr="000328A6" w:rsidRDefault="000F7401" w:rsidP="000328A6">
            <w:pPr>
              <w:pStyle w:val="Normal-pool"/>
              <w:spacing w:before="60" w:after="60"/>
              <w:rPr>
                <w:i/>
                <w:iCs/>
                <w:sz w:val="18"/>
                <w:szCs w:val="18"/>
              </w:rPr>
            </w:pPr>
            <w:bookmarkStart w:id="7" w:name="_Hlk521571767"/>
            <w:r w:rsidRPr="000328A6">
              <w:rPr>
                <w:i/>
                <w:iCs/>
                <w:sz w:val="18"/>
                <w:szCs w:val="18"/>
              </w:rPr>
              <w:t>Symbol</w:t>
            </w:r>
          </w:p>
        </w:tc>
        <w:tc>
          <w:tcPr>
            <w:tcW w:w="5654" w:type="dxa"/>
            <w:tcBorders>
              <w:top w:val="single" w:sz="4" w:space="0" w:color="auto"/>
              <w:left w:val="nil"/>
              <w:bottom w:val="single" w:sz="12" w:space="0" w:color="auto"/>
              <w:right w:val="nil"/>
            </w:tcBorders>
            <w:vAlign w:val="bottom"/>
            <w:hideMark/>
          </w:tcPr>
          <w:p w14:paraId="55D5C938" w14:textId="77777777" w:rsidR="000F7401" w:rsidRPr="000328A6" w:rsidRDefault="000F7401" w:rsidP="000328A6">
            <w:pPr>
              <w:pStyle w:val="Normal-pool"/>
              <w:spacing w:before="60" w:after="60"/>
              <w:rPr>
                <w:i/>
                <w:iCs/>
                <w:sz w:val="18"/>
                <w:szCs w:val="18"/>
              </w:rPr>
            </w:pPr>
            <w:r w:rsidRPr="000328A6">
              <w:rPr>
                <w:i/>
                <w:iCs/>
                <w:sz w:val="18"/>
                <w:szCs w:val="18"/>
              </w:rPr>
              <w:t>Title</w:t>
            </w:r>
          </w:p>
        </w:tc>
        <w:tc>
          <w:tcPr>
            <w:tcW w:w="1156" w:type="dxa"/>
            <w:tcBorders>
              <w:top w:val="single" w:sz="4" w:space="0" w:color="auto"/>
              <w:left w:val="nil"/>
              <w:bottom w:val="single" w:sz="12" w:space="0" w:color="auto"/>
              <w:right w:val="nil"/>
            </w:tcBorders>
            <w:vAlign w:val="bottom"/>
            <w:hideMark/>
          </w:tcPr>
          <w:p w14:paraId="0595535F" w14:textId="77777777" w:rsidR="000F7401" w:rsidRPr="000328A6" w:rsidRDefault="000F7401" w:rsidP="000328A6">
            <w:pPr>
              <w:pStyle w:val="Normal-pool"/>
              <w:spacing w:before="60" w:after="60"/>
              <w:rPr>
                <w:i/>
                <w:iCs/>
                <w:sz w:val="18"/>
                <w:szCs w:val="18"/>
              </w:rPr>
            </w:pPr>
            <w:r w:rsidRPr="000328A6">
              <w:rPr>
                <w:i/>
                <w:iCs/>
                <w:sz w:val="18"/>
                <w:szCs w:val="18"/>
              </w:rPr>
              <w:t>Agenda item</w:t>
            </w:r>
          </w:p>
        </w:tc>
      </w:tr>
      <w:tr w:rsidR="000F7401" w:rsidRPr="000328A6" w14:paraId="551C2AC5" w14:textId="77777777" w:rsidTr="00D450E0">
        <w:trPr>
          <w:trHeight w:val="57"/>
          <w:jc w:val="right"/>
        </w:trPr>
        <w:tc>
          <w:tcPr>
            <w:tcW w:w="1497" w:type="dxa"/>
            <w:tcBorders>
              <w:top w:val="single" w:sz="12" w:space="0" w:color="auto"/>
              <w:left w:val="nil"/>
              <w:bottom w:val="nil"/>
              <w:right w:val="nil"/>
            </w:tcBorders>
            <w:hideMark/>
          </w:tcPr>
          <w:p w14:paraId="011A582A" w14:textId="77777777" w:rsidR="000F7401" w:rsidRPr="000328A6" w:rsidRDefault="000F7401" w:rsidP="000328A6">
            <w:pPr>
              <w:pStyle w:val="Normal-pool"/>
              <w:spacing w:before="60" w:after="60"/>
              <w:rPr>
                <w:sz w:val="18"/>
                <w:szCs w:val="18"/>
              </w:rPr>
            </w:pPr>
            <w:r w:rsidRPr="000328A6">
              <w:rPr>
                <w:sz w:val="18"/>
                <w:szCs w:val="18"/>
              </w:rPr>
              <w:t>IPBES/8/1</w:t>
            </w:r>
          </w:p>
        </w:tc>
        <w:tc>
          <w:tcPr>
            <w:tcW w:w="5654" w:type="dxa"/>
            <w:tcBorders>
              <w:top w:val="single" w:sz="12" w:space="0" w:color="auto"/>
              <w:left w:val="nil"/>
              <w:bottom w:val="nil"/>
              <w:right w:val="nil"/>
            </w:tcBorders>
            <w:hideMark/>
          </w:tcPr>
          <w:p w14:paraId="6AB4EF50" w14:textId="77777777" w:rsidR="000F7401" w:rsidRPr="000328A6" w:rsidRDefault="000F7401" w:rsidP="000328A6">
            <w:pPr>
              <w:pStyle w:val="Normal-pool"/>
              <w:spacing w:before="60" w:after="60"/>
              <w:rPr>
                <w:sz w:val="18"/>
                <w:szCs w:val="18"/>
              </w:rPr>
            </w:pPr>
            <w:r w:rsidRPr="000328A6">
              <w:rPr>
                <w:sz w:val="18"/>
                <w:szCs w:val="18"/>
              </w:rPr>
              <w:t>Provisional agenda</w:t>
            </w:r>
          </w:p>
        </w:tc>
        <w:tc>
          <w:tcPr>
            <w:tcW w:w="1156" w:type="dxa"/>
            <w:tcBorders>
              <w:top w:val="single" w:sz="12" w:space="0" w:color="auto"/>
              <w:left w:val="nil"/>
              <w:bottom w:val="nil"/>
              <w:right w:val="nil"/>
            </w:tcBorders>
            <w:hideMark/>
          </w:tcPr>
          <w:p w14:paraId="3A4DC8C6" w14:textId="77777777" w:rsidR="000F7401" w:rsidRPr="000328A6" w:rsidRDefault="000F7401" w:rsidP="000328A6">
            <w:pPr>
              <w:pStyle w:val="Normal-pool"/>
              <w:spacing w:before="60" w:after="60"/>
              <w:rPr>
                <w:sz w:val="18"/>
                <w:szCs w:val="18"/>
              </w:rPr>
            </w:pPr>
            <w:r w:rsidRPr="000328A6">
              <w:rPr>
                <w:sz w:val="18"/>
                <w:szCs w:val="18"/>
              </w:rPr>
              <w:t>2 (a)</w:t>
            </w:r>
          </w:p>
        </w:tc>
      </w:tr>
      <w:tr w:rsidR="000F7401" w:rsidRPr="000328A6" w14:paraId="7CBE48C4" w14:textId="77777777" w:rsidTr="00D450E0">
        <w:trPr>
          <w:trHeight w:val="57"/>
          <w:jc w:val="right"/>
        </w:trPr>
        <w:tc>
          <w:tcPr>
            <w:tcW w:w="1497" w:type="dxa"/>
            <w:hideMark/>
          </w:tcPr>
          <w:p w14:paraId="34A1B56A" w14:textId="77777777" w:rsidR="000F7401" w:rsidRPr="000328A6" w:rsidRDefault="000F7401" w:rsidP="000328A6">
            <w:pPr>
              <w:pStyle w:val="Normal-pool"/>
              <w:spacing w:before="60" w:after="60"/>
              <w:rPr>
                <w:sz w:val="18"/>
                <w:szCs w:val="18"/>
              </w:rPr>
            </w:pPr>
            <w:r w:rsidRPr="000328A6">
              <w:rPr>
                <w:sz w:val="18"/>
                <w:szCs w:val="18"/>
              </w:rPr>
              <w:t>IPBES/8/1/Add.1</w:t>
            </w:r>
          </w:p>
        </w:tc>
        <w:tc>
          <w:tcPr>
            <w:tcW w:w="5654" w:type="dxa"/>
            <w:hideMark/>
          </w:tcPr>
          <w:p w14:paraId="3AB961EC" w14:textId="7662849B" w:rsidR="000F7401" w:rsidRPr="000328A6" w:rsidRDefault="000F7401" w:rsidP="000328A6">
            <w:pPr>
              <w:pStyle w:val="Normal-pool"/>
              <w:spacing w:before="60" w:after="60"/>
              <w:rPr>
                <w:sz w:val="18"/>
                <w:szCs w:val="18"/>
              </w:rPr>
            </w:pPr>
            <w:r w:rsidRPr="000328A6">
              <w:rPr>
                <w:sz w:val="18"/>
                <w:szCs w:val="18"/>
              </w:rPr>
              <w:t>Annotat</w:t>
            </w:r>
            <w:r w:rsidR="00FE7EF9" w:rsidRPr="000328A6">
              <w:rPr>
                <w:sz w:val="18"/>
                <w:szCs w:val="18"/>
              </w:rPr>
              <w:t>ed</w:t>
            </w:r>
            <w:r w:rsidRPr="000328A6">
              <w:rPr>
                <w:sz w:val="18"/>
                <w:szCs w:val="18"/>
              </w:rPr>
              <w:t xml:space="preserve"> provisional agenda</w:t>
            </w:r>
          </w:p>
        </w:tc>
        <w:tc>
          <w:tcPr>
            <w:tcW w:w="1156" w:type="dxa"/>
            <w:hideMark/>
          </w:tcPr>
          <w:p w14:paraId="74EE8056" w14:textId="77777777" w:rsidR="000F7401" w:rsidRPr="000328A6" w:rsidRDefault="000F7401" w:rsidP="000328A6">
            <w:pPr>
              <w:pStyle w:val="Normal-pool"/>
              <w:spacing w:before="60" w:after="60"/>
              <w:rPr>
                <w:sz w:val="18"/>
                <w:szCs w:val="18"/>
              </w:rPr>
            </w:pPr>
            <w:r w:rsidRPr="000328A6">
              <w:rPr>
                <w:sz w:val="18"/>
                <w:szCs w:val="18"/>
              </w:rPr>
              <w:t>2 (a)</w:t>
            </w:r>
          </w:p>
        </w:tc>
      </w:tr>
      <w:tr w:rsidR="000F7401" w:rsidRPr="000328A6" w14:paraId="22ED9780" w14:textId="77777777" w:rsidTr="00D450E0">
        <w:trPr>
          <w:trHeight w:val="57"/>
          <w:jc w:val="right"/>
        </w:trPr>
        <w:tc>
          <w:tcPr>
            <w:tcW w:w="1497" w:type="dxa"/>
            <w:hideMark/>
          </w:tcPr>
          <w:p w14:paraId="2AFA8C34" w14:textId="77777777" w:rsidR="000F7401" w:rsidRPr="000328A6" w:rsidRDefault="000F7401" w:rsidP="000328A6">
            <w:pPr>
              <w:pStyle w:val="Normal-pool"/>
              <w:spacing w:before="60" w:after="60"/>
              <w:rPr>
                <w:sz w:val="18"/>
                <w:szCs w:val="18"/>
              </w:rPr>
            </w:pPr>
            <w:r w:rsidRPr="000328A6">
              <w:rPr>
                <w:sz w:val="18"/>
                <w:szCs w:val="18"/>
              </w:rPr>
              <w:t>IPBES/8/1/Add.2</w:t>
            </w:r>
          </w:p>
        </w:tc>
        <w:tc>
          <w:tcPr>
            <w:tcW w:w="5654" w:type="dxa"/>
            <w:hideMark/>
          </w:tcPr>
          <w:p w14:paraId="68E16A40" w14:textId="77777777" w:rsidR="000F7401" w:rsidRPr="000328A6" w:rsidRDefault="000F7401" w:rsidP="000328A6">
            <w:pPr>
              <w:pStyle w:val="Normal-pool"/>
              <w:spacing w:before="60" w:after="60"/>
              <w:rPr>
                <w:sz w:val="18"/>
                <w:szCs w:val="18"/>
              </w:rPr>
            </w:pPr>
            <w:r w:rsidRPr="000328A6">
              <w:rPr>
                <w:sz w:val="18"/>
                <w:szCs w:val="18"/>
              </w:rPr>
              <w:t>Draft decisions for the eighth session of the Plenary of the Intergovernmental Science-Policy Platform on Biodiversity and Ecosystem Services</w:t>
            </w:r>
          </w:p>
        </w:tc>
        <w:tc>
          <w:tcPr>
            <w:tcW w:w="1156" w:type="dxa"/>
            <w:hideMark/>
          </w:tcPr>
          <w:p w14:paraId="2AB5FE68" w14:textId="77777777" w:rsidR="000F7401" w:rsidRPr="000328A6" w:rsidRDefault="000F7401" w:rsidP="000328A6">
            <w:pPr>
              <w:pStyle w:val="Normal-pool"/>
              <w:spacing w:before="60" w:after="60"/>
              <w:rPr>
                <w:sz w:val="18"/>
                <w:szCs w:val="18"/>
              </w:rPr>
            </w:pPr>
            <w:r w:rsidRPr="000328A6">
              <w:rPr>
                <w:sz w:val="18"/>
                <w:szCs w:val="18"/>
              </w:rPr>
              <w:t>12</w:t>
            </w:r>
          </w:p>
        </w:tc>
      </w:tr>
      <w:tr w:rsidR="000F7401" w:rsidRPr="000328A6" w14:paraId="4B465C2B" w14:textId="77777777" w:rsidTr="00D450E0">
        <w:trPr>
          <w:trHeight w:val="57"/>
          <w:jc w:val="right"/>
        </w:trPr>
        <w:tc>
          <w:tcPr>
            <w:tcW w:w="1497" w:type="dxa"/>
            <w:hideMark/>
          </w:tcPr>
          <w:p w14:paraId="0FD9DA6D" w14:textId="77777777" w:rsidR="000F7401" w:rsidRPr="000328A6" w:rsidRDefault="000F7401" w:rsidP="000328A6">
            <w:pPr>
              <w:pStyle w:val="Normal-pool"/>
              <w:spacing w:before="60" w:after="60"/>
              <w:rPr>
                <w:sz w:val="18"/>
                <w:szCs w:val="18"/>
              </w:rPr>
            </w:pPr>
            <w:r w:rsidRPr="000328A6">
              <w:rPr>
                <w:sz w:val="18"/>
                <w:szCs w:val="18"/>
              </w:rPr>
              <w:t>IPBES/8/2</w:t>
            </w:r>
          </w:p>
        </w:tc>
        <w:tc>
          <w:tcPr>
            <w:tcW w:w="5654" w:type="dxa"/>
            <w:hideMark/>
          </w:tcPr>
          <w:p w14:paraId="339D41AB" w14:textId="77777777" w:rsidR="000F7401" w:rsidRPr="000328A6" w:rsidRDefault="000F7401" w:rsidP="000328A6">
            <w:pPr>
              <w:pStyle w:val="Normal-pool"/>
              <w:spacing w:before="60" w:after="60"/>
              <w:rPr>
                <w:sz w:val="18"/>
                <w:szCs w:val="18"/>
              </w:rPr>
            </w:pPr>
            <w:r w:rsidRPr="000328A6">
              <w:rPr>
                <w:sz w:val="18"/>
                <w:szCs w:val="18"/>
              </w:rPr>
              <w:t>Report of the Executive Secretary on progress in the implementation of the rolling work programme up to 2030</w:t>
            </w:r>
          </w:p>
        </w:tc>
        <w:tc>
          <w:tcPr>
            <w:tcW w:w="1156" w:type="dxa"/>
            <w:hideMark/>
          </w:tcPr>
          <w:p w14:paraId="32ED0E32" w14:textId="77777777" w:rsidR="000F7401" w:rsidRPr="000328A6" w:rsidRDefault="000F7401" w:rsidP="000328A6">
            <w:pPr>
              <w:pStyle w:val="Normal-pool"/>
              <w:spacing w:before="60" w:after="60"/>
              <w:rPr>
                <w:sz w:val="18"/>
                <w:szCs w:val="18"/>
              </w:rPr>
            </w:pPr>
            <w:r w:rsidRPr="000328A6">
              <w:rPr>
                <w:sz w:val="18"/>
                <w:szCs w:val="18"/>
              </w:rPr>
              <w:t>5</w:t>
            </w:r>
          </w:p>
        </w:tc>
      </w:tr>
      <w:tr w:rsidR="000F7401" w:rsidRPr="000328A6" w14:paraId="1A2E4AB2" w14:textId="77777777" w:rsidTr="00D450E0">
        <w:trPr>
          <w:trHeight w:val="57"/>
          <w:jc w:val="right"/>
        </w:trPr>
        <w:tc>
          <w:tcPr>
            <w:tcW w:w="1497" w:type="dxa"/>
            <w:hideMark/>
          </w:tcPr>
          <w:p w14:paraId="654ACCD0" w14:textId="77777777" w:rsidR="000F7401" w:rsidRPr="000328A6" w:rsidRDefault="000F7401" w:rsidP="000328A6">
            <w:pPr>
              <w:pStyle w:val="Normal-pool"/>
              <w:spacing w:before="60" w:after="60"/>
              <w:rPr>
                <w:sz w:val="18"/>
                <w:szCs w:val="18"/>
              </w:rPr>
            </w:pPr>
            <w:r w:rsidRPr="000328A6">
              <w:rPr>
                <w:sz w:val="18"/>
                <w:szCs w:val="18"/>
              </w:rPr>
              <w:t>IPBES/8/3</w:t>
            </w:r>
          </w:p>
        </w:tc>
        <w:tc>
          <w:tcPr>
            <w:tcW w:w="5654" w:type="dxa"/>
            <w:hideMark/>
          </w:tcPr>
          <w:p w14:paraId="01A036AF" w14:textId="77777777" w:rsidR="000F7401" w:rsidRPr="000328A6" w:rsidRDefault="000F7401" w:rsidP="000328A6">
            <w:pPr>
              <w:pStyle w:val="Normal-pool"/>
              <w:spacing w:before="60" w:after="60"/>
              <w:rPr>
                <w:sz w:val="18"/>
                <w:szCs w:val="18"/>
              </w:rPr>
            </w:pPr>
            <w:r w:rsidRPr="000328A6">
              <w:rPr>
                <w:sz w:val="18"/>
                <w:szCs w:val="18"/>
              </w:rPr>
              <w:t>Scoping report on assessing the interlinkages among biodiversity, climate, water, food, energy and health (nexus assessment)</w:t>
            </w:r>
          </w:p>
        </w:tc>
        <w:tc>
          <w:tcPr>
            <w:tcW w:w="1156" w:type="dxa"/>
            <w:hideMark/>
          </w:tcPr>
          <w:p w14:paraId="7A5E995C" w14:textId="77777777" w:rsidR="000F7401" w:rsidRPr="000328A6" w:rsidRDefault="000F7401" w:rsidP="000328A6">
            <w:pPr>
              <w:pStyle w:val="Normal-pool"/>
              <w:spacing w:before="60" w:after="60"/>
              <w:rPr>
                <w:sz w:val="18"/>
                <w:szCs w:val="18"/>
              </w:rPr>
            </w:pPr>
            <w:r w:rsidRPr="000328A6">
              <w:rPr>
                <w:sz w:val="18"/>
                <w:szCs w:val="18"/>
              </w:rPr>
              <w:t>7 (a)</w:t>
            </w:r>
          </w:p>
        </w:tc>
      </w:tr>
      <w:tr w:rsidR="000F7401" w:rsidRPr="000328A6" w14:paraId="685C7657" w14:textId="77777777" w:rsidTr="00D450E0">
        <w:trPr>
          <w:trHeight w:val="57"/>
          <w:jc w:val="right"/>
        </w:trPr>
        <w:tc>
          <w:tcPr>
            <w:tcW w:w="1497" w:type="dxa"/>
            <w:hideMark/>
          </w:tcPr>
          <w:p w14:paraId="7CF45FCF" w14:textId="77777777" w:rsidR="000F7401" w:rsidRPr="000328A6" w:rsidRDefault="000F7401" w:rsidP="000328A6">
            <w:pPr>
              <w:pStyle w:val="Normal-pool"/>
              <w:spacing w:before="60" w:after="60"/>
              <w:rPr>
                <w:sz w:val="18"/>
                <w:szCs w:val="18"/>
              </w:rPr>
            </w:pPr>
            <w:r w:rsidRPr="000328A6">
              <w:rPr>
                <w:sz w:val="18"/>
                <w:szCs w:val="18"/>
              </w:rPr>
              <w:t>IPBES/8/4</w:t>
            </w:r>
          </w:p>
        </w:tc>
        <w:tc>
          <w:tcPr>
            <w:tcW w:w="5654" w:type="dxa"/>
            <w:hideMark/>
          </w:tcPr>
          <w:p w14:paraId="460C7D89" w14:textId="77777777" w:rsidR="000F7401" w:rsidRPr="000328A6" w:rsidRDefault="000F7401" w:rsidP="000328A6">
            <w:pPr>
              <w:pStyle w:val="Normal-pool"/>
              <w:spacing w:before="60" w:after="60"/>
              <w:rPr>
                <w:sz w:val="18"/>
                <w:szCs w:val="18"/>
              </w:rPr>
            </w:pPr>
            <w:r w:rsidRPr="000328A6">
              <w:rPr>
                <w:sz w:val="18"/>
                <w:szCs w:val="18"/>
              </w:rPr>
              <w:t>Scoping report on assessing the underlying causes of biodiversity loss and the determinants of transformative change (thematic assessment) to achieve the 2050 Vision for Biodiversity</w:t>
            </w:r>
          </w:p>
        </w:tc>
        <w:tc>
          <w:tcPr>
            <w:tcW w:w="1156" w:type="dxa"/>
            <w:hideMark/>
          </w:tcPr>
          <w:p w14:paraId="6838DBFD" w14:textId="77777777" w:rsidR="000F7401" w:rsidRPr="000328A6" w:rsidRDefault="000F7401" w:rsidP="000328A6">
            <w:pPr>
              <w:pStyle w:val="Normal-pool"/>
              <w:spacing w:before="60" w:after="60"/>
              <w:rPr>
                <w:sz w:val="18"/>
                <w:szCs w:val="18"/>
              </w:rPr>
            </w:pPr>
            <w:r w:rsidRPr="000328A6">
              <w:rPr>
                <w:sz w:val="18"/>
                <w:szCs w:val="18"/>
              </w:rPr>
              <w:t>7 (b)</w:t>
            </w:r>
          </w:p>
        </w:tc>
      </w:tr>
      <w:tr w:rsidR="000F7401" w:rsidRPr="000328A6" w14:paraId="7D6EB9B8" w14:textId="77777777" w:rsidTr="00D450E0">
        <w:trPr>
          <w:trHeight w:val="57"/>
          <w:jc w:val="right"/>
        </w:trPr>
        <w:tc>
          <w:tcPr>
            <w:tcW w:w="1497" w:type="dxa"/>
            <w:hideMark/>
          </w:tcPr>
          <w:p w14:paraId="3E34C3FE" w14:textId="77777777" w:rsidR="000F7401" w:rsidRPr="000328A6" w:rsidRDefault="000F7401" w:rsidP="000328A6">
            <w:pPr>
              <w:pStyle w:val="Normal-pool"/>
              <w:spacing w:before="60" w:after="60"/>
              <w:rPr>
                <w:sz w:val="18"/>
                <w:szCs w:val="18"/>
              </w:rPr>
            </w:pPr>
            <w:r w:rsidRPr="000328A6">
              <w:rPr>
                <w:sz w:val="18"/>
                <w:szCs w:val="18"/>
              </w:rPr>
              <w:t>IPBES/8/5</w:t>
            </w:r>
          </w:p>
        </w:tc>
        <w:tc>
          <w:tcPr>
            <w:tcW w:w="5654" w:type="dxa"/>
            <w:hideMark/>
          </w:tcPr>
          <w:p w14:paraId="094FBFB1" w14:textId="77777777" w:rsidR="000F7401" w:rsidRPr="000328A6" w:rsidRDefault="000F7401" w:rsidP="000328A6">
            <w:pPr>
              <w:pStyle w:val="Normal-pool"/>
              <w:spacing w:before="60" w:after="60"/>
              <w:rPr>
                <w:sz w:val="18"/>
                <w:szCs w:val="18"/>
              </w:rPr>
            </w:pPr>
            <w:r w:rsidRPr="000328A6">
              <w:rPr>
                <w:sz w:val="18"/>
                <w:szCs w:val="18"/>
              </w:rPr>
              <w:t>Financial and budgetary arrangements for the Platform</w:t>
            </w:r>
          </w:p>
        </w:tc>
        <w:tc>
          <w:tcPr>
            <w:tcW w:w="1156" w:type="dxa"/>
            <w:hideMark/>
          </w:tcPr>
          <w:p w14:paraId="5379A9AA" w14:textId="77777777" w:rsidR="000F7401" w:rsidRPr="000328A6" w:rsidRDefault="000F7401" w:rsidP="000328A6">
            <w:pPr>
              <w:pStyle w:val="Normal-pool"/>
              <w:spacing w:before="60" w:after="60"/>
              <w:rPr>
                <w:sz w:val="18"/>
                <w:szCs w:val="18"/>
              </w:rPr>
            </w:pPr>
            <w:r w:rsidRPr="000328A6">
              <w:rPr>
                <w:sz w:val="18"/>
                <w:szCs w:val="18"/>
              </w:rPr>
              <w:t>6</w:t>
            </w:r>
          </w:p>
        </w:tc>
      </w:tr>
      <w:tr w:rsidR="000F7401" w:rsidRPr="000328A6" w14:paraId="1D519B09" w14:textId="77777777" w:rsidTr="00D450E0">
        <w:trPr>
          <w:trHeight w:val="57"/>
          <w:jc w:val="right"/>
        </w:trPr>
        <w:tc>
          <w:tcPr>
            <w:tcW w:w="1497" w:type="dxa"/>
            <w:hideMark/>
          </w:tcPr>
          <w:p w14:paraId="1BD7B551" w14:textId="77777777" w:rsidR="000F7401" w:rsidRPr="000328A6" w:rsidRDefault="000F7401" w:rsidP="000328A6">
            <w:pPr>
              <w:pStyle w:val="Normal-pool"/>
              <w:spacing w:before="60" w:after="60"/>
              <w:rPr>
                <w:sz w:val="18"/>
                <w:szCs w:val="18"/>
              </w:rPr>
            </w:pPr>
            <w:r w:rsidRPr="000328A6">
              <w:rPr>
                <w:sz w:val="18"/>
                <w:szCs w:val="18"/>
              </w:rPr>
              <w:t>IPBES/8/6</w:t>
            </w:r>
          </w:p>
        </w:tc>
        <w:tc>
          <w:tcPr>
            <w:tcW w:w="5654" w:type="dxa"/>
            <w:hideMark/>
          </w:tcPr>
          <w:p w14:paraId="3D53A670" w14:textId="77777777" w:rsidR="000F7401" w:rsidRPr="000328A6" w:rsidRDefault="000F7401" w:rsidP="000328A6">
            <w:pPr>
              <w:pStyle w:val="Normal-pool"/>
              <w:spacing w:before="60" w:after="60"/>
              <w:rPr>
                <w:sz w:val="18"/>
                <w:szCs w:val="18"/>
              </w:rPr>
            </w:pPr>
            <w:r w:rsidRPr="000328A6">
              <w:rPr>
                <w:sz w:val="18"/>
                <w:szCs w:val="18"/>
              </w:rPr>
              <w:t>Work on biodiversity and climate change and collaboration with the Intergovernmental Panel on Climate Change</w:t>
            </w:r>
          </w:p>
        </w:tc>
        <w:tc>
          <w:tcPr>
            <w:tcW w:w="1156" w:type="dxa"/>
            <w:hideMark/>
          </w:tcPr>
          <w:p w14:paraId="4D24F180" w14:textId="77777777" w:rsidR="000F7401" w:rsidRPr="000328A6" w:rsidRDefault="000F7401" w:rsidP="000328A6">
            <w:pPr>
              <w:pStyle w:val="Normal-pool"/>
              <w:spacing w:before="60" w:after="60"/>
              <w:rPr>
                <w:sz w:val="18"/>
                <w:szCs w:val="18"/>
              </w:rPr>
            </w:pPr>
            <w:r w:rsidRPr="000328A6">
              <w:rPr>
                <w:sz w:val="18"/>
                <w:szCs w:val="18"/>
              </w:rPr>
              <w:t>7 (c)</w:t>
            </w:r>
          </w:p>
        </w:tc>
      </w:tr>
      <w:tr w:rsidR="000F7401" w:rsidRPr="000328A6" w14:paraId="59252BC5" w14:textId="77777777" w:rsidTr="00D450E0">
        <w:trPr>
          <w:trHeight w:val="57"/>
          <w:jc w:val="right"/>
        </w:trPr>
        <w:tc>
          <w:tcPr>
            <w:tcW w:w="1497" w:type="dxa"/>
            <w:hideMark/>
          </w:tcPr>
          <w:p w14:paraId="5EB57272" w14:textId="77777777" w:rsidR="000F7401" w:rsidRPr="000328A6" w:rsidRDefault="000F7401" w:rsidP="000328A6">
            <w:pPr>
              <w:pStyle w:val="Normal-pool"/>
              <w:spacing w:before="60" w:after="60"/>
              <w:rPr>
                <w:sz w:val="18"/>
                <w:szCs w:val="18"/>
              </w:rPr>
            </w:pPr>
            <w:r w:rsidRPr="000328A6">
              <w:rPr>
                <w:sz w:val="18"/>
                <w:szCs w:val="18"/>
              </w:rPr>
              <w:t>IPBES/8/7</w:t>
            </w:r>
          </w:p>
        </w:tc>
        <w:tc>
          <w:tcPr>
            <w:tcW w:w="5654" w:type="dxa"/>
            <w:hideMark/>
          </w:tcPr>
          <w:p w14:paraId="71F478DF" w14:textId="0EDE7EBA" w:rsidR="000F7401" w:rsidRPr="000328A6" w:rsidRDefault="000F7401" w:rsidP="000328A6">
            <w:pPr>
              <w:pStyle w:val="Normal-pool"/>
              <w:spacing w:before="60" w:after="60"/>
              <w:rPr>
                <w:sz w:val="18"/>
                <w:szCs w:val="18"/>
              </w:rPr>
            </w:pPr>
            <w:r w:rsidRPr="000328A6">
              <w:rPr>
                <w:sz w:val="18"/>
                <w:szCs w:val="18"/>
              </w:rPr>
              <w:t xml:space="preserve">Work on building capacity, strengthening knowledge foundations and supporting policy: </w:t>
            </w:r>
            <w:r w:rsidR="00A5120B" w:rsidRPr="000328A6">
              <w:rPr>
                <w:sz w:val="18"/>
                <w:szCs w:val="18"/>
              </w:rPr>
              <w:t>d</w:t>
            </w:r>
            <w:r w:rsidRPr="000328A6">
              <w:rPr>
                <w:sz w:val="18"/>
                <w:szCs w:val="18"/>
              </w:rPr>
              <w:t>eliverables and workplans</w:t>
            </w:r>
          </w:p>
        </w:tc>
        <w:tc>
          <w:tcPr>
            <w:tcW w:w="1156" w:type="dxa"/>
            <w:hideMark/>
          </w:tcPr>
          <w:p w14:paraId="4ACDEDB6" w14:textId="77777777" w:rsidR="000F7401" w:rsidRPr="000328A6" w:rsidRDefault="000F7401" w:rsidP="000328A6">
            <w:pPr>
              <w:pStyle w:val="Normal-pool"/>
              <w:spacing w:before="60" w:after="60"/>
              <w:rPr>
                <w:sz w:val="18"/>
                <w:szCs w:val="18"/>
              </w:rPr>
            </w:pPr>
            <w:r w:rsidRPr="000328A6">
              <w:rPr>
                <w:sz w:val="18"/>
                <w:szCs w:val="18"/>
              </w:rPr>
              <w:t>8</w:t>
            </w:r>
          </w:p>
        </w:tc>
      </w:tr>
      <w:bookmarkEnd w:id="7"/>
      <w:tr w:rsidR="000F7401" w:rsidRPr="000328A6" w14:paraId="642E67C6" w14:textId="77777777" w:rsidTr="00D450E0">
        <w:trPr>
          <w:trHeight w:val="57"/>
          <w:jc w:val="right"/>
        </w:trPr>
        <w:tc>
          <w:tcPr>
            <w:tcW w:w="1497" w:type="dxa"/>
          </w:tcPr>
          <w:p w14:paraId="020CF771" w14:textId="77777777" w:rsidR="000F7401" w:rsidRPr="000328A6" w:rsidRDefault="000F7401" w:rsidP="000328A6">
            <w:pPr>
              <w:pStyle w:val="Normal-pool"/>
              <w:spacing w:before="60" w:after="60"/>
              <w:rPr>
                <w:sz w:val="18"/>
                <w:szCs w:val="18"/>
              </w:rPr>
            </w:pPr>
            <w:r w:rsidRPr="000328A6">
              <w:rPr>
                <w:sz w:val="18"/>
                <w:szCs w:val="18"/>
              </w:rPr>
              <w:t>IPBES/8/8</w:t>
            </w:r>
          </w:p>
        </w:tc>
        <w:tc>
          <w:tcPr>
            <w:tcW w:w="5654" w:type="dxa"/>
          </w:tcPr>
          <w:p w14:paraId="467D597B" w14:textId="01F0B467" w:rsidR="000F7401" w:rsidRPr="000328A6" w:rsidRDefault="000F7401" w:rsidP="000328A6">
            <w:pPr>
              <w:pStyle w:val="Normal-pool"/>
              <w:spacing w:before="60" w:after="60"/>
              <w:rPr>
                <w:sz w:val="18"/>
                <w:szCs w:val="18"/>
              </w:rPr>
            </w:pPr>
            <w:bookmarkStart w:id="8" w:name="_Hlk54193539"/>
            <w:r w:rsidRPr="000328A6">
              <w:rPr>
                <w:sz w:val="18"/>
                <w:szCs w:val="18"/>
              </w:rPr>
              <w:t>Report by the Bureau, the Multidisciplinary Expert Panel and the Executive Secretary on progress in addressing the recommendations set out in the report on the review of IPBES at the end of its first work programme</w:t>
            </w:r>
            <w:bookmarkEnd w:id="8"/>
          </w:p>
        </w:tc>
        <w:tc>
          <w:tcPr>
            <w:tcW w:w="1156" w:type="dxa"/>
          </w:tcPr>
          <w:p w14:paraId="51DE9CB3" w14:textId="77777777" w:rsidR="000F7401" w:rsidRPr="000328A6" w:rsidRDefault="000F7401" w:rsidP="000328A6">
            <w:pPr>
              <w:pStyle w:val="Normal-pool"/>
              <w:spacing w:before="60" w:after="60"/>
              <w:rPr>
                <w:sz w:val="18"/>
                <w:szCs w:val="18"/>
              </w:rPr>
            </w:pPr>
            <w:r w:rsidRPr="000328A6">
              <w:rPr>
                <w:sz w:val="18"/>
                <w:szCs w:val="18"/>
              </w:rPr>
              <w:t>9</w:t>
            </w:r>
          </w:p>
        </w:tc>
      </w:tr>
      <w:tr w:rsidR="000F7401" w:rsidRPr="000328A6" w14:paraId="11B39860" w14:textId="77777777" w:rsidTr="00D450E0">
        <w:trPr>
          <w:trHeight w:val="57"/>
          <w:jc w:val="right"/>
        </w:trPr>
        <w:tc>
          <w:tcPr>
            <w:tcW w:w="1497" w:type="dxa"/>
          </w:tcPr>
          <w:p w14:paraId="63501495" w14:textId="77777777" w:rsidR="000F7401" w:rsidRPr="000328A6" w:rsidRDefault="000F7401" w:rsidP="000328A6">
            <w:pPr>
              <w:pStyle w:val="Normal-pool"/>
              <w:spacing w:before="60" w:after="60"/>
              <w:rPr>
                <w:sz w:val="18"/>
                <w:szCs w:val="18"/>
              </w:rPr>
            </w:pPr>
            <w:r w:rsidRPr="000328A6">
              <w:rPr>
                <w:sz w:val="18"/>
                <w:szCs w:val="18"/>
              </w:rPr>
              <w:t>IPBES/8/9</w:t>
            </w:r>
          </w:p>
        </w:tc>
        <w:tc>
          <w:tcPr>
            <w:tcW w:w="5654" w:type="dxa"/>
          </w:tcPr>
          <w:p w14:paraId="1232896C" w14:textId="77777777" w:rsidR="000F7401" w:rsidRPr="000328A6" w:rsidRDefault="000F7401" w:rsidP="000328A6">
            <w:pPr>
              <w:pStyle w:val="Normal-pool"/>
              <w:spacing w:before="60" w:after="60"/>
              <w:rPr>
                <w:sz w:val="18"/>
                <w:szCs w:val="18"/>
              </w:rPr>
            </w:pPr>
            <w:r w:rsidRPr="000328A6">
              <w:rPr>
                <w:sz w:val="18"/>
                <w:szCs w:val="18"/>
              </w:rPr>
              <w:t>Organization of work of the Plenary and dates and venues of future sessions of the Plenary</w:t>
            </w:r>
          </w:p>
        </w:tc>
        <w:tc>
          <w:tcPr>
            <w:tcW w:w="1156" w:type="dxa"/>
          </w:tcPr>
          <w:p w14:paraId="37CEC04A" w14:textId="77777777" w:rsidR="000F7401" w:rsidRPr="000328A6" w:rsidRDefault="000F7401" w:rsidP="000328A6">
            <w:pPr>
              <w:pStyle w:val="Normal-pool"/>
              <w:spacing w:before="60" w:after="60"/>
              <w:rPr>
                <w:sz w:val="18"/>
                <w:szCs w:val="18"/>
              </w:rPr>
            </w:pPr>
            <w:r w:rsidRPr="000328A6">
              <w:rPr>
                <w:sz w:val="18"/>
                <w:szCs w:val="18"/>
              </w:rPr>
              <w:t>10</w:t>
            </w:r>
          </w:p>
        </w:tc>
      </w:tr>
      <w:tr w:rsidR="00D450E0" w:rsidRPr="000328A6" w14:paraId="6C8CF57C" w14:textId="77777777" w:rsidTr="00D450E0">
        <w:trPr>
          <w:trHeight w:val="57"/>
          <w:jc w:val="right"/>
        </w:trPr>
        <w:tc>
          <w:tcPr>
            <w:tcW w:w="1497" w:type="dxa"/>
          </w:tcPr>
          <w:p w14:paraId="3C8865CD" w14:textId="1792E911" w:rsidR="00D450E0" w:rsidRPr="000328A6" w:rsidRDefault="00D450E0" w:rsidP="000328A6">
            <w:pPr>
              <w:pStyle w:val="Normal-pool"/>
              <w:spacing w:before="60" w:after="60"/>
              <w:rPr>
                <w:sz w:val="18"/>
                <w:szCs w:val="18"/>
              </w:rPr>
            </w:pPr>
            <w:r w:rsidRPr="000328A6">
              <w:rPr>
                <w:sz w:val="18"/>
                <w:szCs w:val="18"/>
              </w:rPr>
              <w:t>IPBES/8/9/Add.1</w:t>
            </w:r>
          </w:p>
        </w:tc>
        <w:tc>
          <w:tcPr>
            <w:tcW w:w="5654" w:type="dxa"/>
          </w:tcPr>
          <w:p w14:paraId="57B64DBA" w14:textId="4891E286" w:rsidR="00D450E0" w:rsidRPr="000328A6" w:rsidRDefault="00D450E0" w:rsidP="000328A6">
            <w:pPr>
              <w:pStyle w:val="Normal-pool"/>
              <w:spacing w:before="60" w:after="60"/>
              <w:rPr>
                <w:sz w:val="18"/>
                <w:szCs w:val="18"/>
              </w:rPr>
            </w:pPr>
            <w:r w:rsidRPr="000328A6">
              <w:rPr>
                <w:sz w:val="18"/>
                <w:szCs w:val="18"/>
              </w:rPr>
              <w:t>Offers to host the ninth or tenth session of the Plenary</w:t>
            </w:r>
          </w:p>
        </w:tc>
        <w:tc>
          <w:tcPr>
            <w:tcW w:w="1156" w:type="dxa"/>
          </w:tcPr>
          <w:p w14:paraId="07D0B3C3" w14:textId="542C2B61" w:rsidR="00D450E0" w:rsidRPr="000328A6" w:rsidRDefault="00D450E0" w:rsidP="000328A6">
            <w:pPr>
              <w:pStyle w:val="Normal-pool"/>
              <w:spacing w:before="60" w:after="60"/>
              <w:rPr>
                <w:sz w:val="18"/>
                <w:szCs w:val="18"/>
              </w:rPr>
            </w:pPr>
            <w:r w:rsidRPr="000328A6">
              <w:rPr>
                <w:sz w:val="18"/>
                <w:szCs w:val="18"/>
              </w:rPr>
              <w:t>10</w:t>
            </w:r>
          </w:p>
        </w:tc>
      </w:tr>
      <w:tr w:rsidR="000F7401" w:rsidRPr="000328A6" w14:paraId="419099CF" w14:textId="77777777" w:rsidTr="00D450E0">
        <w:trPr>
          <w:trHeight w:val="57"/>
          <w:jc w:val="right"/>
        </w:trPr>
        <w:tc>
          <w:tcPr>
            <w:tcW w:w="1497" w:type="dxa"/>
            <w:tcBorders>
              <w:top w:val="nil"/>
              <w:left w:val="nil"/>
              <w:bottom w:val="single" w:sz="12" w:space="0" w:color="auto"/>
              <w:right w:val="nil"/>
            </w:tcBorders>
          </w:tcPr>
          <w:p w14:paraId="31E944E9" w14:textId="77777777" w:rsidR="000F7401" w:rsidRPr="000328A6" w:rsidRDefault="000F7401" w:rsidP="000328A6">
            <w:pPr>
              <w:pStyle w:val="Normal-pool"/>
              <w:spacing w:before="60" w:after="60"/>
              <w:rPr>
                <w:sz w:val="18"/>
                <w:szCs w:val="18"/>
              </w:rPr>
            </w:pPr>
            <w:r w:rsidRPr="000328A6">
              <w:rPr>
                <w:sz w:val="18"/>
                <w:szCs w:val="18"/>
              </w:rPr>
              <w:t>IPBES/8/10</w:t>
            </w:r>
          </w:p>
        </w:tc>
        <w:tc>
          <w:tcPr>
            <w:tcW w:w="5654" w:type="dxa"/>
            <w:tcBorders>
              <w:top w:val="nil"/>
              <w:left w:val="nil"/>
              <w:bottom w:val="single" w:sz="12" w:space="0" w:color="auto"/>
              <w:right w:val="nil"/>
            </w:tcBorders>
            <w:hideMark/>
          </w:tcPr>
          <w:p w14:paraId="5D0574A9" w14:textId="77777777" w:rsidR="000F7401" w:rsidRPr="000328A6" w:rsidRDefault="000F7401" w:rsidP="000328A6">
            <w:pPr>
              <w:pStyle w:val="Normal-pool"/>
              <w:spacing w:before="60" w:after="60"/>
              <w:rPr>
                <w:sz w:val="18"/>
                <w:szCs w:val="18"/>
              </w:rPr>
            </w:pPr>
            <w:r w:rsidRPr="000328A6">
              <w:rPr>
                <w:sz w:val="18"/>
                <w:szCs w:val="18"/>
              </w:rPr>
              <w:t>Draft policy and procedures for the admission of observers</w:t>
            </w:r>
          </w:p>
        </w:tc>
        <w:tc>
          <w:tcPr>
            <w:tcW w:w="1156" w:type="dxa"/>
            <w:tcBorders>
              <w:top w:val="nil"/>
              <w:left w:val="nil"/>
              <w:bottom w:val="single" w:sz="12" w:space="0" w:color="auto"/>
              <w:right w:val="nil"/>
            </w:tcBorders>
            <w:hideMark/>
          </w:tcPr>
          <w:p w14:paraId="35596551" w14:textId="77777777" w:rsidR="000F7401" w:rsidRPr="000328A6" w:rsidRDefault="000F7401" w:rsidP="000328A6">
            <w:pPr>
              <w:pStyle w:val="Normal-pool"/>
              <w:spacing w:before="60" w:after="60"/>
              <w:rPr>
                <w:sz w:val="18"/>
                <w:szCs w:val="18"/>
              </w:rPr>
            </w:pPr>
            <w:r w:rsidRPr="000328A6">
              <w:rPr>
                <w:sz w:val="18"/>
                <w:szCs w:val="18"/>
              </w:rPr>
              <w:t>3</w:t>
            </w:r>
          </w:p>
        </w:tc>
      </w:tr>
    </w:tbl>
    <w:p w14:paraId="38FC100A" w14:textId="77777777" w:rsidR="00330DB4" w:rsidRPr="00076FE0" w:rsidRDefault="00330DB4" w:rsidP="00330DB4">
      <w:pPr>
        <w:pStyle w:val="Normal-pool"/>
      </w:pPr>
    </w:p>
    <w:p w14:paraId="63697BAE" w14:textId="689BB859" w:rsidR="00330DB4" w:rsidRPr="00076FE0" w:rsidRDefault="00330DB4" w:rsidP="000F7401">
      <w:pPr>
        <w:sectPr w:rsidR="00330DB4" w:rsidRPr="00076FE0" w:rsidSect="004A177A">
          <w:headerReference w:type="even" r:id="rId25"/>
          <w:headerReference w:type="default" r:id="rId26"/>
          <w:footerReference w:type="default" r:id="rId27"/>
          <w:headerReference w:type="first" r:id="rId28"/>
          <w:pgSz w:w="11907" w:h="16840" w:code="9"/>
          <w:pgMar w:top="907" w:right="992" w:bottom="1418" w:left="1418" w:header="539" w:footer="975" w:gutter="0"/>
          <w:cols w:space="720"/>
          <w:docGrid w:linePitch="360"/>
        </w:sectPr>
      </w:pPr>
    </w:p>
    <w:p w14:paraId="60BAA81D" w14:textId="1FABF81D" w:rsidR="000F7401" w:rsidRPr="00076FE0" w:rsidRDefault="000F7401" w:rsidP="000F7401">
      <w:pPr>
        <w:pStyle w:val="ZZAnxtitle"/>
      </w:pPr>
      <w:r w:rsidRPr="00076FE0">
        <w:lastRenderedPageBreak/>
        <w:t>List of information documents (pr</w:t>
      </w:r>
      <w:r w:rsidR="00AA2C13" w:rsidRPr="00076FE0">
        <w:t>ovisional</w:t>
      </w:r>
      <w:r w:rsidRPr="00076FE0">
        <w:t xml:space="preserve">) </w:t>
      </w:r>
    </w:p>
    <w:tbl>
      <w:tblPr>
        <w:tblW w:w="8307" w:type="dxa"/>
        <w:jc w:val="right"/>
        <w:tblLook w:val="04A0" w:firstRow="1" w:lastRow="0" w:firstColumn="1" w:lastColumn="0" w:noHBand="0" w:noVBand="1"/>
      </w:tblPr>
      <w:tblGrid>
        <w:gridCol w:w="1684"/>
        <w:gridCol w:w="5331"/>
        <w:gridCol w:w="1292"/>
      </w:tblGrid>
      <w:tr w:rsidR="000F7401" w:rsidRPr="00076FE0" w14:paraId="18C42277" w14:textId="77777777" w:rsidTr="00FF4978">
        <w:trPr>
          <w:trHeight w:val="57"/>
          <w:tblHeader/>
          <w:jc w:val="right"/>
        </w:trPr>
        <w:tc>
          <w:tcPr>
            <w:tcW w:w="1684" w:type="dxa"/>
            <w:tcBorders>
              <w:top w:val="single" w:sz="4" w:space="0" w:color="auto"/>
              <w:left w:val="nil"/>
              <w:bottom w:val="single" w:sz="12" w:space="0" w:color="auto"/>
              <w:right w:val="nil"/>
            </w:tcBorders>
            <w:vAlign w:val="bottom"/>
            <w:hideMark/>
          </w:tcPr>
          <w:p w14:paraId="73D03B92" w14:textId="77777777" w:rsidR="000F7401" w:rsidRPr="00076FE0" w:rsidRDefault="000F7401" w:rsidP="00105603">
            <w:pPr>
              <w:pStyle w:val="Normal-pool"/>
              <w:spacing w:before="40" w:after="40"/>
              <w:rPr>
                <w:i/>
                <w:sz w:val="18"/>
                <w:szCs w:val="18"/>
                <w:lang w:eastAsia="en-GB"/>
              </w:rPr>
            </w:pPr>
            <w:r w:rsidRPr="00076FE0">
              <w:rPr>
                <w:i/>
                <w:sz w:val="18"/>
                <w:szCs w:val="18"/>
                <w:lang w:eastAsia="en-GB"/>
              </w:rPr>
              <w:t>Symbol</w:t>
            </w:r>
          </w:p>
        </w:tc>
        <w:tc>
          <w:tcPr>
            <w:tcW w:w="5331" w:type="dxa"/>
            <w:tcBorders>
              <w:top w:val="single" w:sz="4" w:space="0" w:color="auto"/>
              <w:left w:val="nil"/>
              <w:bottom w:val="single" w:sz="12" w:space="0" w:color="auto"/>
              <w:right w:val="nil"/>
            </w:tcBorders>
            <w:vAlign w:val="bottom"/>
            <w:hideMark/>
          </w:tcPr>
          <w:p w14:paraId="168A447B" w14:textId="77777777" w:rsidR="000F7401" w:rsidRPr="00076FE0" w:rsidRDefault="000F7401" w:rsidP="00105603">
            <w:pPr>
              <w:pStyle w:val="Normal-pool"/>
              <w:spacing w:before="40" w:after="40"/>
              <w:rPr>
                <w:i/>
                <w:sz w:val="18"/>
                <w:szCs w:val="18"/>
                <w:lang w:eastAsia="en-GB"/>
              </w:rPr>
            </w:pPr>
            <w:r w:rsidRPr="00076FE0">
              <w:rPr>
                <w:i/>
                <w:sz w:val="18"/>
                <w:szCs w:val="18"/>
                <w:lang w:eastAsia="en-GB"/>
              </w:rPr>
              <w:t>Title</w:t>
            </w:r>
          </w:p>
        </w:tc>
        <w:tc>
          <w:tcPr>
            <w:tcW w:w="1292" w:type="dxa"/>
            <w:tcBorders>
              <w:top w:val="single" w:sz="4" w:space="0" w:color="auto"/>
              <w:left w:val="nil"/>
              <w:bottom w:val="single" w:sz="12" w:space="0" w:color="auto"/>
              <w:right w:val="nil"/>
            </w:tcBorders>
            <w:vAlign w:val="bottom"/>
            <w:hideMark/>
          </w:tcPr>
          <w:p w14:paraId="5171E0A6" w14:textId="77777777" w:rsidR="000F7401" w:rsidRPr="00076FE0" w:rsidRDefault="000F7401" w:rsidP="00105603">
            <w:pPr>
              <w:pStyle w:val="Normal-pool"/>
              <w:spacing w:before="40" w:after="40"/>
              <w:rPr>
                <w:i/>
                <w:sz w:val="18"/>
                <w:szCs w:val="18"/>
                <w:lang w:eastAsia="en-GB"/>
              </w:rPr>
            </w:pPr>
            <w:r w:rsidRPr="00076FE0">
              <w:rPr>
                <w:i/>
                <w:sz w:val="18"/>
                <w:szCs w:val="18"/>
                <w:lang w:eastAsia="en-GB"/>
              </w:rPr>
              <w:t>Agenda item</w:t>
            </w:r>
          </w:p>
        </w:tc>
      </w:tr>
      <w:tr w:rsidR="000F7401" w:rsidRPr="00076FE0" w14:paraId="6DCFEBDC" w14:textId="77777777" w:rsidTr="00FF4978">
        <w:trPr>
          <w:trHeight w:val="57"/>
          <w:jc w:val="right"/>
        </w:trPr>
        <w:tc>
          <w:tcPr>
            <w:tcW w:w="1684" w:type="dxa"/>
            <w:hideMark/>
          </w:tcPr>
          <w:p w14:paraId="376AE0C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w:t>
            </w:r>
          </w:p>
        </w:tc>
        <w:tc>
          <w:tcPr>
            <w:tcW w:w="5331" w:type="dxa"/>
            <w:hideMark/>
          </w:tcPr>
          <w:p w14:paraId="1A3D4EC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List of observers admitted to previous sessions of the Plenary and admission of new observers to the eighth session</w:t>
            </w:r>
          </w:p>
        </w:tc>
        <w:tc>
          <w:tcPr>
            <w:tcW w:w="1292" w:type="dxa"/>
            <w:hideMark/>
          </w:tcPr>
          <w:p w14:paraId="3D046CD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3</w:t>
            </w:r>
          </w:p>
        </w:tc>
      </w:tr>
      <w:tr w:rsidR="000F7401" w:rsidRPr="00076FE0" w14:paraId="07D97B26" w14:textId="77777777" w:rsidTr="00FF4978">
        <w:trPr>
          <w:trHeight w:val="57"/>
          <w:jc w:val="right"/>
        </w:trPr>
        <w:tc>
          <w:tcPr>
            <w:tcW w:w="1684" w:type="dxa"/>
            <w:hideMark/>
          </w:tcPr>
          <w:p w14:paraId="5C9857DF"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IPBES/8/INF/2</w:t>
            </w:r>
          </w:p>
        </w:tc>
        <w:tc>
          <w:tcPr>
            <w:tcW w:w="5331" w:type="dxa"/>
            <w:hideMark/>
          </w:tcPr>
          <w:p w14:paraId="5B6FF714" w14:textId="542FD83E" w:rsidR="000F7401" w:rsidRPr="00076FE0" w:rsidRDefault="000F7401" w:rsidP="00105603">
            <w:pPr>
              <w:pStyle w:val="Normal-pool"/>
              <w:spacing w:before="40" w:after="40"/>
              <w:rPr>
                <w:sz w:val="18"/>
                <w:szCs w:val="18"/>
                <w:lang w:eastAsia="en-GB"/>
              </w:rPr>
            </w:pPr>
            <w:r w:rsidRPr="00076FE0">
              <w:rPr>
                <w:sz w:val="18"/>
                <w:szCs w:val="18"/>
                <w:lang w:eastAsia="en-GB"/>
              </w:rPr>
              <w:t xml:space="preserve">Information on the institutional arrangements established </w:t>
            </w:r>
            <w:r w:rsidR="00DB36EF" w:rsidRPr="00076FE0">
              <w:rPr>
                <w:sz w:val="18"/>
                <w:szCs w:val="18"/>
                <w:lang w:eastAsia="en-GB"/>
              </w:rPr>
              <w:t>for the provision of</w:t>
            </w:r>
            <w:r w:rsidRPr="00076FE0">
              <w:rPr>
                <w:sz w:val="18"/>
                <w:szCs w:val="18"/>
                <w:lang w:eastAsia="en-GB"/>
              </w:rPr>
              <w:t xml:space="preserve"> technical support for the implementation of the work programme</w:t>
            </w:r>
          </w:p>
        </w:tc>
        <w:tc>
          <w:tcPr>
            <w:tcW w:w="1292" w:type="dxa"/>
            <w:hideMark/>
          </w:tcPr>
          <w:p w14:paraId="716697C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1250049F" w14:textId="77777777" w:rsidTr="00FF4978">
        <w:trPr>
          <w:trHeight w:val="57"/>
          <w:jc w:val="right"/>
        </w:trPr>
        <w:tc>
          <w:tcPr>
            <w:tcW w:w="1684" w:type="dxa"/>
            <w:hideMark/>
          </w:tcPr>
          <w:p w14:paraId="3D5609C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IPBES/8/INF/3</w:t>
            </w:r>
          </w:p>
        </w:tc>
        <w:tc>
          <w:tcPr>
            <w:tcW w:w="5331" w:type="dxa"/>
            <w:hideMark/>
          </w:tcPr>
          <w:p w14:paraId="28C271EF"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progress in the preparation of the assessment of the sustainable use of wild species, the assessment of invasive alien species and the assessment regarding the diverse conceptualization of multiple values of nature and its benefits</w:t>
            </w:r>
          </w:p>
        </w:tc>
        <w:tc>
          <w:tcPr>
            <w:tcW w:w="1292" w:type="dxa"/>
            <w:hideMark/>
          </w:tcPr>
          <w:p w14:paraId="4699B8B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11AF7E15" w14:textId="77777777" w:rsidTr="00FF4978">
        <w:trPr>
          <w:trHeight w:val="57"/>
          <w:jc w:val="right"/>
        </w:trPr>
        <w:tc>
          <w:tcPr>
            <w:tcW w:w="1684" w:type="dxa"/>
            <w:hideMark/>
          </w:tcPr>
          <w:p w14:paraId="22CE0DD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IPBES/8/INF/4</w:t>
            </w:r>
          </w:p>
        </w:tc>
        <w:tc>
          <w:tcPr>
            <w:tcW w:w="5331" w:type="dxa"/>
          </w:tcPr>
          <w:p w14:paraId="55F504C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Overview of the process followed for the preparation of the scoping report on assessing the interlinkages among biodiversity, climate, water, food, energy and health (nexus assessment)</w:t>
            </w:r>
          </w:p>
        </w:tc>
        <w:tc>
          <w:tcPr>
            <w:tcW w:w="1292" w:type="dxa"/>
            <w:hideMark/>
          </w:tcPr>
          <w:p w14:paraId="33C46DA7" w14:textId="77777777" w:rsidR="000F7401" w:rsidRPr="00076FE0" w:rsidRDefault="000F7401" w:rsidP="00105603">
            <w:pPr>
              <w:pStyle w:val="Normal-pool"/>
              <w:spacing w:before="40" w:after="40"/>
              <w:rPr>
                <w:sz w:val="18"/>
                <w:szCs w:val="18"/>
                <w:lang w:eastAsia="en-GB"/>
              </w:rPr>
            </w:pPr>
            <w:r w:rsidRPr="00076FE0">
              <w:rPr>
                <w:sz w:val="18"/>
                <w:szCs w:val="18"/>
                <w:lang w:eastAsia="en-GB"/>
              </w:rPr>
              <w:t>7 (a)</w:t>
            </w:r>
          </w:p>
        </w:tc>
      </w:tr>
      <w:tr w:rsidR="000F7401" w:rsidRPr="00076FE0" w14:paraId="600D2156" w14:textId="77777777" w:rsidTr="00FF4978">
        <w:trPr>
          <w:trHeight w:val="57"/>
          <w:jc w:val="right"/>
        </w:trPr>
        <w:tc>
          <w:tcPr>
            <w:tcW w:w="1684" w:type="dxa"/>
            <w:hideMark/>
          </w:tcPr>
          <w:p w14:paraId="14849A03"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IPBES/8/INF/5</w:t>
            </w:r>
          </w:p>
        </w:tc>
        <w:tc>
          <w:tcPr>
            <w:tcW w:w="5331" w:type="dxa"/>
          </w:tcPr>
          <w:p w14:paraId="3E15294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Report on the Platform workshop on biodiversity and pandemics</w:t>
            </w:r>
          </w:p>
        </w:tc>
        <w:tc>
          <w:tcPr>
            <w:tcW w:w="1292" w:type="dxa"/>
          </w:tcPr>
          <w:p w14:paraId="4CDD478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7 (a)</w:t>
            </w:r>
          </w:p>
        </w:tc>
      </w:tr>
      <w:tr w:rsidR="000F7401" w:rsidRPr="00076FE0" w14:paraId="66466097" w14:textId="77777777" w:rsidTr="00FF4978">
        <w:trPr>
          <w:trHeight w:val="57"/>
          <w:jc w:val="right"/>
        </w:trPr>
        <w:tc>
          <w:tcPr>
            <w:tcW w:w="1684" w:type="dxa"/>
            <w:hideMark/>
          </w:tcPr>
          <w:p w14:paraId="72C4DBA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IPBES/8/INF/6</w:t>
            </w:r>
          </w:p>
        </w:tc>
        <w:tc>
          <w:tcPr>
            <w:tcW w:w="5331" w:type="dxa"/>
          </w:tcPr>
          <w:p w14:paraId="052B4F5E" w14:textId="77777777" w:rsidR="000F7401" w:rsidRPr="00076FE0" w:rsidRDefault="000F7401" w:rsidP="00105603">
            <w:pPr>
              <w:pStyle w:val="Normal-pool"/>
              <w:spacing w:before="40" w:after="40"/>
              <w:rPr>
                <w:sz w:val="18"/>
                <w:szCs w:val="18"/>
                <w:lang w:eastAsia="en-GB"/>
              </w:rPr>
            </w:pPr>
            <w:r w:rsidRPr="00076FE0">
              <w:rPr>
                <w:sz w:val="18"/>
                <w:szCs w:val="18"/>
                <w:lang w:eastAsia="en-GB"/>
              </w:rPr>
              <w:t>Overview of the process followed for the preparation of the scoping report on assessing the underlying causes of biodiversity loss and the determinants of transformative change (thematic assessment) to achieve the 2050 Vision for Biodiversity</w:t>
            </w:r>
          </w:p>
        </w:tc>
        <w:tc>
          <w:tcPr>
            <w:tcW w:w="1292" w:type="dxa"/>
          </w:tcPr>
          <w:p w14:paraId="69907787" w14:textId="77777777" w:rsidR="000F7401" w:rsidRPr="00076FE0" w:rsidRDefault="000F7401" w:rsidP="00105603">
            <w:pPr>
              <w:pStyle w:val="Normal-pool"/>
              <w:spacing w:before="40" w:after="40"/>
              <w:rPr>
                <w:sz w:val="18"/>
                <w:szCs w:val="18"/>
                <w:lang w:eastAsia="en-GB"/>
              </w:rPr>
            </w:pPr>
            <w:r w:rsidRPr="00076FE0">
              <w:rPr>
                <w:sz w:val="18"/>
                <w:szCs w:val="18"/>
                <w:lang w:eastAsia="en-GB"/>
              </w:rPr>
              <w:t>7 (b)</w:t>
            </w:r>
          </w:p>
        </w:tc>
      </w:tr>
      <w:tr w:rsidR="000F7401" w:rsidRPr="00076FE0" w14:paraId="4D3B0F7E" w14:textId="77777777" w:rsidTr="00FF4978">
        <w:trPr>
          <w:trHeight w:val="57"/>
          <w:jc w:val="right"/>
        </w:trPr>
        <w:tc>
          <w:tcPr>
            <w:tcW w:w="1684" w:type="dxa"/>
            <w:hideMark/>
          </w:tcPr>
          <w:p w14:paraId="34F465EF"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IPBES/8/INF/7</w:t>
            </w:r>
          </w:p>
        </w:tc>
        <w:tc>
          <w:tcPr>
            <w:tcW w:w="5331" w:type="dxa"/>
          </w:tcPr>
          <w:p w14:paraId="1EF75CF0" w14:textId="77777777" w:rsidR="000F7401" w:rsidRPr="00076FE0" w:rsidRDefault="000F7401" w:rsidP="00105603">
            <w:pPr>
              <w:pStyle w:val="Normal-pool"/>
              <w:spacing w:before="40" w:after="40"/>
              <w:rPr>
                <w:sz w:val="18"/>
                <w:szCs w:val="18"/>
                <w:lang w:eastAsia="en-GB"/>
              </w:rPr>
            </w:pPr>
            <w:r w:rsidRPr="00076FE0">
              <w:rPr>
                <w:sz w:val="18"/>
                <w:szCs w:val="18"/>
                <w:lang w:eastAsia="en-GB"/>
              </w:rPr>
              <w:t xml:space="preserve">Progress in scoping the </w:t>
            </w:r>
            <w:r w:rsidRPr="00076FE0">
              <w:rPr>
                <w:sz w:val="18"/>
                <w:szCs w:val="18"/>
              </w:rPr>
              <w:t>methodological assessment of the impact and dependence of business on biodiversity and nature’s contributions to people</w:t>
            </w:r>
          </w:p>
        </w:tc>
        <w:tc>
          <w:tcPr>
            <w:tcW w:w="1292" w:type="dxa"/>
          </w:tcPr>
          <w:p w14:paraId="12B5383C"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7027DE78" w14:textId="77777777" w:rsidTr="00FF4978">
        <w:trPr>
          <w:trHeight w:val="57"/>
          <w:jc w:val="right"/>
        </w:trPr>
        <w:tc>
          <w:tcPr>
            <w:tcW w:w="1684" w:type="dxa"/>
            <w:hideMark/>
          </w:tcPr>
          <w:p w14:paraId="6DCE295D"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IPBES/8/INF/8</w:t>
            </w:r>
          </w:p>
        </w:tc>
        <w:tc>
          <w:tcPr>
            <w:tcW w:w="5331" w:type="dxa"/>
          </w:tcPr>
          <w:p w14:paraId="1915D7C3" w14:textId="77777777" w:rsidR="000F7401" w:rsidRPr="00076FE0" w:rsidRDefault="000F7401" w:rsidP="00105603">
            <w:pPr>
              <w:pStyle w:val="Normal-pool"/>
              <w:spacing w:before="40" w:after="40"/>
              <w:rPr>
                <w:sz w:val="18"/>
                <w:szCs w:val="18"/>
                <w:lang w:eastAsia="en-GB"/>
              </w:rPr>
            </w:pPr>
            <w:r w:rsidRPr="00076FE0">
              <w:rPr>
                <w:sz w:val="18"/>
                <w:szCs w:val="18"/>
              </w:rPr>
              <w:t>Information related to the guide on the production of assessments</w:t>
            </w:r>
          </w:p>
        </w:tc>
        <w:tc>
          <w:tcPr>
            <w:tcW w:w="1292" w:type="dxa"/>
          </w:tcPr>
          <w:p w14:paraId="76031ACB"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5E5234F6" w14:textId="77777777" w:rsidTr="00FF4978">
        <w:trPr>
          <w:trHeight w:val="57"/>
          <w:jc w:val="right"/>
        </w:trPr>
        <w:tc>
          <w:tcPr>
            <w:tcW w:w="1684" w:type="dxa"/>
            <w:hideMark/>
          </w:tcPr>
          <w:p w14:paraId="448EA43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IPBES/8/INF/9</w:t>
            </w:r>
          </w:p>
        </w:tc>
        <w:tc>
          <w:tcPr>
            <w:tcW w:w="5331" w:type="dxa"/>
          </w:tcPr>
          <w:p w14:paraId="2F3DDCB8"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work related to building capacity</w:t>
            </w:r>
          </w:p>
        </w:tc>
        <w:tc>
          <w:tcPr>
            <w:tcW w:w="1292" w:type="dxa"/>
          </w:tcPr>
          <w:p w14:paraId="73494E6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6FE8151C" w14:textId="77777777" w:rsidTr="00FF4978">
        <w:trPr>
          <w:trHeight w:val="57"/>
          <w:jc w:val="right"/>
        </w:trPr>
        <w:tc>
          <w:tcPr>
            <w:tcW w:w="1684" w:type="dxa"/>
            <w:hideMark/>
          </w:tcPr>
          <w:p w14:paraId="12C6B65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IPBES/8/INF/10</w:t>
            </w:r>
          </w:p>
        </w:tc>
        <w:tc>
          <w:tcPr>
            <w:tcW w:w="5331" w:type="dxa"/>
          </w:tcPr>
          <w:p w14:paraId="6C4DA31B" w14:textId="4A87B1CB" w:rsidR="000F7401" w:rsidRPr="00076FE0" w:rsidRDefault="000F7401" w:rsidP="00105603">
            <w:pPr>
              <w:pStyle w:val="Normal-pool"/>
              <w:spacing w:before="40" w:after="40"/>
              <w:rPr>
                <w:sz w:val="18"/>
                <w:szCs w:val="18"/>
                <w:lang w:eastAsia="en-GB"/>
              </w:rPr>
            </w:pPr>
            <w:r w:rsidRPr="00076FE0">
              <w:rPr>
                <w:sz w:val="18"/>
                <w:szCs w:val="18"/>
                <w:lang w:eastAsia="en-GB"/>
              </w:rPr>
              <w:t xml:space="preserve">Information on </w:t>
            </w:r>
            <w:r w:rsidR="00DB36EF" w:rsidRPr="00076FE0">
              <w:rPr>
                <w:sz w:val="18"/>
                <w:szCs w:val="18"/>
                <w:lang w:eastAsia="en-GB"/>
              </w:rPr>
              <w:t>enhanced recognition of and work with indigenous and local knowledge systems</w:t>
            </w:r>
          </w:p>
        </w:tc>
        <w:tc>
          <w:tcPr>
            <w:tcW w:w="1292" w:type="dxa"/>
          </w:tcPr>
          <w:p w14:paraId="797746E7"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61FE5B61" w14:textId="77777777" w:rsidTr="00FF4978">
        <w:trPr>
          <w:trHeight w:val="57"/>
          <w:jc w:val="right"/>
        </w:trPr>
        <w:tc>
          <w:tcPr>
            <w:tcW w:w="1684" w:type="dxa"/>
            <w:hideMark/>
          </w:tcPr>
          <w:p w14:paraId="357EC37E"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IPBES/8/INF/11</w:t>
            </w:r>
          </w:p>
        </w:tc>
        <w:tc>
          <w:tcPr>
            <w:tcW w:w="5331" w:type="dxa"/>
          </w:tcPr>
          <w:p w14:paraId="5B1E770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advanced work on knowledge and data</w:t>
            </w:r>
          </w:p>
        </w:tc>
        <w:tc>
          <w:tcPr>
            <w:tcW w:w="1292" w:type="dxa"/>
          </w:tcPr>
          <w:p w14:paraId="3AC9924D"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42AE909C" w14:textId="77777777" w:rsidTr="00FF4978">
        <w:trPr>
          <w:trHeight w:val="57"/>
          <w:jc w:val="right"/>
        </w:trPr>
        <w:tc>
          <w:tcPr>
            <w:tcW w:w="1684" w:type="dxa"/>
          </w:tcPr>
          <w:p w14:paraId="7604760C"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IPBES/8/INF/12</w:t>
            </w:r>
          </w:p>
        </w:tc>
        <w:tc>
          <w:tcPr>
            <w:tcW w:w="5331" w:type="dxa"/>
          </w:tcPr>
          <w:p w14:paraId="2431941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 data management policy</w:t>
            </w:r>
          </w:p>
        </w:tc>
        <w:tc>
          <w:tcPr>
            <w:tcW w:w="1292" w:type="dxa"/>
          </w:tcPr>
          <w:p w14:paraId="1D0ACEDC"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7826C4E0" w14:textId="77777777" w:rsidTr="00FF4978">
        <w:trPr>
          <w:trHeight w:val="57"/>
          <w:jc w:val="right"/>
        </w:trPr>
        <w:tc>
          <w:tcPr>
            <w:tcW w:w="1684" w:type="dxa"/>
          </w:tcPr>
          <w:p w14:paraId="3DEE7D79"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IPBES/8/INF/13</w:t>
            </w:r>
          </w:p>
        </w:tc>
        <w:tc>
          <w:tcPr>
            <w:tcW w:w="5331" w:type="dxa"/>
          </w:tcPr>
          <w:p w14:paraId="01506BC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advanced work on policy instruments, policy support tools and methodologies</w:t>
            </w:r>
          </w:p>
        </w:tc>
        <w:tc>
          <w:tcPr>
            <w:tcW w:w="1292" w:type="dxa"/>
          </w:tcPr>
          <w:p w14:paraId="05430BC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25E242A1" w14:textId="77777777" w:rsidTr="00FF4978">
        <w:trPr>
          <w:trHeight w:val="57"/>
          <w:jc w:val="right"/>
        </w:trPr>
        <w:tc>
          <w:tcPr>
            <w:tcW w:w="1684" w:type="dxa"/>
          </w:tcPr>
          <w:p w14:paraId="025BC1F1"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IPBES/8/INF/14</w:t>
            </w:r>
          </w:p>
        </w:tc>
        <w:tc>
          <w:tcPr>
            <w:tcW w:w="5331" w:type="dxa"/>
          </w:tcPr>
          <w:p w14:paraId="152BF8D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advanced work on scenarios and models of biodiversity and ecosystem functions and services</w:t>
            </w:r>
          </w:p>
        </w:tc>
        <w:tc>
          <w:tcPr>
            <w:tcW w:w="1292" w:type="dxa"/>
          </w:tcPr>
          <w:p w14:paraId="52F54198" w14:textId="77777777" w:rsidR="000F7401" w:rsidRPr="00076FE0" w:rsidRDefault="000F7401" w:rsidP="00105603">
            <w:pPr>
              <w:pStyle w:val="Normal-pool"/>
              <w:spacing w:before="40" w:after="40"/>
              <w:rPr>
                <w:sz w:val="18"/>
                <w:szCs w:val="18"/>
                <w:lang w:eastAsia="en-GB"/>
              </w:rPr>
            </w:pPr>
            <w:r w:rsidRPr="00076FE0">
              <w:rPr>
                <w:sz w:val="18"/>
                <w:szCs w:val="18"/>
                <w:lang w:eastAsia="en-GB"/>
              </w:rPr>
              <w:t>8</w:t>
            </w:r>
          </w:p>
        </w:tc>
      </w:tr>
      <w:tr w:rsidR="000F7401" w:rsidRPr="00076FE0" w14:paraId="5ABA1345" w14:textId="77777777" w:rsidTr="00FF4978">
        <w:trPr>
          <w:trHeight w:val="57"/>
          <w:jc w:val="right"/>
        </w:trPr>
        <w:tc>
          <w:tcPr>
            <w:tcW w:w="1684" w:type="dxa"/>
          </w:tcPr>
          <w:p w14:paraId="7422EF3B"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IPBES/8/INF/15</w:t>
            </w:r>
          </w:p>
        </w:tc>
        <w:tc>
          <w:tcPr>
            <w:tcW w:w="5331" w:type="dxa"/>
          </w:tcPr>
          <w:p w14:paraId="7B4094FA" w14:textId="77777777" w:rsidR="000F7401" w:rsidRPr="00076FE0" w:rsidRDefault="000F7401" w:rsidP="00105603">
            <w:pPr>
              <w:pStyle w:val="Normal-pool"/>
              <w:keepNext/>
              <w:keepLines/>
              <w:spacing w:before="40" w:after="40"/>
              <w:rPr>
                <w:sz w:val="18"/>
                <w:szCs w:val="18"/>
                <w:lang w:eastAsia="en-GB"/>
              </w:rPr>
            </w:pPr>
            <w:r w:rsidRPr="00076FE0">
              <w:rPr>
                <w:sz w:val="18"/>
                <w:szCs w:val="18"/>
                <w:lang w:eastAsia="en-GB"/>
              </w:rPr>
              <w:t>Information on strengthened communication</w:t>
            </w:r>
          </w:p>
        </w:tc>
        <w:tc>
          <w:tcPr>
            <w:tcW w:w="1292" w:type="dxa"/>
          </w:tcPr>
          <w:p w14:paraId="77A04669"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72C3E2E8" w14:textId="77777777" w:rsidTr="00FF4978">
        <w:trPr>
          <w:trHeight w:val="57"/>
          <w:jc w:val="right"/>
        </w:trPr>
        <w:tc>
          <w:tcPr>
            <w:tcW w:w="1684" w:type="dxa"/>
          </w:tcPr>
          <w:p w14:paraId="2F8211E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IPBES/8/INF/16</w:t>
            </w:r>
          </w:p>
        </w:tc>
        <w:tc>
          <w:tcPr>
            <w:tcW w:w="5331" w:type="dxa"/>
          </w:tcPr>
          <w:p w14:paraId="2BF5FB4D" w14:textId="77777777" w:rsidR="000F7401" w:rsidRPr="00076FE0" w:rsidRDefault="000F7401" w:rsidP="00105603">
            <w:pPr>
              <w:pStyle w:val="Normal-pool"/>
              <w:keepNext/>
              <w:keepLines/>
              <w:spacing w:before="40" w:after="40"/>
              <w:rPr>
                <w:sz w:val="18"/>
                <w:szCs w:val="18"/>
                <w:lang w:eastAsia="en-GB"/>
              </w:rPr>
            </w:pPr>
            <w:r w:rsidRPr="00076FE0">
              <w:rPr>
                <w:sz w:val="18"/>
                <w:szCs w:val="18"/>
                <w:lang w:eastAsia="en-GB"/>
              </w:rPr>
              <w:t>Information on strengthened engagement of stakeholders: Implementation of the stakeholder engagement strategy</w:t>
            </w:r>
          </w:p>
        </w:tc>
        <w:tc>
          <w:tcPr>
            <w:tcW w:w="1292" w:type="dxa"/>
          </w:tcPr>
          <w:p w14:paraId="16B682C8"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7A5D1B7A" w14:textId="77777777" w:rsidTr="00FF4978">
        <w:trPr>
          <w:trHeight w:val="57"/>
          <w:jc w:val="right"/>
        </w:trPr>
        <w:tc>
          <w:tcPr>
            <w:tcW w:w="1684" w:type="dxa"/>
          </w:tcPr>
          <w:p w14:paraId="5FE4DD9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IPBES/8/INF/17</w:t>
            </w:r>
          </w:p>
        </w:tc>
        <w:tc>
          <w:tcPr>
            <w:tcW w:w="5331" w:type="dxa"/>
          </w:tcPr>
          <w:p w14:paraId="6A158E58" w14:textId="77777777" w:rsidR="000F7401" w:rsidRPr="00076FE0" w:rsidRDefault="000F7401" w:rsidP="00105603">
            <w:pPr>
              <w:pStyle w:val="Normal-pool"/>
              <w:keepNext/>
              <w:keepLines/>
              <w:spacing w:before="40" w:after="40"/>
              <w:rPr>
                <w:sz w:val="18"/>
                <w:szCs w:val="18"/>
                <w:lang w:eastAsia="en-GB"/>
              </w:rPr>
            </w:pPr>
            <w:r w:rsidRPr="00076FE0">
              <w:rPr>
                <w:sz w:val="18"/>
                <w:szCs w:val="18"/>
                <w:lang w:eastAsia="en-GB"/>
              </w:rPr>
              <w:t>Procedure for the recognition of open-ended networks of stakeholders by IPBES</w:t>
            </w:r>
          </w:p>
        </w:tc>
        <w:tc>
          <w:tcPr>
            <w:tcW w:w="1292" w:type="dxa"/>
          </w:tcPr>
          <w:p w14:paraId="5802B16A"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68B756A7" w14:textId="77777777" w:rsidTr="00FF4978">
        <w:trPr>
          <w:trHeight w:val="57"/>
          <w:jc w:val="right"/>
        </w:trPr>
        <w:tc>
          <w:tcPr>
            <w:tcW w:w="1684" w:type="dxa"/>
          </w:tcPr>
          <w:p w14:paraId="60F40DB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IPBES/8/INF/18</w:t>
            </w:r>
          </w:p>
        </w:tc>
        <w:tc>
          <w:tcPr>
            <w:tcW w:w="5331" w:type="dxa"/>
          </w:tcPr>
          <w:p w14:paraId="0DBEB24C"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Information on strengthened engagement of stakeholders: Collaboration and partnerships</w:t>
            </w:r>
          </w:p>
        </w:tc>
        <w:tc>
          <w:tcPr>
            <w:tcW w:w="1292" w:type="dxa"/>
          </w:tcPr>
          <w:p w14:paraId="67CAC368"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7132F878" w14:textId="77777777" w:rsidTr="00FF4978">
        <w:trPr>
          <w:trHeight w:val="57"/>
          <w:jc w:val="right"/>
        </w:trPr>
        <w:tc>
          <w:tcPr>
            <w:tcW w:w="1684" w:type="dxa"/>
          </w:tcPr>
          <w:p w14:paraId="5C8437C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IPBES/8/INF/19</w:t>
            </w:r>
          </w:p>
        </w:tc>
        <w:tc>
          <w:tcPr>
            <w:tcW w:w="5331" w:type="dxa"/>
          </w:tcPr>
          <w:p w14:paraId="575BE751"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Implementation of the conflict-of-interest policy for the Intergovernmental Science-Policy Platform on Biodiversity and Ecosystem Services</w:t>
            </w:r>
          </w:p>
        </w:tc>
        <w:tc>
          <w:tcPr>
            <w:tcW w:w="1292" w:type="dxa"/>
          </w:tcPr>
          <w:p w14:paraId="7BC5E018" w14:textId="77777777" w:rsidR="000F7401" w:rsidRPr="00076FE0" w:rsidRDefault="000F7401" w:rsidP="00105603">
            <w:pPr>
              <w:pStyle w:val="Normal-pool"/>
              <w:spacing w:before="40" w:after="40"/>
              <w:rPr>
                <w:sz w:val="18"/>
                <w:szCs w:val="18"/>
                <w:lang w:eastAsia="en-GB"/>
              </w:rPr>
            </w:pPr>
            <w:r w:rsidRPr="00076FE0">
              <w:rPr>
                <w:sz w:val="18"/>
                <w:szCs w:val="18"/>
                <w:lang w:eastAsia="en-GB"/>
              </w:rPr>
              <w:t>5</w:t>
            </w:r>
          </w:p>
        </w:tc>
      </w:tr>
      <w:tr w:rsidR="000F7401" w:rsidRPr="00076FE0" w14:paraId="0A662941" w14:textId="77777777" w:rsidTr="00FF4978">
        <w:trPr>
          <w:trHeight w:val="57"/>
          <w:jc w:val="right"/>
        </w:trPr>
        <w:tc>
          <w:tcPr>
            <w:tcW w:w="1684" w:type="dxa"/>
          </w:tcPr>
          <w:p w14:paraId="4B73084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IPBES/8/INF/20</w:t>
            </w:r>
          </w:p>
        </w:tc>
        <w:tc>
          <w:tcPr>
            <w:tcW w:w="5331" w:type="dxa"/>
          </w:tcPr>
          <w:p w14:paraId="17109EC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Report on the IPBES/IPCC co-sponsored workshop on biodiversity and climate change</w:t>
            </w:r>
          </w:p>
        </w:tc>
        <w:tc>
          <w:tcPr>
            <w:tcW w:w="1292" w:type="dxa"/>
          </w:tcPr>
          <w:p w14:paraId="73A7E0C0" w14:textId="77777777" w:rsidR="000F7401" w:rsidRPr="00076FE0" w:rsidRDefault="000F7401" w:rsidP="00105603">
            <w:pPr>
              <w:pStyle w:val="Normal-pool"/>
              <w:spacing w:before="40" w:after="40"/>
              <w:rPr>
                <w:sz w:val="18"/>
                <w:szCs w:val="18"/>
                <w:lang w:eastAsia="en-GB"/>
              </w:rPr>
            </w:pPr>
            <w:r w:rsidRPr="00076FE0">
              <w:rPr>
                <w:sz w:val="18"/>
                <w:szCs w:val="18"/>
                <w:lang w:eastAsia="en-GB"/>
              </w:rPr>
              <w:t>7 (c)</w:t>
            </w:r>
          </w:p>
        </w:tc>
      </w:tr>
      <w:tr w:rsidR="000F7401" w:rsidRPr="00076FE0" w14:paraId="766FCB69" w14:textId="77777777" w:rsidTr="00FF4978">
        <w:trPr>
          <w:trHeight w:val="57"/>
          <w:jc w:val="right"/>
        </w:trPr>
        <w:tc>
          <w:tcPr>
            <w:tcW w:w="1684" w:type="dxa"/>
          </w:tcPr>
          <w:p w14:paraId="0C494DB3"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IPBES/8/INF/21</w:t>
            </w:r>
          </w:p>
        </w:tc>
        <w:tc>
          <w:tcPr>
            <w:tcW w:w="5331" w:type="dxa"/>
          </w:tcPr>
          <w:p w14:paraId="73369082" w14:textId="77777777" w:rsidR="000F7401" w:rsidRPr="00076FE0" w:rsidRDefault="000F7401" w:rsidP="00105603">
            <w:pPr>
              <w:pStyle w:val="Normal-pool"/>
              <w:spacing w:before="40" w:after="40"/>
              <w:rPr>
                <w:sz w:val="18"/>
                <w:szCs w:val="18"/>
                <w:lang w:eastAsia="en-GB"/>
              </w:rPr>
            </w:pPr>
            <w:r w:rsidRPr="00076FE0">
              <w:rPr>
                <w:sz w:val="18"/>
                <w:szCs w:val="18"/>
                <w:lang w:eastAsia="en-GB"/>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0F52CC2E" w14:textId="77777777" w:rsidR="000F7401" w:rsidRPr="00076FE0" w:rsidRDefault="000F7401" w:rsidP="00105603">
            <w:pPr>
              <w:pStyle w:val="Normal-pool"/>
              <w:spacing w:before="40" w:after="40"/>
              <w:rPr>
                <w:sz w:val="18"/>
                <w:szCs w:val="18"/>
                <w:lang w:eastAsia="en-GB"/>
              </w:rPr>
            </w:pPr>
            <w:r w:rsidRPr="00076FE0">
              <w:rPr>
                <w:sz w:val="18"/>
                <w:szCs w:val="18"/>
                <w:lang w:eastAsia="en-GB"/>
              </w:rPr>
              <w:t>9</w:t>
            </w:r>
          </w:p>
        </w:tc>
      </w:tr>
      <w:tr w:rsidR="000F7401" w:rsidRPr="00076FE0" w14:paraId="67CA8646" w14:textId="77777777" w:rsidTr="00FF4978">
        <w:trPr>
          <w:trHeight w:val="57"/>
          <w:jc w:val="right"/>
        </w:trPr>
        <w:tc>
          <w:tcPr>
            <w:tcW w:w="1684" w:type="dxa"/>
          </w:tcPr>
          <w:p w14:paraId="39DB7F05"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IPBES/8/INF/22</w:t>
            </w:r>
          </w:p>
        </w:tc>
        <w:tc>
          <w:tcPr>
            <w:tcW w:w="5331" w:type="dxa"/>
          </w:tcPr>
          <w:p w14:paraId="34A4B0AB" w14:textId="77777777" w:rsidR="000F7401" w:rsidRPr="00076FE0" w:rsidRDefault="000F7401" w:rsidP="00105603">
            <w:pPr>
              <w:pStyle w:val="Normal-pool"/>
              <w:spacing w:before="40" w:after="40"/>
              <w:rPr>
                <w:sz w:val="18"/>
                <w:szCs w:val="18"/>
                <w:lang w:eastAsia="en-GB"/>
              </w:rPr>
            </w:pPr>
            <w:r w:rsidRPr="00076FE0">
              <w:rPr>
                <w:sz w:val="18"/>
                <w:szCs w:val="18"/>
                <w:lang w:eastAsia="en-GB"/>
              </w:rPr>
              <w:t>Implementation of the roles of the Bureau and the Multidisciplinary Expert Panel in practice</w:t>
            </w:r>
          </w:p>
        </w:tc>
        <w:tc>
          <w:tcPr>
            <w:tcW w:w="1292" w:type="dxa"/>
          </w:tcPr>
          <w:p w14:paraId="2D1A5F66" w14:textId="77777777" w:rsidR="000F7401" w:rsidRPr="00076FE0" w:rsidRDefault="000F7401" w:rsidP="00105603">
            <w:pPr>
              <w:pStyle w:val="Normal-pool"/>
              <w:spacing w:before="40" w:after="40"/>
              <w:rPr>
                <w:sz w:val="18"/>
                <w:szCs w:val="18"/>
                <w:lang w:eastAsia="en-GB"/>
              </w:rPr>
            </w:pPr>
            <w:r w:rsidRPr="00076FE0">
              <w:rPr>
                <w:sz w:val="18"/>
                <w:szCs w:val="18"/>
                <w:lang w:eastAsia="en-GB"/>
              </w:rPr>
              <w:t>9</w:t>
            </w:r>
          </w:p>
        </w:tc>
      </w:tr>
      <w:tr w:rsidR="00BA75B2" w:rsidRPr="00076FE0" w14:paraId="23D20164" w14:textId="77777777" w:rsidTr="00BA75B2">
        <w:trPr>
          <w:trHeight w:val="57"/>
          <w:jc w:val="right"/>
        </w:trPr>
        <w:tc>
          <w:tcPr>
            <w:tcW w:w="1684" w:type="dxa"/>
          </w:tcPr>
          <w:p w14:paraId="6CCE62AA" w14:textId="50C60FD6" w:rsidR="00BA75B2" w:rsidRPr="00076FE0" w:rsidRDefault="00BA75B2" w:rsidP="00BA75B2">
            <w:pPr>
              <w:pStyle w:val="Normal-pool"/>
              <w:spacing w:before="40" w:after="40"/>
              <w:rPr>
                <w:sz w:val="18"/>
                <w:szCs w:val="18"/>
                <w:lang w:eastAsia="en-GB"/>
              </w:rPr>
            </w:pPr>
            <w:r w:rsidRPr="00076FE0">
              <w:rPr>
                <w:sz w:val="18"/>
                <w:szCs w:val="18"/>
                <w:lang w:eastAsia="en-GB"/>
              </w:rPr>
              <w:t>IPBES/8/INF/23</w:t>
            </w:r>
          </w:p>
        </w:tc>
        <w:tc>
          <w:tcPr>
            <w:tcW w:w="5331" w:type="dxa"/>
          </w:tcPr>
          <w:p w14:paraId="44AC0CC4" w14:textId="595A5D75" w:rsidR="00BA75B2" w:rsidRPr="00076FE0" w:rsidRDefault="00BA75B2" w:rsidP="00BA75B2">
            <w:pPr>
              <w:pStyle w:val="Normal-pool"/>
              <w:spacing w:before="40" w:after="40"/>
              <w:rPr>
                <w:sz w:val="18"/>
                <w:szCs w:val="18"/>
                <w:lang w:eastAsia="en-GB"/>
              </w:rPr>
            </w:pPr>
            <w:r w:rsidRPr="00076FE0">
              <w:rPr>
                <w:sz w:val="18"/>
                <w:szCs w:val="18"/>
                <w:lang w:eastAsia="en-GB"/>
              </w:rPr>
              <w:t>Progress report on the United Nations collaborative partnership arrangement</w:t>
            </w:r>
          </w:p>
        </w:tc>
        <w:tc>
          <w:tcPr>
            <w:tcW w:w="1292" w:type="dxa"/>
          </w:tcPr>
          <w:p w14:paraId="1772A288" w14:textId="7AC02DBD" w:rsidR="00BA75B2" w:rsidRPr="00076FE0" w:rsidRDefault="00BA75B2" w:rsidP="00BA75B2">
            <w:pPr>
              <w:pStyle w:val="Normal-pool"/>
              <w:spacing w:before="40" w:after="40"/>
              <w:rPr>
                <w:sz w:val="18"/>
                <w:szCs w:val="18"/>
                <w:lang w:eastAsia="en-GB"/>
              </w:rPr>
            </w:pPr>
            <w:r w:rsidRPr="00076FE0">
              <w:rPr>
                <w:sz w:val="18"/>
                <w:szCs w:val="18"/>
                <w:lang w:eastAsia="en-GB"/>
              </w:rPr>
              <w:t>11</w:t>
            </w:r>
          </w:p>
        </w:tc>
      </w:tr>
      <w:tr w:rsidR="00BA75B2" w:rsidRPr="00076FE0" w14:paraId="1F81DBF1" w14:textId="77777777" w:rsidTr="00FF4978">
        <w:trPr>
          <w:trHeight w:val="57"/>
          <w:jc w:val="right"/>
        </w:trPr>
        <w:tc>
          <w:tcPr>
            <w:tcW w:w="1684" w:type="dxa"/>
            <w:tcBorders>
              <w:bottom w:val="single" w:sz="12" w:space="0" w:color="auto"/>
            </w:tcBorders>
          </w:tcPr>
          <w:p w14:paraId="5F8E0A70" w14:textId="64EC650E" w:rsidR="00BA75B2" w:rsidRPr="00076FE0" w:rsidRDefault="00BA75B2" w:rsidP="00BA75B2">
            <w:pPr>
              <w:pStyle w:val="Normal-pool"/>
              <w:spacing w:before="40" w:after="40"/>
              <w:rPr>
                <w:sz w:val="18"/>
                <w:szCs w:val="18"/>
                <w:lang w:eastAsia="en-GB"/>
              </w:rPr>
            </w:pPr>
            <w:r w:rsidRPr="00076FE0">
              <w:rPr>
                <w:sz w:val="18"/>
                <w:szCs w:val="18"/>
                <w:lang w:eastAsia="en-GB"/>
              </w:rPr>
              <w:t>IPBES/8/INF/24</w:t>
            </w:r>
          </w:p>
        </w:tc>
        <w:tc>
          <w:tcPr>
            <w:tcW w:w="5331" w:type="dxa"/>
            <w:tcBorders>
              <w:bottom w:val="single" w:sz="12" w:space="0" w:color="auto"/>
            </w:tcBorders>
          </w:tcPr>
          <w:p w14:paraId="673350D0" w14:textId="52BC8878" w:rsidR="00BA75B2" w:rsidRPr="00076FE0" w:rsidRDefault="00BA75B2" w:rsidP="00BA75B2">
            <w:pPr>
              <w:pStyle w:val="Normal-pool"/>
              <w:spacing w:before="40" w:after="40"/>
              <w:rPr>
                <w:sz w:val="18"/>
                <w:szCs w:val="18"/>
                <w:lang w:eastAsia="en-GB"/>
              </w:rPr>
            </w:pPr>
            <w:r w:rsidRPr="00076FE0">
              <w:rPr>
                <w:sz w:val="18"/>
                <w:szCs w:val="18"/>
                <w:lang w:eastAsia="en-GB"/>
              </w:rPr>
              <w:t xml:space="preserve">Financial and budgetary arrangements for the Platform: </w:t>
            </w:r>
            <w:r w:rsidR="007C0225" w:rsidRPr="00076FE0">
              <w:rPr>
                <w:sz w:val="18"/>
                <w:szCs w:val="18"/>
                <w:lang w:eastAsia="en-GB"/>
              </w:rPr>
              <w:t>d</w:t>
            </w:r>
            <w:r w:rsidRPr="00076FE0">
              <w:rPr>
                <w:sz w:val="18"/>
                <w:szCs w:val="18"/>
                <w:lang w:eastAsia="en-GB"/>
              </w:rPr>
              <w:t xml:space="preserve">etailed cost of </w:t>
            </w:r>
            <w:r w:rsidR="001E00F0" w:rsidRPr="00076FE0">
              <w:rPr>
                <w:sz w:val="18"/>
                <w:szCs w:val="18"/>
                <w:lang w:eastAsia="en-GB"/>
              </w:rPr>
              <w:t>the implementation</w:t>
            </w:r>
            <w:r w:rsidRPr="00076FE0">
              <w:rPr>
                <w:sz w:val="18"/>
                <w:szCs w:val="18"/>
                <w:lang w:eastAsia="en-GB"/>
              </w:rPr>
              <w:t xml:space="preserve"> of the work programme</w:t>
            </w:r>
          </w:p>
        </w:tc>
        <w:tc>
          <w:tcPr>
            <w:tcW w:w="1292" w:type="dxa"/>
            <w:tcBorders>
              <w:bottom w:val="single" w:sz="12" w:space="0" w:color="auto"/>
            </w:tcBorders>
          </w:tcPr>
          <w:p w14:paraId="36B02B82" w14:textId="0C0E28C6" w:rsidR="00BA75B2" w:rsidRPr="00076FE0" w:rsidRDefault="00BA75B2" w:rsidP="00BA75B2">
            <w:pPr>
              <w:pStyle w:val="Normal-pool"/>
              <w:spacing w:before="40" w:after="40"/>
              <w:rPr>
                <w:sz w:val="18"/>
                <w:szCs w:val="18"/>
                <w:lang w:eastAsia="en-GB"/>
              </w:rPr>
            </w:pPr>
            <w:r w:rsidRPr="00076FE0">
              <w:rPr>
                <w:sz w:val="18"/>
                <w:szCs w:val="18"/>
                <w:lang w:eastAsia="en-GB"/>
              </w:rPr>
              <w:t>6</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076FE0" w14:paraId="0770DEB9" w14:textId="77777777" w:rsidTr="0023517A">
        <w:tc>
          <w:tcPr>
            <w:tcW w:w="1897" w:type="dxa"/>
          </w:tcPr>
          <w:p w14:paraId="3B625ADE" w14:textId="77777777" w:rsidR="00FC1138" w:rsidRPr="00076FE0" w:rsidRDefault="00FC1138" w:rsidP="007E5C67">
            <w:pPr>
              <w:pStyle w:val="Normal-pool"/>
              <w:spacing w:before="300"/>
              <w:rPr>
                <w:lang w:val="en-GB"/>
              </w:rPr>
            </w:pPr>
          </w:p>
        </w:tc>
        <w:tc>
          <w:tcPr>
            <w:tcW w:w="1897" w:type="dxa"/>
          </w:tcPr>
          <w:p w14:paraId="4744B7E9" w14:textId="77777777" w:rsidR="00FC1138" w:rsidRPr="00076FE0" w:rsidRDefault="00FC1138" w:rsidP="007E5C67">
            <w:pPr>
              <w:pStyle w:val="Normal-pool"/>
              <w:spacing w:before="300"/>
              <w:rPr>
                <w:lang w:val="en-GB"/>
              </w:rPr>
            </w:pPr>
          </w:p>
        </w:tc>
        <w:tc>
          <w:tcPr>
            <w:tcW w:w="1897" w:type="dxa"/>
            <w:tcBorders>
              <w:bottom w:val="single" w:sz="4" w:space="0" w:color="auto"/>
            </w:tcBorders>
          </w:tcPr>
          <w:p w14:paraId="32504781" w14:textId="77777777" w:rsidR="00FC1138" w:rsidRPr="00076FE0" w:rsidRDefault="00FC1138" w:rsidP="007E5C67">
            <w:pPr>
              <w:pStyle w:val="Normal-pool"/>
              <w:spacing w:before="300"/>
              <w:rPr>
                <w:lang w:val="en-GB"/>
              </w:rPr>
            </w:pPr>
          </w:p>
        </w:tc>
        <w:tc>
          <w:tcPr>
            <w:tcW w:w="1897" w:type="dxa"/>
          </w:tcPr>
          <w:p w14:paraId="4CD3DBE1" w14:textId="77777777" w:rsidR="00FC1138" w:rsidRPr="00076FE0" w:rsidRDefault="00FC1138" w:rsidP="007E5C67">
            <w:pPr>
              <w:pStyle w:val="Normal-pool"/>
              <w:spacing w:before="300"/>
              <w:rPr>
                <w:lang w:val="en-GB"/>
              </w:rPr>
            </w:pPr>
          </w:p>
        </w:tc>
        <w:tc>
          <w:tcPr>
            <w:tcW w:w="1898" w:type="dxa"/>
          </w:tcPr>
          <w:p w14:paraId="76A73388" w14:textId="77777777" w:rsidR="00FC1138" w:rsidRPr="00076FE0" w:rsidRDefault="00FC1138" w:rsidP="007E5C67">
            <w:pPr>
              <w:pStyle w:val="Normal-pool"/>
              <w:spacing w:before="300"/>
              <w:rPr>
                <w:lang w:val="en-GB"/>
              </w:rPr>
            </w:pPr>
          </w:p>
        </w:tc>
      </w:tr>
    </w:tbl>
    <w:p w14:paraId="385A29B3" w14:textId="77777777" w:rsidR="00FC1138" w:rsidRPr="00076FE0" w:rsidRDefault="00FC1138" w:rsidP="00FC1138">
      <w:pPr>
        <w:pStyle w:val="Normal-pool"/>
      </w:pPr>
    </w:p>
    <w:sectPr w:rsidR="00FC1138" w:rsidRPr="00076FE0" w:rsidSect="00105603">
      <w:headerReference w:type="even" r:id="rId29"/>
      <w:headerReference w:type="default" r:id="rId30"/>
      <w:footerReference w:type="even" r:id="rId31"/>
      <w:foot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240D" w16cex:dateUtc="2021-05-05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9662" w14:textId="77777777" w:rsidR="00D56028" w:rsidRDefault="00D56028">
      <w:r>
        <w:separator/>
      </w:r>
    </w:p>
  </w:endnote>
  <w:endnote w:type="continuationSeparator" w:id="0">
    <w:p w14:paraId="5637BEAD" w14:textId="77777777" w:rsidR="00D56028" w:rsidRDefault="00D56028">
      <w:r>
        <w:continuationSeparator/>
      </w:r>
    </w:p>
  </w:endnote>
  <w:endnote w:type="continuationNotice" w:id="1">
    <w:p w14:paraId="567738EB" w14:textId="77777777" w:rsidR="00D56028" w:rsidRDefault="00D56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noProof/>
      </w:rPr>
    </w:sdtEndPr>
    <w:sdtContent>
      <w:p w14:paraId="7C15D066" w14:textId="77777777" w:rsidR="00532467" w:rsidRPr="00E458E5" w:rsidRDefault="00532467" w:rsidP="000F7401">
        <w:pPr>
          <w:pStyle w:val="Footer-pool"/>
        </w:pPr>
        <w:r w:rsidRPr="00E458E5">
          <w:fldChar w:fldCharType="begin"/>
        </w:r>
        <w:r w:rsidRPr="00E458E5">
          <w:instrText xml:space="preserve"> PAGE   \* MERGEFORMAT </w:instrText>
        </w:r>
        <w:r w:rsidRPr="00E458E5">
          <w:fldChar w:fldCharType="separate"/>
        </w:r>
        <w:r>
          <w:rPr>
            <w:noProof/>
          </w:rPr>
          <w:t>6</w:t>
        </w:r>
        <w:r w:rsidRPr="00E458E5">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66564"/>
      <w:docPartObj>
        <w:docPartGallery w:val="Page Numbers (Bottom of Page)"/>
        <w:docPartUnique/>
      </w:docPartObj>
    </w:sdtPr>
    <w:sdtEndPr>
      <w:rPr>
        <w:noProof/>
      </w:rPr>
    </w:sdtEndPr>
    <w:sdtContent>
      <w:p w14:paraId="2C1DAFB0" w14:textId="69BA16D7" w:rsidR="00532467" w:rsidRPr="00330DB4" w:rsidRDefault="00532467" w:rsidP="00330DB4">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noProof/>
      </w:rPr>
    </w:sdtEndPr>
    <w:sdtContent>
      <w:p w14:paraId="5F876346" w14:textId="77777777" w:rsidR="00532467" w:rsidRPr="00E458E5" w:rsidRDefault="00532467" w:rsidP="000F7401">
        <w:pPr>
          <w:pStyle w:val="Footer-pool"/>
          <w:jc w:val="right"/>
        </w:pPr>
        <w:r w:rsidRPr="00E458E5">
          <w:fldChar w:fldCharType="begin"/>
        </w:r>
        <w:r w:rsidRPr="00E458E5">
          <w:instrText xml:space="preserve"> PAGE   \* MERGEFORMAT </w:instrText>
        </w:r>
        <w:r w:rsidRPr="00E458E5">
          <w:fldChar w:fldCharType="separate"/>
        </w:r>
        <w:r>
          <w:rPr>
            <w:noProof/>
          </w:rPr>
          <w:t>5</w:t>
        </w:r>
        <w:r w:rsidRPr="00E458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7305" w14:textId="7A443FCB" w:rsidR="00532467" w:rsidRDefault="00532467" w:rsidP="000F7401">
    <w:pPr>
      <w:pStyle w:val="Normal-pool"/>
    </w:pPr>
    <w:r>
      <w:t>K2100874</w:t>
    </w:r>
    <w:r>
      <w:tab/>
    </w:r>
    <w:r w:rsidR="00496476">
      <w:t>0</w:t>
    </w:r>
    <w:r w:rsidR="00737AC6">
      <w:t>7</w:t>
    </w:r>
    <w:r w:rsidR="00496476">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C40F" w14:textId="77777777" w:rsidR="00532467" w:rsidRPr="00E64404" w:rsidRDefault="00532467" w:rsidP="00416BE9">
    <w:pPr>
      <w:pStyle w:val="Footer-pool"/>
      <w:rPr>
        <w:rStyle w:val="Normal-poolChar"/>
        <w:rFonts w:eastAsia="MS Mincho"/>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Pr>
        <w:rStyle w:val="PageNumber"/>
        <w:b/>
        <w:noProof/>
      </w:rPr>
      <w:t>8</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42DC" w14:textId="77777777" w:rsidR="00532467" w:rsidRDefault="0053246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98AFB43" w14:textId="77777777" w:rsidR="00532467" w:rsidRDefault="0053246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3221CE0B" w14:textId="77777777" w:rsidR="00532467" w:rsidRDefault="00532467" w:rsidP="00416BE9">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7FC93142" w14:textId="77777777" w:rsidR="00532467" w:rsidRDefault="00532467" w:rsidP="00416BE9">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5192"/>
      <w:docPartObj>
        <w:docPartGallery w:val="Page Numbers (Bottom of Page)"/>
        <w:docPartUnique/>
      </w:docPartObj>
    </w:sdtPr>
    <w:sdtEndPr>
      <w:rPr>
        <w:noProof/>
      </w:rPr>
    </w:sdtEndPr>
    <w:sdtContent>
      <w:p w14:paraId="3F1560D9" w14:textId="11F47EFD" w:rsidR="00532467" w:rsidRPr="00407DBA" w:rsidRDefault="00532467" w:rsidP="00407DBA">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42101"/>
      <w:docPartObj>
        <w:docPartGallery w:val="Page Numbers (Bottom of Page)"/>
        <w:docPartUnique/>
      </w:docPartObj>
    </w:sdtPr>
    <w:sdtEndPr>
      <w:rPr>
        <w:noProof/>
      </w:rPr>
    </w:sdtEndPr>
    <w:sdtContent>
      <w:p w14:paraId="25F36185" w14:textId="50166817" w:rsidR="00532467" w:rsidRPr="00407DBA" w:rsidRDefault="00532467" w:rsidP="00407DBA">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6BB9" w14:textId="77777777" w:rsidR="00D56028" w:rsidRPr="008E340B" w:rsidRDefault="00D56028" w:rsidP="002E3B1A">
      <w:pPr>
        <w:pStyle w:val="Normal-pool"/>
        <w:spacing w:before="60"/>
        <w:ind w:left="624"/>
        <w:rPr>
          <w:sz w:val="18"/>
          <w:szCs w:val="18"/>
        </w:rPr>
      </w:pPr>
      <w:r w:rsidRPr="008E340B">
        <w:rPr>
          <w:sz w:val="18"/>
          <w:szCs w:val="18"/>
        </w:rPr>
        <w:separator/>
      </w:r>
    </w:p>
  </w:footnote>
  <w:footnote w:type="continuationSeparator" w:id="0">
    <w:p w14:paraId="22273CDB" w14:textId="77777777" w:rsidR="00D56028" w:rsidRDefault="00D56028">
      <w:r>
        <w:continuationSeparator/>
      </w:r>
    </w:p>
  </w:footnote>
  <w:footnote w:type="continuationNotice" w:id="1">
    <w:p w14:paraId="4A13450F" w14:textId="77777777" w:rsidR="00D56028" w:rsidRDefault="00D56028">
      <w:pPr>
        <w:spacing w:after="0" w:line="240" w:lineRule="auto"/>
      </w:pPr>
    </w:p>
  </w:footnote>
  <w:footnote w:id="2">
    <w:p w14:paraId="28C39037" w14:textId="77777777" w:rsidR="00532467" w:rsidRPr="00FF4978" w:rsidRDefault="00532467" w:rsidP="002E3B1A">
      <w:pPr>
        <w:pStyle w:val="Normal-pool"/>
        <w:spacing w:before="20" w:after="40"/>
        <w:ind w:left="1247"/>
        <w:rPr>
          <w:sz w:val="18"/>
          <w:szCs w:val="18"/>
        </w:rPr>
      </w:pPr>
      <w:r w:rsidRPr="00265115">
        <w:rPr>
          <w:rStyle w:val="FootnoteReference"/>
          <w:sz w:val="18"/>
          <w:vertAlign w:val="baseline"/>
        </w:rPr>
        <w:t>*</w:t>
      </w:r>
      <w:r w:rsidRPr="00265115">
        <w:rPr>
          <w:sz w:val="18"/>
          <w:szCs w:val="18"/>
        </w:rPr>
        <w:t xml:space="preserve"> IPBES/8/1.</w:t>
      </w:r>
    </w:p>
  </w:footnote>
  <w:footnote w:id="3">
    <w:p w14:paraId="36E7AAB5" w14:textId="78F0EBB2" w:rsidR="00532467" w:rsidRPr="00FF4978" w:rsidRDefault="00532467" w:rsidP="00FF4978">
      <w:pPr>
        <w:pStyle w:val="FootnoteText"/>
        <w:tabs>
          <w:tab w:val="left" w:pos="624"/>
        </w:tabs>
        <w:rPr>
          <w:szCs w:val="18"/>
          <w:lang w:val="en-GB"/>
        </w:rPr>
      </w:pPr>
      <w:r w:rsidRPr="00FF4978">
        <w:rPr>
          <w:rStyle w:val="FootnoteReference"/>
          <w:sz w:val="18"/>
          <w:lang w:val="en-GB"/>
        </w:rPr>
        <w:footnoteRef/>
      </w:r>
      <w:r w:rsidRPr="00FF4978">
        <w:rPr>
          <w:szCs w:val="18"/>
          <w:lang w:val="en-GB"/>
        </w:rPr>
        <w:t xml:space="preserve"> All times mentioned are CEST (UTC + 2).</w:t>
      </w:r>
    </w:p>
  </w:footnote>
  <w:footnote w:id="4">
    <w:p w14:paraId="466D488A" w14:textId="3F3E84B8" w:rsidR="00532467" w:rsidRPr="00FF4978" w:rsidRDefault="00532467" w:rsidP="00FF4978">
      <w:pPr>
        <w:pStyle w:val="FootnoteText"/>
        <w:tabs>
          <w:tab w:val="left" w:pos="624"/>
        </w:tabs>
        <w:rPr>
          <w:szCs w:val="18"/>
          <w:lang w:val="en-GB"/>
        </w:rPr>
      </w:pPr>
      <w:r w:rsidRPr="00FF4978">
        <w:rPr>
          <w:rStyle w:val="FootnoteReference"/>
          <w:sz w:val="18"/>
          <w:lang w:val="en-GB"/>
        </w:rPr>
        <w:footnoteRef/>
      </w:r>
      <w:r w:rsidRPr="00FF4978">
        <w:rPr>
          <w:szCs w:val="18"/>
          <w:lang w:val="en-GB"/>
        </w:rPr>
        <w:t xml:space="preserve"> All times are CEST (UTC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67E4" w14:textId="20C1F61F" w:rsidR="00532467" w:rsidRDefault="00532467" w:rsidP="00416BE9">
    <w:pPr>
      <w:pStyle w:val="Header-pool"/>
    </w:pPr>
    <w:r w:rsidRPr="00CF0B9D">
      <w:t>IPBES/</w:t>
    </w:r>
    <w:r>
      <w:rPr>
        <w:lang w:eastAsia="ja-JP"/>
      </w:rPr>
      <w:t>8</w:t>
    </w:r>
    <w:r w:rsidRPr="00CF0B9D">
      <w:rPr>
        <w:lang w:eastAsia="ja-JP"/>
      </w:rPr>
      <w:t>/1</w:t>
    </w:r>
    <w:r>
      <w:rPr>
        <w:lang w:eastAsia="ja-JP"/>
      </w:rPr>
      <w:t>/</w:t>
    </w:r>
    <w:r w:rsidRPr="00CF0B9D">
      <w:rPr>
        <w:lang w:eastAsia="ja-JP"/>
      </w:rP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37FB5C0" w:rsidR="00532467" w:rsidRPr="00330DB4" w:rsidRDefault="00532467" w:rsidP="00330DB4">
    <w:pPr>
      <w:pStyle w:val="Header-pool"/>
    </w:pPr>
    <w:r w:rsidRPr="008B1FE3">
      <w:t>IPBES/</w:t>
    </w:r>
    <w:r>
      <w:rPr>
        <w:lang w:eastAsia="ja-JP"/>
      </w:rPr>
      <w:t>8</w:t>
    </w:r>
    <w:r w:rsidRPr="008B1FE3">
      <w:rPr>
        <w:lang w:eastAsia="ja-JP"/>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156C6F94" w:rsidR="00532467" w:rsidRPr="008520C8" w:rsidRDefault="00532467" w:rsidP="00407DBA">
    <w:pPr>
      <w:pStyle w:val="Header-pool"/>
      <w:jc w:val="right"/>
    </w:pPr>
    <w:r>
      <w:t>IPBES/8/xx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A88B" w14:textId="222D6B72" w:rsidR="00532467" w:rsidRDefault="00532467" w:rsidP="00330DB4">
    <w:pPr>
      <w:pStyle w:val="Header-pool"/>
      <w:jc w:val="right"/>
    </w:pPr>
    <w:r w:rsidRPr="008B1FE3">
      <w:t>IPBES/</w:t>
    </w:r>
    <w:r>
      <w:rPr>
        <w:lang w:eastAsia="ja-JP"/>
      </w:rPr>
      <w:t>8</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84B9" w14:textId="4C0BD3CF" w:rsidR="00532467" w:rsidRPr="008B1FE3" w:rsidRDefault="00532467" w:rsidP="00416BE9">
    <w:pPr>
      <w:pStyle w:val="Header-pool"/>
      <w:jc w:val="right"/>
    </w:pPr>
    <w:r w:rsidRPr="00C0058D">
      <w:t>IPBES/</w:t>
    </w:r>
    <w:r>
      <w:rPr>
        <w:lang w:eastAsia="ja-JP"/>
      </w:rPr>
      <w:t>8/1/Add.1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C551" w14:textId="73911AE7" w:rsidR="00532467" w:rsidRDefault="00532467" w:rsidP="00416BE9">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4FA" w14:textId="5BAC0DD8" w:rsidR="00532467" w:rsidRDefault="00532467" w:rsidP="00416BE9">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2158" w14:textId="729C0409" w:rsidR="00532467" w:rsidRPr="00494455" w:rsidRDefault="00532467" w:rsidP="00416BE9">
    <w:pPr>
      <w:pStyle w:val="Header"/>
      <w:jc w:val="right"/>
      <w:rPr>
        <w:szCs w:val="18"/>
      </w:rPr>
    </w:pPr>
    <w:r w:rsidRPr="00C0058D">
      <w:rPr>
        <w:szCs w:val="18"/>
      </w:rPr>
      <w:t>IPBES/</w:t>
    </w:r>
    <w:r>
      <w:rPr>
        <w:szCs w:val="18"/>
        <w:lang w:eastAsia="ja-JP"/>
      </w:rPr>
      <w:t>6/</w:t>
    </w:r>
    <w:r w:rsidRPr="0059580D">
      <w:rPr>
        <w:szCs w:val="18"/>
        <w:highlight w:val="yellow"/>
        <w:lang w:eastAsia="ja-JP"/>
      </w:rPr>
      <w:t>XX</w:t>
    </w:r>
  </w:p>
  <w:p w14:paraId="30810190" w14:textId="77777777" w:rsidR="00532467" w:rsidRDefault="0053246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9E88" w14:textId="7CC99026" w:rsidR="00532467" w:rsidRDefault="00532467" w:rsidP="00416BE9">
    <w:pPr>
      <w:pStyle w:val="Header-pool"/>
      <w:jc w:val="right"/>
    </w:pPr>
    <w:r w:rsidRPr="00CF0B9D">
      <w:t>IPBES/</w:t>
    </w:r>
    <w:r>
      <w:rPr>
        <w:lang w:eastAsia="ja-JP"/>
      </w:rPr>
      <w:t>8</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8320" w14:textId="3920BF91" w:rsidR="00532467" w:rsidRDefault="00532467" w:rsidP="00416BE9">
    <w:pPr>
      <w:pStyle w:val="Header-pool"/>
    </w:pPr>
    <w:r w:rsidRPr="008B1FE3">
      <w:t>IPBES/</w:t>
    </w:r>
    <w:r>
      <w:rPr>
        <w:lang w:eastAsia="ja-JP"/>
      </w:rPr>
      <w:t>8</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3ACE" w14:textId="3861FCD6" w:rsidR="00532467" w:rsidRDefault="00532467" w:rsidP="00416BE9">
    <w:pPr>
      <w:pStyle w:val="Header-pool"/>
      <w:jc w:val="right"/>
    </w:pPr>
    <w:r w:rsidRPr="008B1FE3">
      <w:t>IPBES/</w:t>
    </w:r>
    <w:r>
      <w:rPr>
        <w:lang w:eastAsia="ja-JP"/>
      </w:rPr>
      <w:t>8</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6D15" w14:textId="6653D50A" w:rsidR="00532467" w:rsidRDefault="00532467" w:rsidP="00330DB4">
    <w:pPr>
      <w:pStyle w:val="Header-pool"/>
    </w:pPr>
    <w:r w:rsidRPr="008B1FE3">
      <w:t>IPBES/</w:t>
    </w:r>
    <w:r>
      <w:rPr>
        <w:lang w:eastAsia="ja-JP"/>
      </w:rPr>
      <w:t>8</w:t>
    </w:r>
    <w:r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E61ECF8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CC5202E"/>
    <w:multiLevelType w:val="multilevel"/>
    <w:tmpl w:val="724069C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1"/>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1A49"/>
    <w:rsid w:val="00013001"/>
    <w:rsid w:val="00013746"/>
    <w:rsid w:val="000140D6"/>
    <w:rsid w:val="000149E6"/>
    <w:rsid w:val="0001582F"/>
    <w:rsid w:val="00017200"/>
    <w:rsid w:val="000232E6"/>
    <w:rsid w:val="000247B0"/>
    <w:rsid w:val="00026997"/>
    <w:rsid w:val="000278C7"/>
    <w:rsid w:val="0003188E"/>
    <w:rsid w:val="000328A6"/>
    <w:rsid w:val="00033CA9"/>
    <w:rsid w:val="00033E0B"/>
    <w:rsid w:val="00035E6B"/>
    <w:rsid w:val="00035EDE"/>
    <w:rsid w:val="0004530B"/>
    <w:rsid w:val="0004771A"/>
    <w:rsid w:val="000509B4"/>
    <w:rsid w:val="00051364"/>
    <w:rsid w:val="00051A9C"/>
    <w:rsid w:val="00053992"/>
    <w:rsid w:val="0005530D"/>
    <w:rsid w:val="0006035B"/>
    <w:rsid w:val="0006304E"/>
    <w:rsid w:val="00065148"/>
    <w:rsid w:val="000710F0"/>
    <w:rsid w:val="0007118B"/>
    <w:rsid w:val="00071886"/>
    <w:rsid w:val="00072BD8"/>
    <w:rsid w:val="00073928"/>
    <w:rsid w:val="000742BC"/>
    <w:rsid w:val="00075A16"/>
    <w:rsid w:val="00076FE0"/>
    <w:rsid w:val="0008069B"/>
    <w:rsid w:val="00081FB3"/>
    <w:rsid w:val="00082A0C"/>
    <w:rsid w:val="00083504"/>
    <w:rsid w:val="00085E23"/>
    <w:rsid w:val="00086A10"/>
    <w:rsid w:val="00094243"/>
    <w:rsid w:val="000956A3"/>
    <w:rsid w:val="0009640C"/>
    <w:rsid w:val="00096B23"/>
    <w:rsid w:val="000A146D"/>
    <w:rsid w:val="000A4CFF"/>
    <w:rsid w:val="000B0942"/>
    <w:rsid w:val="000B22A2"/>
    <w:rsid w:val="000B233F"/>
    <w:rsid w:val="000B77D5"/>
    <w:rsid w:val="000B7C23"/>
    <w:rsid w:val="000C22B3"/>
    <w:rsid w:val="000C2809"/>
    <w:rsid w:val="000C2A52"/>
    <w:rsid w:val="000D0241"/>
    <w:rsid w:val="000D33C0"/>
    <w:rsid w:val="000D6941"/>
    <w:rsid w:val="000F1B24"/>
    <w:rsid w:val="000F3AB7"/>
    <w:rsid w:val="000F45BD"/>
    <w:rsid w:val="000F484C"/>
    <w:rsid w:val="000F53CB"/>
    <w:rsid w:val="000F6E8E"/>
    <w:rsid w:val="000F7401"/>
    <w:rsid w:val="000F7E25"/>
    <w:rsid w:val="00101D6B"/>
    <w:rsid w:val="001036A6"/>
    <w:rsid w:val="00105603"/>
    <w:rsid w:val="00105686"/>
    <w:rsid w:val="0010728A"/>
    <w:rsid w:val="0010748A"/>
    <w:rsid w:val="0011071F"/>
    <w:rsid w:val="00111BE1"/>
    <w:rsid w:val="00111D66"/>
    <w:rsid w:val="001124F6"/>
    <w:rsid w:val="00115A54"/>
    <w:rsid w:val="0011664B"/>
    <w:rsid w:val="001202E3"/>
    <w:rsid w:val="00120711"/>
    <w:rsid w:val="001207A8"/>
    <w:rsid w:val="00120C90"/>
    <w:rsid w:val="00121C5E"/>
    <w:rsid w:val="00122051"/>
    <w:rsid w:val="00122CE8"/>
    <w:rsid w:val="00123699"/>
    <w:rsid w:val="00126FF9"/>
    <w:rsid w:val="0013059D"/>
    <w:rsid w:val="001339D1"/>
    <w:rsid w:val="00135B58"/>
    <w:rsid w:val="00137C36"/>
    <w:rsid w:val="00140369"/>
    <w:rsid w:val="00141910"/>
    <w:rsid w:val="00141A55"/>
    <w:rsid w:val="00143077"/>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A4421"/>
    <w:rsid w:val="001B1617"/>
    <w:rsid w:val="001B504B"/>
    <w:rsid w:val="001B62D5"/>
    <w:rsid w:val="001B636E"/>
    <w:rsid w:val="001B7586"/>
    <w:rsid w:val="001C0DFB"/>
    <w:rsid w:val="001C3E3F"/>
    <w:rsid w:val="001C41F6"/>
    <w:rsid w:val="001C43BD"/>
    <w:rsid w:val="001C462A"/>
    <w:rsid w:val="001C477B"/>
    <w:rsid w:val="001C6ED4"/>
    <w:rsid w:val="001D1BB2"/>
    <w:rsid w:val="001D265E"/>
    <w:rsid w:val="001D3874"/>
    <w:rsid w:val="001D7E75"/>
    <w:rsid w:val="001E00F0"/>
    <w:rsid w:val="001E1F18"/>
    <w:rsid w:val="001E3BBC"/>
    <w:rsid w:val="001E40DE"/>
    <w:rsid w:val="001E56D2"/>
    <w:rsid w:val="001E6476"/>
    <w:rsid w:val="001E6DB9"/>
    <w:rsid w:val="001E7C76"/>
    <w:rsid w:val="001E7D56"/>
    <w:rsid w:val="001F134D"/>
    <w:rsid w:val="001F5AE3"/>
    <w:rsid w:val="001F75DE"/>
    <w:rsid w:val="00200D58"/>
    <w:rsid w:val="002013BE"/>
    <w:rsid w:val="00201947"/>
    <w:rsid w:val="00201B03"/>
    <w:rsid w:val="002030D2"/>
    <w:rsid w:val="00205B4A"/>
    <w:rsid w:val="002063A4"/>
    <w:rsid w:val="002069EA"/>
    <w:rsid w:val="0021145B"/>
    <w:rsid w:val="0021458E"/>
    <w:rsid w:val="002146B9"/>
    <w:rsid w:val="00217178"/>
    <w:rsid w:val="00217BC4"/>
    <w:rsid w:val="002255A8"/>
    <w:rsid w:val="00227347"/>
    <w:rsid w:val="00233E65"/>
    <w:rsid w:val="0023517A"/>
    <w:rsid w:val="002369A9"/>
    <w:rsid w:val="00237E55"/>
    <w:rsid w:val="00243D36"/>
    <w:rsid w:val="0024638F"/>
    <w:rsid w:val="00246854"/>
    <w:rsid w:val="00247707"/>
    <w:rsid w:val="00247AA6"/>
    <w:rsid w:val="00250606"/>
    <w:rsid w:val="002534F8"/>
    <w:rsid w:val="00254044"/>
    <w:rsid w:val="00255F1B"/>
    <w:rsid w:val="0026018E"/>
    <w:rsid w:val="00262E3D"/>
    <w:rsid w:val="00264E7C"/>
    <w:rsid w:val="00265115"/>
    <w:rsid w:val="002653BA"/>
    <w:rsid w:val="00265D2A"/>
    <w:rsid w:val="0026656F"/>
    <w:rsid w:val="002761A9"/>
    <w:rsid w:val="00280581"/>
    <w:rsid w:val="002837D2"/>
    <w:rsid w:val="00284770"/>
    <w:rsid w:val="00284D53"/>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4732"/>
    <w:rsid w:val="002C533E"/>
    <w:rsid w:val="002C7D1D"/>
    <w:rsid w:val="002D027F"/>
    <w:rsid w:val="002D0937"/>
    <w:rsid w:val="002D0CF5"/>
    <w:rsid w:val="002D3F03"/>
    <w:rsid w:val="002D7A85"/>
    <w:rsid w:val="002D7B60"/>
    <w:rsid w:val="002E19D6"/>
    <w:rsid w:val="002E1A8D"/>
    <w:rsid w:val="002E2371"/>
    <w:rsid w:val="002E281D"/>
    <w:rsid w:val="002E32E9"/>
    <w:rsid w:val="002E364F"/>
    <w:rsid w:val="002E3B1A"/>
    <w:rsid w:val="002E3B3B"/>
    <w:rsid w:val="002E4F3F"/>
    <w:rsid w:val="002E7DC6"/>
    <w:rsid w:val="002F1AD2"/>
    <w:rsid w:val="002F1AE7"/>
    <w:rsid w:val="002F2006"/>
    <w:rsid w:val="002F2633"/>
    <w:rsid w:val="002F3AE1"/>
    <w:rsid w:val="002F4761"/>
    <w:rsid w:val="002F5C79"/>
    <w:rsid w:val="003019E2"/>
    <w:rsid w:val="00303337"/>
    <w:rsid w:val="00304376"/>
    <w:rsid w:val="00304948"/>
    <w:rsid w:val="00306862"/>
    <w:rsid w:val="0031228B"/>
    <w:rsid w:val="0031413F"/>
    <w:rsid w:val="00314727"/>
    <w:rsid w:val="003148BB"/>
    <w:rsid w:val="00314911"/>
    <w:rsid w:val="00317976"/>
    <w:rsid w:val="003234BE"/>
    <w:rsid w:val="0032445A"/>
    <w:rsid w:val="00330DB4"/>
    <w:rsid w:val="00333853"/>
    <w:rsid w:val="00335D88"/>
    <w:rsid w:val="00340280"/>
    <w:rsid w:val="003404B2"/>
    <w:rsid w:val="0034080D"/>
    <w:rsid w:val="003409EF"/>
    <w:rsid w:val="00342444"/>
    <w:rsid w:val="003442DB"/>
    <w:rsid w:val="00345569"/>
    <w:rsid w:val="00352A2A"/>
    <w:rsid w:val="00355EA9"/>
    <w:rsid w:val="003578DE"/>
    <w:rsid w:val="00360464"/>
    <w:rsid w:val="0036571D"/>
    <w:rsid w:val="00366EBE"/>
    <w:rsid w:val="003732D8"/>
    <w:rsid w:val="003734E0"/>
    <w:rsid w:val="00373A21"/>
    <w:rsid w:val="0037491D"/>
    <w:rsid w:val="0037782F"/>
    <w:rsid w:val="003805DB"/>
    <w:rsid w:val="00380F5E"/>
    <w:rsid w:val="0038333E"/>
    <w:rsid w:val="00385969"/>
    <w:rsid w:val="003872A4"/>
    <w:rsid w:val="0038742A"/>
    <w:rsid w:val="003924A7"/>
    <w:rsid w:val="00394A52"/>
    <w:rsid w:val="00396257"/>
    <w:rsid w:val="00396929"/>
    <w:rsid w:val="00397EB8"/>
    <w:rsid w:val="003A0940"/>
    <w:rsid w:val="003A426C"/>
    <w:rsid w:val="003A4FD0"/>
    <w:rsid w:val="003A5245"/>
    <w:rsid w:val="003A66BF"/>
    <w:rsid w:val="003A69D1"/>
    <w:rsid w:val="003A7705"/>
    <w:rsid w:val="003A77F1"/>
    <w:rsid w:val="003B1545"/>
    <w:rsid w:val="003B276A"/>
    <w:rsid w:val="003C409D"/>
    <w:rsid w:val="003C4ACB"/>
    <w:rsid w:val="003C5A14"/>
    <w:rsid w:val="003C5BA6"/>
    <w:rsid w:val="003C65E1"/>
    <w:rsid w:val="003C67EC"/>
    <w:rsid w:val="003C6ABD"/>
    <w:rsid w:val="003D2432"/>
    <w:rsid w:val="003E04E3"/>
    <w:rsid w:val="003E0EDA"/>
    <w:rsid w:val="003E51E1"/>
    <w:rsid w:val="003E53C3"/>
    <w:rsid w:val="003E57FD"/>
    <w:rsid w:val="003F0C27"/>
    <w:rsid w:val="003F0E85"/>
    <w:rsid w:val="003F4ECA"/>
    <w:rsid w:val="003F561B"/>
    <w:rsid w:val="003F6047"/>
    <w:rsid w:val="00400471"/>
    <w:rsid w:val="004027FA"/>
    <w:rsid w:val="00402EB3"/>
    <w:rsid w:val="00405D77"/>
    <w:rsid w:val="0040625A"/>
    <w:rsid w:val="00407DBA"/>
    <w:rsid w:val="00410098"/>
    <w:rsid w:val="004100EA"/>
    <w:rsid w:val="00410C55"/>
    <w:rsid w:val="00413239"/>
    <w:rsid w:val="00413ADD"/>
    <w:rsid w:val="00415145"/>
    <w:rsid w:val="00416854"/>
    <w:rsid w:val="00416BE9"/>
    <w:rsid w:val="00417725"/>
    <w:rsid w:val="00424992"/>
    <w:rsid w:val="00424A9E"/>
    <w:rsid w:val="00431621"/>
    <w:rsid w:val="004335EC"/>
    <w:rsid w:val="00433BDB"/>
    <w:rsid w:val="00435662"/>
    <w:rsid w:val="00437B82"/>
    <w:rsid w:val="00437F26"/>
    <w:rsid w:val="004432F8"/>
    <w:rsid w:val="00444097"/>
    <w:rsid w:val="00444287"/>
    <w:rsid w:val="00444FD7"/>
    <w:rsid w:val="00445487"/>
    <w:rsid w:val="00446553"/>
    <w:rsid w:val="004509A1"/>
    <w:rsid w:val="00454769"/>
    <w:rsid w:val="004640B0"/>
    <w:rsid w:val="004647D2"/>
    <w:rsid w:val="00466991"/>
    <w:rsid w:val="0047064C"/>
    <w:rsid w:val="00471270"/>
    <w:rsid w:val="00473F1F"/>
    <w:rsid w:val="004774FF"/>
    <w:rsid w:val="004868B8"/>
    <w:rsid w:val="00490B35"/>
    <w:rsid w:val="00491D1C"/>
    <w:rsid w:val="00496476"/>
    <w:rsid w:val="004A032B"/>
    <w:rsid w:val="004A0FE9"/>
    <w:rsid w:val="004A177A"/>
    <w:rsid w:val="004A1A72"/>
    <w:rsid w:val="004A276F"/>
    <w:rsid w:val="004A345B"/>
    <w:rsid w:val="004A42E1"/>
    <w:rsid w:val="004A56B8"/>
    <w:rsid w:val="004B094C"/>
    <w:rsid w:val="004B162C"/>
    <w:rsid w:val="004B2401"/>
    <w:rsid w:val="004B505B"/>
    <w:rsid w:val="004B57C7"/>
    <w:rsid w:val="004B68FF"/>
    <w:rsid w:val="004C0870"/>
    <w:rsid w:val="004C10B0"/>
    <w:rsid w:val="004C2AED"/>
    <w:rsid w:val="004C3DBE"/>
    <w:rsid w:val="004C44F2"/>
    <w:rsid w:val="004C5C96"/>
    <w:rsid w:val="004D06A4"/>
    <w:rsid w:val="004D2773"/>
    <w:rsid w:val="004D60F2"/>
    <w:rsid w:val="004D7FD6"/>
    <w:rsid w:val="004F1A81"/>
    <w:rsid w:val="004F5670"/>
    <w:rsid w:val="004F5678"/>
    <w:rsid w:val="004F5D44"/>
    <w:rsid w:val="00500143"/>
    <w:rsid w:val="00500AAE"/>
    <w:rsid w:val="0050337B"/>
    <w:rsid w:val="00503F35"/>
    <w:rsid w:val="0050550B"/>
    <w:rsid w:val="00505EB5"/>
    <w:rsid w:val="005074E3"/>
    <w:rsid w:val="005102AE"/>
    <w:rsid w:val="0051220F"/>
    <w:rsid w:val="00512B6E"/>
    <w:rsid w:val="0051306C"/>
    <w:rsid w:val="00513654"/>
    <w:rsid w:val="005140C4"/>
    <w:rsid w:val="00517857"/>
    <w:rsid w:val="005218D9"/>
    <w:rsid w:val="005240EF"/>
    <w:rsid w:val="00525443"/>
    <w:rsid w:val="00527A78"/>
    <w:rsid w:val="00527B09"/>
    <w:rsid w:val="00527F80"/>
    <w:rsid w:val="00531443"/>
    <w:rsid w:val="00532467"/>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1E8"/>
    <w:rsid w:val="00566C86"/>
    <w:rsid w:val="00567A02"/>
    <w:rsid w:val="0057021E"/>
    <w:rsid w:val="00572FF5"/>
    <w:rsid w:val="0057315F"/>
    <w:rsid w:val="00576104"/>
    <w:rsid w:val="00577605"/>
    <w:rsid w:val="00581457"/>
    <w:rsid w:val="00581ABC"/>
    <w:rsid w:val="0058489B"/>
    <w:rsid w:val="005856D2"/>
    <w:rsid w:val="005858D0"/>
    <w:rsid w:val="005871D4"/>
    <w:rsid w:val="00591406"/>
    <w:rsid w:val="005928D1"/>
    <w:rsid w:val="00592D62"/>
    <w:rsid w:val="00595C1F"/>
    <w:rsid w:val="005A0AD1"/>
    <w:rsid w:val="005A1727"/>
    <w:rsid w:val="005A1B89"/>
    <w:rsid w:val="005B0DEE"/>
    <w:rsid w:val="005B253A"/>
    <w:rsid w:val="005B5A0D"/>
    <w:rsid w:val="005C0AFC"/>
    <w:rsid w:val="005C67C8"/>
    <w:rsid w:val="005D0249"/>
    <w:rsid w:val="005D1027"/>
    <w:rsid w:val="005D6E8C"/>
    <w:rsid w:val="005E1FE2"/>
    <w:rsid w:val="005E20B2"/>
    <w:rsid w:val="005E33E1"/>
    <w:rsid w:val="005E775D"/>
    <w:rsid w:val="005F04BD"/>
    <w:rsid w:val="005F066E"/>
    <w:rsid w:val="005F06C5"/>
    <w:rsid w:val="005F100C"/>
    <w:rsid w:val="005F68DA"/>
    <w:rsid w:val="00600686"/>
    <w:rsid w:val="00600A22"/>
    <w:rsid w:val="0060281F"/>
    <w:rsid w:val="006039BC"/>
    <w:rsid w:val="0060773B"/>
    <w:rsid w:val="006103AC"/>
    <w:rsid w:val="00614465"/>
    <w:rsid w:val="00615597"/>
    <w:rsid w:val="006157B5"/>
    <w:rsid w:val="0061664A"/>
    <w:rsid w:val="006169C8"/>
    <w:rsid w:val="00616EBB"/>
    <w:rsid w:val="00620592"/>
    <w:rsid w:val="00622167"/>
    <w:rsid w:val="00623423"/>
    <w:rsid w:val="00623FA3"/>
    <w:rsid w:val="0062430E"/>
    <w:rsid w:val="00626024"/>
    <w:rsid w:val="006263AE"/>
    <w:rsid w:val="00626FC6"/>
    <w:rsid w:val="00627A39"/>
    <w:rsid w:val="006303B4"/>
    <w:rsid w:val="006318D0"/>
    <w:rsid w:val="0063309C"/>
    <w:rsid w:val="00633CF7"/>
    <w:rsid w:val="00633D3D"/>
    <w:rsid w:val="006348A6"/>
    <w:rsid w:val="00634A53"/>
    <w:rsid w:val="00636AB9"/>
    <w:rsid w:val="00641703"/>
    <w:rsid w:val="006431A6"/>
    <w:rsid w:val="006451EE"/>
    <w:rsid w:val="006459F6"/>
    <w:rsid w:val="006501AD"/>
    <w:rsid w:val="00650361"/>
    <w:rsid w:val="006513C8"/>
    <w:rsid w:val="00651BFA"/>
    <w:rsid w:val="00651EF8"/>
    <w:rsid w:val="00654475"/>
    <w:rsid w:val="006552A2"/>
    <w:rsid w:val="00657A61"/>
    <w:rsid w:val="0066093D"/>
    <w:rsid w:val="00661A50"/>
    <w:rsid w:val="006625CF"/>
    <w:rsid w:val="00663561"/>
    <w:rsid w:val="00665A4B"/>
    <w:rsid w:val="00665D0A"/>
    <w:rsid w:val="00667CE4"/>
    <w:rsid w:val="006744B2"/>
    <w:rsid w:val="00674D0B"/>
    <w:rsid w:val="0067580B"/>
    <w:rsid w:val="00676210"/>
    <w:rsid w:val="006767D3"/>
    <w:rsid w:val="0068303F"/>
    <w:rsid w:val="00684BC4"/>
    <w:rsid w:val="00692E2A"/>
    <w:rsid w:val="006943A8"/>
    <w:rsid w:val="0069482B"/>
    <w:rsid w:val="00696317"/>
    <w:rsid w:val="006A3340"/>
    <w:rsid w:val="006A5370"/>
    <w:rsid w:val="006A5DEE"/>
    <w:rsid w:val="006A76F2"/>
    <w:rsid w:val="006B164F"/>
    <w:rsid w:val="006C10B1"/>
    <w:rsid w:val="006C21EC"/>
    <w:rsid w:val="006C3EAE"/>
    <w:rsid w:val="006C441F"/>
    <w:rsid w:val="006C5665"/>
    <w:rsid w:val="006D7EFB"/>
    <w:rsid w:val="006E24EC"/>
    <w:rsid w:val="006E2544"/>
    <w:rsid w:val="006E54C2"/>
    <w:rsid w:val="006E6672"/>
    <w:rsid w:val="006E6722"/>
    <w:rsid w:val="006F0854"/>
    <w:rsid w:val="006F188E"/>
    <w:rsid w:val="006F2773"/>
    <w:rsid w:val="006F7CEF"/>
    <w:rsid w:val="00701DB8"/>
    <w:rsid w:val="007027B9"/>
    <w:rsid w:val="00706EED"/>
    <w:rsid w:val="007114EE"/>
    <w:rsid w:val="00715E88"/>
    <w:rsid w:val="00721848"/>
    <w:rsid w:val="0072350F"/>
    <w:rsid w:val="0072413C"/>
    <w:rsid w:val="00726546"/>
    <w:rsid w:val="00727BC1"/>
    <w:rsid w:val="0073003A"/>
    <w:rsid w:val="007322BD"/>
    <w:rsid w:val="00732949"/>
    <w:rsid w:val="00734CAA"/>
    <w:rsid w:val="00737AC6"/>
    <w:rsid w:val="007418EA"/>
    <w:rsid w:val="00743785"/>
    <w:rsid w:val="007454AF"/>
    <w:rsid w:val="0074576D"/>
    <w:rsid w:val="00746D05"/>
    <w:rsid w:val="007476C3"/>
    <w:rsid w:val="00752C8C"/>
    <w:rsid w:val="007538EE"/>
    <w:rsid w:val="0075533C"/>
    <w:rsid w:val="007554EA"/>
    <w:rsid w:val="0075562A"/>
    <w:rsid w:val="00756B25"/>
    <w:rsid w:val="00756B2D"/>
    <w:rsid w:val="00757581"/>
    <w:rsid w:val="007611A0"/>
    <w:rsid w:val="00761C3B"/>
    <w:rsid w:val="007637BF"/>
    <w:rsid w:val="00764A22"/>
    <w:rsid w:val="0076578F"/>
    <w:rsid w:val="00766FC6"/>
    <w:rsid w:val="00774907"/>
    <w:rsid w:val="007756D9"/>
    <w:rsid w:val="00777061"/>
    <w:rsid w:val="007770B4"/>
    <w:rsid w:val="00777477"/>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211"/>
    <w:rsid w:val="007A7A50"/>
    <w:rsid w:val="007A7CB0"/>
    <w:rsid w:val="007B0A24"/>
    <w:rsid w:val="007B3A07"/>
    <w:rsid w:val="007B48FD"/>
    <w:rsid w:val="007B68A3"/>
    <w:rsid w:val="007C0225"/>
    <w:rsid w:val="007C055E"/>
    <w:rsid w:val="007C2541"/>
    <w:rsid w:val="007C5215"/>
    <w:rsid w:val="007C6F41"/>
    <w:rsid w:val="007C7D99"/>
    <w:rsid w:val="007D6383"/>
    <w:rsid w:val="007D66A8"/>
    <w:rsid w:val="007E003F"/>
    <w:rsid w:val="007E0B2C"/>
    <w:rsid w:val="007E26D6"/>
    <w:rsid w:val="007E31B4"/>
    <w:rsid w:val="007E5C26"/>
    <w:rsid w:val="007E5C67"/>
    <w:rsid w:val="007E718A"/>
    <w:rsid w:val="007F2AC9"/>
    <w:rsid w:val="007F2D8D"/>
    <w:rsid w:val="007F4F77"/>
    <w:rsid w:val="0080032C"/>
    <w:rsid w:val="00802756"/>
    <w:rsid w:val="0080712E"/>
    <w:rsid w:val="0081058C"/>
    <w:rsid w:val="00811C68"/>
    <w:rsid w:val="00811CB1"/>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3804"/>
    <w:rsid w:val="00855D9C"/>
    <w:rsid w:val="00855F33"/>
    <w:rsid w:val="0085746B"/>
    <w:rsid w:val="00861A0D"/>
    <w:rsid w:val="00865A27"/>
    <w:rsid w:val="00867BFF"/>
    <w:rsid w:val="00871729"/>
    <w:rsid w:val="00873CBF"/>
    <w:rsid w:val="00873D90"/>
    <w:rsid w:val="00874059"/>
    <w:rsid w:val="00875CDC"/>
    <w:rsid w:val="008800DA"/>
    <w:rsid w:val="00882A2C"/>
    <w:rsid w:val="0088480A"/>
    <w:rsid w:val="00885BA4"/>
    <w:rsid w:val="00886752"/>
    <w:rsid w:val="0088757A"/>
    <w:rsid w:val="00890C57"/>
    <w:rsid w:val="008918FF"/>
    <w:rsid w:val="008925F2"/>
    <w:rsid w:val="00892FB3"/>
    <w:rsid w:val="0089343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E7735"/>
    <w:rsid w:val="008F0079"/>
    <w:rsid w:val="008F42BA"/>
    <w:rsid w:val="008F5905"/>
    <w:rsid w:val="008F68CE"/>
    <w:rsid w:val="00901D9C"/>
    <w:rsid w:val="009021BD"/>
    <w:rsid w:val="00903512"/>
    <w:rsid w:val="00917054"/>
    <w:rsid w:val="0092178C"/>
    <w:rsid w:val="0092574B"/>
    <w:rsid w:val="00925D83"/>
    <w:rsid w:val="00930B88"/>
    <w:rsid w:val="00933AC1"/>
    <w:rsid w:val="00934F7F"/>
    <w:rsid w:val="00936099"/>
    <w:rsid w:val="009369C6"/>
    <w:rsid w:val="00940DCC"/>
    <w:rsid w:val="0094179A"/>
    <w:rsid w:val="009434DF"/>
    <w:rsid w:val="0094459E"/>
    <w:rsid w:val="00944A85"/>
    <w:rsid w:val="00944DBC"/>
    <w:rsid w:val="0094649C"/>
    <w:rsid w:val="00947035"/>
    <w:rsid w:val="00947E03"/>
    <w:rsid w:val="00950908"/>
    <w:rsid w:val="00950977"/>
    <w:rsid w:val="00951A7B"/>
    <w:rsid w:val="009564A6"/>
    <w:rsid w:val="009642B5"/>
    <w:rsid w:val="00967621"/>
    <w:rsid w:val="00967E6A"/>
    <w:rsid w:val="009718D9"/>
    <w:rsid w:val="00971A42"/>
    <w:rsid w:val="00972FB1"/>
    <w:rsid w:val="009761A8"/>
    <w:rsid w:val="00976AF0"/>
    <w:rsid w:val="009821A7"/>
    <w:rsid w:val="00983619"/>
    <w:rsid w:val="00983D1E"/>
    <w:rsid w:val="00990470"/>
    <w:rsid w:val="00990F34"/>
    <w:rsid w:val="00993832"/>
    <w:rsid w:val="00994ADE"/>
    <w:rsid w:val="009A48FF"/>
    <w:rsid w:val="009B0A18"/>
    <w:rsid w:val="009B0B83"/>
    <w:rsid w:val="009B423E"/>
    <w:rsid w:val="009B4293"/>
    <w:rsid w:val="009B4A0F"/>
    <w:rsid w:val="009B5900"/>
    <w:rsid w:val="009C0596"/>
    <w:rsid w:val="009C11D2"/>
    <w:rsid w:val="009C1565"/>
    <w:rsid w:val="009C267A"/>
    <w:rsid w:val="009C3D85"/>
    <w:rsid w:val="009C4CB1"/>
    <w:rsid w:val="009C6C70"/>
    <w:rsid w:val="009C7AFF"/>
    <w:rsid w:val="009D07D1"/>
    <w:rsid w:val="009D0815"/>
    <w:rsid w:val="009D0B63"/>
    <w:rsid w:val="009D2ED3"/>
    <w:rsid w:val="009D4FDE"/>
    <w:rsid w:val="009E08B9"/>
    <w:rsid w:val="009E095C"/>
    <w:rsid w:val="009E307E"/>
    <w:rsid w:val="009F188E"/>
    <w:rsid w:val="009F4C98"/>
    <w:rsid w:val="009F58E4"/>
    <w:rsid w:val="009F7011"/>
    <w:rsid w:val="009F7E87"/>
    <w:rsid w:val="00A00327"/>
    <w:rsid w:val="00A003D4"/>
    <w:rsid w:val="00A00BD5"/>
    <w:rsid w:val="00A01A4F"/>
    <w:rsid w:val="00A01A99"/>
    <w:rsid w:val="00A0212E"/>
    <w:rsid w:val="00A02CF6"/>
    <w:rsid w:val="00A02DE6"/>
    <w:rsid w:val="00A03486"/>
    <w:rsid w:val="00A0467A"/>
    <w:rsid w:val="00A04ABF"/>
    <w:rsid w:val="00A07870"/>
    <w:rsid w:val="00A07E13"/>
    <w:rsid w:val="00A07F19"/>
    <w:rsid w:val="00A133F1"/>
    <w:rsid w:val="00A1348D"/>
    <w:rsid w:val="00A135C2"/>
    <w:rsid w:val="00A1448F"/>
    <w:rsid w:val="00A16A5D"/>
    <w:rsid w:val="00A16DD3"/>
    <w:rsid w:val="00A218C9"/>
    <w:rsid w:val="00A225A7"/>
    <w:rsid w:val="00A232EE"/>
    <w:rsid w:val="00A31818"/>
    <w:rsid w:val="00A3181A"/>
    <w:rsid w:val="00A32884"/>
    <w:rsid w:val="00A34745"/>
    <w:rsid w:val="00A40FC9"/>
    <w:rsid w:val="00A4175F"/>
    <w:rsid w:val="00A44411"/>
    <w:rsid w:val="00A4527C"/>
    <w:rsid w:val="00A45E17"/>
    <w:rsid w:val="00A469FA"/>
    <w:rsid w:val="00A47813"/>
    <w:rsid w:val="00A5120B"/>
    <w:rsid w:val="00A51A0C"/>
    <w:rsid w:val="00A534FF"/>
    <w:rsid w:val="00A54F27"/>
    <w:rsid w:val="00A55B01"/>
    <w:rsid w:val="00A56B5B"/>
    <w:rsid w:val="00A571F3"/>
    <w:rsid w:val="00A603FF"/>
    <w:rsid w:val="00A60D1F"/>
    <w:rsid w:val="00A620C0"/>
    <w:rsid w:val="00A653CB"/>
    <w:rsid w:val="00A657DD"/>
    <w:rsid w:val="00A666A6"/>
    <w:rsid w:val="00A675FD"/>
    <w:rsid w:val="00A71823"/>
    <w:rsid w:val="00A719FA"/>
    <w:rsid w:val="00A71BBD"/>
    <w:rsid w:val="00A71DA8"/>
    <w:rsid w:val="00A72437"/>
    <w:rsid w:val="00A73C3E"/>
    <w:rsid w:val="00A7428A"/>
    <w:rsid w:val="00A742A5"/>
    <w:rsid w:val="00A74DDA"/>
    <w:rsid w:val="00A80611"/>
    <w:rsid w:val="00A82514"/>
    <w:rsid w:val="00A843FD"/>
    <w:rsid w:val="00A92CD0"/>
    <w:rsid w:val="00A934E1"/>
    <w:rsid w:val="00A96DC9"/>
    <w:rsid w:val="00A97E27"/>
    <w:rsid w:val="00AA06E3"/>
    <w:rsid w:val="00AA20D6"/>
    <w:rsid w:val="00AA2C13"/>
    <w:rsid w:val="00AA4688"/>
    <w:rsid w:val="00AA5645"/>
    <w:rsid w:val="00AA76AB"/>
    <w:rsid w:val="00AB3735"/>
    <w:rsid w:val="00AB5340"/>
    <w:rsid w:val="00AB7EC7"/>
    <w:rsid w:val="00AC0A89"/>
    <w:rsid w:val="00AC1073"/>
    <w:rsid w:val="00AC2651"/>
    <w:rsid w:val="00AC29AD"/>
    <w:rsid w:val="00AC7C96"/>
    <w:rsid w:val="00AD04F9"/>
    <w:rsid w:val="00AD0D47"/>
    <w:rsid w:val="00AD28D1"/>
    <w:rsid w:val="00AE2101"/>
    <w:rsid w:val="00AE237D"/>
    <w:rsid w:val="00AE3288"/>
    <w:rsid w:val="00AE4BF8"/>
    <w:rsid w:val="00AE502A"/>
    <w:rsid w:val="00AE7AE1"/>
    <w:rsid w:val="00AF127B"/>
    <w:rsid w:val="00AF1B79"/>
    <w:rsid w:val="00AF2335"/>
    <w:rsid w:val="00AF3FBC"/>
    <w:rsid w:val="00AF6281"/>
    <w:rsid w:val="00AF7C07"/>
    <w:rsid w:val="00B0214D"/>
    <w:rsid w:val="00B05D7B"/>
    <w:rsid w:val="00B05D9D"/>
    <w:rsid w:val="00B10467"/>
    <w:rsid w:val="00B10E49"/>
    <w:rsid w:val="00B11447"/>
    <w:rsid w:val="00B1147B"/>
    <w:rsid w:val="00B115BB"/>
    <w:rsid w:val="00B120B5"/>
    <w:rsid w:val="00B123B9"/>
    <w:rsid w:val="00B133F1"/>
    <w:rsid w:val="00B17C76"/>
    <w:rsid w:val="00B17CF4"/>
    <w:rsid w:val="00B20F08"/>
    <w:rsid w:val="00B2156E"/>
    <w:rsid w:val="00B224F9"/>
    <w:rsid w:val="00B22C93"/>
    <w:rsid w:val="00B23286"/>
    <w:rsid w:val="00B23C7E"/>
    <w:rsid w:val="00B242C7"/>
    <w:rsid w:val="00B26538"/>
    <w:rsid w:val="00B27589"/>
    <w:rsid w:val="00B277B8"/>
    <w:rsid w:val="00B3195F"/>
    <w:rsid w:val="00B35B44"/>
    <w:rsid w:val="00B40282"/>
    <w:rsid w:val="00B405B7"/>
    <w:rsid w:val="00B52222"/>
    <w:rsid w:val="00B54FE7"/>
    <w:rsid w:val="00B55A5E"/>
    <w:rsid w:val="00B55CCE"/>
    <w:rsid w:val="00B56632"/>
    <w:rsid w:val="00B57AB4"/>
    <w:rsid w:val="00B61D82"/>
    <w:rsid w:val="00B64DFB"/>
    <w:rsid w:val="00B66901"/>
    <w:rsid w:val="00B67B52"/>
    <w:rsid w:val="00B704F7"/>
    <w:rsid w:val="00B70C1E"/>
    <w:rsid w:val="00B71E6D"/>
    <w:rsid w:val="00B72070"/>
    <w:rsid w:val="00B779E1"/>
    <w:rsid w:val="00B820D7"/>
    <w:rsid w:val="00B82AFB"/>
    <w:rsid w:val="00B82C30"/>
    <w:rsid w:val="00B83543"/>
    <w:rsid w:val="00B83A74"/>
    <w:rsid w:val="00B91493"/>
    <w:rsid w:val="00B91EE1"/>
    <w:rsid w:val="00B93755"/>
    <w:rsid w:val="00B94BE0"/>
    <w:rsid w:val="00B953A0"/>
    <w:rsid w:val="00B95829"/>
    <w:rsid w:val="00B95FB0"/>
    <w:rsid w:val="00BA0090"/>
    <w:rsid w:val="00BA043B"/>
    <w:rsid w:val="00BA04E5"/>
    <w:rsid w:val="00BA1A67"/>
    <w:rsid w:val="00BA69E8"/>
    <w:rsid w:val="00BA75B2"/>
    <w:rsid w:val="00BB376A"/>
    <w:rsid w:val="00BB72D2"/>
    <w:rsid w:val="00BB7EA0"/>
    <w:rsid w:val="00BC2E15"/>
    <w:rsid w:val="00BC2FB4"/>
    <w:rsid w:val="00BD1CD6"/>
    <w:rsid w:val="00BE0C02"/>
    <w:rsid w:val="00BE1EBD"/>
    <w:rsid w:val="00BE22C7"/>
    <w:rsid w:val="00BE530B"/>
    <w:rsid w:val="00BE5B5F"/>
    <w:rsid w:val="00BE6E6A"/>
    <w:rsid w:val="00BF064C"/>
    <w:rsid w:val="00BF0679"/>
    <w:rsid w:val="00BF152D"/>
    <w:rsid w:val="00BF1F2E"/>
    <w:rsid w:val="00BF2607"/>
    <w:rsid w:val="00BF40DF"/>
    <w:rsid w:val="00BF5322"/>
    <w:rsid w:val="00BF662C"/>
    <w:rsid w:val="00C00DE2"/>
    <w:rsid w:val="00C0761E"/>
    <w:rsid w:val="00C10C4D"/>
    <w:rsid w:val="00C114CD"/>
    <w:rsid w:val="00C1159F"/>
    <w:rsid w:val="00C1404C"/>
    <w:rsid w:val="00C2502D"/>
    <w:rsid w:val="00C265E7"/>
    <w:rsid w:val="00C26F55"/>
    <w:rsid w:val="00C30C63"/>
    <w:rsid w:val="00C3105C"/>
    <w:rsid w:val="00C32EE1"/>
    <w:rsid w:val="00C33018"/>
    <w:rsid w:val="00C34B7D"/>
    <w:rsid w:val="00C34CAA"/>
    <w:rsid w:val="00C36B8B"/>
    <w:rsid w:val="00C3700E"/>
    <w:rsid w:val="00C41532"/>
    <w:rsid w:val="00C415C1"/>
    <w:rsid w:val="00C42D05"/>
    <w:rsid w:val="00C42E91"/>
    <w:rsid w:val="00C4343C"/>
    <w:rsid w:val="00C459DD"/>
    <w:rsid w:val="00C47DBF"/>
    <w:rsid w:val="00C5395A"/>
    <w:rsid w:val="00C552FF"/>
    <w:rsid w:val="00C5575D"/>
    <w:rsid w:val="00C558DA"/>
    <w:rsid w:val="00C55AF3"/>
    <w:rsid w:val="00C56F6B"/>
    <w:rsid w:val="00C61DEB"/>
    <w:rsid w:val="00C630A0"/>
    <w:rsid w:val="00C64FC5"/>
    <w:rsid w:val="00C66C0B"/>
    <w:rsid w:val="00C66C8D"/>
    <w:rsid w:val="00C66CDC"/>
    <w:rsid w:val="00C67BC2"/>
    <w:rsid w:val="00C7214C"/>
    <w:rsid w:val="00C72607"/>
    <w:rsid w:val="00C73A98"/>
    <w:rsid w:val="00C75069"/>
    <w:rsid w:val="00C76479"/>
    <w:rsid w:val="00C77CEF"/>
    <w:rsid w:val="00C81164"/>
    <w:rsid w:val="00C84080"/>
    <w:rsid w:val="00C84759"/>
    <w:rsid w:val="00C87456"/>
    <w:rsid w:val="00C903EC"/>
    <w:rsid w:val="00C90A38"/>
    <w:rsid w:val="00C90B6B"/>
    <w:rsid w:val="00C92CED"/>
    <w:rsid w:val="00C94258"/>
    <w:rsid w:val="00C9427F"/>
    <w:rsid w:val="00C9545E"/>
    <w:rsid w:val="00C95EBA"/>
    <w:rsid w:val="00C962AE"/>
    <w:rsid w:val="00C96821"/>
    <w:rsid w:val="00C96C62"/>
    <w:rsid w:val="00C978AF"/>
    <w:rsid w:val="00C979A3"/>
    <w:rsid w:val="00CA1CBD"/>
    <w:rsid w:val="00CA22CD"/>
    <w:rsid w:val="00CA2BEC"/>
    <w:rsid w:val="00CA5EFE"/>
    <w:rsid w:val="00CA6C7F"/>
    <w:rsid w:val="00CB0053"/>
    <w:rsid w:val="00CB0A97"/>
    <w:rsid w:val="00CB27E0"/>
    <w:rsid w:val="00CB30A6"/>
    <w:rsid w:val="00CB7857"/>
    <w:rsid w:val="00CC0629"/>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33D1"/>
    <w:rsid w:val="00CF33D3"/>
    <w:rsid w:val="00CF42BB"/>
    <w:rsid w:val="00CF4777"/>
    <w:rsid w:val="00CF5A63"/>
    <w:rsid w:val="00D038BF"/>
    <w:rsid w:val="00D067BB"/>
    <w:rsid w:val="00D10157"/>
    <w:rsid w:val="00D108D2"/>
    <w:rsid w:val="00D1352A"/>
    <w:rsid w:val="00D13D48"/>
    <w:rsid w:val="00D1436E"/>
    <w:rsid w:val="00D16159"/>
    <w:rsid w:val="00D16818"/>
    <w:rsid w:val="00D169AF"/>
    <w:rsid w:val="00D17247"/>
    <w:rsid w:val="00D20707"/>
    <w:rsid w:val="00D2125B"/>
    <w:rsid w:val="00D21E5D"/>
    <w:rsid w:val="00D2433F"/>
    <w:rsid w:val="00D25249"/>
    <w:rsid w:val="00D26E61"/>
    <w:rsid w:val="00D27E9A"/>
    <w:rsid w:val="00D30049"/>
    <w:rsid w:val="00D31CC5"/>
    <w:rsid w:val="00D35B55"/>
    <w:rsid w:val="00D36534"/>
    <w:rsid w:val="00D402A6"/>
    <w:rsid w:val="00D40CC2"/>
    <w:rsid w:val="00D41218"/>
    <w:rsid w:val="00D4196D"/>
    <w:rsid w:val="00D44172"/>
    <w:rsid w:val="00D450E0"/>
    <w:rsid w:val="00D50B60"/>
    <w:rsid w:val="00D537AB"/>
    <w:rsid w:val="00D5387B"/>
    <w:rsid w:val="00D55D38"/>
    <w:rsid w:val="00D56028"/>
    <w:rsid w:val="00D604A0"/>
    <w:rsid w:val="00D61672"/>
    <w:rsid w:val="00D63B8C"/>
    <w:rsid w:val="00D63C48"/>
    <w:rsid w:val="00D665E7"/>
    <w:rsid w:val="00D739CC"/>
    <w:rsid w:val="00D75221"/>
    <w:rsid w:val="00D773EA"/>
    <w:rsid w:val="00D8093D"/>
    <w:rsid w:val="00D8108C"/>
    <w:rsid w:val="00D83B2C"/>
    <w:rsid w:val="00D842AE"/>
    <w:rsid w:val="00D84329"/>
    <w:rsid w:val="00D852D6"/>
    <w:rsid w:val="00D86451"/>
    <w:rsid w:val="00D86EFF"/>
    <w:rsid w:val="00D9211C"/>
    <w:rsid w:val="00D92DE0"/>
    <w:rsid w:val="00D92FEF"/>
    <w:rsid w:val="00D93A0F"/>
    <w:rsid w:val="00D93BFF"/>
    <w:rsid w:val="00D94D33"/>
    <w:rsid w:val="00D9695E"/>
    <w:rsid w:val="00D97247"/>
    <w:rsid w:val="00DA0111"/>
    <w:rsid w:val="00DA045D"/>
    <w:rsid w:val="00DA1BCA"/>
    <w:rsid w:val="00DA3752"/>
    <w:rsid w:val="00DA3EA9"/>
    <w:rsid w:val="00DA60D8"/>
    <w:rsid w:val="00DB36EF"/>
    <w:rsid w:val="00DB3D5F"/>
    <w:rsid w:val="00DB58FE"/>
    <w:rsid w:val="00DC0141"/>
    <w:rsid w:val="00DC1A1C"/>
    <w:rsid w:val="00DC1A57"/>
    <w:rsid w:val="00DC4533"/>
    <w:rsid w:val="00DC46FF"/>
    <w:rsid w:val="00DC5254"/>
    <w:rsid w:val="00DD0F1A"/>
    <w:rsid w:val="00DD1A4F"/>
    <w:rsid w:val="00DD205D"/>
    <w:rsid w:val="00DD3107"/>
    <w:rsid w:val="00DD33D0"/>
    <w:rsid w:val="00DD3CE9"/>
    <w:rsid w:val="00DD706A"/>
    <w:rsid w:val="00DD7C2C"/>
    <w:rsid w:val="00DE2306"/>
    <w:rsid w:val="00DE31A9"/>
    <w:rsid w:val="00DE4A80"/>
    <w:rsid w:val="00DE67DA"/>
    <w:rsid w:val="00DE7F32"/>
    <w:rsid w:val="00DF17EE"/>
    <w:rsid w:val="00DF1E4C"/>
    <w:rsid w:val="00DF48D3"/>
    <w:rsid w:val="00DF4DE2"/>
    <w:rsid w:val="00DF5893"/>
    <w:rsid w:val="00E0199B"/>
    <w:rsid w:val="00E047DA"/>
    <w:rsid w:val="00E064AF"/>
    <w:rsid w:val="00E06797"/>
    <w:rsid w:val="00E07703"/>
    <w:rsid w:val="00E07A4A"/>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31E5"/>
    <w:rsid w:val="00E34622"/>
    <w:rsid w:val="00E3491C"/>
    <w:rsid w:val="00E40926"/>
    <w:rsid w:val="00E4228B"/>
    <w:rsid w:val="00E46D9A"/>
    <w:rsid w:val="00E477FF"/>
    <w:rsid w:val="00E54C0B"/>
    <w:rsid w:val="00E55AA9"/>
    <w:rsid w:val="00E565FF"/>
    <w:rsid w:val="00E5727D"/>
    <w:rsid w:val="00E6090D"/>
    <w:rsid w:val="00E62F83"/>
    <w:rsid w:val="00E6359E"/>
    <w:rsid w:val="00E65388"/>
    <w:rsid w:val="00E7042A"/>
    <w:rsid w:val="00E7169D"/>
    <w:rsid w:val="00E7205C"/>
    <w:rsid w:val="00E72DE1"/>
    <w:rsid w:val="00E75472"/>
    <w:rsid w:val="00E77342"/>
    <w:rsid w:val="00E77D1C"/>
    <w:rsid w:val="00E8325F"/>
    <w:rsid w:val="00E8396C"/>
    <w:rsid w:val="00E85B7D"/>
    <w:rsid w:val="00E9121B"/>
    <w:rsid w:val="00E92894"/>
    <w:rsid w:val="00E94E6B"/>
    <w:rsid w:val="00E959DE"/>
    <w:rsid w:val="00E972FA"/>
    <w:rsid w:val="00E97881"/>
    <w:rsid w:val="00EA034F"/>
    <w:rsid w:val="00EA0406"/>
    <w:rsid w:val="00EA0AE2"/>
    <w:rsid w:val="00EA1C9D"/>
    <w:rsid w:val="00EA2ACC"/>
    <w:rsid w:val="00EA39E5"/>
    <w:rsid w:val="00EA462C"/>
    <w:rsid w:val="00EA4E60"/>
    <w:rsid w:val="00EA5E98"/>
    <w:rsid w:val="00EA675C"/>
    <w:rsid w:val="00EA685D"/>
    <w:rsid w:val="00EB19F5"/>
    <w:rsid w:val="00EB1E84"/>
    <w:rsid w:val="00EB2848"/>
    <w:rsid w:val="00EB3900"/>
    <w:rsid w:val="00EB3E88"/>
    <w:rsid w:val="00EB6745"/>
    <w:rsid w:val="00EC1896"/>
    <w:rsid w:val="00EC5A46"/>
    <w:rsid w:val="00EC63E2"/>
    <w:rsid w:val="00ED026F"/>
    <w:rsid w:val="00ED1AA6"/>
    <w:rsid w:val="00ED2769"/>
    <w:rsid w:val="00ED38C0"/>
    <w:rsid w:val="00EE75D9"/>
    <w:rsid w:val="00EF22B3"/>
    <w:rsid w:val="00EF354F"/>
    <w:rsid w:val="00EF35A2"/>
    <w:rsid w:val="00F0084E"/>
    <w:rsid w:val="00F027E6"/>
    <w:rsid w:val="00F03B69"/>
    <w:rsid w:val="00F07A50"/>
    <w:rsid w:val="00F113DA"/>
    <w:rsid w:val="00F13C7D"/>
    <w:rsid w:val="00F1771C"/>
    <w:rsid w:val="00F21AFC"/>
    <w:rsid w:val="00F23065"/>
    <w:rsid w:val="00F24586"/>
    <w:rsid w:val="00F277EB"/>
    <w:rsid w:val="00F3485F"/>
    <w:rsid w:val="00F34BA2"/>
    <w:rsid w:val="00F368E0"/>
    <w:rsid w:val="00F3709A"/>
    <w:rsid w:val="00F373D4"/>
    <w:rsid w:val="00F37DC8"/>
    <w:rsid w:val="00F439B3"/>
    <w:rsid w:val="00F43AE6"/>
    <w:rsid w:val="00F45037"/>
    <w:rsid w:val="00F451BA"/>
    <w:rsid w:val="00F460BE"/>
    <w:rsid w:val="00F471F6"/>
    <w:rsid w:val="00F51020"/>
    <w:rsid w:val="00F52737"/>
    <w:rsid w:val="00F53503"/>
    <w:rsid w:val="00F56735"/>
    <w:rsid w:val="00F56B98"/>
    <w:rsid w:val="00F60C1F"/>
    <w:rsid w:val="00F61341"/>
    <w:rsid w:val="00F615F9"/>
    <w:rsid w:val="00F62C7E"/>
    <w:rsid w:val="00F650C3"/>
    <w:rsid w:val="00F65D85"/>
    <w:rsid w:val="00F65E80"/>
    <w:rsid w:val="00F66C46"/>
    <w:rsid w:val="00F67D05"/>
    <w:rsid w:val="00F76728"/>
    <w:rsid w:val="00F8091E"/>
    <w:rsid w:val="00F821AE"/>
    <w:rsid w:val="00F83388"/>
    <w:rsid w:val="00F839A0"/>
    <w:rsid w:val="00F84BD7"/>
    <w:rsid w:val="00F8615C"/>
    <w:rsid w:val="00F874E0"/>
    <w:rsid w:val="00F87847"/>
    <w:rsid w:val="00F922C2"/>
    <w:rsid w:val="00F93BE5"/>
    <w:rsid w:val="00F94917"/>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E7EF9"/>
    <w:rsid w:val="00FF0933"/>
    <w:rsid w:val="00FF0ACF"/>
    <w:rsid w:val="00FF1E39"/>
    <w:rsid w:val="00FF2D73"/>
    <w:rsid w:val="00FF3694"/>
    <w:rsid w:val="00FF3819"/>
    <w:rsid w:val="00FF4978"/>
    <w:rsid w:val="00FF55F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uiPriority w:val="99"/>
    <w:rsid w:val="005D1027"/>
    <w:pPr>
      <w:keepNext/>
      <w:keepLines/>
      <w:tabs>
        <w:tab w:val="right" w:pos="851"/>
      </w:tabs>
      <w:suppressAutoHyphens/>
      <w:spacing w:before="240"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265115"/>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265115"/>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AC2651"/>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uiPriority w:val="99"/>
    <w:rsid w:val="001B7586"/>
    <w:rPr>
      <w:b/>
      <w:bCs/>
      <w:sz w:val="28"/>
      <w:szCs w:val="22"/>
      <w:lang w:eastAsia="en-US"/>
    </w:rPr>
  </w:style>
  <w:style w:type="paragraph" w:customStyle="1" w:styleId="ZZAnxtitle">
    <w:name w:val="ZZ_Anx_title"/>
    <w:uiPriority w:val="99"/>
    <w:rsid w:val="001B7586"/>
    <w:pPr>
      <w:spacing w:before="360" w:after="120"/>
      <w:ind w:left="1247"/>
    </w:pPr>
    <w:rPr>
      <w:b/>
      <w:bCs/>
      <w:sz w:val="28"/>
      <w:szCs w:val="26"/>
      <w:lang w:eastAsia="en-US"/>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AC2651"/>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character" w:customStyle="1" w:styleId="Heading1Char">
    <w:name w:val="Heading 1 Char"/>
    <w:basedOn w:val="DefaultParagraphFont"/>
    <w:link w:val="Heading1"/>
    <w:rsid w:val="000F7401"/>
    <w:rPr>
      <w:rFonts w:ascii="Calibri" w:eastAsia="MS Mincho" w:hAnsi="Calibri"/>
      <w:b/>
      <w:sz w:val="28"/>
      <w:szCs w:val="22"/>
      <w:lang w:eastAsia="en-US"/>
    </w:rPr>
  </w:style>
  <w:style w:type="character" w:customStyle="1" w:styleId="Heading2Char">
    <w:name w:val="Heading 2 Char"/>
    <w:basedOn w:val="DefaultParagraphFont"/>
    <w:link w:val="Heading2"/>
    <w:rsid w:val="000F7401"/>
    <w:rPr>
      <w:rFonts w:ascii="Calibri" w:eastAsia="MS Mincho" w:hAnsi="Calibri"/>
      <w:b/>
      <w:sz w:val="24"/>
      <w:szCs w:val="24"/>
      <w:lang w:eastAsia="en-US"/>
    </w:rPr>
  </w:style>
  <w:style w:type="character" w:customStyle="1" w:styleId="Heading3Char">
    <w:name w:val="Heading 3 Char"/>
    <w:basedOn w:val="DefaultParagraphFont"/>
    <w:link w:val="Heading3"/>
    <w:rsid w:val="000F7401"/>
    <w:rPr>
      <w:rFonts w:ascii="Calibri" w:eastAsia="MS Mincho" w:hAnsi="Calibri"/>
      <w:b/>
      <w:sz w:val="22"/>
      <w:szCs w:val="22"/>
      <w:lang w:eastAsia="en-US"/>
    </w:rPr>
  </w:style>
  <w:style w:type="character" w:customStyle="1" w:styleId="Heading4Char">
    <w:name w:val="Heading 4 Char"/>
    <w:basedOn w:val="DefaultParagraphFont"/>
    <w:link w:val="Heading4"/>
    <w:rsid w:val="000F7401"/>
    <w:rPr>
      <w:rFonts w:ascii="Calibri" w:eastAsia="MS Mincho" w:hAnsi="Calibri"/>
      <w:b/>
      <w:sz w:val="22"/>
      <w:szCs w:val="22"/>
      <w:lang w:eastAsia="en-US"/>
    </w:rPr>
  </w:style>
  <w:style w:type="character" w:customStyle="1" w:styleId="Heading5Char">
    <w:name w:val="Heading 5 Char"/>
    <w:basedOn w:val="DefaultParagraphFont"/>
    <w:link w:val="Heading5"/>
    <w:rsid w:val="000F7401"/>
    <w:rPr>
      <w:rFonts w:ascii="Univers" w:eastAsia="MS Mincho" w:hAnsi="Univers"/>
      <w:b/>
      <w:sz w:val="24"/>
      <w:szCs w:val="22"/>
      <w:lang w:eastAsia="en-US"/>
    </w:rPr>
  </w:style>
  <w:style w:type="character" w:customStyle="1" w:styleId="Heading6Char">
    <w:name w:val="Heading 6 Char"/>
    <w:basedOn w:val="DefaultParagraphFont"/>
    <w:link w:val="Heading6"/>
    <w:rsid w:val="000F7401"/>
    <w:rPr>
      <w:rFonts w:ascii="Calibri" w:eastAsia="MS Mincho" w:hAnsi="Calibri"/>
      <w:b/>
      <w:bCs/>
      <w:sz w:val="24"/>
      <w:szCs w:val="22"/>
      <w:lang w:eastAsia="en-US"/>
    </w:rPr>
  </w:style>
  <w:style w:type="character" w:customStyle="1" w:styleId="Heading7Char">
    <w:name w:val="Heading 7 Char"/>
    <w:basedOn w:val="DefaultParagraphFont"/>
    <w:link w:val="Heading7"/>
    <w:rsid w:val="000F7401"/>
    <w:rPr>
      <w:rFonts w:ascii="Calibri" w:eastAsia="MS Mincho" w:hAnsi="Calibri"/>
      <w:snapToGrid w:val="0"/>
      <w:sz w:val="22"/>
      <w:szCs w:val="22"/>
      <w:u w:val="single"/>
      <w:lang w:eastAsia="en-US"/>
    </w:rPr>
  </w:style>
  <w:style w:type="character" w:customStyle="1" w:styleId="Heading8Char">
    <w:name w:val="Heading 8 Char"/>
    <w:basedOn w:val="DefaultParagraphFont"/>
    <w:link w:val="Heading8"/>
    <w:rsid w:val="000F7401"/>
    <w:rPr>
      <w:rFonts w:ascii="Calibri" w:eastAsia="MS Mincho" w:hAnsi="Calibri"/>
      <w:snapToGrid w:val="0"/>
      <w:sz w:val="22"/>
      <w:szCs w:val="22"/>
      <w:u w:val="single"/>
      <w:lang w:eastAsia="en-US"/>
    </w:rPr>
  </w:style>
  <w:style w:type="character" w:customStyle="1" w:styleId="Heading9Char">
    <w:name w:val="Heading 9 Char"/>
    <w:basedOn w:val="DefaultParagraphFont"/>
    <w:link w:val="Heading9"/>
    <w:rsid w:val="000F7401"/>
    <w:rPr>
      <w:rFonts w:ascii="Calibri" w:eastAsia="MS Mincho" w:hAnsi="Calibri"/>
      <w:snapToGrid w:val="0"/>
      <w:sz w:val="22"/>
      <w:szCs w:val="22"/>
      <w:u w:val="single"/>
      <w:lang w:eastAsia="en-US"/>
    </w:rPr>
  </w:style>
  <w:style w:type="character" w:customStyle="1" w:styleId="HeaderChar">
    <w:name w:val="Header Char"/>
    <w:basedOn w:val="DefaultParagraphFont"/>
    <w:link w:val="Header"/>
    <w:uiPriority w:val="99"/>
    <w:rsid w:val="000F7401"/>
    <w:rPr>
      <w:rFonts w:ascii="Calibri" w:eastAsia="MS Mincho" w:hAnsi="Calibri"/>
      <w:b/>
      <w:sz w:val="18"/>
      <w:szCs w:val="22"/>
      <w:lang w:eastAsia="en-US"/>
    </w:rPr>
  </w:style>
  <w:style w:type="character" w:styleId="FollowedHyperlink">
    <w:name w:val="FollowedHyperlink"/>
    <w:basedOn w:val="DefaultParagraphFont"/>
    <w:uiPriority w:val="99"/>
    <w:unhideWhenUsed/>
    <w:rsid w:val="000F7401"/>
    <w:rPr>
      <w:color w:val="954F72" w:themeColor="followedHyperlink"/>
      <w:u w:val="single"/>
    </w:rPr>
  </w:style>
  <w:style w:type="paragraph" w:styleId="Subtitle">
    <w:name w:val="Subtitle"/>
    <w:basedOn w:val="Normal"/>
    <w:next w:val="Normal"/>
    <w:link w:val="SubtitleChar"/>
    <w:qFormat/>
    <w:rsid w:val="001E64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E647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2021-05-10T09:17:06Z</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B125-2ADC-420C-BC17-7CF1B981AC6C}"/>
</file>

<file path=customXml/itemProps2.xml><?xml version="1.0" encoding="utf-8"?>
<ds:datastoreItem xmlns:ds="http://schemas.openxmlformats.org/officeDocument/2006/customXml" ds:itemID="{4C83DD1B-5F4D-4695-905D-DB2B58C44378}">
  <ds:schemaRefs>
    <ds:schemaRef ds:uri="a591afa8-fd54-42f1-9ea9-749d51e1c00b"/>
    <ds:schemaRef ds:uri="http://purl.org/dc/dcmitype/"/>
    <ds:schemaRef ds:uri="http://www.w3.org/XML/1998/namespace"/>
    <ds:schemaRef ds:uri="http://schemas.openxmlformats.org/package/2006/metadata/core-properties"/>
    <ds:schemaRef ds:uri="http://schemas.microsoft.com/office/2006/metadata/properties"/>
    <ds:schemaRef ds:uri="44b29a07-ae0c-4297-aad9-2f7ae2e24b8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0D92EE02-2B81-4E83-872C-91BBF02C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Cynthia Mwanza</cp:lastModifiedBy>
  <cp:revision>9</cp:revision>
  <cp:lastPrinted>2021-04-27T05:24:00Z</cp:lastPrinted>
  <dcterms:created xsi:type="dcterms:W3CDTF">2021-05-06T08:34:00Z</dcterms:created>
  <dcterms:modified xsi:type="dcterms:W3CDTF">2021-05-07T05:09:00Z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