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1" w:type="pct"/>
        <w:jc w:val="right"/>
        <w:tblLayout w:type="fixed"/>
        <w:tblLook w:val="0000" w:firstRow="0" w:lastRow="0" w:firstColumn="0" w:lastColumn="0" w:noHBand="0" w:noVBand="0"/>
      </w:tblPr>
      <w:tblGrid>
        <w:gridCol w:w="1457"/>
        <w:gridCol w:w="592"/>
        <w:gridCol w:w="348"/>
        <w:gridCol w:w="864"/>
        <w:gridCol w:w="954"/>
        <w:gridCol w:w="2688"/>
        <w:gridCol w:w="973"/>
        <w:gridCol w:w="1705"/>
      </w:tblGrid>
      <w:tr w:rsidR="00DA3F7A" w:rsidRPr="00546330" w14:paraId="2431C878" w14:textId="77777777" w:rsidTr="00DA3F7A">
        <w:trPr>
          <w:cantSplit/>
          <w:trHeight w:val="1079"/>
          <w:jc w:val="right"/>
        </w:trPr>
        <w:tc>
          <w:tcPr>
            <w:tcW w:w="1458" w:type="dxa"/>
          </w:tcPr>
          <w:p w14:paraId="2CFF0890" w14:textId="77777777" w:rsidR="00DA3F7A" w:rsidRPr="00546330" w:rsidRDefault="00DA3F7A" w:rsidP="00780B15">
            <w:pPr>
              <w:pStyle w:val="Normal-pool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r w:rsidRPr="00546330">
              <w:rPr>
                <w:rFonts w:ascii="Arial" w:hAnsi="Arial" w:cs="Arial"/>
                <w:b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40" w:type="dxa"/>
            <w:gridSpan w:val="2"/>
            <w:tcBorders>
              <w:left w:val="nil"/>
            </w:tcBorders>
            <w:vAlign w:val="center"/>
          </w:tcPr>
          <w:p w14:paraId="4EF83A47" w14:textId="77777777" w:rsidR="00DA3F7A" w:rsidRPr="00546330" w:rsidRDefault="00DA3F7A" w:rsidP="00780B15">
            <w:pPr>
              <w:pStyle w:val="Normal-pool"/>
              <w:rPr>
                <w:lang w:val="fr-FR"/>
              </w:rPr>
            </w:pPr>
            <w:r w:rsidRPr="00546330">
              <w:rPr>
                <w:noProof/>
                <w:lang w:val="en-GB" w:eastAsia="en-GB"/>
              </w:rPr>
              <w:drawing>
                <wp:inline distT="0" distB="0" distL="0" distR="0" wp14:anchorId="014DA945" wp14:editId="1B637311">
                  <wp:extent cx="482803" cy="460857"/>
                  <wp:effectExtent l="0" t="0" r="0" b="0"/>
                  <wp:docPr id="3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3E097F3" w14:textId="77777777" w:rsidR="00DA3F7A" w:rsidRPr="00546330" w:rsidRDefault="00DA3F7A" w:rsidP="00780B15">
            <w:pPr>
              <w:pStyle w:val="Normal-pool"/>
              <w:spacing w:before="160"/>
              <w:rPr>
                <w:lang w:val="fr-FR"/>
              </w:rPr>
            </w:pPr>
            <w:r w:rsidRPr="00546330">
              <w:rPr>
                <w:noProof/>
                <w:lang w:val="en-GB" w:eastAsia="en-GB"/>
              </w:rPr>
              <w:drawing>
                <wp:inline distT="0" distB="0" distL="0" distR="0" wp14:anchorId="51421317" wp14:editId="6EE33C5F">
                  <wp:extent cx="362710" cy="47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left w:val="nil"/>
            </w:tcBorders>
            <w:vAlign w:val="center"/>
          </w:tcPr>
          <w:p w14:paraId="7A321D2A" w14:textId="77777777" w:rsidR="00DA3F7A" w:rsidRPr="00546330" w:rsidRDefault="00DA3F7A" w:rsidP="00780B15">
            <w:pPr>
              <w:pStyle w:val="Normal-pool"/>
              <w:rPr>
                <w:lang w:val="fr-FR"/>
              </w:rPr>
            </w:pPr>
            <w:r w:rsidRPr="00546330">
              <w:rPr>
                <w:noProof/>
                <w:lang w:val="en-GB" w:eastAsia="en-GB"/>
              </w:rPr>
              <w:drawing>
                <wp:inline distT="0" distB="0" distL="0" distR="0" wp14:anchorId="1E8FF6F5" wp14:editId="1401E4F5">
                  <wp:extent cx="490119" cy="460857"/>
                  <wp:effectExtent l="0" t="0" r="5715" b="0"/>
                  <wp:docPr id="5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 w14:paraId="6F95D6EE" w14:textId="77777777" w:rsidR="00DA3F7A" w:rsidRPr="00546330" w:rsidRDefault="00DA3F7A" w:rsidP="00780B15">
            <w:pPr>
              <w:pStyle w:val="Normal-pool"/>
              <w:rPr>
                <w:lang w:val="fr-FR"/>
              </w:rPr>
            </w:pPr>
            <w:r w:rsidRPr="00546330">
              <w:rPr>
                <w:noProof/>
                <w:lang w:val="en-GB" w:eastAsia="en-GB"/>
              </w:rPr>
              <w:drawing>
                <wp:inline distT="0" distB="0" distL="0" distR="0" wp14:anchorId="27B93737" wp14:editId="0787F2E7">
                  <wp:extent cx="1653236" cy="355488"/>
                  <wp:effectExtent l="0" t="0" r="4445" b="6985"/>
                  <wp:docPr id="6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left w:val="nil"/>
            </w:tcBorders>
            <w:vAlign w:val="center"/>
          </w:tcPr>
          <w:p w14:paraId="62636045" w14:textId="77777777" w:rsidR="00DA3F7A" w:rsidRPr="00546330" w:rsidRDefault="00DA3F7A" w:rsidP="00780B15">
            <w:pPr>
              <w:pStyle w:val="Normal-pool"/>
              <w:ind w:right="-136"/>
              <w:rPr>
                <w:lang w:val="fr-FR"/>
              </w:rPr>
            </w:pPr>
            <w:r w:rsidRPr="00546330">
              <w:rPr>
                <w:noProof/>
                <w:lang w:val="en-GB" w:eastAsia="en-GB"/>
              </w:rPr>
              <w:drawing>
                <wp:inline distT="0" distB="0" distL="0" distR="0" wp14:anchorId="057E4B0F" wp14:editId="59122855">
                  <wp:extent cx="327617" cy="63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197121FE" w14:textId="77777777" w:rsidR="00DA3F7A" w:rsidRPr="00546330" w:rsidRDefault="00DA3F7A" w:rsidP="00780B15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546330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DA3F7A" w:rsidRPr="00546330" w14:paraId="54369274" w14:textId="77777777" w:rsidTr="00DA3F7A">
        <w:trPr>
          <w:cantSplit/>
          <w:trHeight w:val="282"/>
          <w:jc w:val="right"/>
        </w:trPr>
        <w:tc>
          <w:tcPr>
            <w:tcW w:w="1458" w:type="dxa"/>
            <w:tcBorders>
              <w:bottom w:val="single" w:sz="2" w:space="0" w:color="auto"/>
            </w:tcBorders>
          </w:tcPr>
          <w:p w14:paraId="24E46A1A" w14:textId="77777777" w:rsidR="00DA3F7A" w:rsidRPr="00546330" w:rsidRDefault="00DA3F7A" w:rsidP="00780B15">
            <w:pPr>
              <w:pStyle w:val="Normal-pool"/>
              <w:rPr>
                <w:lang w:val="fr-FR"/>
              </w:rPr>
            </w:pPr>
          </w:p>
        </w:tc>
        <w:tc>
          <w:tcPr>
            <w:tcW w:w="5447" w:type="dxa"/>
            <w:gridSpan w:val="5"/>
            <w:tcBorders>
              <w:bottom w:val="single" w:sz="2" w:space="0" w:color="auto"/>
            </w:tcBorders>
          </w:tcPr>
          <w:p w14:paraId="69C73E5C" w14:textId="77777777" w:rsidR="00DA3F7A" w:rsidRPr="00546330" w:rsidRDefault="00DA3F7A" w:rsidP="00780B15">
            <w:pPr>
              <w:pStyle w:val="Normal-pool"/>
              <w:rPr>
                <w:rFonts w:ascii="Univers" w:hAnsi="Univers"/>
                <w:b/>
                <w:sz w:val="24"/>
                <w:lang w:val="fr-FR"/>
              </w:rPr>
            </w:pPr>
          </w:p>
        </w:tc>
        <w:tc>
          <w:tcPr>
            <w:tcW w:w="2678" w:type="dxa"/>
            <w:gridSpan w:val="2"/>
            <w:tcBorders>
              <w:bottom w:val="single" w:sz="2" w:space="0" w:color="auto"/>
            </w:tcBorders>
          </w:tcPr>
          <w:p w14:paraId="1BB0443D" w14:textId="14CE6861" w:rsidR="00DA3F7A" w:rsidRPr="00546330" w:rsidRDefault="00DA3F7A" w:rsidP="00780B15">
            <w:pPr>
              <w:pStyle w:val="Normal-pool"/>
              <w:spacing w:before="120"/>
              <w:rPr>
                <w:b/>
                <w:sz w:val="24"/>
                <w:szCs w:val="24"/>
                <w:lang w:val="fr-FR"/>
              </w:rPr>
            </w:pPr>
            <w:r w:rsidRPr="00546330">
              <w:rPr>
                <w:b/>
                <w:sz w:val="24"/>
                <w:lang w:val="fr-FR"/>
              </w:rPr>
              <w:t>IPBES</w:t>
            </w:r>
            <w:r w:rsidRPr="00546330">
              <w:rPr>
                <w:lang w:val="fr-FR"/>
              </w:rPr>
              <w:t>/</w:t>
            </w:r>
            <w:r w:rsidR="00913BF5">
              <w:rPr>
                <w:lang w:val="fr-FR"/>
              </w:rPr>
              <w:t>8</w:t>
            </w:r>
            <w:r w:rsidRPr="00546330">
              <w:rPr>
                <w:lang w:val="fr-FR"/>
              </w:rPr>
              <w:t>/1</w:t>
            </w:r>
            <w:r w:rsidR="00275DBD" w:rsidRPr="00546330">
              <w:rPr>
                <w:lang w:val="fr-FR"/>
              </w:rPr>
              <w:t>/Add.2</w:t>
            </w:r>
          </w:p>
        </w:tc>
      </w:tr>
      <w:tr w:rsidR="00DA3F7A" w:rsidRPr="00546330" w14:paraId="6A8AB78A" w14:textId="77777777" w:rsidTr="00DA3F7A">
        <w:trPr>
          <w:cantSplit/>
          <w:trHeight w:val="1615"/>
          <w:jc w:val="right"/>
        </w:trPr>
        <w:tc>
          <w:tcPr>
            <w:tcW w:w="2050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4C9D521E" w14:textId="77777777" w:rsidR="00DA3F7A" w:rsidRPr="00546330" w:rsidRDefault="00DA3F7A" w:rsidP="00780B15">
            <w:pPr>
              <w:pStyle w:val="Normal-pool"/>
              <w:spacing w:before="240" w:after="240"/>
              <w:rPr>
                <w:b/>
                <w:sz w:val="28"/>
                <w:szCs w:val="28"/>
                <w:lang w:val="fr-FR"/>
              </w:rPr>
            </w:pPr>
            <w:r w:rsidRPr="00546330"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28A23353" wp14:editId="7197C6F3">
                  <wp:extent cx="1111406" cy="5193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4A642AE8" w14:textId="77777777" w:rsidR="00DA3F7A" w:rsidRPr="00546330" w:rsidRDefault="00B942C5" w:rsidP="00780B15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hyperlink r:id="rId18" w:tgtFrame="_blank" w:history="1">
              <w:r w:rsidR="00DA3F7A" w:rsidRPr="00546330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678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7FCED03B" w14:textId="387EFDED" w:rsidR="00DA3F7A" w:rsidRPr="00546330" w:rsidRDefault="00DA3F7A" w:rsidP="00780B15">
            <w:pPr>
              <w:pStyle w:val="Normal-pool"/>
              <w:spacing w:before="120"/>
              <w:rPr>
                <w:lang w:val="fr-FR"/>
              </w:rPr>
            </w:pPr>
            <w:r w:rsidRPr="00546330">
              <w:rPr>
                <w:lang w:val="fr-FR"/>
              </w:rPr>
              <w:t xml:space="preserve">Distr. générale </w:t>
            </w:r>
            <w:r w:rsidRPr="00546330">
              <w:rPr>
                <w:lang w:val="fr-FR"/>
              </w:rPr>
              <w:br/>
            </w:r>
            <w:r w:rsidR="00913BF5">
              <w:rPr>
                <w:lang w:val="fr-FR"/>
              </w:rPr>
              <w:t>23</w:t>
            </w:r>
            <w:r w:rsidR="00FF159A" w:rsidRPr="00546330">
              <w:rPr>
                <w:lang w:val="fr-FR"/>
              </w:rPr>
              <w:t> mars</w:t>
            </w:r>
            <w:r w:rsidR="00275DBD" w:rsidRPr="00546330">
              <w:rPr>
                <w:lang w:val="fr-FR"/>
              </w:rPr>
              <w:t xml:space="preserve"> 20</w:t>
            </w:r>
            <w:r w:rsidR="00913BF5">
              <w:rPr>
                <w:lang w:val="fr-FR"/>
              </w:rPr>
              <w:t>21</w:t>
            </w:r>
          </w:p>
          <w:p w14:paraId="3C17725A" w14:textId="77777777" w:rsidR="00DA3F7A" w:rsidRPr="00546330" w:rsidRDefault="00DA3F7A" w:rsidP="00780B15">
            <w:pPr>
              <w:pStyle w:val="Normal-pool"/>
              <w:spacing w:before="120"/>
              <w:rPr>
                <w:lang w:val="fr-FR"/>
              </w:rPr>
            </w:pPr>
            <w:r w:rsidRPr="00546330">
              <w:rPr>
                <w:lang w:val="fr-FR"/>
              </w:rPr>
              <w:t xml:space="preserve">Français </w:t>
            </w:r>
            <w:r w:rsidRPr="00546330">
              <w:rPr>
                <w:lang w:val="fr-FR"/>
              </w:rPr>
              <w:br/>
              <w:t>Original : anglais</w:t>
            </w:r>
          </w:p>
        </w:tc>
      </w:tr>
    </w:tbl>
    <w:p w14:paraId="66B028F5" w14:textId="47B30AE1" w:rsidR="00DA3F7A" w:rsidRPr="00546330" w:rsidRDefault="00DA3F7A" w:rsidP="00275DBD">
      <w:pPr>
        <w:pStyle w:val="AATitle"/>
        <w:ind w:left="28" w:right="4160"/>
        <w:rPr>
          <w:lang w:val="fr-FR"/>
        </w:rPr>
      </w:pPr>
      <w:r w:rsidRPr="00546330">
        <w:rPr>
          <w:lang w:val="fr-FR"/>
        </w:rPr>
        <w:t xml:space="preserve">Plénière de la Plateforme intergouvernementale scientifique </w:t>
      </w:r>
      <w:r w:rsidR="00275DBD" w:rsidRPr="00546330">
        <w:rPr>
          <w:lang w:val="fr-FR"/>
        </w:rPr>
        <w:br/>
      </w:r>
      <w:r w:rsidRPr="00546330">
        <w:rPr>
          <w:lang w:val="fr-FR"/>
        </w:rPr>
        <w:t xml:space="preserve">et politique sur la biodiversité </w:t>
      </w:r>
      <w:r w:rsidRPr="00546330">
        <w:rPr>
          <w:lang w:val="fr-FR"/>
        </w:rPr>
        <w:br/>
        <w:t>et les services écosystémiques</w:t>
      </w:r>
    </w:p>
    <w:p w14:paraId="0F203A90" w14:textId="26D7F9A8" w:rsidR="00DA3F7A" w:rsidRPr="00546330" w:rsidRDefault="00992040" w:rsidP="00275DBD">
      <w:pPr>
        <w:pStyle w:val="AATitle"/>
        <w:ind w:left="28" w:right="4160"/>
        <w:rPr>
          <w:lang w:val="fr-FR"/>
        </w:rPr>
      </w:pPr>
      <w:r>
        <w:rPr>
          <w:lang w:val="fr-FR"/>
        </w:rPr>
        <w:t>Huitième</w:t>
      </w:r>
      <w:r w:rsidR="00DA3F7A" w:rsidRPr="00546330">
        <w:rPr>
          <w:lang w:val="fr-FR"/>
        </w:rPr>
        <w:t xml:space="preserve"> session</w:t>
      </w:r>
    </w:p>
    <w:p w14:paraId="62736DF1" w14:textId="172FFE65" w:rsidR="00DA3F7A" w:rsidRPr="00546330" w:rsidRDefault="00992040" w:rsidP="00275DBD">
      <w:pPr>
        <w:pStyle w:val="AATitle"/>
        <w:ind w:left="28" w:right="4160"/>
        <w:rPr>
          <w:b w:val="0"/>
          <w:lang w:val="fr-FR" w:eastAsia="ja-JP"/>
        </w:rPr>
      </w:pPr>
      <w:r>
        <w:rPr>
          <w:b w:val="0"/>
          <w:lang w:val="fr-FR" w:eastAsia="ja-JP"/>
        </w:rPr>
        <w:t>En ligne, 14</w:t>
      </w:r>
      <w:r w:rsidR="00DA3F7A" w:rsidRPr="00546330">
        <w:rPr>
          <w:b w:val="0"/>
          <w:lang w:val="fr-FR" w:eastAsia="ja-JP"/>
        </w:rPr>
        <w:t>–</w:t>
      </w:r>
      <w:r>
        <w:rPr>
          <w:b w:val="0"/>
          <w:lang w:val="fr-FR" w:eastAsia="ja-JP"/>
        </w:rPr>
        <w:t>2</w:t>
      </w:r>
      <w:r w:rsidR="00DA3F7A" w:rsidRPr="00546330">
        <w:rPr>
          <w:b w:val="0"/>
          <w:lang w:val="fr-FR" w:eastAsia="ja-JP"/>
        </w:rPr>
        <w:t>4 </w:t>
      </w:r>
      <w:r>
        <w:rPr>
          <w:b w:val="0"/>
          <w:lang w:val="fr-FR" w:eastAsia="ja-JP"/>
        </w:rPr>
        <w:t>juin 2021</w:t>
      </w:r>
    </w:p>
    <w:p w14:paraId="1ABBAB0D" w14:textId="149CD85E" w:rsidR="00464576" w:rsidRPr="00546330" w:rsidRDefault="00464576" w:rsidP="00464576">
      <w:pPr>
        <w:keepNext/>
        <w:keepLines/>
        <w:tabs>
          <w:tab w:val="left" w:pos="4082"/>
        </w:tabs>
        <w:suppressAutoHyphens/>
        <w:ind w:right="5103"/>
      </w:pPr>
      <w:r w:rsidRPr="00546330">
        <w:t>Point</w:t>
      </w:r>
      <w:r w:rsidR="00D03504">
        <w:t> </w:t>
      </w:r>
      <w:r w:rsidRPr="00546330">
        <w:t>12 de l</w:t>
      </w:r>
      <w:r w:rsidR="00275DBD" w:rsidRPr="00546330">
        <w:t>’</w:t>
      </w:r>
      <w:r w:rsidRPr="00546330">
        <w:t>ordre du jour provisoire</w:t>
      </w:r>
      <w:r w:rsidRPr="00546330">
        <w:footnoteReference w:customMarkFollows="1" w:id="1"/>
        <w:t>*</w:t>
      </w:r>
    </w:p>
    <w:p w14:paraId="2C9DD7C8" w14:textId="5685BEE9" w:rsidR="00464576" w:rsidRPr="00546330" w:rsidRDefault="00464576" w:rsidP="00464576">
      <w:pPr>
        <w:pStyle w:val="AATitle2"/>
        <w:spacing w:before="60"/>
        <w:rPr>
          <w:lang w:val="fr-FR"/>
        </w:rPr>
      </w:pPr>
      <w:r w:rsidRPr="00546330">
        <w:rPr>
          <w:bCs/>
          <w:lang w:val="fr-FR"/>
        </w:rPr>
        <w:t xml:space="preserve">Adoption des décisions et du rapport sur les travaux </w:t>
      </w:r>
      <w:r w:rsidR="00275DBD" w:rsidRPr="00546330">
        <w:rPr>
          <w:bCs/>
          <w:lang w:val="fr-FR"/>
        </w:rPr>
        <w:br/>
      </w:r>
      <w:r w:rsidRPr="00546330">
        <w:rPr>
          <w:bCs/>
          <w:lang w:val="fr-FR"/>
        </w:rPr>
        <w:t>de la session</w:t>
      </w:r>
    </w:p>
    <w:p w14:paraId="3E6BE720" w14:textId="5B7045D3" w:rsidR="00464576" w:rsidRPr="00546330" w:rsidRDefault="00464576" w:rsidP="00464576">
      <w:pPr>
        <w:pStyle w:val="BBTitle"/>
        <w:rPr>
          <w:lang w:val="fr-FR"/>
        </w:rPr>
      </w:pPr>
      <w:r w:rsidRPr="00546330">
        <w:rPr>
          <w:bCs/>
          <w:lang w:val="fr-FR"/>
        </w:rPr>
        <w:t xml:space="preserve">Projets de décision présentés à la </w:t>
      </w:r>
      <w:r w:rsidR="00650C64">
        <w:rPr>
          <w:bCs/>
          <w:lang w:val="fr-FR"/>
        </w:rPr>
        <w:t>huiti</w:t>
      </w:r>
      <w:r w:rsidRPr="00546330">
        <w:rPr>
          <w:bCs/>
          <w:lang w:val="fr-FR"/>
        </w:rPr>
        <w:t>ème session de la Plénière de la Plateforme intergouvernementale scientifique et politique sur la biodiversité et les services écosystémiques</w:t>
      </w:r>
    </w:p>
    <w:p w14:paraId="4C8E9DCD" w14:textId="40FBE9FA" w:rsidR="00464576" w:rsidRPr="00546330" w:rsidRDefault="00464576" w:rsidP="00275DBD">
      <w:pPr>
        <w:pStyle w:val="CH2"/>
        <w:ind w:firstLine="13"/>
        <w:rPr>
          <w:lang w:val="fr-FR"/>
        </w:rPr>
      </w:pPr>
      <w:r w:rsidRPr="00546330">
        <w:rPr>
          <w:bCs/>
          <w:lang w:val="fr-FR"/>
        </w:rPr>
        <w:t>Note du secrétariat</w:t>
      </w:r>
    </w:p>
    <w:p w14:paraId="16489FE3" w14:textId="1B4BF9DC" w:rsidR="00464576" w:rsidRPr="00546330" w:rsidRDefault="00464576" w:rsidP="00275DBD">
      <w:pPr>
        <w:pStyle w:val="CH1"/>
        <w:ind w:firstLine="13"/>
        <w:rPr>
          <w:lang w:val="fr-FR"/>
        </w:rPr>
      </w:pPr>
      <w:r w:rsidRPr="00546330">
        <w:rPr>
          <w:bCs/>
          <w:lang w:val="fr-FR"/>
        </w:rPr>
        <w:t>Introduction</w:t>
      </w:r>
    </w:p>
    <w:p w14:paraId="7B2A75D8" w14:textId="111CB399" w:rsidR="00464576" w:rsidRPr="00546330" w:rsidRDefault="00464576" w:rsidP="00464576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546330">
        <w:rPr>
          <w:lang w:val="fr-FR"/>
        </w:rPr>
        <w:t>La présente note contient des projets de décision présentés pour examen à la Plénière de la Plateforme intergouvernementale scientifique et politique sur la biodiversité et les services écosystémiques («</w:t>
      </w:r>
      <w:r w:rsidR="00DF1927">
        <w:rPr>
          <w:lang w:val="fr-FR"/>
        </w:rPr>
        <w:t> </w:t>
      </w:r>
      <w:r w:rsidRPr="00546330">
        <w:rPr>
          <w:lang w:val="fr-FR"/>
        </w:rPr>
        <w:t>la Plateforme</w:t>
      </w:r>
      <w:r w:rsidR="00DF1927">
        <w:rPr>
          <w:lang w:val="fr-FR"/>
        </w:rPr>
        <w:t> </w:t>
      </w:r>
      <w:r w:rsidRPr="00546330">
        <w:rPr>
          <w:lang w:val="fr-FR"/>
        </w:rPr>
        <w:t xml:space="preserve">») à sa </w:t>
      </w:r>
      <w:r w:rsidR="005E03C5">
        <w:rPr>
          <w:lang w:val="fr-FR"/>
        </w:rPr>
        <w:t>huitième</w:t>
      </w:r>
      <w:r w:rsidR="00275DBD" w:rsidRPr="00546330">
        <w:rPr>
          <w:lang w:val="fr-FR"/>
        </w:rPr>
        <w:t> </w:t>
      </w:r>
      <w:r w:rsidRPr="00546330">
        <w:rPr>
          <w:lang w:val="fr-FR"/>
        </w:rPr>
        <w:t>session. Elle a été établie par la Secrétaire exécutive en</w:t>
      </w:r>
      <w:r w:rsidR="00DF1927">
        <w:rPr>
          <w:lang w:val="fr-FR"/>
        </w:rPr>
        <w:t> </w:t>
      </w:r>
      <w:r w:rsidRPr="00546330">
        <w:rPr>
          <w:lang w:val="fr-FR"/>
        </w:rPr>
        <w:t>vue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aider la Plénière à élaborer des décisions sur les points figurant à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ordre du jour de la session, en vue de leur adoption. Les projets de décision respectent la structure des décisions adoptées par la Plénière à ses sessions précédentes. La note indique le point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ordre du jour provisoire (IPBES/</w:t>
      </w:r>
      <w:r w:rsidR="005E03C5">
        <w:rPr>
          <w:lang w:val="fr-FR"/>
        </w:rPr>
        <w:t>8</w:t>
      </w:r>
      <w:r w:rsidRPr="00546330">
        <w:rPr>
          <w:lang w:val="fr-FR"/>
        </w:rPr>
        <w:t>/1) au titre duquel chaque projet de décision devrait être examiné.</w:t>
      </w:r>
    </w:p>
    <w:p w14:paraId="26F7CA05" w14:textId="6D7ACA59" w:rsidR="00464576" w:rsidRPr="00546330" w:rsidRDefault="00464576" w:rsidP="00DF1927">
      <w:pPr>
        <w:pStyle w:val="CH1"/>
        <w:numPr>
          <w:ilvl w:val="0"/>
          <w:numId w:val="8"/>
        </w:numPr>
        <w:tabs>
          <w:tab w:val="clear" w:pos="851"/>
        </w:tabs>
        <w:ind w:left="1210" w:right="288" w:hanging="648"/>
        <w:rPr>
          <w:lang w:val="fr-FR"/>
        </w:rPr>
      </w:pPr>
      <w:r w:rsidRPr="00546330">
        <w:rPr>
          <w:bCs/>
          <w:lang w:val="fr-FR"/>
        </w:rPr>
        <w:t>Projet de décision</w:t>
      </w:r>
      <w:r w:rsidR="00DF1927">
        <w:rPr>
          <w:bCs/>
          <w:lang w:val="fr-FR"/>
        </w:rPr>
        <w:t> </w:t>
      </w:r>
      <w:r w:rsidRPr="00546330">
        <w:rPr>
          <w:bCs/>
          <w:lang w:val="fr-FR"/>
        </w:rPr>
        <w:t xml:space="preserve">: </w:t>
      </w:r>
      <w:r w:rsidR="00A45E48">
        <w:rPr>
          <w:bCs/>
          <w:lang w:val="fr-FR"/>
        </w:rPr>
        <w:t xml:space="preserve">Mise en œuvre du programme de travail glissant de la </w:t>
      </w:r>
      <w:r w:rsidRPr="00546330">
        <w:rPr>
          <w:bCs/>
          <w:lang w:val="fr-FR"/>
        </w:rPr>
        <w:t xml:space="preserve">Plateforme intergouvernementale scientifique et politique sur la biodiversité et les services écosystémiques </w:t>
      </w:r>
      <w:r w:rsidR="00772179">
        <w:rPr>
          <w:bCs/>
          <w:lang w:val="fr-FR"/>
        </w:rPr>
        <w:t xml:space="preserve">pour la période allant </w:t>
      </w:r>
      <w:r w:rsidR="00B943F9">
        <w:rPr>
          <w:bCs/>
          <w:lang w:val="fr-FR"/>
        </w:rPr>
        <w:t xml:space="preserve">jusqu’en 2030 </w:t>
      </w:r>
    </w:p>
    <w:p w14:paraId="0B0DE0AF" w14:textId="4ED925DE" w:rsidR="00464576" w:rsidRPr="00546330" w:rsidRDefault="00464576" w:rsidP="00DF1927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546330">
        <w:rPr>
          <w:lang w:val="fr-FR"/>
        </w:rPr>
        <w:t>La Plénière souhaitera peut-être examiner le projet de décision ci-après</w:t>
      </w:r>
      <w:r w:rsidR="00BB0E5A">
        <w:rPr>
          <w:lang w:val="fr-FR"/>
        </w:rPr>
        <w:t>,</w:t>
      </w:r>
      <w:r w:rsidR="000617ED">
        <w:rPr>
          <w:lang w:val="fr-FR"/>
        </w:rPr>
        <w:t xml:space="preserve"> </w:t>
      </w:r>
      <w:r w:rsidR="001048CC">
        <w:rPr>
          <w:lang w:val="fr-FR"/>
        </w:rPr>
        <w:t xml:space="preserve">qui relève </w:t>
      </w:r>
      <w:r w:rsidR="000617ED">
        <w:rPr>
          <w:lang w:val="fr-FR"/>
        </w:rPr>
        <w:t xml:space="preserve">du point 12 de l’ordre du jour provisoire : </w:t>
      </w:r>
    </w:p>
    <w:p w14:paraId="2E715C43" w14:textId="77777777" w:rsidR="00464576" w:rsidRPr="00546330" w:rsidRDefault="00464576" w:rsidP="00DF192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i/>
          <w:lang w:val="fr-FR"/>
        </w:rPr>
      </w:pPr>
      <w:r w:rsidRPr="00546330">
        <w:rPr>
          <w:i/>
          <w:iCs/>
          <w:lang w:val="fr-FR"/>
        </w:rPr>
        <w:t>La Plénière,</w:t>
      </w:r>
    </w:p>
    <w:p w14:paraId="4DED4324" w14:textId="32E81E41" w:rsidR="00464576" w:rsidRPr="00546330" w:rsidRDefault="00464576" w:rsidP="00DF192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fr-FR"/>
        </w:rPr>
      </w:pPr>
      <w:r w:rsidRPr="00546330">
        <w:rPr>
          <w:i/>
          <w:iCs/>
          <w:lang w:val="fr-FR"/>
        </w:rPr>
        <w:t>Accueillant avec satisfaction</w:t>
      </w:r>
      <w:r w:rsidRPr="00546330">
        <w:rPr>
          <w:lang w:val="fr-FR"/>
        </w:rPr>
        <w:t xml:space="preserve"> le rapport de la Secrétaire exécutive sur l</w:t>
      </w:r>
      <w:r w:rsidR="00DB68C5">
        <w:rPr>
          <w:lang w:val="fr-FR"/>
        </w:rPr>
        <w:t>es progrès accomplis dans l</w:t>
      </w:r>
      <w:r w:rsidR="009C232B">
        <w:rPr>
          <w:lang w:val="fr-FR"/>
        </w:rPr>
        <w:t xml:space="preserve">a mise en œuvre </w:t>
      </w:r>
      <w:r w:rsidRPr="00546330">
        <w:rPr>
          <w:lang w:val="fr-FR"/>
        </w:rPr>
        <w:t xml:space="preserve">du programme de travail </w:t>
      </w:r>
      <w:r w:rsidR="009D5882">
        <w:rPr>
          <w:lang w:val="fr-FR"/>
        </w:rPr>
        <w:t xml:space="preserve">glissant </w:t>
      </w:r>
      <w:r w:rsidR="00750EE3">
        <w:rPr>
          <w:lang w:val="fr-FR"/>
        </w:rPr>
        <w:t xml:space="preserve">pour la période allant </w:t>
      </w:r>
      <w:r w:rsidR="00924197">
        <w:rPr>
          <w:lang w:val="fr-FR"/>
        </w:rPr>
        <w:t>jusqu’en 2030</w:t>
      </w:r>
      <w:r w:rsidR="003E1F66">
        <w:rPr>
          <w:lang w:val="fr-FR"/>
        </w:rPr>
        <w:t>,</w:t>
      </w:r>
      <w:r w:rsidRPr="00546330">
        <w:rPr>
          <w:rStyle w:val="FootnoteReference"/>
          <w:lang w:val="fr-FR"/>
        </w:rPr>
        <w:footnoteReference w:id="2"/>
      </w:r>
    </w:p>
    <w:p w14:paraId="22359CE3" w14:textId="5856A7FF" w:rsidR="00464576" w:rsidRPr="00546330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i/>
          <w:lang w:val="fr-FR"/>
        </w:rPr>
      </w:pPr>
      <w:r w:rsidRPr="00546330">
        <w:rPr>
          <w:i/>
          <w:iCs/>
          <w:lang w:val="fr-FR"/>
        </w:rPr>
        <w:t>Se félicitant</w:t>
      </w:r>
      <w:r w:rsidRPr="00546330">
        <w:rPr>
          <w:lang w:val="fr-FR"/>
        </w:rPr>
        <w:t xml:space="preserve"> des contributions remarquables apportées par tous les experts associés </w:t>
      </w:r>
      <w:r w:rsidR="00FA7CDA">
        <w:rPr>
          <w:lang w:val="fr-FR"/>
        </w:rPr>
        <w:t xml:space="preserve">à </w:t>
      </w:r>
      <w:r w:rsidR="00936795">
        <w:rPr>
          <w:lang w:val="fr-FR"/>
        </w:rPr>
        <w:t xml:space="preserve">ce jour </w:t>
      </w:r>
      <w:r w:rsidRPr="00546330">
        <w:rPr>
          <w:lang w:val="fr-FR"/>
        </w:rPr>
        <w:t xml:space="preserve">à la mise en œuvre du programme de travail </w:t>
      </w:r>
      <w:r w:rsidR="00150407">
        <w:rPr>
          <w:lang w:val="fr-FR"/>
        </w:rPr>
        <w:t>e</w:t>
      </w:r>
      <w:r w:rsidRPr="00546330">
        <w:rPr>
          <w:lang w:val="fr-FR"/>
        </w:rPr>
        <w:t>t remerciant ces derniers de leur dévouement sans faille,</w:t>
      </w:r>
    </w:p>
    <w:p w14:paraId="71170AF6" w14:textId="26438EA5" w:rsidR="00464576" w:rsidRPr="00E21F5A" w:rsidRDefault="00464576" w:rsidP="00764BF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2" w:firstLine="619"/>
        <w:rPr>
          <w:lang w:val="fr-FR"/>
        </w:rPr>
      </w:pPr>
      <w:r w:rsidRPr="00546330">
        <w:rPr>
          <w:lang w:val="fr-FR"/>
        </w:rPr>
        <w:lastRenderedPageBreak/>
        <w:tab/>
      </w:r>
      <w:r w:rsidR="00EC0AAD">
        <w:rPr>
          <w:i/>
          <w:iCs/>
          <w:lang w:val="fr-FR"/>
        </w:rPr>
        <w:t>Engageant</w:t>
      </w:r>
      <w:r w:rsidR="00C47977">
        <w:rPr>
          <w:lang w:val="fr-FR"/>
        </w:rPr>
        <w:t xml:space="preserve"> </w:t>
      </w:r>
      <w:r w:rsidRPr="00546330">
        <w:rPr>
          <w:lang w:val="fr-FR"/>
        </w:rPr>
        <w:t>le</w:t>
      </w:r>
      <w:r w:rsidR="00003D89">
        <w:rPr>
          <w:lang w:val="fr-FR"/>
        </w:rPr>
        <w:t xml:space="preserve">s gouvernements et les organisations à participer </w:t>
      </w:r>
      <w:r w:rsidR="00EC71BA">
        <w:rPr>
          <w:lang w:val="fr-FR"/>
        </w:rPr>
        <w:t xml:space="preserve">activement à </w:t>
      </w:r>
      <w:r w:rsidRPr="00546330">
        <w:rPr>
          <w:lang w:val="fr-FR"/>
        </w:rPr>
        <w:t>l</w:t>
      </w:r>
      <w:r w:rsidR="005F2B0E">
        <w:rPr>
          <w:lang w:val="fr-FR"/>
        </w:rPr>
        <w:t xml:space="preserve">a mise en œuvre </w:t>
      </w:r>
      <w:r w:rsidR="00062CED">
        <w:rPr>
          <w:lang w:val="fr-FR"/>
        </w:rPr>
        <w:t xml:space="preserve">du </w:t>
      </w:r>
      <w:r w:rsidRPr="00546330">
        <w:rPr>
          <w:lang w:val="fr-FR"/>
        </w:rPr>
        <w:t>programme de travail</w:t>
      </w:r>
      <w:r w:rsidR="009C4932">
        <w:rPr>
          <w:lang w:val="fr-FR"/>
        </w:rPr>
        <w:t xml:space="preserve">, </w:t>
      </w:r>
      <w:r w:rsidR="006815B9" w:rsidRPr="00E21F5A">
        <w:rPr>
          <w:lang w:val="fr-FR"/>
        </w:rPr>
        <w:t>en particulier</w:t>
      </w:r>
      <w:r w:rsidR="00A65504" w:rsidRPr="00E21F5A">
        <w:rPr>
          <w:lang w:val="fr-FR"/>
        </w:rPr>
        <w:t xml:space="preserve"> par la</w:t>
      </w:r>
      <w:r w:rsidR="00E21F5A" w:rsidRPr="00E21F5A">
        <w:rPr>
          <w:lang w:val="fr-FR"/>
        </w:rPr>
        <w:t xml:space="preserve"> </w:t>
      </w:r>
      <w:r w:rsidR="00BF3839" w:rsidRPr="00E21F5A">
        <w:rPr>
          <w:lang w:val="fr-FR"/>
        </w:rPr>
        <w:t xml:space="preserve">désignation </w:t>
      </w:r>
      <w:r w:rsidR="00A65504" w:rsidRPr="00E21F5A">
        <w:rPr>
          <w:lang w:val="fr-FR"/>
        </w:rPr>
        <w:t>équilibrée d’experts</w:t>
      </w:r>
      <w:r w:rsidR="00C83231" w:rsidRPr="00E21F5A">
        <w:rPr>
          <w:lang w:val="fr-FR"/>
        </w:rPr>
        <w:t xml:space="preserve"> </w:t>
      </w:r>
      <w:r w:rsidR="00A65504" w:rsidRPr="00E21F5A">
        <w:rPr>
          <w:lang w:val="fr-FR"/>
        </w:rPr>
        <w:t>et l’examen des projets de produits</w:t>
      </w:r>
      <w:r w:rsidR="00C83231" w:rsidRPr="00E21F5A">
        <w:rPr>
          <w:lang w:val="fr-FR"/>
        </w:rPr>
        <w:t xml:space="preserve">, </w:t>
      </w:r>
      <w:r w:rsidR="00A65504" w:rsidRPr="00E21F5A">
        <w:rPr>
          <w:lang w:val="fr-FR"/>
        </w:rPr>
        <w:t xml:space="preserve"> </w:t>
      </w:r>
    </w:p>
    <w:p w14:paraId="55FC72FD" w14:textId="50D42B20" w:rsidR="00CA339A" w:rsidRPr="0053361A" w:rsidRDefault="00CA339A" w:rsidP="00764BF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90" w:firstLine="18"/>
        <w:jc w:val="center"/>
        <w:rPr>
          <w:b/>
          <w:bCs/>
          <w:sz w:val="24"/>
          <w:szCs w:val="24"/>
          <w:lang w:val="fr-FR"/>
        </w:rPr>
      </w:pPr>
      <w:r w:rsidRPr="0053361A">
        <w:rPr>
          <w:b/>
          <w:bCs/>
          <w:sz w:val="24"/>
          <w:szCs w:val="24"/>
          <w:lang w:val="fr-FR"/>
        </w:rPr>
        <w:t>I</w:t>
      </w:r>
    </w:p>
    <w:p w14:paraId="5E999C2B" w14:textId="666C5678" w:rsidR="00464576" w:rsidRPr="000C60DD" w:rsidRDefault="00464576" w:rsidP="00764BF1">
      <w:pPr>
        <w:pStyle w:val="Normal-pool"/>
        <w:keepNext/>
        <w:keepLines/>
        <w:spacing w:after="120"/>
        <w:ind w:left="1890"/>
        <w:jc w:val="center"/>
        <w:rPr>
          <w:b/>
          <w:sz w:val="24"/>
          <w:szCs w:val="24"/>
          <w:lang w:val="fr-FR"/>
        </w:rPr>
      </w:pPr>
      <w:r w:rsidRPr="000C60DD">
        <w:rPr>
          <w:b/>
          <w:bCs/>
          <w:sz w:val="24"/>
          <w:szCs w:val="24"/>
          <w:lang w:val="fr-FR"/>
        </w:rPr>
        <w:t xml:space="preserve">Mise en œuvre du programme de travail de la Plateforme </w:t>
      </w:r>
      <w:r w:rsidR="00A01CD2" w:rsidRPr="000C60DD">
        <w:rPr>
          <w:b/>
          <w:bCs/>
          <w:sz w:val="24"/>
          <w:szCs w:val="24"/>
          <w:lang w:val="fr-FR"/>
        </w:rPr>
        <w:t xml:space="preserve">pour la période allant </w:t>
      </w:r>
      <w:r w:rsidRPr="000C60DD">
        <w:rPr>
          <w:b/>
          <w:bCs/>
          <w:sz w:val="24"/>
          <w:szCs w:val="24"/>
          <w:lang w:val="fr-FR"/>
        </w:rPr>
        <w:t>jusqu</w:t>
      </w:r>
      <w:r w:rsidR="00275DBD" w:rsidRPr="000C60DD">
        <w:rPr>
          <w:b/>
          <w:bCs/>
          <w:sz w:val="24"/>
          <w:szCs w:val="24"/>
          <w:lang w:val="fr-FR"/>
        </w:rPr>
        <w:t>’</w:t>
      </w:r>
      <w:r w:rsidRPr="000C60DD">
        <w:rPr>
          <w:b/>
          <w:bCs/>
          <w:sz w:val="24"/>
          <w:szCs w:val="24"/>
          <w:lang w:val="fr-FR"/>
        </w:rPr>
        <w:t>en 2030</w:t>
      </w:r>
    </w:p>
    <w:p w14:paraId="46090D57" w14:textId="58CD74C7" w:rsidR="00464576" w:rsidRPr="00546330" w:rsidRDefault="00464576" w:rsidP="00764BF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2" w:firstLine="619"/>
        <w:rPr>
          <w:lang w:val="fr-FR"/>
        </w:rPr>
      </w:pPr>
      <w:r w:rsidRPr="00546330">
        <w:rPr>
          <w:lang w:val="fr-FR"/>
        </w:rPr>
        <w:t>1.</w:t>
      </w:r>
      <w:r w:rsidRPr="00546330">
        <w:rPr>
          <w:lang w:val="fr-FR"/>
        </w:rPr>
        <w:tab/>
      </w:r>
      <w:r w:rsidRPr="00546330">
        <w:rPr>
          <w:i/>
          <w:iCs/>
          <w:lang w:val="fr-FR"/>
        </w:rPr>
        <w:t xml:space="preserve">Décide </w:t>
      </w:r>
      <w:r w:rsidRPr="00546330">
        <w:rPr>
          <w:lang w:val="fr-FR"/>
        </w:rPr>
        <w:t xml:space="preserve">de procéder à la mise en œuvre du programme de travail conformément </w:t>
      </w:r>
      <w:r w:rsidR="00A0510E">
        <w:rPr>
          <w:lang w:val="fr-FR"/>
        </w:rPr>
        <w:t xml:space="preserve">aux décisions adoptées lors de ses précédentes sessions, à la présente décision et </w:t>
      </w:r>
      <w:r w:rsidRPr="00546330">
        <w:rPr>
          <w:lang w:val="fr-FR"/>
        </w:rPr>
        <w:t>au budget app</w:t>
      </w:r>
      <w:r w:rsidR="00881550" w:rsidRPr="00546330">
        <w:rPr>
          <w:lang w:val="fr-FR"/>
        </w:rPr>
        <w:t>rouvé</w:t>
      </w:r>
      <w:r w:rsidR="005C310D">
        <w:rPr>
          <w:lang w:val="fr-FR"/>
        </w:rPr>
        <w:t>,</w:t>
      </w:r>
      <w:r w:rsidR="00804A35">
        <w:rPr>
          <w:lang w:val="fr-FR"/>
        </w:rPr>
        <w:t xml:space="preserve"> qui </w:t>
      </w:r>
      <w:r w:rsidR="00881550" w:rsidRPr="00546330">
        <w:rPr>
          <w:lang w:val="fr-FR"/>
        </w:rPr>
        <w:t>figur</w:t>
      </w:r>
      <w:r w:rsidR="00804A35">
        <w:rPr>
          <w:lang w:val="fr-FR"/>
        </w:rPr>
        <w:t>e</w:t>
      </w:r>
      <w:r w:rsidR="00881550" w:rsidRPr="00546330">
        <w:rPr>
          <w:lang w:val="fr-FR"/>
        </w:rPr>
        <w:t xml:space="preserve"> dans la décision </w:t>
      </w:r>
      <w:r w:rsidRPr="00546330">
        <w:rPr>
          <w:lang w:val="fr-FR"/>
        </w:rPr>
        <w:t>IPBES-</w:t>
      </w:r>
      <w:r w:rsidR="00184AB9">
        <w:rPr>
          <w:lang w:val="fr-FR"/>
        </w:rPr>
        <w:t>8</w:t>
      </w:r>
      <w:r w:rsidRPr="00546330">
        <w:rPr>
          <w:lang w:val="fr-FR"/>
        </w:rPr>
        <w:t xml:space="preserve">/[ </w:t>
      </w:r>
      <w:r w:rsidR="00AE5B70" w:rsidRPr="00546330">
        <w:rPr>
          <w:lang w:val="fr-FR"/>
        </w:rPr>
        <w:t xml:space="preserve">  </w:t>
      </w:r>
      <w:r w:rsidRPr="00546330">
        <w:rPr>
          <w:lang w:val="fr-FR"/>
        </w:rPr>
        <w:t>]</w:t>
      </w:r>
      <w:r w:rsidR="00CA0593">
        <w:rPr>
          <w:rStyle w:val="FootnoteReference"/>
          <w:lang w:val="fr-FR"/>
        </w:rPr>
        <w:footnoteReference w:id="3"/>
      </w:r>
      <w:r w:rsidRPr="00546330">
        <w:rPr>
          <w:lang w:val="fr-FR"/>
        </w:rPr>
        <w:t> ;</w:t>
      </w:r>
    </w:p>
    <w:p w14:paraId="645195C6" w14:textId="1C651E1F" w:rsidR="00464576" w:rsidRDefault="00464576" w:rsidP="00764BF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fr-FR"/>
        </w:rPr>
      </w:pPr>
      <w:r w:rsidRPr="00546330">
        <w:rPr>
          <w:lang w:val="fr-FR"/>
        </w:rPr>
        <w:t>2.</w:t>
      </w:r>
      <w:r w:rsidRPr="00546330">
        <w:rPr>
          <w:lang w:val="fr-FR"/>
        </w:rPr>
        <w:tab/>
      </w:r>
      <w:r w:rsidRPr="00546330">
        <w:rPr>
          <w:i/>
          <w:iCs/>
          <w:lang w:val="fr-FR"/>
        </w:rPr>
        <w:t xml:space="preserve">Prie </w:t>
      </w:r>
      <w:r w:rsidRPr="00546330">
        <w:rPr>
          <w:lang w:val="fr-FR"/>
        </w:rPr>
        <w:t xml:space="preserve">la Secrétaire exécutive </w:t>
      </w:r>
      <w:r w:rsidR="00881550" w:rsidRPr="00546330">
        <w:rPr>
          <w:lang w:val="fr-FR"/>
        </w:rPr>
        <w:t xml:space="preserve">de lui présenter, à sa </w:t>
      </w:r>
      <w:r w:rsidR="00413BF8">
        <w:rPr>
          <w:lang w:val="fr-FR"/>
        </w:rPr>
        <w:t>neuvième</w:t>
      </w:r>
      <w:r w:rsidR="00881550" w:rsidRPr="00546330">
        <w:rPr>
          <w:lang w:val="fr-FR"/>
        </w:rPr>
        <w:t> </w:t>
      </w:r>
      <w:r w:rsidRPr="00546330">
        <w:rPr>
          <w:lang w:val="fr-FR"/>
        </w:rPr>
        <w:t>session, un rapport sur les progrès accomplis dans</w:t>
      </w:r>
      <w:r w:rsidR="00E71004">
        <w:rPr>
          <w:lang w:val="fr-FR"/>
        </w:rPr>
        <w:t xml:space="preserve"> </w:t>
      </w:r>
      <w:r w:rsidR="002175FE">
        <w:rPr>
          <w:lang w:val="fr-FR"/>
        </w:rPr>
        <w:t>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exécution du programme de travail</w:t>
      </w:r>
      <w:r w:rsidR="00F91BD8">
        <w:rPr>
          <w:lang w:val="fr-FR"/>
        </w:rPr>
        <w:t> ;</w:t>
      </w:r>
    </w:p>
    <w:p w14:paraId="05217530" w14:textId="72E3FEAB" w:rsidR="00F317F9" w:rsidRPr="00FC39F0" w:rsidRDefault="00420DD1" w:rsidP="00764BF1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FC39F0">
        <w:rPr>
          <w:lang w:val="fr-FR"/>
        </w:rPr>
        <w:t xml:space="preserve">La Plénière </w:t>
      </w:r>
      <w:r w:rsidR="00DA28AE" w:rsidRPr="00FC39F0">
        <w:rPr>
          <w:lang w:val="fr-FR"/>
        </w:rPr>
        <w:t xml:space="preserve">souhaitera peut-être examiner les projets de décision </w:t>
      </w:r>
      <w:r w:rsidR="00FC39F0" w:rsidRPr="00FC39F0">
        <w:rPr>
          <w:lang w:val="fr-FR"/>
        </w:rPr>
        <w:t>ci</w:t>
      </w:r>
      <w:r w:rsidR="00FC39F0">
        <w:rPr>
          <w:lang w:val="fr-FR"/>
        </w:rPr>
        <w:t>-après</w:t>
      </w:r>
      <w:r w:rsidR="006D0C1D">
        <w:rPr>
          <w:lang w:val="fr-FR"/>
        </w:rPr>
        <w:t>,</w:t>
      </w:r>
      <w:r w:rsidR="00FC39F0">
        <w:rPr>
          <w:lang w:val="fr-FR"/>
        </w:rPr>
        <w:t xml:space="preserve"> qui relèvent du point</w:t>
      </w:r>
      <w:r w:rsidR="00CB6616">
        <w:rPr>
          <w:lang w:val="fr-FR"/>
        </w:rPr>
        <w:t> </w:t>
      </w:r>
      <w:r w:rsidR="00FC39F0">
        <w:rPr>
          <w:lang w:val="fr-FR"/>
        </w:rPr>
        <w:t xml:space="preserve">7 de l’ordre du jour provisoire : </w:t>
      </w:r>
      <w:r w:rsidR="00F317F9" w:rsidRPr="00FC39F0">
        <w:rPr>
          <w:lang w:val="fr-FR"/>
        </w:rPr>
        <w:t xml:space="preserve"> </w:t>
      </w:r>
    </w:p>
    <w:p w14:paraId="28EBBE99" w14:textId="77777777" w:rsidR="00464576" w:rsidRPr="0053361A" w:rsidRDefault="00464576" w:rsidP="00464576">
      <w:pPr>
        <w:pStyle w:val="Normal-pool"/>
        <w:keepNext/>
        <w:keepLines/>
        <w:spacing w:before="240" w:after="120"/>
        <w:ind w:left="1890"/>
        <w:jc w:val="center"/>
        <w:rPr>
          <w:b/>
          <w:sz w:val="24"/>
          <w:szCs w:val="24"/>
          <w:lang w:val="fr-FR"/>
        </w:rPr>
      </w:pPr>
      <w:r w:rsidRPr="0053361A">
        <w:rPr>
          <w:b/>
          <w:bCs/>
          <w:sz w:val="24"/>
          <w:szCs w:val="24"/>
          <w:lang w:val="fr-FR"/>
        </w:rPr>
        <w:t>II</w:t>
      </w:r>
    </w:p>
    <w:p w14:paraId="76FBBC1C" w14:textId="35C52B8F" w:rsidR="00464576" w:rsidRPr="0053361A" w:rsidRDefault="00464576" w:rsidP="00464576">
      <w:pPr>
        <w:pStyle w:val="Normal-pool"/>
        <w:keepNext/>
        <w:keepLines/>
        <w:tabs>
          <w:tab w:val="clear" w:pos="1247"/>
          <w:tab w:val="left" w:pos="1890"/>
        </w:tabs>
        <w:spacing w:after="120"/>
        <w:ind w:left="1800"/>
        <w:jc w:val="center"/>
        <w:rPr>
          <w:b/>
          <w:bCs/>
          <w:sz w:val="24"/>
          <w:szCs w:val="24"/>
          <w:lang w:val="fr-FR"/>
        </w:rPr>
      </w:pPr>
      <w:r w:rsidRPr="0053361A">
        <w:rPr>
          <w:b/>
          <w:bCs/>
          <w:sz w:val="24"/>
          <w:szCs w:val="24"/>
          <w:lang w:val="fr-FR"/>
        </w:rPr>
        <w:t>Évaluation des connaissances</w:t>
      </w:r>
    </w:p>
    <w:p w14:paraId="19B47CF3" w14:textId="69A1D64E" w:rsidR="005F4786" w:rsidRPr="00D4416C" w:rsidRDefault="005F4786" w:rsidP="005F4786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D4416C">
        <w:rPr>
          <w:rFonts w:eastAsia="Calibri"/>
          <w:iCs/>
        </w:rPr>
        <w:t>1.</w:t>
      </w:r>
      <w:r w:rsidRPr="00D4416C">
        <w:rPr>
          <w:rFonts w:eastAsia="Calibri"/>
          <w:iCs/>
        </w:rPr>
        <w:tab/>
      </w:r>
      <w:r w:rsidRPr="00D4416C">
        <w:rPr>
          <w:rFonts w:eastAsia="Calibri"/>
          <w:i/>
        </w:rPr>
        <w:t>Appro</w:t>
      </w:r>
      <w:r w:rsidR="004C4F74" w:rsidRPr="00D4416C">
        <w:rPr>
          <w:rFonts w:eastAsia="Calibri"/>
          <w:i/>
        </w:rPr>
        <w:t>uve</w:t>
      </w:r>
      <w:r w:rsidRPr="00D4416C">
        <w:rPr>
          <w:rFonts w:eastAsia="Calibri"/>
        </w:rPr>
        <w:t xml:space="preserve"> </w:t>
      </w:r>
      <w:r w:rsidR="004C4F74" w:rsidRPr="00D4416C">
        <w:rPr>
          <w:rFonts w:eastAsia="Calibri"/>
        </w:rPr>
        <w:t>la</w:t>
      </w:r>
      <w:r w:rsidRPr="00D4416C">
        <w:rPr>
          <w:rFonts w:eastAsia="Calibri"/>
        </w:rPr>
        <w:t xml:space="preserve"> </w:t>
      </w:r>
      <w:r w:rsidR="004C4F74" w:rsidRPr="00D4416C">
        <w:rPr>
          <w:rFonts w:eastAsia="Calibri"/>
        </w:rPr>
        <w:t>r</w:t>
      </w:r>
      <w:r w:rsidR="00C956C1" w:rsidRPr="00D4416C">
        <w:rPr>
          <w:rFonts w:eastAsia="Calibri"/>
        </w:rPr>
        <w:t>é</w:t>
      </w:r>
      <w:r w:rsidR="004C4F74" w:rsidRPr="00D4416C">
        <w:rPr>
          <w:rFonts w:eastAsia="Calibri"/>
        </w:rPr>
        <w:t>ali</w:t>
      </w:r>
      <w:r w:rsidR="00C956C1" w:rsidRPr="00D4416C">
        <w:rPr>
          <w:rFonts w:eastAsia="Calibri"/>
        </w:rPr>
        <w:t>s</w:t>
      </w:r>
      <w:r w:rsidR="004C4F74" w:rsidRPr="00D4416C">
        <w:rPr>
          <w:rFonts w:eastAsia="Calibri"/>
        </w:rPr>
        <w:t xml:space="preserve">ation d’une évaluation thématique </w:t>
      </w:r>
      <w:r w:rsidR="00C956C1" w:rsidRPr="00D4416C">
        <w:rPr>
          <w:rFonts w:eastAsia="Calibri"/>
        </w:rPr>
        <w:t xml:space="preserve">des liens </w:t>
      </w:r>
      <w:r w:rsidR="00D77405">
        <w:rPr>
          <w:rFonts w:eastAsia="Calibri"/>
        </w:rPr>
        <w:t>d’in</w:t>
      </w:r>
      <w:r w:rsidR="009703DD">
        <w:rPr>
          <w:rFonts w:eastAsia="Calibri"/>
        </w:rPr>
        <w:t>t</w:t>
      </w:r>
      <w:r w:rsidR="00D77405">
        <w:rPr>
          <w:rFonts w:eastAsia="Calibri"/>
        </w:rPr>
        <w:t>e</w:t>
      </w:r>
      <w:r w:rsidR="009703DD">
        <w:rPr>
          <w:rFonts w:eastAsia="Calibri"/>
        </w:rPr>
        <w:t>r</w:t>
      </w:r>
      <w:r w:rsidR="00D77405">
        <w:rPr>
          <w:rFonts w:eastAsia="Calibri"/>
        </w:rPr>
        <w:t xml:space="preserve">dépendance </w:t>
      </w:r>
      <w:r w:rsidR="009703DD">
        <w:rPr>
          <w:rFonts w:eastAsia="Calibri"/>
        </w:rPr>
        <w:t>e</w:t>
      </w:r>
      <w:r w:rsidR="00C956C1" w:rsidRPr="00D4416C">
        <w:rPr>
          <w:rFonts w:eastAsia="Calibri"/>
        </w:rPr>
        <w:t xml:space="preserve">ntre </w:t>
      </w:r>
      <w:r w:rsidR="009703DD">
        <w:rPr>
          <w:rFonts w:eastAsia="Calibri"/>
        </w:rPr>
        <w:t xml:space="preserve">la </w:t>
      </w:r>
      <w:r w:rsidR="00C956C1" w:rsidRPr="00D4416C">
        <w:rPr>
          <w:rFonts w:eastAsia="Calibri"/>
        </w:rPr>
        <w:t xml:space="preserve">biodiversité, </w:t>
      </w:r>
      <w:r w:rsidR="009703DD">
        <w:rPr>
          <w:rFonts w:eastAsia="Calibri"/>
        </w:rPr>
        <w:t xml:space="preserve">le </w:t>
      </w:r>
      <w:r w:rsidR="00C956C1" w:rsidRPr="00D4416C">
        <w:rPr>
          <w:rFonts w:eastAsia="Calibri"/>
        </w:rPr>
        <w:t>climat</w:t>
      </w:r>
      <w:r w:rsidR="00487277" w:rsidRPr="00D4416C">
        <w:rPr>
          <w:rFonts w:eastAsia="Calibri"/>
        </w:rPr>
        <w:t xml:space="preserve">, </w:t>
      </w:r>
      <w:r w:rsidR="009703DD">
        <w:rPr>
          <w:rFonts w:eastAsia="Calibri"/>
        </w:rPr>
        <w:t>l’</w:t>
      </w:r>
      <w:r w:rsidR="00487277" w:rsidRPr="00D4416C">
        <w:rPr>
          <w:rFonts w:eastAsia="Calibri"/>
        </w:rPr>
        <w:t xml:space="preserve">eau, </w:t>
      </w:r>
      <w:r w:rsidR="009703DD" w:rsidRPr="00DB709D">
        <w:rPr>
          <w:rFonts w:eastAsia="Calibri"/>
        </w:rPr>
        <w:t>l’</w:t>
      </w:r>
      <w:r w:rsidR="00487277" w:rsidRPr="00DB709D">
        <w:rPr>
          <w:rFonts w:eastAsia="Calibri"/>
        </w:rPr>
        <w:t>aliment</w:t>
      </w:r>
      <w:r w:rsidR="004F4D94" w:rsidRPr="00DB709D">
        <w:rPr>
          <w:rFonts w:eastAsia="Calibri"/>
        </w:rPr>
        <w:t>ation</w:t>
      </w:r>
      <w:r w:rsidR="00487277" w:rsidRPr="00D4416C">
        <w:rPr>
          <w:rFonts w:eastAsia="Calibri"/>
        </w:rPr>
        <w:t>,</w:t>
      </w:r>
      <w:r w:rsidR="009703DD">
        <w:rPr>
          <w:rFonts w:eastAsia="Calibri"/>
        </w:rPr>
        <w:t xml:space="preserve"> l’</w:t>
      </w:r>
      <w:r w:rsidR="00487277" w:rsidRPr="00D4416C">
        <w:rPr>
          <w:rFonts w:eastAsia="Calibri"/>
        </w:rPr>
        <w:t xml:space="preserve">énergie et </w:t>
      </w:r>
      <w:r w:rsidR="009703DD">
        <w:rPr>
          <w:rFonts w:eastAsia="Calibri"/>
        </w:rPr>
        <w:t xml:space="preserve">la </w:t>
      </w:r>
      <w:r w:rsidR="00487277" w:rsidRPr="00D4416C">
        <w:rPr>
          <w:rFonts w:eastAsia="Calibri"/>
        </w:rPr>
        <w:t xml:space="preserve">santé, conformément </w:t>
      </w:r>
      <w:r w:rsidR="00E21393" w:rsidRPr="00D4416C">
        <w:rPr>
          <w:rFonts w:eastAsia="Calibri"/>
        </w:rPr>
        <w:t>aux proc</w:t>
      </w:r>
      <w:r w:rsidR="00744D5E" w:rsidRPr="00D4416C">
        <w:rPr>
          <w:rFonts w:eastAsia="Calibri"/>
        </w:rPr>
        <w:t>é</w:t>
      </w:r>
      <w:r w:rsidR="00E21393" w:rsidRPr="00D4416C">
        <w:rPr>
          <w:rFonts w:eastAsia="Calibri"/>
        </w:rPr>
        <w:t>dures d’établissement des produits de la Plateforme</w:t>
      </w:r>
      <w:r w:rsidRPr="004204D7">
        <w:rPr>
          <w:rFonts w:eastAsia="Calibri"/>
          <w:szCs w:val="18"/>
          <w:vertAlign w:val="superscript"/>
        </w:rPr>
        <w:footnoteReference w:id="4"/>
      </w:r>
      <w:r w:rsidRPr="00D4416C">
        <w:rPr>
          <w:rFonts w:eastAsia="Calibri"/>
        </w:rPr>
        <w:t xml:space="preserve"> </w:t>
      </w:r>
      <w:r w:rsidR="00D4416C" w:rsidRPr="00D4416C">
        <w:rPr>
          <w:rFonts w:eastAsia="Calibri"/>
        </w:rPr>
        <w:t xml:space="preserve">et </w:t>
      </w:r>
      <w:r w:rsidR="00511EA6">
        <w:rPr>
          <w:rFonts w:eastAsia="Calibri"/>
        </w:rPr>
        <w:t xml:space="preserve">comme indiqué </w:t>
      </w:r>
      <w:r w:rsidR="00D4416C">
        <w:rPr>
          <w:rFonts w:eastAsia="Calibri"/>
        </w:rPr>
        <w:t>dans le</w:t>
      </w:r>
      <w:r w:rsidR="007675A1">
        <w:rPr>
          <w:rFonts w:eastAsia="Calibri"/>
        </w:rPr>
        <w:t xml:space="preserve"> r</w:t>
      </w:r>
      <w:r w:rsidR="00D4416C">
        <w:rPr>
          <w:rFonts w:eastAsia="Calibri"/>
        </w:rPr>
        <w:t>apport de cadrage</w:t>
      </w:r>
      <w:r w:rsidR="007C25A8">
        <w:rPr>
          <w:rFonts w:eastAsia="Calibri"/>
        </w:rPr>
        <w:t xml:space="preserve"> </w:t>
      </w:r>
      <w:r w:rsidR="00EB297F">
        <w:rPr>
          <w:rFonts w:eastAsia="Calibri"/>
        </w:rPr>
        <w:t>de</w:t>
      </w:r>
      <w:r w:rsidR="007675A1">
        <w:rPr>
          <w:rFonts w:eastAsia="Calibri"/>
        </w:rPr>
        <w:t xml:space="preserve"> </w:t>
      </w:r>
      <w:r w:rsidR="00D4416C">
        <w:rPr>
          <w:rFonts w:eastAsia="Calibri"/>
        </w:rPr>
        <w:t>l’évaluation</w:t>
      </w:r>
      <w:r w:rsidR="00EB297F">
        <w:rPr>
          <w:rFonts w:eastAsia="Calibri"/>
        </w:rPr>
        <w:t xml:space="preserve"> figur</w:t>
      </w:r>
      <w:r w:rsidR="005C310D">
        <w:rPr>
          <w:rFonts w:eastAsia="Calibri"/>
        </w:rPr>
        <w:t>ant</w:t>
      </w:r>
      <w:r w:rsidR="007675A1">
        <w:rPr>
          <w:rFonts w:eastAsia="Calibri"/>
        </w:rPr>
        <w:t xml:space="preserve"> </w:t>
      </w:r>
      <w:r w:rsidR="00D05E4B">
        <w:rPr>
          <w:rFonts w:eastAsia="Calibri"/>
        </w:rPr>
        <w:t xml:space="preserve">dans l’annexe </w:t>
      </w:r>
      <w:r w:rsidRPr="00D4416C">
        <w:rPr>
          <w:rFonts w:eastAsia="Calibri"/>
        </w:rPr>
        <w:t>[ --]</w:t>
      </w:r>
      <w:r w:rsidRPr="004204D7">
        <w:rPr>
          <w:rFonts w:eastAsia="Calibri"/>
          <w:szCs w:val="18"/>
          <w:vertAlign w:val="superscript"/>
        </w:rPr>
        <w:footnoteReference w:id="5"/>
      </w:r>
      <w:r w:rsidRPr="00D4416C">
        <w:rPr>
          <w:rFonts w:eastAsia="Calibri"/>
        </w:rPr>
        <w:t xml:space="preserve"> </w:t>
      </w:r>
      <w:r w:rsidR="005C310D">
        <w:rPr>
          <w:rFonts w:eastAsia="Calibri"/>
        </w:rPr>
        <w:t>de</w:t>
      </w:r>
      <w:r w:rsidR="004E1415">
        <w:rPr>
          <w:rFonts w:eastAsia="Calibri"/>
        </w:rPr>
        <w:t xml:space="preserve"> la présente décision</w:t>
      </w:r>
      <w:r w:rsidR="00A90AFE">
        <w:rPr>
          <w:rFonts w:eastAsia="Calibri"/>
        </w:rPr>
        <w:t xml:space="preserve">, pour </w:t>
      </w:r>
      <w:r w:rsidR="00D94538">
        <w:rPr>
          <w:rFonts w:eastAsia="Calibri"/>
        </w:rPr>
        <w:t>qu’elle l’</w:t>
      </w:r>
      <w:r w:rsidR="0080479A">
        <w:rPr>
          <w:rFonts w:eastAsia="Calibri"/>
        </w:rPr>
        <w:t>exam</w:t>
      </w:r>
      <w:r w:rsidR="00D94538">
        <w:rPr>
          <w:rFonts w:eastAsia="Calibri"/>
        </w:rPr>
        <w:t>ine</w:t>
      </w:r>
      <w:r w:rsidR="0080479A">
        <w:rPr>
          <w:rFonts w:eastAsia="Calibri"/>
        </w:rPr>
        <w:t xml:space="preserve"> </w:t>
      </w:r>
      <w:r w:rsidR="0004165E">
        <w:rPr>
          <w:rFonts w:eastAsia="Calibri"/>
        </w:rPr>
        <w:t>à</w:t>
      </w:r>
      <w:r w:rsidR="00A90AFE">
        <w:rPr>
          <w:rFonts w:eastAsia="Calibri"/>
        </w:rPr>
        <w:t xml:space="preserve"> sa onzième session</w:t>
      </w:r>
      <w:r w:rsidR="00537A5A">
        <w:rPr>
          <w:rFonts w:eastAsia="Calibri"/>
        </w:rPr>
        <w:t> ;</w:t>
      </w:r>
      <w:r w:rsidR="004E1415">
        <w:rPr>
          <w:rFonts w:eastAsia="Calibri"/>
        </w:rPr>
        <w:t xml:space="preserve"> </w:t>
      </w:r>
      <w:r w:rsidRPr="00D4416C">
        <w:rPr>
          <w:rFonts w:eastAsia="Calibri"/>
        </w:rPr>
        <w:t xml:space="preserve"> </w:t>
      </w:r>
    </w:p>
    <w:p w14:paraId="3C2A4600" w14:textId="112556D1" w:rsidR="005F4786" w:rsidRPr="00FA25D2" w:rsidRDefault="005F4786" w:rsidP="005F4786">
      <w:pPr>
        <w:tabs>
          <w:tab w:val="left" w:pos="624"/>
        </w:tabs>
        <w:spacing w:after="120"/>
        <w:ind w:left="1871" w:firstLine="624"/>
        <w:rPr>
          <w:rFonts w:eastAsia="Calibri"/>
          <w:i/>
        </w:rPr>
      </w:pPr>
      <w:r w:rsidRPr="00D20515">
        <w:rPr>
          <w:rFonts w:eastAsia="Calibri"/>
        </w:rPr>
        <w:t>2.</w:t>
      </w:r>
      <w:r w:rsidRPr="00D20515">
        <w:rPr>
          <w:rFonts w:eastAsia="Calibri"/>
          <w:i/>
        </w:rPr>
        <w:t xml:space="preserve"> </w:t>
      </w:r>
      <w:r w:rsidRPr="00D20515">
        <w:rPr>
          <w:rFonts w:eastAsia="Calibri"/>
          <w:i/>
        </w:rPr>
        <w:tab/>
      </w:r>
      <w:r w:rsidR="00537A5A" w:rsidRPr="00FA25D2">
        <w:rPr>
          <w:rFonts w:eastAsia="Calibri"/>
          <w:i/>
        </w:rPr>
        <w:t xml:space="preserve">Approuve également </w:t>
      </w:r>
      <w:r w:rsidR="00537A5A" w:rsidRPr="00FA25D2">
        <w:rPr>
          <w:rFonts w:eastAsia="Calibri"/>
        </w:rPr>
        <w:t>la r</w:t>
      </w:r>
      <w:r w:rsidR="00176FF2" w:rsidRPr="00FA25D2">
        <w:rPr>
          <w:rFonts w:eastAsia="Calibri"/>
        </w:rPr>
        <w:t>é</w:t>
      </w:r>
      <w:r w:rsidR="00537A5A" w:rsidRPr="00FA25D2">
        <w:rPr>
          <w:rFonts w:eastAsia="Calibri"/>
        </w:rPr>
        <w:t>ali</w:t>
      </w:r>
      <w:r w:rsidR="00176FF2" w:rsidRPr="00FA25D2">
        <w:rPr>
          <w:rFonts w:eastAsia="Calibri"/>
        </w:rPr>
        <w:t>s</w:t>
      </w:r>
      <w:r w:rsidR="00537A5A" w:rsidRPr="00FA25D2">
        <w:rPr>
          <w:rFonts w:eastAsia="Calibri"/>
        </w:rPr>
        <w:t xml:space="preserve">ation d’une </w:t>
      </w:r>
      <w:r w:rsidR="000B400E" w:rsidRPr="00FA25D2">
        <w:rPr>
          <w:rFonts w:eastAsia="Calibri"/>
        </w:rPr>
        <w:t xml:space="preserve">évaluation thématique des </w:t>
      </w:r>
      <w:r w:rsidR="0005248C" w:rsidRPr="00FA25D2">
        <w:rPr>
          <w:rFonts w:eastAsia="Calibri"/>
        </w:rPr>
        <w:t>causes profondes</w:t>
      </w:r>
      <w:r w:rsidR="000C6338" w:rsidRPr="00FA25D2">
        <w:rPr>
          <w:rFonts w:eastAsia="Calibri"/>
        </w:rPr>
        <w:t xml:space="preserve"> de la perte de biodiversité</w:t>
      </w:r>
      <w:r w:rsidR="001B6C56" w:rsidRPr="00FA25D2">
        <w:rPr>
          <w:rFonts w:eastAsia="Calibri"/>
        </w:rPr>
        <w:t xml:space="preserve">, </w:t>
      </w:r>
      <w:r w:rsidR="00BF0108">
        <w:rPr>
          <w:rFonts w:eastAsia="Calibri"/>
        </w:rPr>
        <w:t xml:space="preserve">des </w:t>
      </w:r>
      <w:r w:rsidR="00855018" w:rsidRPr="00BF0108">
        <w:rPr>
          <w:rFonts w:eastAsia="Calibri"/>
        </w:rPr>
        <w:t xml:space="preserve">déterminants des changements transformateurs </w:t>
      </w:r>
      <w:r w:rsidR="00E16BC1" w:rsidRPr="00BF0108">
        <w:rPr>
          <w:rFonts w:eastAsia="Calibri"/>
        </w:rPr>
        <w:t>et des</w:t>
      </w:r>
      <w:r w:rsidR="00E9030F">
        <w:rPr>
          <w:rFonts w:eastAsia="Calibri"/>
        </w:rPr>
        <w:t> </w:t>
      </w:r>
      <w:r w:rsidR="00795BB2" w:rsidRPr="00BF0108">
        <w:rPr>
          <w:rFonts w:eastAsia="Calibri"/>
        </w:rPr>
        <w:t>solutions</w:t>
      </w:r>
      <w:r w:rsidR="00795BB2">
        <w:rPr>
          <w:rFonts w:eastAsia="Calibri"/>
        </w:rPr>
        <w:t xml:space="preserve"> pour réaliser </w:t>
      </w:r>
      <w:r w:rsidR="00A56323" w:rsidRPr="00FA25D2">
        <w:rPr>
          <w:rFonts w:eastAsia="Calibri"/>
        </w:rPr>
        <w:t>la Vision</w:t>
      </w:r>
      <w:r w:rsidR="00E9030F">
        <w:rPr>
          <w:rFonts w:eastAsia="Calibri"/>
        </w:rPr>
        <w:t> </w:t>
      </w:r>
      <w:r w:rsidR="00360AF7">
        <w:rPr>
          <w:rFonts w:eastAsia="Calibri"/>
        </w:rPr>
        <w:t xml:space="preserve">2050 </w:t>
      </w:r>
      <w:r w:rsidR="00A56323" w:rsidRPr="00FA25D2">
        <w:rPr>
          <w:rFonts w:eastAsia="Calibri"/>
        </w:rPr>
        <w:t xml:space="preserve">pour la </w:t>
      </w:r>
      <w:r w:rsidR="003C52F4">
        <w:rPr>
          <w:rFonts w:eastAsia="Calibri"/>
        </w:rPr>
        <w:t>bio</w:t>
      </w:r>
      <w:r w:rsidR="00795BB2">
        <w:rPr>
          <w:rFonts w:eastAsia="Calibri"/>
        </w:rPr>
        <w:t>diversité</w:t>
      </w:r>
      <w:r w:rsidRPr="00FA25D2">
        <w:rPr>
          <w:rFonts w:eastAsia="Calibri"/>
        </w:rPr>
        <w:t xml:space="preserve">, </w:t>
      </w:r>
      <w:r w:rsidR="00B858B8" w:rsidRPr="00FA25D2">
        <w:rPr>
          <w:rFonts w:eastAsia="Calibri"/>
        </w:rPr>
        <w:t>conformément aux proc</w:t>
      </w:r>
      <w:r w:rsidR="00217EAB">
        <w:rPr>
          <w:rFonts w:eastAsia="Calibri"/>
        </w:rPr>
        <w:t>é</w:t>
      </w:r>
      <w:r w:rsidR="00B858B8" w:rsidRPr="00FA25D2">
        <w:rPr>
          <w:rFonts w:eastAsia="Calibri"/>
        </w:rPr>
        <w:t xml:space="preserve">dures d’établissement </w:t>
      </w:r>
      <w:r w:rsidR="00FA25D2" w:rsidRPr="00FA25D2">
        <w:rPr>
          <w:rFonts w:eastAsia="Calibri"/>
        </w:rPr>
        <w:t>des pr</w:t>
      </w:r>
      <w:r w:rsidR="00FA25D2">
        <w:rPr>
          <w:rFonts w:eastAsia="Calibri"/>
        </w:rPr>
        <w:t>oduits de la Plateforme</w:t>
      </w:r>
      <w:r w:rsidRPr="004204D7">
        <w:rPr>
          <w:rFonts w:eastAsia="Calibri"/>
          <w:szCs w:val="18"/>
          <w:vertAlign w:val="superscript"/>
        </w:rPr>
        <w:footnoteReference w:id="6"/>
      </w:r>
      <w:r w:rsidRPr="00FA25D2">
        <w:rPr>
          <w:rFonts w:eastAsia="Calibri"/>
        </w:rPr>
        <w:t xml:space="preserve"> </w:t>
      </w:r>
      <w:r w:rsidR="00FA25D2">
        <w:rPr>
          <w:rFonts w:eastAsia="Calibri"/>
        </w:rPr>
        <w:t xml:space="preserve">et </w:t>
      </w:r>
      <w:r w:rsidR="001F78DA">
        <w:rPr>
          <w:rFonts w:eastAsia="Calibri"/>
        </w:rPr>
        <w:t xml:space="preserve">comme indiqué </w:t>
      </w:r>
      <w:r w:rsidR="00217EAB">
        <w:rPr>
          <w:rFonts w:eastAsia="Calibri"/>
        </w:rPr>
        <w:t xml:space="preserve">dans le rapport de cadrage </w:t>
      </w:r>
      <w:r w:rsidR="00AA342F">
        <w:rPr>
          <w:rFonts w:eastAsia="Calibri"/>
        </w:rPr>
        <w:t>de</w:t>
      </w:r>
      <w:r w:rsidR="00021892">
        <w:rPr>
          <w:rFonts w:eastAsia="Calibri"/>
        </w:rPr>
        <w:t xml:space="preserve"> </w:t>
      </w:r>
      <w:r w:rsidR="00217EAB">
        <w:rPr>
          <w:rFonts w:eastAsia="Calibri"/>
        </w:rPr>
        <w:t>l’évaluation figur</w:t>
      </w:r>
      <w:r w:rsidR="005C310D">
        <w:rPr>
          <w:rFonts w:eastAsia="Calibri"/>
        </w:rPr>
        <w:t>ant</w:t>
      </w:r>
      <w:r w:rsidR="00217EAB">
        <w:rPr>
          <w:rFonts w:eastAsia="Calibri"/>
        </w:rPr>
        <w:t xml:space="preserve"> dans l’annexe </w:t>
      </w:r>
      <w:r w:rsidRPr="00FA25D2">
        <w:rPr>
          <w:rFonts w:eastAsia="Calibri"/>
        </w:rPr>
        <w:t>[--]</w:t>
      </w:r>
      <w:r w:rsidRPr="004204D7">
        <w:rPr>
          <w:rFonts w:eastAsia="Calibri"/>
          <w:szCs w:val="18"/>
          <w:vertAlign w:val="superscript"/>
        </w:rPr>
        <w:footnoteReference w:id="7"/>
      </w:r>
      <w:r w:rsidRPr="00FA25D2">
        <w:rPr>
          <w:rFonts w:eastAsia="Calibri"/>
        </w:rPr>
        <w:t xml:space="preserve"> </w:t>
      </w:r>
      <w:r w:rsidR="005C310D">
        <w:rPr>
          <w:rFonts w:eastAsia="Calibri"/>
        </w:rPr>
        <w:t>de</w:t>
      </w:r>
      <w:r w:rsidR="00217EAB">
        <w:rPr>
          <w:rFonts w:eastAsia="Calibri"/>
        </w:rPr>
        <w:t xml:space="preserve"> la présente décision, pour </w:t>
      </w:r>
      <w:r w:rsidR="00BF0108">
        <w:rPr>
          <w:rFonts w:eastAsia="Calibri"/>
        </w:rPr>
        <w:t>qu’elle l’</w:t>
      </w:r>
      <w:r w:rsidR="0080479A">
        <w:rPr>
          <w:rFonts w:eastAsia="Calibri"/>
        </w:rPr>
        <w:t>exam</w:t>
      </w:r>
      <w:r w:rsidR="00BF0108">
        <w:rPr>
          <w:rFonts w:eastAsia="Calibri"/>
        </w:rPr>
        <w:t>ine</w:t>
      </w:r>
      <w:r w:rsidR="0080479A">
        <w:rPr>
          <w:rFonts w:eastAsia="Calibri"/>
        </w:rPr>
        <w:t xml:space="preserve"> </w:t>
      </w:r>
      <w:r w:rsidR="001A4B7F">
        <w:rPr>
          <w:rFonts w:eastAsia="Calibri"/>
        </w:rPr>
        <w:t xml:space="preserve">à sa onzième session ; </w:t>
      </w:r>
    </w:p>
    <w:p w14:paraId="3CCC5208" w14:textId="0DDB0E2E" w:rsidR="005F4786" w:rsidRPr="00A73FB3" w:rsidRDefault="005F4786" w:rsidP="005F4786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A73FB3">
        <w:rPr>
          <w:rFonts w:eastAsia="Calibri"/>
        </w:rPr>
        <w:t>3.</w:t>
      </w:r>
      <w:r w:rsidRPr="00A73FB3">
        <w:rPr>
          <w:rFonts w:eastAsia="Calibri"/>
          <w:i/>
        </w:rPr>
        <w:tab/>
      </w:r>
      <w:r w:rsidR="001A4B7F" w:rsidRPr="00A73FB3">
        <w:rPr>
          <w:rFonts w:eastAsia="Calibri"/>
          <w:i/>
        </w:rPr>
        <w:t>Acc</w:t>
      </w:r>
      <w:r w:rsidR="00D872CA" w:rsidRPr="00A73FB3">
        <w:rPr>
          <w:rFonts w:eastAsia="Calibri"/>
          <w:i/>
        </w:rPr>
        <w:t>u</w:t>
      </w:r>
      <w:r w:rsidR="001A4B7F" w:rsidRPr="00A73FB3">
        <w:rPr>
          <w:rFonts w:eastAsia="Calibri"/>
          <w:i/>
        </w:rPr>
        <w:t>eille avec satisfaction</w:t>
      </w:r>
      <w:r w:rsidR="00D872CA" w:rsidRPr="00A73FB3">
        <w:rPr>
          <w:rFonts w:eastAsia="Calibri"/>
          <w:i/>
        </w:rPr>
        <w:t xml:space="preserve"> </w:t>
      </w:r>
      <w:r w:rsidR="00D872CA" w:rsidRPr="00A73FB3">
        <w:rPr>
          <w:rFonts w:eastAsia="Calibri"/>
        </w:rPr>
        <w:t>l</w:t>
      </w:r>
      <w:r w:rsidRPr="00A73FB3">
        <w:rPr>
          <w:rFonts w:eastAsia="Calibri"/>
        </w:rPr>
        <w:t>e r</w:t>
      </w:r>
      <w:r w:rsidR="00280CCF" w:rsidRPr="00A73FB3">
        <w:rPr>
          <w:rFonts w:eastAsia="Calibri"/>
        </w:rPr>
        <w:t>apport de l’atelier de la Plateforme sur la biodiversité et les pandémies</w:t>
      </w:r>
      <w:r w:rsidR="00E46541" w:rsidRPr="004204D7">
        <w:rPr>
          <w:rFonts w:eastAsia="Calibri"/>
          <w:szCs w:val="18"/>
          <w:vertAlign w:val="superscript"/>
        </w:rPr>
        <w:footnoteReference w:id="8"/>
      </w:r>
      <w:r w:rsidRPr="00A73FB3">
        <w:rPr>
          <w:rFonts w:eastAsia="Calibri"/>
        </w:rPr>
        <w:t>,</w:t>
      </w:r>
      <w:r w:rsidR="00512F09" w:rsidRPr="00A73FB3">
        <w:rPr>
          <w:rFonts w:eastAsia="Calibri"/>
        </w:rPr>
        <w:t xml:space="preserve"> </w:t>
      </w:r>
      <w:r w:rsidR="004A49BB" w:rsidRPr="00A73FB3">
        <w:rPr>
          <w:rFonts w:eastAsia="Calibri"/>
        </w:rPr>
        <w:t xml:space="preserve">et </w:t>
      </w:r>
      <w:r w:rsidRPr="00A73FB3">
        <w:rPr>
          <w:rFonts w:eastAsia="Calibri"/>
        </w:rPr>
        <w:t>invite</w:t>
      </w:r>
      <w:r w:rsidR="004A49BB" w:rsidRPr="00A73FB3">
        <w:rPr>
          <w:rFonts w:eastAsia="Calibri"/>
        </w:rPr>
        <w:t xml:space="preserve"> les </w:t>
      </w:r>
      <w:r w:rsidRPr="00A73FB3">
        <w:rPr>
          <w:rFonts w:eastAsia="Calibri"/>
        </w:rPr>
        <w:t xml:space="preserve">experts </w:t>
      </w:r>
      <w:r w:rsidR="004A49BB" w:rsidRPr="00A73FB3">
        <w:rPr>
          <w:rFonts w:eastAsia="Calibri"/>
        </w:rPr>
        <w:t xml:space="preserve">qui prépareront </w:t>
      </w:r>
      <w:r w:rsidR="00512F09" w:rsidRPr="00A73FB3">
        <w:rPr>
          <w:rFonts w:eastAsia="Calibri"/>
        </w:rPr>
        <w:t>l’évaluation thématique des liens d’interdépendance</w:t>
      </w:r>
      <w:r w:rsidR="00A73FB3" w:rsidRPr="00A73FB3">
        <w:rPr>
          <w:rFonts w:eastAsia="Calibri"/>
        </w:rPr>
        <w:t xml:space="preserve"> </w:t>
      </w:r>
      <w:r w:rsidR="00512F09" w:rsidRPr="00A73FB3">
        <w:rPr>
          <w:rFonts w:eastAsia="Calibri"/>
        </w:rPr>
        <w:t>entre la biodiversité,</w:t>
      </w:r>
      <w:r w:rsidR="00A73FB3" w:rsidRPr="00A73FB3">
        <w:rPr>
          <w:rFonts w:eastAsia="Calibri"/>
        </w:rPr>
        <w:t xml:space="preserve"> le climat, l’eau, l’alimentation, l’én</w:t>
      </w:r>
      <w:r w:rsidR="00A73FB3">
        <w:rPr>
          <w:rFonts w:eastAsia="Calibri"/>
        </w:rPr>
        <w:t xml:space="preserve">ergie et la santé </w:t>
      </w:r>
      <w:r w:rsidR="00DF3188">
        <w:rPr>
          <w:rFonts w:eastAsia="Calibri"/>
        </w:rPr>
        <w:t xml:space="preserve">à </w:t>
      </w:r>
      <w:r w:rsidR="0041307B">
        <w:rPr>
          <w:rFonts w:eastAsia="Calibri"/>
        </w:rPr>
        <w:t>utiliser</w:t>
      </w:r>
      <w:r w:rsidR="00DF3188">
        <w:rPr>
          <w:rFonts w:eastAsia="Calibri"/>
        </w:rPr>
        <w:t xml:space="preserve"> l</w:t>
      </w:r>
      <w:r w:rsidR="0041307B">
        <w:rPr>
          <w:rFonts w:eastAsia="Calibri"/>
        </w:rPr>
        <w:t xml:space="preserve">e rapport </w:t>
      </w:r>
      <w:r w:rsidR="006920CA">
        <w:rPr>
          <w:rFonts w:eastAsia="Calibri"/>
        </w:rPr>
        <w:t xml:space="preserve">dans le cadre </w:t>
      </w:r>
      <w:r w:rsidR="00E07360">
        <w:rPr>
          <w:rFonts w:eastAsia="Calibri"/>
        </w:rPr>
        <w:t xml:space="preserve">de </w:t>
      </w:r>
      <w:r w:rsidR="00861037">
        <w:rPr>
          <w:rFonts w:eastAsia="Calibri"/>
        </w:rPr>
        <w:t>cette évaluation</w:t>
      </w:r>
      <w:r w:rsidR="009B6DEF">
        <w:rPr>
          <w:rFonts w:eastAsia="Calibri"/>
        </w:rPr>
        <w:t>, conformément aux procédures d’établissement des produits de la Plateforme</w:t>
      </w:r>
      <w:r w:rsidR="00761259" w:rsidRPr="004204D7">
        <w:rPr>
          <w:rFonts w:eastAsia="Calibri"/>
          <w:szCs w:val="18"/>
          <w:vertAlign w:val="superscript"/>
        </w:rPr>
        <w:footnoteReference w:id="9"/>
      </w:r>
      <w:r w:rsidR="0033108F">
        <w:rPr>
          <w:rFonts w:eastAsia="Calibri"/>
        </w:rPr>
        <w:t> ;</w:t>
      </w:r>
    </w:p>
    <w:p w14:paraId="0573C331" w14:textId="4B3B41B7" w:rsidR="005F4786" w:rsidRPr="002A79AE" w:rsidRDefault="005F4786" w:rsidP="005F4786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2A79AE">
        <w:rPr>
          <w:rFonts w:eastAsia="Calibri"/>
        </w:rPr>
        <w:t>4.</w:t>
      </w:r>
      <w:r w:rsidRPr="002A79AE">
        <w:rPr>
          <w:rFonts w:eastAsia="Calibri"/>
          <w:i/>
        </w:rPr>
        <w:tab/>
      </w:r>
      <w:r w:rsidR="0033108F" w:rsidRPr="002A79AE">
        <w:rPr>
          <w:rFonts w:eastAsia="Calibri"/>
          <w:i/>
        </w:rPr>
        <w:t xml:space="preserve">Accueille également avec satisfaction </w:t>
      </w:r>
      <w:bookmarkStart w:id="0" w:name="_Hlk66458234"/>
      <w:r w:rsidR="0033108F" w:rsidRPr="002A79AE">
        <w:rPr>
          <w:rFonts w:eastAsia="Calibri"/>
        </w:rPr>
        <w:t xml:space="preserve">le rapport </w:t>
      </w:r>
      <w:r w:rsidR="00473A6B" w:rsidRPr="002A79AE">
        <w:rPr>
          <w:rFonts w:eastAsia="Calibri"/>
        </w:rPr>
        <w:t>sur l’atelier sur la biodiversité et les changements climatiques</w:t>
      </w:r>
      <w:r w:rsidR="009D64E6" w:rsidRPr="004204D7">
        <w:rPr>
          <w:rFonts w:eastAsia="Calibri"/>
          <w:szCs w:val="18"/>
          <w:vertAlign w:val="superscript"/>
        </w:rPr>
        <w:footnoteReference w:id="10"/>
      </w:r>
      <w:r w:rsidRPr="002A79AE">
        <w:rPr>
          <w:rFonts w:eastAsia="Calibri"/>
        </w:rPr>
        <w:t xml:space="preserve">, </w:t>
      </w:r>
      <w:bookmarkEnd w:id="0"/>
      <w:r w:rsidRPr="002A79AE">
        <w:rPr>
          <w:rFonts w:eastAsia="Calibri"/>
        </w:rPr>
        <w:t>co</w:t>
      </w:r>
      <w:r w:rsidR="00C020C3" w:rsidRPr="002A79AE">
        <w:rPr>
          <w:rFonts w:eastAsia="Calibri"/>
        </w:rPr>
        <w:t xml:space="preserve">parrainé </w:t>
      </w:r>
      <w:r w:rsidR="00C425E0" w:rsidRPr="002A79AE">
        <w:rPr>
          <w:rFonts w:eastAsia="Calibri"/>
        </w:rPr>
        <w:t>par la Plateforme et le Groupe d’experts intergouvernemental sur l’évolution du climat, et invite les experts qui prépareront l’</w:t>
      </w:r>
      <w:r w:rsidR="002A79AE" w:rsidRPr="002A79AE">
        <w:rPr>
          <w:rFonts w:eastAsia="Calibri"/>
        </w:rPr>
        <w:t>év</w:t>
      </w:r>
      <w:r w:rsidR="003705F5">
        <w:rPr>
          <w:rFonts w:eastAsia="Calibri"/>
        </w:rPr>
        <w:t>a</w:t>
      </w:r>
      <w:r w:rsidR="002A79AE" w:rsidRPr="002A79AE">
        <w:rPr>
          <w:rFonts w:eastAsia="Calibri"/>
        </w:rPr>
        <w:t>luation thématique des l</w:t>
      </w:r>
      <w:r w:rsidR="003705F5">
        <w:rPr>
          <w:rFonts w:eastAsia="Calibri"/>
        </w:rPr>
        <w:t>ie</w:t>
      </w:r>
      <w:r w:rsidR="002A79AE" w:rsidRPr="002A79AE">
        <w:rPr>
          <w:rFonts w:eastAsia="Calibri"/>
        </w:rPr>
        <w:t>ns d’interdépendance entre la</w:t>
      </w:r>
      <w:r w:rsidR="002A79AE">
        <w:rPr>
          <w:rFonts w:eastAsia="Calibri"/>
        </w:rPr>
        <w:t xml:space="preserve"> biodiversité, le climat, l’eau, l’alimentatio</w:t>
      </w:r>
      <w:r w:rsidR="003705F5">
        <w:rPr>
          <w:rFonts w:eastAsia="Calibri"/>
        </w:rPr>
        <w:t>n,</w:t>
      </w:r>
      <w:r w:rsidR="002B1AE4">
        <w:rPr>
          <w:rFonts w:eastAsia="Calibri"/>
        </w:rPr>
        <w:t xml:space="preserve"> </w:t>
      </w:r>
      <w:r w:rsidR="003705F5">
        <w:rPr>
          <w:rFonts w:eastAsia="Calibri"/>
        </w:rPr>
        <w:t xml:space="preserve">l’énergie et la santé </w:t>
      </w:r>
      <w:r w:rsidR="002B1AE4">
        <w:rPr>
          <w:rFonts w:eastAsia="Calibri"/>
        </w:rPr>
        <w:t>à utiliser le rapport dans le cadre de cette évaluation</w:t>
      </w:r>
      <w:r w:rsidR="00D837E7">
        <w:rPr>
          <w:rFonts w:eastAsia="Calibri"/>
        </w:rPr>
        <w:t xml:space="preserve">, conformément aux procédures d’établissement des produits </w:t>
      </w:r>
      <w:r w:rsidR="00790DA3">
        <w:rPr>
          <w:rFonts w:eastAsia="Calibri"/>
        </w:rPr>
        <w:t>de la Plateforme</w:t>
      </w:r>
      <w:r w:rsidR="009D64E6" w:rsidRPr="004204D7">
        <w:rPr>
          <w:rFonts w:eastAsia="Calibri"/>
          <w:szCs w:val="18"/>
          <w:vertAlign w:val="superscript"/>
        </w:rPr>
        <w:footnoteReference w:id="11"/>
      </w:r>
      <w:r w:rsidR="00790DA3">
        <w:rPr>
          <w:rFonts w:eastAsia="Calibri"/>
        </w:rPr>
        <w:t xml:space="preserve"> ; </w:t>
      </w:r>
    </w:p>
    <w:p w14:paraId="4513F0D0" w14:textId="2A7AC699" w:rsidR="005F4786" w:rsidRPr="00027CA9" w:rsidRDefault="005F4786" w:rsidP="005F4786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027CA9">
        <w:rPr>
          <w:rFonts w:eastAsia="Calibri"/>
        </w:rPr>
        <w:t>5.</w:t>
      </w:r>
      <w:r w:rsidRPr="00027CA9">
        <w:rPr>
          <w:rFonts w:eastAsia="Calibri"/>
          <w:i/>
        </w:rPr>
        <w:tab/>
        <w:t>D</w:t>
      </w:r>
      <w:r w:rsidR="00790DA3" w:rsidRPr="00027CA9">
        <w:rPr>
          <w:rFonts w:eastAsia="Calibri"/>
          <w:i/>
        </w:rPr>
        <w:t>é</w:t>
      </w:r>
      <w:r w:rsidRPr="00027CA9">
        <w:rPr>
          <w:rFonts w:eastAsia="Calibri"/>
          <w:i/>
        </w:rPr>
        <w:t xml:space="preserve">cide, </w:t>
      </w:r>
      <w:r w:rsidR="004A1936" w:rsidRPr="00027CA9">
        <w:rPr>
          <w:rFonts w:eastAsia="Calibri"/>
          <w:iCs/>
        </w:rPr>
        <w:t xml:space="preserve">conformément à la </w:t>
      </w:r>
      <w:r w:rsidR="004A1936" w:rsidRPr="003D2AEB">
        <w:rPr>
          <w:rFonts w:eastAsia="Calibri"/>
          <w:iCs/>
        </w:rPr>
        <w:t>nécessité d</w:t>
      </w:r>
      <w:r w:rsidR="00E43822" w:rsidRPr="003D2AEB">
        <w:rPr>
          <w:rFonts w:eastAsia="Calibri"/>
          <w:iCs/>
        </w:rPr>
        <w:t xml:space="preserve">e </w:t>
      </w:r>
      <w:r w:rsidR="00CB2E22" w:rsidRPr="003D2AEB">
        <w:rPr>
          <w:rFonts w:eastAsia="Calibri"/>
          <w:iCs/>
        </w:rPr>
        <w:t xml:space="preserve">continuer à </w:t>
      </w:r>
      <w:r w:rsidR="00AA4E89" w:rsidRPr="003D2AEB">
        <w:rPr>
          <w:rFonts w:eastAsia="Calibri"/>
          <w:iCs/>
        </w:rPr>
        <w:t xml:space="preserve">gérer </w:t>
      </w:r>
      <w:r w:rsidR="00C978DF" w:rsidRPr="003D2AEB">
        <w:rPr>
          <w:rFonts w:eastAsia="Calibri"/>
          <w:iCs/>
        </w:rPr>
        <w:t>avec</w:t>
      </w:r>
      <w:r w:rsidR="00C978DF" w:rsidRPr="00CB2E22">
        <w:rPr>
          <w:rFonts w:eastAsia="Calibri"/>
          <w:b/>
          <w:bCs/>
          <w:iCs/>
        </w:rPr>
        <w:t xml:space="preserve"> </w:t>
      </w:r>
      <w:r w:rsidR="00C978DF" w:rsidRPr="003D2AEB">
        <w:rPr>
          <w:rFonts w:eastAsia="Calibri"/>
          <w:iCs/>
        </w:rPr>
        <w:t>souplesse</w:t>
      </w:r>
      <w:r w:rsidR="00D96F45" w:rsidRPr="00027CA9">
        <w:rPr>
          <w:rFonts w:eastAsia="Calibri"/>
          <w:iCs/>
        </w:rPr>
        <w:t xml:space="preserve">, </w:t>
      </w:r>
      <w:r w:rsidR="00D86F40" w:rsidRPr="00027CA9">
        <w:rPr>
          <w:rFonts w:eastAsia="Calibri"/>
          <w:iCs/>
        </w:rPr>
        <w:t>tel qu’</w:t>
      </w:r>
      <w:r w:rsidR="00D96F45" w:rsidRPr="00027CA9">
        <w:rPr>
          <w:rFonts w:eastAsia="Calibri"/>
          <w:iCs/>
        </w:rPr>
        <w:t>énoncé au paragraphe</w:t>
      </w:r>
      <w:r w:rsidR="00AC5F53">
        <w:rPr>
          <w:rFonts w:eastAsia="Calibri"/>
          <w:iCs/>
        </w:rPr>
        <w:t> </w:t>
      </w:r>
      <w:r w:rsidR="00D96F45" w:rsidRPr="00027CA9">
        <w:rPr>
          <w:rFonts w:eastAsia="Calibri"/>
          <w:iCs/>
        </w:rPr>
        <w:t>12 de la section</w:t>
      </w:r>
      <w:r w:rsidR="00AC5F53">
        <w:rPr>
          <w:rFonts w:eastAsia="Calibri"/>
          <w:iCs/>
        </w:rPr>
        <w:t> </w:t>
      </w:r>
      <w:r w:rsidR="00D96F45" w:rsidRPr="00027CA9">
        <w:rPr>
          <w:rFonts w:eastAsia="Calibri"/>
          <w:iCs/>
        </w:rPr>
        <w:t xml:space="preserve">II de la </w:t>
      </w:r>
      <w:r w:rsidR="00D86F40" w:rsidRPr="00027CA9">
        <w:rPr>
          <w:rFonts w:eastAsia="Calibri"/>
          <w:iCs/>
        </w:rPr>
        <w:t>décision</w:t>
      </w:r>
      <w:r w:rsidR="00AC5F53">
        <w:rPr>
          <w:rFonts w:eastAsia="Calibri"/>
          <w:iCs/>
        </w:rPr>
        <w:t> </w:t>
      </w:r>
      <w:r w:rsidRPr="00027CA9">
        <w:rPr>
          <w:rFonts w:eastAsia="Calibri"/>
          <w:iCs/>
        </w:rPr>
        <w:t xml:space="preserve">IPBES-7/1, </w:t>
      </w:r>
      <w:r w:rsidR="005269CF">
        <w:rPr>
          <w:rFonts w:eastAsia="Calibri"/>
          <w:iCs/>
        </w:rPr>
        <w:t xml:space="preserve">qu’avec </w:t>
      </w:r>
      <w:r w:rsidR="00510E63">
        <w:rPr>
          <w:rFonts w:eastAsia="Calibri"/>
          <w:iCs/>
        </w:rPr>
        <w:t>l’achèvement du rapport sur l’atelier consacré à la biodiversité et aux changements climatiques</w:t>
      </w:r>
      <w:r w:rsidR="008C1543">
        <w:rPr>
          <w:rFonts w:eastAsia="Calibri"/>
          <w:iCs/>
        </w:rPr>
        <w:t>, un document technique sur la biodiversité et les changements climatiques, dont l’é</w:t>
      </w:r>
      <w:r w:rsidR="00B0020B">
        <w:rPr>
          <w:rFonts w:eastAsia="Calibri"/>
          <w:iCs/>
        </w:rPr>
        <w:t xml:space="preserve">laboration </w:t>
      </w:r>
      <w:r w:rsidR="00480E5F">
        <w:rPr>
          <w:rFonts w:eastAsia="Calibri"/>
          <w:iCs/>
        </w:rPr>
        <w:t xml:space="preserve">avait été </w:t>
      </w:r>
      <w:r w:rsidR="003F5D24">
        <w:rPr>
          <w:rFonts w:eastAsia="Calibri"/>
          <w:iCs/>
        </w:rPr>
        <w:t xml:space="preserve">approuvée </w:t>
      </w:r>
      <w:r w:rsidR="00480E5F">
        <w:rPr>
          <w:rFonts w:eastAsia="Calibri"/>
          <w:iCs/>
        </w:rPr>
        <w:t>au paragraphe</w:t>
      </w:r>
      <w:r w:rsidR="00AC5F53">
        <w:rPr>
          <w:rFonts w:eastAsia="Calibri"/>
          <w:iCs/>
        </w:rPr>
        <w:t> </w:t>
      </w:r>
      <w:r w:rsidR="00480E5F">
        <w:rPr>
          <w:rFonts w:eastAsia="Calibri"/>
          <w:iCs/>
        </w:rPr>
        <w:t>6 de la section</w:t>
      </w:r>
      <w:r w:rsidR="00AC5F53">
        <w:rPr>
          <w:rFonts w:eastAsia="Calibri"/>
          <w:iCs/>
        </w:rPr>
        <w:t> </w:t>
      </w:r>
      <w:r w:rsidR="00480E5F">
        <w:rPr>
          <w:rFonts w:eastAsia="Calibri"/>
          <w:iCs/>
        </w:rPr>
        <w:t>II de la décision</w:t>
      </w:r>
      <w:r w:rsidR="00AC5F53">
        <w:rPr>
          <w:rFonts w:eastAsia="Calibri"/>
          <w:iCs/>
        </w:rPr>
        <w:t> </w:t>
      </w:r>
      <w:r w:rsidRPr="00027CA9">
        <w:rPr>
          <w:rFonts w:eastAsia="Calibri"/>
        </w:rPr>
        <w:t xml:space="preserve">IPBES-7/1, </w:t>
      </w:r>
      <w:r w:rsidR="00500670">
        <w:rPr>
          <w:rFonts w:eastAsia="Calibri"/>
        </w:rPr>
        <w:t>ne s’avère</w:t>
      </w:r>
      <w:r w:rsidR="002B1E2A">
        <w:rPr>
          <w:rFonts w:eastAsia="Calibri"/>
        </w:rPr>
        <w:t xml:space="preserve"> </w:t>
      </w:r>
      <w:r w:rsidR="00480E5F">
        <w:rPr>
          <w:rFonts w:eastAsia="Calibri"/>
        </w:rPr>
        <w:t xml:space="preserve">plus nécessaire ; </w:t>
      </w:r>
      <w:r w:rsidRPr="00027CA9">
        <w:rPr>
          <w:rFonts w:eastAsia="Calibri"/>
        </w:rPr>
        <w:t xml:space="preserve"> </w:t>
      </w:r>
    </w:p>
    <w:p w14:paraId="290A3661" w14:textId="7B05205B" w:rsidR="005F4786" w:rsidRPr="00CD03AE" w:rsidRDefault="005F4786" w:rsidP="005F4786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bookmarkStart w:id="1" w:name="_Hlk66458091"/>
      <w:r w:rsidRPr="00CD03AE">
        <w:rPr>
          <w:rFonts w:eastAsia="Calibri"/>
        </w:rPr>
        <w:lastRenderedPageBreak/>
        <w:t>6.</w:t>
      </w:r>
      <w:r w:rsidRPr="00CD03AE">
        <w:rPr>
          <w:rFonts w:eastAsia="Calibri"/>
        </w:rPr>
        <w:tab/>
      </w:r>
      <w:r w:rsidR="00523782" w:rsidRPr="00CD03AE">
        <w:rPr>
          <w:rFonts w:eastAsia="Calibri"/>
          <w:i/>
          <w:iCs/>
        </w:rPr>
        <w:t>Se félicite</w:t>
      </w:r>
      <w:r w:rsidR="00523782" w:rsidRPr="00CD03AE">
        <w:rPr>
          <w:rFonts w:eastAsia="Calibri"/>
        </w:rPr>
        <w:t xml:space="preserve"> de la </w:t>
      </w:r>
      <w:r w:rsidRPr="00CD03AE">
        <w:rPr>
          <w:rFonts w:eastAsia="Calibri"/>
        </w:rPr>
        <w:t xml:space="preserve">note </w:t>
      </w:r>
      <w:r w:rsidR="00523782" w:rsidRPr="00CD03AE">
        <w:rPr>
          <w:rFonts w:eastAsia="Calibri"/>
        </w:rPr>
        <w:t xml:space="preserve">du </w:t>
      </w:r>
      <w:r w:rsidRPr="00CD03AE">
        <w:rPr>
          <w:rFonts w:eastAsia="Calibri"/>
        </w:rPr>
        <w:t>secr</w:t>
      </w:r>
      <w:r w:rsidR="00877C8D" w:rsidRPr="00CD03AE">
        <w:rPr>
          <w:rFonts w:eastAsia="Calibri"/>
        </w:rPr>
        <w:t>é</w:t>
      </w:r>
      <w:r w:rsidRPr="00CD03AE">
        <w:rPr>
          <w:rFonts w:eastAsia="Calibri"/>
        </w:rPr>
        <w:t xml:space="preserve">tariat </w:t>
      </w:r>
      <w:r w:rsidR="00416E62">
        <w:rPr>
          <w:rFonts w:eastAsia="Calibri"/>
        </w:rPr>
        <w:t xml:space="preserve">sur les </w:t>
      </w:r>
      <w:r w:rsidR="00CD03AE" w:rsidRPr="00CD03AE">
        <w:rPr>
          <w:rFonts w:eastAsia="Calibri"/>
        </w:rPr>
        <w:t>t</w:t>
      </w:r>
      <w:r w:rsidR="00CD03AE">
        <w:rPr>
          <w:rFonts w:eastAsia="Calibri"/>
        </w:rPr>
        <w:t xml:space="preserve">ravaux </w:t>
      </w:r>
      <w:r w:rsidR="001D2FFC">
        <w:rPr>
          <w:rFonts w:eastAsia="Calibri"/>
        </w:rPr>
        <w:t xml:space="preserve">sur </w:t>
      </w:r>
      <w:r w:rsidR="00E67D62">
        <w:rPr>
          <w:rFonts w:eastAsia="Calibri"/>
        </w:rPr>
        <w:t>l</w:t>
      </w:r>
      <w:r w:rsidR="00805823">
        <w:rPr>
          <w:rFonts w:eastAsia="Calibri"/>
        </w:rPr>
        <w:t xml:space="preserve">a biodiversité et les changements climatiques et </w:t>
      </w:r>
      <w:r w:rsidR="0049601E">
        <w:rPr>
          <w:rFonts w:eastAsia="Calibri"/>
        </w:rPr>
        <w:t xml:space="preserve">de </w:t>
      </w:r>
      <w:r w:rsidR="00805823">
        <w:rPr>
          <w:rFonts w:eastAsia="Calibri"/>
        </w:rPr>
        <w:t xml:space="preserve">la collaboration </w:t>
      </w:r>
      <w:r w:rsidR="00A4400E">
        <w:rPr>
          <w:rFonts w:eastAsia="Calibri"/>
        </w:rPr>
        <w:t>avec le Groupe d’experts intergouvernemental sur l’évolution du climat</w:t>
      </w:r>
      <w:r w:rsidR="00C85244" w:rsidRPr="004204D7">
        <w:rPr>
          <w:rFonts w:eastAsia="Calibri"/>
          <w:szCs w:val="18"/>
          <w:vertAlign w:val="superscript"/>
        </w:rPr>
        <w:footnoteReference w:id="12"/>
      </w:r>
      <w:r w:rsidR="00A4400E">
        <w:rPr>
          <w:rFonts w:eastAsia="Calibri"/>
        </w:rPr>
        <w:t> ;</w:t>
      </w:r>
      <w:r w:rsidRPr="00CD03AE">
        <w:rPr>
          <w:rFonts w:eastAsia="Calibri"/>
        </w:rPr>
        <w:t xml:space="preserve"> </w:t>
      </w:r>
    </w:p>
    <w:bookmarkEnd w:id="1"/>
    <w:p w14:paraId="07D4E06A" w14:textId="0D12A56A" w:rsidR="005F4786" w:rsidRPr="00B116F9" w:rsidRDefault="005F4786" w:rsidP="005F4786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B116F9">
        <w:rPr>
          <w:rFonts w:eastAsia="Calibri"/>
        </w:rPr>
        <w:t>7.</w:t>
      </w:r>
      <w:r w:rsidRPr="00B116F9">
        <w:rPr>
          <w:rFonts w:eastAsia="Calibri"/>
        </w:rPr>
        <w:tab/>
      </w:r>
      <w:r w:rsidRPr="00B116F9">
        <w:rPr>
          <w:rFonts w:eastAsia="Calibri"/>
          <w:i/>
          <w:iCs/>
        </w:rPr>
        <w:t>Invite</w:t>
      </w:r>
      <w:r w:rsidRPr="00B116F9">
        <w:rPr>
          <w:rFonts w:eastAsia="Calibri"/>
        </w:rPr>
        <w:t xml:space="preserve"> </w:t>
      </w:r>
      <w:r w:rsidR="00416E62" w:rsidRPr="00B116F9">
        <w:rPr>
          <w:rFonts w:eastAsia="Calibri"/>
        </w:rPr>
        <w:t>le Président</w:t>
      </w:r>
      <w:r w:rsidR="009234A6" w:rsidRPr="00B116F9">
        <w:rPr>
          <w:rFonts w:eastAsia="Calibri"/>
        </w:rPr>
        <w:t xml:space="preserve"> et la Secrétaire ex</w:t>
      </w:r>
      <w:r w:rsidR="00B116F9">
        <w:rPr>
          <w:rFonts w:eastAsia="Calibri"/>
        </w:rPr>
        <w:t>é</w:t>
      </w:r>
      <w:r w:rsidR="009234A6" w:rsidRPr="00B116F9">
        <w:rPr>
          <w:rFonts w:eastAsia="Calibri"/>
        </w:rPr>
        <w:t xml:space="preserve">cutive de la Plateforme à continuer </w:t>
      </w:r>
      <w:r w:rsidR="00457F1B" w:rsidRPr="00B116F9">
        <w:rPr>
          <w:rFonts w:eastAsia="Calibri"/>
        </w:rPr>
        <w:t xml:space="preserve">d’étudier avec le Président et </w:t>
      </w:r>
      <w:r w:rsidR="002B4822" w:rsidRPr="00B116F9">
        <w:rPr>
          <w:rFonts w:eastAsia="Calibri"/>
        </w:rPr>
        <w:t xml:space="preserve">le Secrétaire du Groupe d’experts intergouvernemental sur l’évolution du climat </w:t>
      </w:r>
      <w:r w:rsidR="0065329D" w:rsidRPr="00B116F9">
        <w:rPr>
          <w:rFonts w:eastAsia="Calibri"/>
        </w:rPr>
        <w:t xml:space="preserve">la possibilité d’activités conjointes </w:t>
      </w:r>
      <w:r w:rsidR="00B116F9" w:rsidRPr="00B116F9">
        <w:rPr>
          <w:rFonts w:eastAsia="Calibri"/>
        </w:rPr>
        <w:t xml:space="preserve">entre le </w:t>
      </w:r>
      <w:r w:rsidR="00B116F9">
        <w:rPr>
          <w:rFonts w:eastAsia="Calibri"/>
        </w:rPr>
        <w:t xml:space="preserve">Groupe et la Plateforme, </w:t>
      </w:r>
      <w:bookmarkStart w:id="2" w:name="_Hlk66458066"/>
      <w:r w:rsidR="00E3271D">
        <w:rPr>
          <w:rFonts w:eastAsia="Calibri"/>
        </w:rPr>
        <w:t>notamment celles énoncées dans la section</w:t>
      </w:r>
      <w:r w:rsidR="00C85244">
        <w:rPr>
          <w:rFonts w:eastAsia="Calibri"/>
        </w:rPr>
        <w:t> </w:t>
      </w:r>
      <w:r w:rsidR="00E3271D">
        <w:rPr>
          <w:rFonts w:eastAsia="Calibri"/>
        </w:rPr>
        <w:t xml:space="preserve">II </w:t>
      </w:r>
      <w:r w:rsidR="00E256E2">
        <w:rPr>
          <w:rFonts w:eastAsia="Calibri"/>
        </w:rPr>
        <w:t xml:space="preserve">de la </w:t>
      </w:r>
      <w:r w:rsidRPr="00B116F9">
        <w:rPr>
          <w:rFonts w:eastAsia="Calibri"/>
        </w:rPr>
        <w:t xml:space="preserve">note </w:t>
      </w:r>
      <w:r w:rsidR="00E256E2">
        <w:rPr>
          <w:rFonts w:eastAsia="Calibri"/>
        </w:rPr>
        <w:t xml:space="preserve">sur la biodiversité et les changements climatiques, et </w:t>
      </w:r>
      <w:r w:rsidR="00871790">
        <w:rPr>
          <w:rFonts w:eastAsia="Calibri"/>
        </w:rPr>
        <w:t xml:space="preserve">à </w:t>
      </w:r>
      <w:r w:rsidR="000A314A">
        <w:rPr>
          <w:rFonts w:eastAsia="Calibri"/>
        </w:rPr>
        <w:t>lui faire rapport</w:t>
      </w:r>
      <w:r w:rsidR="00357D48">
        <w:rPr>
          <w:rFonts w:eastAsia="Calibri"/>
        </w:rPr>
        <w:t xml:space="preserve"> </w:t>
      </w:r>
      <w:r w:rsidR="00781048">
        <w:rPr>
          <w:rFonts w:eastAsia="Calibri"/>
        </w:rPr>
        <w:t xml:space="preserve">sur les </w:t>
      </w:r>
      <w:r w:rsidR="00871790">
        <w:rPr>
          <w:rFonts w:eastAsia="Calibri"/>
        </w:rPr>
        <w:t>progrès accomplis</w:t>
      </w:r>
      <w:r w:rsidR="00951A68">
        <w:rPr>
          <w:rFonts w:eastAsia="Calibri"/>
        </w:rPr>
        <w:t xml:space="preserve"> à sa neuvième session</w:t>
      </w:r>
      <w:r w:rsidR="00781048">
        <w:rPr>
          <w:rFonts w:eastAsia="Calibri"/>
        </w:rPr>
        <w:t xml:space="preserve"> ; </w:t>
      </w:r>
      <w:r w:rsidR="00EF1263">
        <w:rPr>
          <w:rFonts w:eastAsia="Calibri"/>
        </w:rPr>
        <w:t xml:space="preserve"> </w:t>
      </w:r>
      <w:r w:rsidRPr="00B116F9">
        <w:rPr>
          <w:rFonts w:eastAsia="Calibri"/>
        </w:rPr>
        <w:t xml:space="preserve"> </w:t>
      </w:r>
      <w:bookmarkEnd w:id="2"/>
    </w:p>
    <w:p w14:paraId="0CB1E654" w14:textId="7BB743E2" w:rsidR="005F4786" w:rsidRPr="00864C55" w:rsidRDefault="00864C55" w:rsidP="00B41B02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864C55">
        <w:rPr>
          <w:lang w:val="fr-FR"/>
        </w:rPr>
        <w:t>La Plénière souhaitera peut-être examiner le projet de décis</w:t>
      </w:r>
      <w:r>
        <w:rPr>
          <w:lang w:val="fr-FR"/>
        </w:rPr>
        <w:t>ion ci-après</w:t>
      </w:r>
      <w:r w:rsidR="002C3476">
        <w:rPr>
          <w:lang w:val="fr-FR"/>
        </w:rPr>
        <w:t>,</w:t>
      </w:r>
      <w:r>
        <w:rPr>
          <w:lang w:val="fr-FR"/>
        </w:rPr>
        <w:t xml:space="preserve"> </w:t>
      </w:r>
      <w:r w:rsidR="00B259BC">
        <w:rPr>
          <w:lang w:val="fr-FR"/>
        </w:rPr>
        <w:t>qui relève du point</w:t>
      </w:r>
      <w:r w:rsidR="00B41B02">
        <w:rPr>
          <w:lang w:val="fr-FR"/>
        </w:rPr>
        <w:t> </w:t>
      </w:r>
      <w:r w:rsidR="00B259BC">
        <w:rPr>
          <w:lang w:val="fr-FR"/>
        </w:rPr>
        <w:t xml:space="preserve">9 de l’ordre du jour provisoire : </w:t>
      </w:r>
      <w:r w:rsidR="005F4786" w:rsidRPr="00864C55">
        <w:rPr>
          <w:lang w:val="fr-FR"/>
        </w:rPr>
        <w:t xml:space="preserve"> </w:t>
      </w:r>
    </w:p>
    <w:p w14:paraId="1FDDD140" w14:textId="74B888A2" w:rsidR="005F4786" w:rsidRPr="00D7180E" w:rsidRDefault="005F4786" w:rsidP="005F4786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D7180E">
        <w:rPr>
          <w:rFonts w:eastAsia="Calibri"/>
          <w:i/>
        </w:rPr>
        <w:t>D</w:t>
      </w:r>
      <w:r w:rsidR="00B259BC" w:rsidRPr="00D7180E">
        <w:rPr>
          <w:rFonts w:eastAsia="Calibri"/>
          <w:i/>
        </w:rPr>
        <w:t>é</w:t>
      </w:r>
      <w:r w:rsidRPr="00D7180E">
        <w:rPr>
          <w:rFonts w:eastAsia="Calibri"/>
          <w:i/>
        </w:rPr>
        <w:t xml:space="preserve">cide, </w:t>
      </w:r>
      <w:r w:rsidRPr="00D7180E">
        <w:rPr>
          <w:rFonts w:eastAsia="Calibri"/>
          <w:iCs/>
        </w:rPr>
        <w:t>no</w:t>
      </w:r>
      <w:r w:rsidR="002D0E20" w:rsidRPr="00D7180E">
        <w:rPr>
          <w:rFonts w:eastAsia="Calibri"/>
          <w:iCs/>
        </w:rPr>
        <w:t>nobstant la section</w:t>
      </w:r>
      <w:r w:rsidR="0066645C">
        <w:rPr>
          <w:rFonts w:eastAsia="Calibri"/>
          <w:iCs/>
        </w:rPr>
        <w:t> </w:t>
      </w:r>
      <w:r w:rsidRPr="00D7180E">
        <w:rPr>
          <w:rFonts w:eastAsia="Calibri"/>
          <w:iCs/>
        </w:rPr>
        <w:t xml:space="preserve">3.1 </w:t>
      </w:r>
      <w:r w:rsidR="002D0E20" w:rsidRPr="00D7180E">
        <w:rPr>
          <w:rFonts w:eastAsia="Calibri"/>
          <w:iCs/>
        </w:rPr>
        <w:t xml:space="preserve">et les dispositions connexes </w:t>
      </w:r>
      <w:r w:rsidR="00211F54" w:rsidRPr="00D7180E">
        <w:rPr>
          <w:rFonts w:eastAsia="Calibri"/>
          <w:iCs/>
        </w:rPr>
        <w:t>des proc</w:t>
      </w:r>
      <w:r w:rsidR="001304AB">
        <w:rPr>
          <w:rFonts w:eastAsia="Calibri"/>
          <w:iCs/>
        </w:rPr>
        <w:t>é</w:t>
      </w:r>
      <w:r w:rsidR="00211F54" w:rsidRPr="00D7180E">
        <w:rPr>
          <w:rFonts w:eastAsia="Calibri"/>
          <w:iCs/>
        </w:rPr>
        <w:t>dures d’établissement des produits de la Plateforme</w:t>
      </w:r>
      <w:r w:rsidR="0066645C" w:rsidRPr="004204D7">
        <w:rPr>
          <w:rFonts w:eastAsia="Calibri"/>
          <w:szCs w:val="18"/>
          <w:vertAlign w:val="superscript"/>
        </w:rPr>
        <w:footnoteReference w:id="13"/>
      </w:r>
      <w:r w:rsidR="00211F54" w:rsidRPr="00D7180E">
        <w:rPr>
          <w:rFonts w:eastAsia="Calibri"/>
          <w:iCs/>
        </w:rPr>
        <w:t xml:space="preserve">, </w:t>
      </w:r>
      <w:r w:rsidR="001C5F5B" w:rsidRPr="00D7180E">
        <w:rPr>
          <w:rFonts w:eastAsia="Calibri"/>
        </w:rPr>
        <w:t xml:space="preserve">de </w:t>
      </w:r>
      <w:r w:rsidR="00E63D26">
        <w:rPr>
          <w:rFonts w:eastAsia="Calibri"/>
        </w:rPr>
        <w:t xml:space="preserve">piloter </w:t>
      </w:r>
      <w:r w:rsidR="001C5F5B" w:rsidRPr="00D7180E">
        <w:rPr>
          <w:rFonts w:eastAsia="Calibri"/>
        </w:rPr>
        <w:t xml:space="preserve">un examen supplémentaire du résumé à l’intention des décideurs </w:t>
      </w:r>
      <w:r w:rsidR="00D7180E" w:rsidRPr="00D7180E">
        <w:rPr>
          <w:rFonts w:eastAsia="Calibri"/>
        </w:rPr>
        <w:t>du rapport d’évaluation méthod</w:t>
      </w:r>
      <w:r w:rsidR="00D7180E">
        <w:rPr>
          <w:rFonts w:eastAsia="Calibri"/>
        </w:rPr>
        <w:t xml:space="preserve">ologique </w:t>
      </w:r>
      <w:r w:rsidR="00A41639">
        <w:rPr>
          <w:rFonts w:eastAsia="Calibri"/>
        </w:rPr>
        <w:t xml:space="preserve">des diverses conceptualisations </w:t>
      </w:r>
      <w:r w:rsidR="009F3311">
        <w:rPr>
          <w:rFonts w:eastAsia="Calibri"/>
        </w:rPr>
        <w:t>des multiples valeurs de la nature et de ses bienfaits</w:t>
      </w:r>
      <w:r w:rsidR="001304AB">
        <w:rPr>
          <w:rFonts w:eastAsia="Calibri"/>
        </w:rPr>
        <w:t xml:space="preserve">, </w:t>
      </w:r>
      <w:r w:rsidR="00F23134">
        <w:rPr>
          <w:rFonts w:eastAsia="Calibri"/>
        </w:rPr>
        <w:t xml:space="preserve">y compris la biodiversité et les fonctions </w:t>
      </w:r>
      <w:r w:rsidR="007F0B16">
        <w:rPr>
          <w:rFonts w:eastAsia="Calibri"/>
        </w:rPr>
        <w:t xml:space="preserve">et services écosystémiques, par les gouvernements en juillet et </w:t>
      </w:r>
      <w:r w:rsidR="00E35C68">
        <w:rPr>
          <w:rFonts w:eastAsia="Calibri"/>
        </w:rPr>
        <w:t xml:space="preserve">aout 2021 ; </w:t>
      </w:r>
    </w:p>
    <w:p w14:paraId="1BB14896" w14:textId="757DBD64" w:rsidR="005F4786" w:rsidRPr="004E378C" w:rsidRDefault="00E35C68" w:rsidP="00222B17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4E378C">
        <w:rPr>
          <w:lang w:val="fr-FR"/>
        </w:rPr>
        <w:t xml:space="preserve">La Plénière souhaitera peut-être </w:t>
      </w:r>
      <w:r w:rsidR="004E378C" w:rsidRPr="004E378C">
        <w:rPr>
          <w:lang w:val="fr-FR"/>
        </w:rPr>
        <w:t>examiner le projet de d</w:t>
      </w:r>
      <w:r w:rsidR="004E378C">
        <w:rPr>
          <w:lang w:val="fr-FR"/>
        </w:rPr>
        <w:t>é</w:t>
      </w:r>
      <w:r w:rsidR="004E378C" w:rsidRPr="004E378C">
        <w:rPr>
          <w:lang w:val="fr-FR"/>
        </w:rPr>
        <w:t>cision ci-aprè</w:t>
      </w:r>
      <w:r w:rsidR="004E378C">
        <w:rPr>
          <w:lang w:val="fr-FR"/>
        </w:rPr>
        <w:t>s</w:t>
      </w:r>
      <w:r w:rsidR="00273371">
        <w:rPr>
          <w:lang w:val="fr-FR"/>
        </w:rPr>
        <w:t>,</w:t>
      </w:r>
      <w:r w:rsidR="00C36241">
        <w:rPr>
          <w:lang w:val="fr-FR"/>
        </w:rPr>
        <w:t xml:space="preserve"> qui relève du point</w:t>
      </w:r>
      <w:r w:rsidR="0066645C">
        <w:rPr>
          <w:lang w:val="fr-FR"/>
        </w:rPr>
        <w:t> </w:t>
      </w:r>
      <w:r w:rsidR="00C36241">
        <w:rPr>
          <w:lang w:val="fr-FR"/>
        </w:rPr>
        <w:t xml:space="preserve">8 de l’ordre du jour provisoire : </w:t>
      </w:r>
      <w:r w:rsidR="004E378C">
        <w:rPr>
          <w:lang w:val="fr-FR"/>
        </w:rPr>
        <w:t xml:space="preserve"> </w:t>
      </w:r>
      <w:r w:rsidR="005F4786" w:rsidRPr="004E378C">
        <w:rPr>
          <w:lang w:val="fr-FR"/>
        </w:rPr>
        <w:t xml:space="preserve"> </w:t>
      </w:r>
    </w:p>
    <w:p w14:paraId="35877A34" w14:textId="77777777" w:rsidR="00464576" w:rsidRPr="008E7183" w:rsidRDefault="00464576" w:rsidP="00464576">
      <w:pPr>
        <w:pStyle w:val="Normal-pool"/>
        <w:keepNext/>
        <w:keepLines/>
        <w:spacing w:before="240" w:after="120"/>
        <w:ind w:left="1890"/>
        <w:jc w:val="center"/>
        <w:rPr>
          <w:b/>
          <w:sz w:val="24"/>
          <w:szCs w:val="24"/>
          <w:lang w:val="fr-FR"/>
        </w:rPr>
      </w:pPr>
      <w:r w:rsidRPr="008E7183">
        <w:rPr>
          <w:b/>
          <w:bCs/>
          <w:sz w:val="24"/>
          <w:szCs w:val="24"/>
          <w:lang w:val="fr-FR"/>
        </w:rPr>
        <w:t>III</w:t>
      </w:r>
    </w:p>
    <w:p w14:paraId="2967ED84" w14:textId="77777777" w:rsidR="00464576" w:rsidRPr="008E7183" w:rsidRDefault="00464576" w:rsidP="00464576">
      <w:pPr>
        <w:pStyle w:val="Normal-pool"/>
        <w:keepNext/>
        <w:keepLines/>
        <w:spacing w:after="120"/>
        <w:ind w:left="1890"/>
        <w:jc w:val="center"/>
        <w:rPr>
          <w:b/>
          <w:sz w:val="24"/>
          <w:szCs w:val="24"/>
          <w:lang w:val="fr-FR"/>
        </w:rPr>
      </w:pPr>
      <w:r w:rsidRPr="008E7183">
        <w:rPr>
          <w:b/>
          <w:bCs/>
          <w:sz w:val="24"/>
          <w:szCs w:val="24"/>
          <w:lang w:val="fr-FR"/>
        </w:rPr>
        <w:t>Renforcement des capacités</w:t>
      </w:r>
    </w:p>
    <w:p w14:paraId="130FA584" w14:textId="32512DB3" w:rsidR="00464576" w:rsidRPr="00546330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fr-FR"/>
        </w:rPr>
      </w:pPr>
      <w:r w:rsidRPr="00546330">
        <w:rPr>
          <w:lang w:val="fr-FR"/>
        </w:rPr>
        <w:t>1.</w:t>
      </w:r>
      <w:r w:rsidRPr="00546330">
        <w:rPr>
          <w:lang w:val="fr-FR"/>
        </w:rPr>
        <w:tab/>
      </w:r>
      <w:r w:rsidR="00846F04" w:rsidRPr="00846F04">
        <w:rPr>
          <w:i/>
          <w:iCs/>
          <w:lang w:val="fr-FR"/>
        </w:rPr>
        <w:t>Se félicite</w:t>
      </w:r>
      <w:r w:rsidR="00846F04">
        <w:rPr>
          <w:lang w:val="fr-FR"/>
        </w:rPr>
        <w:t xml:space="preserve"> </w:t>
      </w:r>
      <w:r w:rsidR="0090180B">
        <w:rPr>
          <w:lang w:val="fr-FR"/>
        </w:rPr>
        <w:t xml:space="preserve">des progrès </w:t>
      </w:r>
      <w:r w:rsidR="003F2AB7">
        <w:rPr>
          <w:lang w:val="fr-FR"/>
        </w:rPr>
        <w:t xml:space="preserve">accomplis </w:t>
      </w:r>
      <w:r w:rsidR="0090180B">
        <w:rPr>
          <w:lang w:val="fr-FR"/>
        </w:rPr>
        <w:t>par l’</w:t>
      </w:r>
      <w:r w:rsidRPr="00546330">
        <w:rPr>
          <w:lang w:val="fr-FR"/>
        </w:rPr>
        <w:t xml:space="preserve">équipe spéciale sur le renforcement des capacités </w:t>
      </w:r>
      <w:r w:rsidR="003F2AB7">
        <w:rPr>
          <w:lang w:val="fr-FR"/>
        </w:rPr>
        <w:t xml:space="preserve">dans la </w:t>
      </w:r>
      <w:r w:rsidR="00AE5B70" w:rsidRPr="00546330">
        <w:rPr>
          <w:lang w:val="fr-FR"/>
        </w:rPr>
        <w:t xml:space="preserve">réalisation des </w:t>
      </w:r>
      <w:r w:rsidR="003A3109">
        <w:rPr>
          <w:lang w:val="fr-FR"/>
        </w:rPr>
        <w:t>objectifs</w:t>
      </w:r>
      <w:r w:rsidR="008E7183">
        <w:rPr>
          <w:lang w:val="fr-FR"/>
        </w:rPr>
        <w:t> </w:t>
      </w:r>
      <w:r w:rsidRPr="00546330">
        <w:rPr>
          <w:lang w:val="fr-FR"/>
        </w:rPr>
        <w:t>2</w:t>
      </w:r>
      <w:r w:rsidR="00DF03E5">
        <w:rPr>
          <w:lang w:val="fr-FR"/>
        </w:rPr>
        <w:t> </w:t>
      </w:r>
      <w:r w:rsidRPr="00546330">
        <w:rPr>
          <w:lang w:val="fr-FR"/>
        </w:rPr>
        <w:t>a), 2</w:t>
      </w:r>
      <w:r w:rsidR="00DF03E5">
        <w:rPr>
          <w:lang w:val="fr-FR"/>
        </w:rPr>
        <w:t> </w:t>
      </w:r>
      <w:r w:rsidRPr="00546330">
        <w:rPr>
          <w:lang w:val="fr-FR"/>
        </w:rPr>
        <w:t>b) et 2</w:t>
      </w:r>
      <w:r w:rsidR="00DF03E5">
        <w:rPr>
          <w:lang w:val="fr-FR"/>
        </w:rPr>
        <w:t> </w:t>
      </w:r>
      <w:r w:rsidRPr="00546330">
        <w:rPr>
          <w:lang w:val="fr-FR"/>
        </w:rPr>
        <w:t xml:space="preserve">c) du programme de travail de la Plateforme </w:t>
      </w:r>
      <w:r w:rsidR="00A81426">
        <w:rPr>
          <w:lang w:val="fr-FR"/>
        </w:rPr>
        <w:t xml:space="preserve">pour la période allant </w:t>
      </w:r>
      <w:r w:rsidRPr="00546330">
        <w:rPr>
          <w:lang w:val="fr-FR"/>
        </w:rPr>
        <w:t>jusqu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en 2030</w:t>
      </w:r>
      <w:r w:rsidR="007F1E46">
        <w:rPr>
          <w:lang w:val="fr-FR"/>
        </w:rPr>
        <w:t xml:space="preserve"> ; </w:t>
      </w:r>
    </w:p>
    <w:p w14:paraId="416A161C" w14:textId="0B703EC2" w:rsidR="00DA4A04" w:rsidRPr="00AC6DCC" w:rsidRDefault="00DA4A04" w:rsidP="00DA4A04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AC6DCC">
        <w:rPr>
          <w:iCs/>
          <w:color w:val="000000"/>
        </w:rPr>
        <w:t>2.</w:t>
      </w:r>
      <w:r w:rsidRPr="00AC6DCC">
        <w:rPr>
          <w:iCs/>
          <w:color w:val="000000"/>
        </w:rPr>
        <w:tab/>
      </w:r>
      <w:r w:rsidRPr="00AC6DCC">
        <w:rPr>
          <w:i/>
          <w:color w:val="000000"/>
        </w:rPr>
        <w:t>Appro</w:t>
      </w:r>
      <w:r w:rsidR="001F099A" w:rsidRPr="00AC6DCC">
        <w:rPr>
          <w:i/>
          <w:color w:val="000000"/>
        </w:rPr>
        <w:t xml:space="preserve">uve </w:t>
      </w:r>
      <w:r w:rsidR="001F099A" w:rsidRPr="00AC6DCC">
        <w:rPr>
          <w:color w:val="000000"/>
        </w:rPr>
        <w:t xml:space="preserve">le plan de travail </w:t>
      </w:r>
      <w:r w:rsidR="00AC6DCC" w:rsidRPr="00AC6DCC">
        <w:rPr>
          <w:color w:val="000000"/>
        </w:rPr>
        <w:t>provisoire de l’équipe spéciale sur le renforcement des capacité</w:t>
      </w:r>
      <w:r w:rsidR="00AC6DCC">
        <w:rPr>
          <w:color w:val="000000"/>
        </w:rPr>
        <w:t xml:space="preserve">s </w:t>
      </w:r>
      <w:r w:rsidR="007148C9">
        <w:rPr>
          <w:color w:val="000000"/>
        </w:rPr>
        <w:t>p</w:t>
      </w:r>
      <w:r w:rsidR="00925A18">
        <w:rPr>
          <w:color w:val="000000"/>
        </w:rPr>
        <w:t xml:space="preserve">our </w:t>
      </w:r>
      <w:r w:rsidR="007148C9">
        <w:rPr>
          <w:color w:val="000000"/>
        </w:rPr>
        <w:t>la période intersession</w:t>
      </w:r>
      <w:r w:rsidR="00E675DC">
        <w:rPr>
          <w:color w:val="000000"/>
        </w:rPr>
        <w:t>s</w:t>
      </w:r>
      <w:r w:rsidR="0092320A">
        <w:rPr>
          <w:color w:val="000000"/>
        </w:rPr>
        <w:t xml:space="preserve"> </w:t>
      </w:r>
      <w:r w:rsidRPr="00AC6DCC">
        <w:rPr>
          <w:color w:val="000000"/>
        </w:rPr>
        <w:t xml:space="preserve">2021–2022, </w:t>
      </w:r>
      <w:r w:rsidR="0092320A">
        <w:rPr>
          <w:color w:val="000000"/>
        </w:rPr>
        <w:t>qui</w:t>
      </w:r>
      <w:r w:rsidR="007538C6">
        <w:rPr>
          <w:color w:val="000000"/>
        </w:rPr>
        <w:t xml:space="preserve"> figure </w:t>
      </w:r>
      <w:r w:rsidR="00566BC0">
        <w:rPr>
          <w:color w:val="000000"/>
        </w:rPr>
        <w:t xml:space="preserve">dans l’annexe </w:t>
      </w:r>
      <w:r w:rsidRPr="00AC6DCC">
        <w:rPr>
          <w:rFonts w:eastAsia="Calibri"/>
        </w:rPr>
        <w:t>[--]</w:t>
      </w:r>
      <w:r w:rsidRPr="00FD563C">
        <w:rPr>
          <w:rFonts w:eastAsia="Calibri"/>
          <w:szCs w:val="18"/>
          <w:vertAlign w:val="superscript"/>
        </w:rPr>
        <w:footnoteReference w:id="14"/>
      </w:r>
      <w:r w:rsidRPr="00AC6DCC">
        <w:rPr>
          <w:rFonts w:eastAsia="Calibri"/>
        </w:rPr>
        <w:t xml:space="preserve"> </w:t>
      </w:r>
      <w:r w:rsidR="00EC5F91">
        <w:rPr>
          <w:rFonts w:eastAsia="Calibri"/>
        </w:rPr>
        <w:t>de</w:t>
      </w:r>
      <w:r w:rsidR="00566BC0">
        <w:rPr>
          <w:rFonts w:eastAsia="Calibri"/>
        </w:rPr>
        <w:t xml:space="preserve"> la présente décision ; </w:t>
      </w:r>
      <w:r w:rsidRPr="00AC6DCC">
        <w:rPr>
          <w:rFonts w:eastAsia="Calibri"/>
          <w:szCs w:val="18"/>
          <w:vertAlign w:val="superscript"/>
        </w:rPr>
        <w:t xml:space="preserve"> </w:t>
      </w:r>
    </w:p>
    <w:p w14:paraId="1DDEF81B" w14:textId="0C407B37" w:rsidR="00DA4A04" w:rsidRPr="00341CB2" w:rsidRDefault="00DA4A04" w:rsidP="00DA4A04">
      <w:pPr>
        <w:tabs>
          <w:tab w:val="left" w:pos="624"/>
        </w:tabs>
        <w:spacing w:after="120"/>
        <w:ind w:left="1871" w:firstLine="624"/>
        <w:rPr>
          <w:color w:val="000000"/>
        </w:rPr>
      </w:pPr>
      <w:r w:rsidRPr="00341CB2">
        <w:rPr>
          <w:color w:val="000000"/>
        </w:rPr>
        <w:t>3.</w:t>
      </w:r>
      <w:r w:rsidRPr="00341CB2">
        <w:rPr>
          <w:color w:val="000000"/>
        </w:rPr>
        <w:tab/>
      </w:r>
      <w:r w:rsidR="00566BC0" w:rsidRPr="00341CB2">
        <w:rPr>
          <w:i/>
          <w:iCs/>
          <w:color w:val="000000"/>
        </w:rPr>
        <w:t xml:space="preserve">Se félicite </w:t>
      </w:r>
      <w:r w:rsidR="00566BC0" w:rsidRPr="00341CB2">
        <w:rPr>
          <w:color w:val="000000"/>
        </w:rPr>
        <w:t xml:space="preserve">des progrès </w:t>
      </w:r>
      <w:r w:rsidR="005D5D04" w:rsidRPr="00341CB2">
        <w:rPr>
          <w:color w:val="000000"/>
        </w:rPr>
        <w:t xml:space="preserve">accomplis dans l’élaboration des produits </w:t>
      </w:r>
      <w:r w:rsidR="005E5507" w:rsidRPr="00341CB2">
        <w:rPr>
          <w:color w:val="000000"/>
        </w:rPr>
        <w:t>à l’appui des objectifs</w:t>
      </w:r>
      <w:r w:rsidR="00951CE8">
        <w:rPr>
          <w:color w:val="000000"/>
        </w:rPr>
        <w:t> </w:t>
      </w:r>
      <w:r w:rsidRPr="00341CB2">
        <w:t>2</w:t>
      </w:r>
      <w:r w:rsidR="00951CE8">
        <w:t> </w:t>
      </w:r>
      <w:r w:rsidRPr="00341CB2">
        <w:t>a), 2</w:t>
      </w:r>
      <w:r w:rsidR="00951CE8">
        <w:t> </w:t>
      </w:r>
      <w:r w:rsidRPr="00341CB2">
        <w:t xml:space="preserve">b) </w:t>
      </w:r>
      <w:r w:rsidR="005E5507" w:rsidRPr="00341CB2">
        <w:t xml:space="preserve">et </w:t>
      </w:r>
      <w:r w:rsidRPr="00341CB2">
        <w:t>2</w:t>
      </w:r>
      <w:r w:rsidR="00951CE8">
        <w:t> </w:t>
      </w:r>
      <w:r w:rsidRPr="00341CB2">
        <w:t xml:space="preserve">c) </w:t>
      </w:r>
      <w:r w:rsidR="00341CB2" w:rsidRPr="00341CB2">
        <w:t xml:space="preserve">et des trois </w:t>
      </w:r>
      <w:r w:rsidR="00AC78B1">
        <w:t>sujets</w:t>
      </w:r>
      <w:r w:rsidR="00650E47">
        <w:t xml:space="preserve"> </w:t>
      </w:r>
      <w:r w:rsidR="00341CB2" w:rsidRPr="00341CB2">
        <w:t xml:space="preserve">prioritaires </w:t>
      </w:r>
      <w:r w:rsidR="005C6C6C">
        <w:t xml:space="preserve">initiaux </w:t>
      </w:r>
      <w:r w:rsidR="00341CB2">
        <w:t xml:space="preserve">du programme de travail </w:t>
      </w:r>
      <w:r w:rsidR="005F01B8">
        <w:t xml:space="preserve">de la Plateforme </w:t>
      </w:r>
      <w:r w:rsidR="00F02953">
        <w:t xml:space="preserve">pour la période </w:t>
      </w:r>
      <w:r w:rsidR="007B2262">
        <w:t xml:space="preserve">allant </w:t>
      </w:r>
      <w:r w:rsidR="005F01B8">
        <w:t xml:space="preserve">jusqu’en </w:t>
      </w:r>
      <w:r w:rsidRPr="00341CB2">
        <w:t>2030</w:t>
      </w:r>
      <w:r w:rsidRPr="00827A66">
        <w:rPr>
          <w:szCs w:val="18"/>
          <w:vertAlign w:val="superscript"/>
        </w:rPr>
        <w:footnoteReference w:id="15"/>
      </w:r>
      <w:r w:rsidR="00951CE8">
        <w:t xml:space="preserve">, </w:t>
      </w:r>
      <w:r w:rsidR="005F01B8">
        <w:t>et décide d’exam</w:t>
      </w:r>
      <w:r w:rsidR="00DF0D96">
        <w:t xml:space="preserve">iner ces produits à sa neuvième session ; </w:t>
      </w:r>
    </w:p>
    <w:p w14:paraId="479EC290" w14:textId="77777777" w:rsidR="00DA4A04" w:rsidRPr="00341CB2" w:rsidRDefault="00DA4A04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color w:val="000000"/>
          <w:lang w:val="fr-FR"/>
        </w:rPr>
      </w:pPr>
    </w:p>
    <w:p w14:paraId="50127FFB" w14:textId="77777777" w:rsidR="00464576" w:rsidRPr="00951CE8" w:rsidRDefault="00464576" w:rsidP="00464576">
      <w:pPr>
        <w:pStyle w:val="Normal-pool"/>
        <w:keepNext/>
        <w:keepLines/>
        <w:spacing w:before="240" w:after="120"/>
        <w:ind w:left="1890"/>
        <w:jc w:val="center"/>
        <w:rPr>
          <w:b/>
          <w:sz w:val="24"/>
          <w:szCs w:val="24"/>
          <w:lang w:val="fr-FR"/>
        </w:rPr>
      </w:pPr>
      <w:r w:rsidRPr="00951CE8">
        <w:rPr>
          <w:b/>
          <w:bCs/>
          <w:sz w:val="24"/>
          <w:szCs w:val="24"/>
          <w:lang w:val="fr-FR"/>
        </w:rPr>
        <w:t>IV</w:t>
      </w:r>
    </w:p>
    <w:p w14:paraId="70C48EA2" w14:textId="77777777" w:rsidR="00464576" w:rsidRPr="00951CE8" w:rsidRDefault="00464576" w:rsidP="00464576">
      <w:pPr>
        <w:pStyle w:val="Normal-pool"/>
        <w:keepNext/>
        <w:keepLines/>
        <w:spacing w:after="120"/>
        <w:ind w:left="1800"/>
        <w:jc w:val="center"/>
        <w:rPr>
          <w:b/>
          <w:sz w:val="24"/>
          <w:szCs w:val="24"/>
          <w:lang w:val="fr-FR"/>
        </w:rPr>
      </w:pPr>
      <w:r w:rsidRPr="00951CE8">
        <w:rPr>
          <w:b/>
          <w:bCs/>
          <w:sz w:val="24"/>
          <w:szCs w:val="24"/>
          <w:lang w:val="fr-FR"/>
        </w:rPr>
        <w:t>Renforcement de la base de connaissances</w:t>
      </w:r>
    </w:p>
    <w:p w14:paraId="3FA0BD82" w14:textId="7B66AAC4" w:rsidR="00464576" w:rsidRDefault="00464576" w:rsidP="003D2C2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2" w:firstLine="619"/>
        <w:rPr>
          <w:lang w:val="fr-FR"/>
        </w:rPr>
      </w:pPr>
      <w:bookmarkStart w:id="3" w:name="_Hlk500240677"/>
      <w:r w:rsidRPr="00546330">
        <w:rPr>
          <w:lang w:val="fr-FR"/>
        </w:rPr>
        <w:t>1.</w:t>
      </w:r>
      <w:r w:rsidRPr="00546330">
        <w:rPr>
          <w:lang w:val="fr-FR"/>
        </w:rPr>
        <w:tab/>
      </w:r>
      <w:r w:rsidR="00146055">
        <w:rPr>
          <w:i/>
          <w:iCs/>
          <w:lang w:val="fr-FR"/>
        </w:rPr>
        <w:t xml:space="preserve">Se félicite </w:t>
      </w:r>
      <w:r w:rsidR="00146055">
        <w:rPr>
          <w:lang w:val="fr-FR"/>
        </w:rPr>
        <w:t>des progrès accomplis par l’é</w:t>
      </w:r>
      <w:r w:rsidRPr="00546330">
        <w:rPr>
          <w:lang w:val="fr-FR"/>
        </w:rPr>
        <w:t xml:space="preserve">quipe spéciale sur les connaissances et les données </w:t>
      </w:r>
      <w:r w:rsidR="00EA20B0">
        <w:rPr>
          <w:lang w:val="fr-FR"/>
        </w:rPr>
        <w:t xml:space="preserve">dans la </w:t>
      </w:r>
      <w:r w:rsidR="00B27619" w:rsidRPr="00546330">
        <w:rPr>
          <w:lang w:val="fr-FR"/>
        </w:rPr>
        <w:t>réalisation d</w:t>
      </w:r>
      <w:r w:rsidR="00DC40F4">
        <w:rPr>
          <w:lang w:val="fr-FR"/>
        </w:rPr>
        <w:t>e l’objectif</w:t>
      </w:r>
      <w:r w:rsidR="00951CE8">
        <w:rPr>
          <w:lang w:val="fr-FR"/>
        </w:rPr>
        <w:t> </w:t>
      </w:r>
      <w:r w:rsidRPr="00546330">
        <w:rPr>
          <w:lang w:val="fr-FR"/>
        </w:rPr>
        <w:t>3</w:t>
      </w:r>
      <w:r w:rsidR="00951CE8">
        <w:rPr>
          <w:lang w:val="fr-FR"/>
        </w:rPr>
        <w:t> </w:t>
      </w:r>
      <w:r w:rsidRPr="00546330">
        <w:rPr>
          <w:lang w:val="fr-FR"/>
        </w:rPr>
        <w:t xml:space="preserve">a) du programme de travail de la Plateforme </w:t>
      </w:r>
      <w:r w:rsidR="00F02953">
        <w:rPr>
          <w:lang w:val="fr-FR"/>
        </w:rPr>
        <w:t xml:space="preserve">pour la période allant </w:t>
      </w:r>
      <w:r w:rsidRPr="00546330">
        <w:rPr>
          <w:lang w:val="fr-FR"/>
        </w:rPr>
        <w:t>jusqu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en 2030</w:t>
      </w:r>
      <w:r w:rsidR="00EA20B0">
        <w:rPr>
          <w:lang w:val="fr-FR"/>
        </w:rPr>
        <w:t xml:space="preserve"> ; </w:t>
      </w:r>
    </w:p>
    <w:p w14:paraId="3E0660F4" w14:textId="6E846B68" w:rsidR="008F0CF6" w:rsidRPr="00F238B1" w:rsidRDefault="008F0CF6" w:rsidP="008F0CF6">
      <w:pPr>
        <w:tabs>
          <w:tab w:val="left" w:pos="624"/>
        </w:tabs>
        <w:spacing w:after="120"/>
        <w:ind w:left="1871" w:firstLine="624"/>
        <w:rPr>
          <w:color w:val="000000"/>
        </w:rPr>
      </w:pPr>
      <w:r w:rsidRPr="00F238B1">
        <w:rPr>
          <w:color w:val="000000"/>
        </w:rPr>
        <w:t>2.</w:t>
      </w:r>
      <w:r w:rsidRPr="00F238B1">
        <w:rPr>
          <w:color w:val="000000"/>
        </w:rPr>
        <w:tab/>
      </w:r>
      <w:r w:rsidR="00EC6127" w:rsidRPr="00F238B1">
        <w:rPr>
          <w:i/>
          <w:iCs/>
          <w:color w:val="000000"/>
        </w:rPr>
        <w:t xml:space="preserve">Prend note </w:t>
      </w:r>
      <w:r w:rsidR="00EC6127" w:rsidRPr="00F238B1">
        <w:rPr>
          <w:color w:val="000000"/>
        </w:rPr>
        <w:t>d</w:t>
      </w:r>
      <w:r w:rsidRPr="00F238B1">
        <w:rPr>
          <w:color w:val="000000"/>
        </w:rPr>
        <w:t xml:space="preserve">e </w:t>
      </w:r>
      <w:r w:rsidR="00EC6127" w:rsidRPr="00F238B1">
        <w:rPr>
          <w:color w:val="000000"/>
        </w:rPr>
        <w:t xml:space="preserve">la politique </w:t>
      </w:r>
      <w:r w:rsidR="00F238B1">
        <w:rPr>
          <w:color w:val="000000"/>
        </w:rPr>
        <w:t>de la Plate</w:t>
      </w:r>
      <w:r w:rsidR="006A27DA">
        <w:rPr>
          <w:color w:val="000000"/>
        </w:rPr>
        <w:t>f</w:t>
      </w:r>
      <w:r w:rsidR="00F238B1">
        <w:rPr>
          <w:color w:val="000000"/>
        </w:rPr>
        <w:t>orme</w:t>
      </w:r>
      <w:r w:rsidR="00DC40F4">
        <w:rPr>
          <w:color w:val="000000"/>
        </w:rPr>
        <w:t xml:space="preserve"> en matière de gestion des données</w:t>
      </w:r>
      <w:r w:rsidR="00951CE8" w:rsidRPr="00713E6C">
        <w:rPr>
          <w:rFonts w:eastAsia="Calibri"/>
          <w:szCs w:val="18"/>
          <w:vertAlign w:val="superscript"/>
        </w:rPr>
        <w:footnoteReference w:id="16"/>
      </w:r>
      <w:r w:rsidR="006A27DA">
        <w:rPr>
          <w:color w:val="000000"/>
        </w:rPr>
        <w:t xml:space="preserve"> ; </w:t>
      </w:r>
    </w:p>
    <w:p w14:paraId="15C2557F" w14:textId="1D804D94" w:rsidR="008F0CF6" w:rsidRPr="002B0A73" w:rsidRDefault="008F0CF6" w:rsidP="008F0CF6">
      <w:pPr>
        <w:tabs>
          <w:tab w:val="left" w:pos="624"/>
        </w:tabs>
        <w:spacing w:after="120"/>
        <w:ind w:left="1871" w:firstLine="624"/>
        <w:rPr>
          <w:color w:val="000000"/>
        </w:rPr>
      </w:pPr>
      <w:r w:rsidRPr="002B0A73">
        <w:rPr>
          <w:iCs/>
          <w:color w:val="000000"/>
        </w:rPr>
        <w:t>3.</w:t>
      </w:r>
      <w:r w:rsidRPr="002B0A73">
        <w:rPr>
          <w:iCs/>
          <w:color w:val="000000"/>
        </w:rPr>
        <w:tab/>
      </w:r>
      <w:r w:rsidRPr="002B0A73">
        <w:rPr>
          <w:i/>
          <w:color w:val="000000"/>
        </w:rPr>
        <w:t>Appro</w:t>
      </w:r>
      <w:r w:rsidR="006A27DA" w:rsidRPr="002B0A73">
        <w:rPr>
          <w:i/>
          <w:color w:val="000000"/>
        </w:rPr>
        <w:t>uve</w:t>
      </w:r>
      <w:r w:rsidRPr="002B0A73">
        <w:rPr>
          <w:i/>
          <w:color w:val="000000"/>
        </w:rPr>
        <w:t xml:space="preserve"> </w:t>
      </w:r>
      <w:r w:rsidR="006A27DA" w:rsidRPr="002B0A73">
        <w:rPr>
          <w:color w:val="000000"/>
        </w:rPr>
        <w:t xml:space="preserve">le plan de travail provisoire </w:t>
      </w:r>
      <w:r w:rsidR="002B0A73" w:rsidRPr="002B0A73">
        <w:rPr>
          <w:color w:val="000000"/>
        </w:rPr>
        <w:t>de l’équipe spéciale sur les connaissances et les donn</w:t>
      </w:r>
      <w:r w:rsidR="002B0A73">
        <w:rPr>
          <w:color w:val="000000"/>
        </w:rPr>
        <w:t>ées pour la période intersession</w:t>
      </w:r>
      <w:r w:rsidR="000776AB">
        <w:rPr>
          <w:color w:val="000000"/>
        </w:rPr>
        <w:t>s</w:t>
      </w:r>
      <w:r w:rsidR="002B0A73">
        <w:rPr>
          <w:color w:val="000000"/>
        </w:rPr>
        <w:t xml:space="preserve"> </w:t>
      </w:r>
      <w:r w:rsidRPr="002B0A73">
        <w:rPr>
          <w:color w:val="000000"/>
        </w:rPr>
        <w:t xml:space="preserve">2021–2022, </w:t>
      </w:r>
      <w:r w:rsidR="006D3A41">
        <w:rPr>
          <w:color w:val="000000"/>
        </w:rPr>
        <w:t xml:space="preserve">qui figure dans l’annexe </w:t>
      </w:r>
      <w:r w:rsidRPr="002B0A73">
        <w:rPr>
          <w:rFonts w:eastAsia="Calibri"/>
        </w:rPr>
        <w:t>[--]</w:t>
      </w:r>
      <w:r w:rsidRPr="00713E6C">
        <w:rPr>
          <w:rFonts w:eastAsia="Calibri"/>
          <w:szCs w:val="18"/>
          <w:vertAlign w:val="superscript"/>
        </w:rPr>
        <w:footnoteReference w:id="17"/>
      </w:r>
      <w:r w:rsidRPr="002B0A73">
        <w:rPr>
          <w:rFonts w:eastAsia="Calibri"/>
        </w:rPr>
        <w:t xml:space="preserve"> </w:t>
      </w:r>
      <w:r w:rsidR="00F02953">
        <w:rPr>
          <w:rFonts w:eastAsia="Calibri"/>
        </w:rPr>
        <w:t>de</w:t>
      </w:r>
      <w:r w:rsidR="006D3A41">
        <w:rPr>
          <w:rFonts w:eastAsia="Calibri"/>
        </w:rPr>
        <w:t xml:space="preserve"> la présente décision ; </w:t>
      </w:r>
      <w:r w:rsidRPr="002B0A73">
        <w:rPr>
          <w:rFonts w:eastAsia="Calibri"/>
          <w:szCs w:val="18"/>
          <w:vertAlign w:val="superscript"/>
        </w:rPr>
        <w:t xml:space="preserve"> </w:t>
      </w:r>
    </w:p>
    <w:p w14:paraId="5B56AF58" w14:textId="1129A015" w:rsidR="008F0CF6" w:rsidRPr="00B64841" w:rsidRDefault="008F0CF6" w:rsidP="008F0CF6">
      <w:pPr>
        <w:tabs>
          <w:tab w:val="left" w:pos="624"/>
        </w:tabs>
        <w:spacing w:after="120"/>
        <w:ind w:left="1871" w:firstLine="624"/>
      </w:pPr>
      <w:r w:rsidRPr="00B64841">
        <w:rPr>
          <w:iCs/>
          <w:color w:val="000000"/>
        </w:rPr>
        <w:t>4.</w:t>
      </w:r>
      <w:r w:rsidRPr="00B64841">
        <w:rPr>
          <w:iCs/>
          <w:color w:val="000000"/>
        </w:rPr>
        <w:tab/>
      </w:r>
      <w:r w:rsidR="006D3A41" w:rsidRPr="00B64841">
        <w:rPr>
          <w:i/>
          <w:color w:val="000000"/>
        </w:rPr>
        <w:t>Se félicite</w:t>
      </w:r>
      <w:r w:rsidR="006D3A41" w:rsidRPr="00B64841">
        <w:rPr>
          <w:iCs/>
          <w:color w:val="000000"/>
        </w:rPr>
        <w:t xml:space="preserve"> des progrès accomplis par l’équipe spéciale sur les </w:t>
      </w:r>
      <w:r w:rsidR="00B64841" w:rsidRPr="00B64841">
        <w:rPr>
          <w:iCs/>
          <w:color w:val="000000"/>
        </w:rPr>
        <w:t xml:space="preserve">savoirs autochtones et </w:t>
      </w:r>
      <w:r w:rsidR="00B64841">
        <w:rPr>
          <w:iCs/>
          <w:color w:val="000000"/>
        </w:rPr>
        <w:t>locaux dan</w:t>
      </w:r>
      <w:r w:rsidR="00195DC4">
        <w:rPr>
          <w:iCs/>
          <w:color w:val="000000"/>
        </w:rPr>
        <w:t xml:space="preserve">s </w:t>
      </w:r>
      <w:r w:rsidR="00B64841">
        <w:rPr>
          <w:iCs/>
          <w:color w:val="000000"/>
        </w:rPr>
        <w:t>la réalisation de l’objectif</w:t>
      </w:r>
      <w:r w:rsidR="0043062D">
        <w:rPr>
          <w:iCs/>
          <w:color w:val="000000"/>
        </w:rPr>
        <w:t> </w:t>
      </w:r>
      <w:r w:rsidRPr="00B64841">
        <w:t>3</w:t>
      </w:r>
      <w:r w:rsidR="0043062D">
        <w:t> </w:t>
      </w:r>
      <w:r w:rsidRPr="00B64841">
        <w:t xml:space="preserve">b) </w:t>
      </w:r>
      <w:r w:rsidR="00B64841">
        <w:t xml:space="preserve">du programme de travail de la Plateforme </w:t>
      </w:r>
      <w:r w:rsidR="005F448E">
        <w:t xml:space="preserve">pour la période allant </w:t>
      </w:r>
      <w:r w:rsidR="00B64841">
        <w:t xml:space="preserve">jusqu’en </w:t>
      </w:r>
      <w:r w:rsidRPr="00B64841">
        <w:t>2030</w:t>
      </w:r>
      <w:r w:rsidR="0043062D">
        <w:t> </w:t>
      </w:r>
      <w:r w:rsidRPr="00B64841">
        <w:t>;</w:t>
      </w:r>
    </w:p>
    <w:p w14:paraId="2791A461" w14:textId="121CF386" w:rsidR="008F0CF6" w:rsidRPr="00175107" w:rsidRDefault="008F0CF6" w:rsidP="008F0CF6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175107">
        <w:rPr>
          <w:iCs/>
          <w:color w:val="000000"/>
        </w:rPr>
        <w:t>5.</w:t>
      </w:r>
      <w:r w:rsidRPr="00175107">
        <w:rPr>
          <w:iCs/>
          <w:color w:val="000000"/>
        </w:rPr>
        <w:tab/>
      </w:r>
      <w:r w:rsidRPr="00175107">
        <w:rPr>
          <w:i/>
          <w:color w:val="000000"/>
        </w:rPr>
        <w:t>Appro</w:t>
      </w:r>
      <w:r w:rsidR="00B64841" w:rsidRPr="00175107">
        <w:rPr>
          <w:i/>
          <w:color w:val="000000"/>
        </w:rPr>
        <w:t xml:space="preserve">uve </w:t>
      </w:r>
      <w:r w:rsidR="00B64841" w:rsidRPr="00175107">
        <w:rPr>
          <w:color w:val="000000"/>
        </w:rPr>
        <w:t xml:space="preserve">le plan de travail provisoire </w:t>
      </w:r>
      <w:r w:rsidR="00D768A1" w:rsidRPr="00175107">
        <w:rPr>
          <w:color w:val="000000"/>
        </w:rPr>
        <w:t xml:space="preserve">de l’équipe spéciale </w:t>
      </w:r>
      <w:r w:rsidR="00175107" w:rsidRPr="00175107">
        <w:rPr>
          <w:color w:val="000000"/>
        </w:rPr>
        <w:t>sur les savoirs autochtones et locaux pour la</w:t>
      </w:r>
      <w:r w:rsidR="00175107">
        <w:rPr>
          <w:color w:val="000000"/>
        </w:rPr>
        <w:t xml:space="preserve"> période intersession</w:t>
      </w:r>
      <w:r w:rsidR="00E47982">
        <w:rPr>
          <w:color w:val="000000"/>
        </w:rPr>
        <w:t>s</w:t>
      </w:r>
      <w:r w:rsidR="00175107">
        <w:rPr>
          <w:color w:val="000000"/>
        </w:rPr>
        <w:t xml:space="preserve"> </w:t>
      </w:r>
      <w:r w:rsidRPr="00175107">
        <w:rPr>
          <w:color w:val="000000"/>
        </w:rPr>
        <w:t xml:space="preserve">2021–2022, </w:t>
      </w:r>
      <w:r w:rsidR="00DF09E5">
        <w:rPr>
          <w:color w:val="000000"/>
        </w:rPr>
        <w:t xml:space="preserve">qui figure </w:t>
      </w:r>
      <w:r w:rsidR="00170E98">
        <w:rPr>
          <w:color w:val="000000"/>
        </w:rPr>
        <w:t>d</w:t>
      </w:r>
      <w:r w:rsidR="00DF09E5">
        <w:rPr>
          <w:color w:val="000000"/>
        </w:rPr>
        <w:t xml:space="preserve">ans </w:t>
      </w:r>
      <w:r w:rsidR="006D6F88">
        <w:rPr>
          <w:color w:val="000000"/>
        </w:rPr>
        <w:t xml:space="preserve">l’annexe </w:t>
      </w:r>
      <w:r w:rsidRPr="00175107">
        <w:rPr>
          <w:rFonts w:eastAsia="Calibri"/>
        </w:rPr>
        <w:t>[--]</w:t>
      </w:r>
      <w:r w:rsidRPr="00713E6C">
        <w:rPr>
          <w:rFonts w:eastAsia="Calibri"/>
          <w:szCs w:val="18"/>
          <w:vertAlign w:val="superscript"/>
        </w:rPr>
        <w:footnoteReference w:id="18"/>
      </w:r>
      <w:r w:rsidRPr="00175107">
        <w:rPr>
          <w:rFonts w:eastAsia="Calibri"/>
        </w:rPr>
        <w:t xml:space="preserve"> </w:t>
      </w:r>
      <w:r w:rsidR="005F448E">
        <w:rPr>
          <w:rFonts w:eastAsia="Calibri"/>
        </w:rPr>
        <w:t>de</w:t>
      </w:r>
      <w:r w:rsidR="003D2C27">
        <w:rPr>
          <w:rFonts w:eastAsia="Calibri"/>
        </w:rPr>
        <w:t> </w:t>
      </w:r>
      <w:r w:rsidR="006D6F88">
        <w:rPr>
          <w:rFonts w:eastAsia="Calibri"/>
        </w:rPr>
        <w:t>la présente décision</w:t>
      </w:r>
      <w:r w:rsidR="0043062D">
        <w:rPr>
          <w:rFonts w:eastAsia="Calibri"/>
        </w:rPr>
        <w:t> </w:t>
      </w:r>
      <w:r w:rsidRPr="00175107">
        <w:rPr>
          <w:color w:val="000000"/>
        </w:rPr>
        <w:t>;</w:t>
      </w:r>
      <w:r w:rsidRPr="00175107">
        <w:rPr>
          <w:rFonts w:eastAsia="Calibri"/>
          <w:szCs w:val="18"/>
          <w:vertAlign w:val="superscript"/>
        </w:rPr>
        <w:t xml:space="preserve"> </w:t>
      </w:r>
    </w:p>
    <w:p w14:paraId="195BD5D0" w14:textId="6CD49C56" w:rsidR="008F0CF6" w:rsidRPr="00CB2143" w:rsidRDefault="008F0CF6" w:rsidP="008F0CF6">
      <w:pPr>
        <w:tabs>
          <w:tab w:val="left" w:pos="624"/>
        </w:tabs>
        <w:spacing w:after="120"/>
        <w:ind w:left="1871" w:firstLine="624"/>
        <w:rPr>
          <w:color w:val="000000"/>
        </w:rPr>
      </w:pPr>
      <w:r w:rsidRPr="00CB2143">
        <w:rPr>
          <w:color w:val="000000"/>
        </w:rPr>
        <w:t>6.</w:t>
      </w:r>
      <w:r w:rsidRPr="00CB2143">
        <w:rPr>
          <w:color w:val="000000"/>
        </w:rPr>
        <w:tab/>
      </w:r>
      <w:r w:rsidR="006D6F88" w:rsidRPr="00CB2143">
        <w:rPr>
          <w:i/>
          <w:iCs/>
          <w:color w:val="000000"/>
        </w:rPr>
        <w:t xml:space="preserve">Se félicite </w:t>
      </w:r>
      <w:r w:rsidR="005D6D4F" w:rsidRPr="00CB2143">
        <w:rPr>
          <w:color w:val="000000"/>
        </w:rPr>
        <w:t>des progrès accompli</w:t>
      </w:r>
      <w:r w:rsidR="00253B4B" w:rsidRPr="00CB2143">
        <w:rPr>
          <w:color w:val="000000"/>
        </w:rPr>
        <w:t>s</w:t>
      </w:r>
      <w:r w:rsidR="005D6D4F" w:rsidRPr="00CB2143">
        <w:rPr>
          <w:color w:val="000000"/>
        </w:rPr>
        <w:t xml:space="preserve"> dans </w:t>
      </w:r>
      <w:r w:rsidR="00253B4B" w:rsidRPr="00CB2143">
        <w:rPr>
          <w:color w:val="000000"/>
        </w:rPr>
        <w:t xml:space="preserve">l’élaboration des produits à l’appui </w:t>
      </w:r>
      <w:r w:rsidR="008044A3" w:rsidRPr="00CB2143">
        <w:rPr>
          <w:color w:val="000000"/>
        </w:rPr>
        <w:t xml:space="preserve">des </w:t>
      </w:r>
      <w:r w:rsidRPr="00CB2143">
        <w:t>objecti</w:t>
      </w:r>
      <w:r w:rsidR="008044A3" w:rsidRPr="00CB2143">
        <w:t>f</w:t>
      </w:r>
      <w:r w:rsidRPr="00CB2143">
        <w:t>s</w:t>
      </w:r>
      <w:r w:rsidR="0043062D">
        <w:t> </w:t>
      </w:r>
      <w:r w:rsidRPr="00CB2143">
        <w:t>3</w:t>
      </w:r>
      <w:r w:rsidR="0043062D">
        <w:t> </w:t>
      </w:r>
      <w:r w:rsidRPr="00CB2143">
        <w:t xml:space="preserve">a) </w:t>
      </w:r>
      <w:r w:rsidR="008044A3" w:rsidRPr="00CB2143">
        <w:t xml:space="preserve">et </w:t>
      </w:r>
      <w:r w:rsidRPr="00CB2143">
        <w:t>3</w:t>
      </w:r>
      <w:r w:rsidR="0043062D">
        <w:t> </w:t>
      </w:r>
      <w:r w:rsidRPr="00CB2143">
        <w:t xml:space="preserve">b) </w:t>
      </w:r>
      <w:r w:rsidR="008044A3" w:rsidRPr="00CB2143">
        <w:t xml:space="preserve">et des trois </w:t>
      </w:r>
      <w:r w:rsidR="005F448E" w:rsidRPr="00600090">
        <w:t>sujets</w:t>
      </w:r>
      <w:r w:rsidR="005F448E">
        <w:t xml:space="preserve"> </w:t>
      </w:r>
      <w:r w:rsidR="00CB2143" w:rsidRPr="00CB2143">
        <w:t>prioritaires in</w:t>
      </w:r>
      <w:r w:rsidR="00CB2143">
        <w:t xml:space="preserve">itiaux </w:t>
      </w:r>
      <w:r w:rsidR="005C6C6C">
        <w:t xml:space="preserve">du programme de travail de la Plateforme </w:t>
      </w:r>
      <w:r w:rsidR="00F615EE">
        <w:t xml:space="preserve">pour la période allant </w:t>
      </w:r>
      <w:r w:rsidR="00B81CEB">
        <w:t xml:space="preserve">jusqu’en </w:t>
      </w:r>
      <w:r w:rsidRPr="00CB2143">
        <w:t>2030</w:t>
      </w:r>
      <w:r w:rsidR="0043062D" w:rsidRPr="00713E6C">
        <w:rPr>
          <w:szCs w:val="18"/>
          <w:vertAlign w:val="superscript"/>
        </w:rPr>
        <w:footnoteReference w:id="19"/>
      </w:r>
      <w:r w:rsidRPr="00CB2143">
        <w:t xml:space="preserve">, </w:t>
      </w:r>
      <w:r w:rsidR="00B81CEB">
        <w:t>et décide d’examiner ces produits à sa neuvième se</w:t>
      </w:r>
      <w:r w:rsidR="00E35E2C">
        <w:t>s</w:t>
      </w:r>
      <w:r w:rsidR="00B81CEB">
        <w:t>sion</w:t>
      </w:r>
      <w:r w:rsidR="00E35E2C">
        <w:t xml:space="preserve"> ; </w:t>
      </w:r>
    </w:p>
    <w:bookmarkEnd w:id="3"/>
    <w:p w14:paraId="646FDB2F" w14:textId="0BB344D6" w:rsidR="00464576" w:rsidRPr="0043062D" w:rsidRDefault="00464576" w:rsidP="00464576">
      <w:pPr>
        <w:pStyle w:val="Normal-pool"/>
        <w:keepNext/>
        <w:keepLines/>
        <w:spacing w:before="240" w:after="120"/>
        <w:ind w:left="1886"/>
        <w:jc w:val="center"/>
        <w:rPr>
          <w:b/>
          <w:sz w:val="24"/>
          <w:szCs w:val="24"/>
          <w:lang w:val="fr-FR"/>
        </w:rPr>
      </w:pPr>
      <w:r w:rsidRPr="0043062D">
        <w:rPr>
          <w:b/>
          <w:bCs/>
          <w:sz w:val="24"/>
          <w:szCs w:val="24"/>
          <w:lang w:val="fr-FR"/>
        </w:rPr>
        <w:t>V</w:t>
      </w:r>
    </w:p>
    <w:p w14:paraId="32388A18" w14:textId="299E4986" w:rsidR="00464576" w:rsidRPr="0043062D" w:rsidRDefault="00464576" w:rsidP="00464576">
      <w:pPr>
        <w:pStyle w:val="Normal-pool"/>
        <w:keepNext/>
        <w:spacing w:after="120"/>
        <w:ind w:left="1886"/>
        <w:jc w:val="center"/>
        <w:rPr>
          <w:b/>
          <w:bCs/>
          <w:sz w:val="24"/>
          <w:szCs w:val="24"/>
          <w:lang w:val="fr-FR"/>
        </w:rPr>
      </w:pPr>
      <w:r w:rsidRPr="0043062D">
        <w:rPr>
          <w:b/>
          <w:bCs/>
          <w:sz w:val="24"/>
          <w:szCs w:val="24"/>
          <w:lang w:val="fr-FR"/>
        </w:rPr>
        <w:t>Appui à l</w:t>
      </w:r>
      <w:r w:rsidR="00275DBD" w:rsidRPr="0043062D">
        <w:rPr>
          <w:b/>
          <w:bCs/>
          <w:sz w:val="24"/>
          <w:szCs w:val="24"/>
          <w:lang w:val="fr-FR"/>
        </w:rPr>
        <w:t>’</w:t>
      </w:r>
      <w:r w:rsidRPr="0043062D">
        <w:rPr>
          <w:b/>
          <w:bCs/>
          <w:sz w:val="24"/>
          <w:szCs w:val="24"/>
          <w:lang w:val="fr-FR"/>
        </w:rPr>
        <w:t>élaboration des politiques</w:t>
      </w:r>
    </w:p>
    <w:p w14:paraId="579ABDE1" w14:textId="18167A87" w:rsidR="006B1707" w:rsidRPr="00F31CBD" w:rsidRDefault="006B1707" w:rsidP="006B1707">
      <w:pPr>
        <w:keepNext/>
        <w:keepLines/>
        <w:tabs>
          <w:tab w:val="left" w:pos="624"/>
        </w:tabs>
        <w:spacing w:after="120"/>
        <w:ind w:left="1871" w:firstLine="624"/>
      </w:pPr>
      <w:r w:rsidRPr="00F31CBD">
        <w:rPr>
          <w:iCs/>
          <w:color w:val="000000"/>
        </w:rPr>
        <w:t>1.</w:t>
      </w:r>
      <w:r w:rsidRPr="00F31CBD">
        <w:rPr>
          <w:iCs/>
          <w:color w:val="000000"/>
        </w:rPr>
        <w:tab/>
      </w:r>
      <w:r w:rsidR="00E47982" w:rsidRPr="00F31CBD">
        <w:rPr>
          <w:i/>
          <w:color w:val="000000"/>
        </w:rPr>
        <w:t xml:space="preserve">Se félicite </w:t>
      </w:r>
      <w:r w:rsidR="00E47982" w:rsidRPr="00F31CBD">
        <w:rPr>
          <w:color w:val="000000"/>
        </w:rPr>
        <w:t xml:space="preserve">des progrès accomplis par l’équipe spéciale </w:t>
      </w:r>
      <w:r w:rsidR="00F31CBD" w:rsidRPr="00F31CBD">
        <w:rPr>
          <w:color w:val="000000"/>
        </w:rPr>
        <w:t>sur les outils et méthodes d’élaboration des p</w:t>
      </w:r>
      <w:r w:rsidR="001B091E">
        <w:rPr>
          <w:color w:val="000000"/>
        </w:rPr>
        <w:t xml:space="preserve">olitiques </w:t>
      </w:r>
      <w:r w:rsidR="00CD6477">
        <w:rPr>
          <w:color w:val="000000"/>
        </w:rPr>
        <w:t xml:space="preserve">dans </w:t>
      </w:r>
      <w:r w:rsidR="00CF416C">
        <w:rPr>
          <w:color w:val="000000"/>
        </w:rPr>
        <w:t>la réalisation de l’objectif</w:t>
      </w:r>
      <w:r w:rsidR="0043062D">
        <w:rPr>
          <w:color w:val="000000"/>
        </w:rPr>
        <w:t> </w:t>
      </w:r>
      <w:r w:rsidRPr="00F31CBD">
        <w:t>4</w:t>
      </w:r>
      <w:r w:rsidR="0043062D">
        <w:t> </w:t>
      </w:r>
      <w:r w:rsidRPr="00F31CBD">
        <w:t xml:space="preserve">a) </w:t>
      </w:r>
      <w:r w:rsidR="00CF416C">
        <w:t>du programme de travail</w:t>
      </w:r>
      <w:r w:rsidR="006038CA">
        <w:t> </w:t>
      </w:r>
      <w:r w:rsidR="00CF416C">
        <w:t xml:space="preserve">de la Plateforme </w:t>
      </w:r>
      <w:r w:rsidR="00F615EE">
        <w:t xml:space="preserve">pour la période allant </w:t>
      </w:r>
      <w:r w:rsidR="00CF416C">
        <w:t xml:space="preserve">jusqu’en </w:t>
      </w:r>
      <w:r w:rsidRPr="00F31CBD">
        <w:t>2030</w:t>
      </w:r>
      <w:r w:rsidR="0043062D">
        <w:t> </w:t>
      </w:r>
      <w:r w:rsidRPr="00F31CBD">
        <w:t>;</w:t>
      </w:r>
    </w:p>
    <w:p w14:paraId="66733AA6" w14:textId="28E023AD" w:rsidR="006B1707" w:rsidRPr="00BA394F" w:rsidRDefault="006B1707" w:rsidP="006B1707">
      <w:pPr>
        <w:keepNext/>
        <w:keepLines/>
        <w:tabs>
          <w:tab w:val="left" w:pos="624"/>
        </w:tabs>
        <w:spacing w:after="120"/>
        <w:ind w:left="1871" w:firstLine="624"/>
        <w:rPr>
          <w:color w:val="000000"/>
        </w:rPr>
      </w:pPr>
      <w:r w:rsidRPr="00BA394F">
        <w:rPr>
          <w:iCs/>
          <w:color w:val="000000"/>
        </w:rPr>
        <w:t>2.</w:t>
      </w:r>
      <w:r w:rsidRPr="00BA394F">
        <w:rPr>
          <w:iCs/>
          <w:color w:val="000000"/>
        </w:rPr>
        <w:tab/>
      </w:r>
      <w:r w:rsidRPr="00BA394F">
        <w:rPr>
          <w:i/>
          <w:color w:val="000000"/>
        </w:rPr>
        <w:t>Appro</w:t>
      </w:r>
      <w:r w:rsidR="00CF416C" w:rsidRPr="00BA394F">
        <w:rPr>
          <w:i/>
          <w:color w:val="000000"/>
        </w:rPr>
        <w:t xml:space="preserve">uve </w:t>
      </w:r>
      <w:r w:rsidR="00CF416C" w:rsidRPr="00BA394F">
        <w:rPr>
          <w:color w:val="000000"/>
        </w:rPr>
        <w:t xml:space="preserve">le plan de travail provisoire de l’équipe spéciale sur les outils et </w:t>
      </w:r>
      <w:r w:rsidR="006470B0">
        <w:rPr>
          <w:color w:val="000000"/>
        </w:rPr>
        <w:t xml:space="preserve">méthodes d’élaboration des politiques </w:t>
      </w:r>
      <w:r w:rsidR="00575ACF">
        <w:rPr>
          <w:color w:val="000000"/>
        </w:rPr>
        <w:t xml:space="preserve">pour la période intersessions </w:t>
      </w:r>
      <w:r w:rsidRPr="00BA394F">
        <w:rPr>
          <w:color w:val="000000"/>
        </w:rPr>
        <w:t xml:space="preserve">2021–2022, </w:t>
      </w:r>
      <w:r w:rsidR="00575ACF">
        <w:rPr>
          <w:color w:val="000000"/>
        </w:rPr>
        <w:t xml:space="preserve">qui figure </w:t>
      </w:r>
      <w:r w:rsidR="00ED4064">
        <w:rPr>
          <w:color w:val="000000"/>
        </w:rPr>
        <w:t>dans</w:t>
      </w:r>
      <w:r w:rsidR="00575ACF">
        <w:rPr>
          <w:color w:val="000000"/>
        </w:rPr>
        <w:t xml:space="preserve"> l’annexe </w:t>
      </w:r>
      <w:r w:rsidRPr="00BA394F">
        <w:rPr>
          <w:rFonts w:eastAsia="Calibri"/>
        </w:rPr>
        <w:t>[--]</w:t>
      </w:r>
      <w:r w:rsidRPr="003F2A25">
        <w:rPr>
          <w:rFonts w:eastAsia="Calibri"/>
          <w:szCs w:val="18"/>
          <w:vertAlign w:val="superscript"/>
        </w:rPr>
        <w:footnoteReference w:id="20"/>
      </w:r>
      <w:r w:rsidRPr="00BA394F">
        <w:rPr>
          <w:rFonts w:eastAsia="Calibri"/>
        </w:rPr>
        <w:t xml:space="preserve"> </w:t>
      </w:r>
      <w:r w:rsidR="00575ACF">
        <w:rPr>
          <w:rFonts w:eastAsia="Calibri"/>
        </w:rPr>
        <w:t>de la présente décision ;</w:t>
      </w:r>
      <w:r w:rsidRPr="00BA394F">
        <w:rPr>
          <w:rFonts w:eastAsia="Calibri"/>
          <w:szCs w:val="18"/>
          <w:vertAlign w:val="superscript"/>
        </w:rPr>
        <w:t xml:space="preserve"> </w:t>
      </w:r>
    </w:p>
    <w:p w14:paraId="6D9DF14E" w14:textId="6A949F96" w:rsidR="006B1707" w:rsidRPr="00731A8E" w:rsidRDefault="006B1707" w:rsidP="006B1707">
      <w:pPr>
        <w:tabs>
          <w:tab w:val="left" w:pos="624"/>
        </w:tabs>
        <w:spacing w:after="120"/>
        <w:ind w:left="1871" w:firstLine="624"/>
      </w:pPr>
      <w:r w:rsidRPr="00731A8E">
        <w:rPr>
          <w:iCs/>
          <w:color w:val="000000"/>
        </w:rPr>
        <w:t>3.</w:t>
      </w:r>
      <w:r w:rsidRPr="00731A8E">
        <w:rPr>
          <w:iCs/>
          <w:color w:val="000000"/>
        </w:rPr>
        <w:tab/>
      </w:r>
      <w:r w:rsidR="00575ACF" w:rsidRPr="00731A8E">
        <w:rPr>
          <w:i/>
          <w:color w:val="000000"/>
        </w:rPr>
        <w:t>Se félicite</w:t>
      </w:r>
      <w:r w:rsidR="00575ACF" w:rsidRPr="00731A8E">
        <w:rPr>
          <w:iCs/>
          <w:color w:val="000000"/>
        </w:rPr>
        <w:t xml:space="preserve"> des prog</w:t>
      </w:r>
      <w:r w:rsidR="00097386" w:rsidRPr="00731A8E">
        <w:rPr>
          <w:iCs/>
          <w:color w:val="000000"/>
        </w:rPr>
        <w:t>r</w:t>
      </w:r>
      <w:r w:rsidR="00575ACF" w:rsidRPr="00731A8E">
        <w:rPr>
          <w:iCs/>
          <w:color w:val="000000"/>
        </w:rPr>
        <w:t>ès accomplis</w:t>
      </w:r>
      <w:r w:rsidR="00097386" w:rsidRPr="00731A8E">
        <w:rPr>
          <w:iCs/>
          <w:color w:val="000000"/>
        </w:rPr>
        <w:t xml:space="preserve"> par l’équipe spéciale </w:t>
      </w:r>
      <w:r w:rsidR="00731A8E" w:rsidRPr="00731A8E">
        <w:rPr>
          <w:iCs/>
          <w:color w:val="000000"/>
        </w:rPr>
        <w:t xml:space="preserve">sur les scénarios et les modèles </w:t>
      </w:r>
      <w:r w:rsidR="006B5D8C">
        <w:rPr>
          <w:iCs/>
          <w:color w:val="000000"/>
        </w:rPr>
        <w:t xml:space="preserve">dans </w:t>
      </w:r>
      <w:r w:rsidR="00731A8E">
        <w:rPr>
          <w:iCs/>
          <w:color w:val="000000"/>
        </w:rPr>
        <w:t xml:space="preserve">la réalisation </w:t>
      </w:r>
      <w:r w:rsidR="002E480F">
        <w:rPr>
          <w:iCs/>
          <w:color w:val="000000"/>
        </w:rPr>
        <w:t>de l’objectif</w:t>
      </w:r>
      <w:r w:rsidR="0043062D">
        <w:rPr>
          <w:iCs/>
          <w:color w:val="000000"/>
        </w:rPr>
        <w:t> </w:t>
      </w:r>
      <w:r w:rsidRPr="00731A8E">
        <w:t>4</w:t>
      </w:r>
      <w:r w:rsidR="0043062D">
        <w:t> </w:t>
      </w:r>
      <w:r w:rsidRPr="00731A8E">
        <w:t xml:space="preserve">b) </w:t>
      </w:r>
      <w:r w:rsidR="002E480F">
        <w:t>du programme de travail</w:t>
      </w:r>
      <w:r w:rsidR="006A4298">
        <w:t> </w:t>
      </w:r>
      <w:r w:rsidR="002E480F">
        <w:t xml:space="preserve">de la Plateforme </w:t>
      </w:r>
      <w:r w:rsidR="00AF69FA">
        <w:t xml:space="preserve">pour la période allant </w:t>
      </w:r>
      <w:r w:rsidR="002E480F">
        <w:t xml:space="preserve">jusqu’en </w:t>
      </w:r>
      <w:r w:rsidRPr="00731A8E">
        <w:t>2030</w:t>
      </w:r>
      <w:r w:rsidR="009B1F83">
        <w:t> </w:t>
      </w:r>
      <w:r w:rsidRPr="00731A8E">
        <w:t>;</w:t>
      </w:r>
    </w:p>
    <w:p w14:paraId="5F3F38F7" w14:textId="41CAE366" w:rsidR="006B1707" w:rsidRPr="00CE4D37" w:rsidRDefault="006B1707" w:rsidP="006B1707">
      <w:pPr>
        <w:tabs>
          <w:tab w:val="left" w:pos="624"/>
        </w:tabs>
        <w:spacing w:after="120"/>
        <w:ind w:left="1871" w:firstLine="624"/>
        <w:rPr>
          <w:rFonts w:eastAsia="Calibri"/>
        </w:rPr>
      </w:pPr>
      <w:r w:rsidRPr="00CE4D37">
        <w:rPr>
          <w:iCs/>
          <w:color w:val="000000"/>
        </w:rPr>
        <w:t>4.</w:t>
      </w:r>
      <w:r w:rsidRPr="00CE4D37">
        <w:rPr>
          <w:iCs/>
          <w:color w:val="000000"/>
        </w:rPr>
        <w:tab/>
      </w:r>
      <w:r w:rsidRPr="00CE4D37">
        <w:rPr>
          <w:i/>
          <w:color w:val="000000"/>
        </w:rPr>
        <w:t>Appro</w:t>
      </w:r>
      <w:r w:rsidR="002E480F" w:rsidRPr="00CE4D37">
        <w:rPr>
          <w:i/>
          <w:color w:val="000000"/>
        </w:rPr>
        <w:t xml:space="preserve">uve </w:t>
      </w:r>
      <w:r w:rsidR="002E480F" w:rsidRPr="00CE4D37">
        <w:rPr>
          <w:color w:val="000000"/>
        </w:rPr>
        <w:t xml:space="preserve">le plan de travail provisoire de l’équipe spéciale </w:t>
      </w:r>
      <w:r w:rsidR="00CE4D37" w:rsidRPr="00CE4D37">
        <w:rPr>
          <w:color w:val="000000"/>
        </w:rPr>
        <w:t>sur les sc</w:t>
      </w:r>
      <w:r w:rsidR="00CE4D37">
        <w:rPr>
          <w:color w:val="000000"/>
        </w:rPr>
        <w:t>é</w:t>
      </w:r>
      <w:r w:rsidR="00CE4D37" w:rsidRPr="00CE4D37">
        <w:rPr>
          <w:color w:val="000000"/>
        </w:rPr>
        <w:t xml:space="preserve">narios </w:t>
      </w:r>
      <w:r w:rsidR="00CE4D37">
        <w:rPr>
          <w:color w:val="000000"/>
        </w:rPr>
        <w:t xml:space="preserve">et les modèles pour la période intersessions </w:t>
      </w:r>
      <w:r w:rsidRPr="00CE4D37">
        <w:rPr>
          <w:color w:val="000000"/>
        </w:rPr>
        <w:t xml:space="preserve">2021–2022, </w:t>
      </w:r>
      <w:r w:rsidR="00CE4D37">
        <w:rPr>
          <w:color w:val="000000"/>
        </w:rPr>
        <w:t xml:space="preserve">qui figure </w:t>
      </w:r>
      <w:r w:rsidR="00131167">
        <w:rPr>
          <w:color w:val="000000"/>
        </w:rPr>
        <w:t>dans</w:t>
      </w:r>
      <w:r w:rsidR="00CE4D37">
        <w:rPr>
          <w:color w:val="000000"/>
        </w:rPr>
        <w:t xml:space="preserve"> l’annexe </w:t>
      </w:r>
      <w:r w:rsidRPr="00CE4D37">
        <w:rPr>
          <w:rFonts w:eastAsia="Calibri"/>
        </w:rPr>
        <w:t>[--]</w:t>
      </w:r>
      <w:r w:rsidRPr="003F2A25">
        <w:rPr>
          <w:rFonts w:eastAsia="Calibri"/>
          <w:szCs w:val="18"/>
          <w:vertAlign w:val="superscript"/>
        </w:rPr>
        <w:footnoteReference w:id="21"/>
      </w:r>
      <w:r w:rsidRPr="00CE4D37">
        <w:rPr>
          <w:rFonts w:eastAsia="Calibri"/>
        </w:rPr>
        <w:t xml:space="preserve"> </w:t>
      </w:r>
      <w:r w:rsidR="00CE4D37">
        <w:rPr>
          <w:rFonts w:eastAsia="Calibri"/>
        </w:rPr>
        <w:t>de la présente décision</w:t>
      </w:r>
      <w:r w:rsidR="009B1F83">
        <w:rPr>
          <w:rFonts w:eastAsia="Calibri"/>
        </w:rPr>
        <w:t> </w:t>
      </w:r>
      <w:r w:rsidRPr="00CE4D37">
        <w:rPr>
          <w:color w:val="000000"/>
        </w:rPr>
        <w:t>;</w:t>
      </w:r>
      <w:r w:rsidRPr="00CE4D37">
        <w:rPr>
          <w:rFonts w:eastAsia="Calibri"/>
          <w:szCs w:val="18"/>
          <w:vertAlign w:val="superscript"/>
        </w:rPr>
        <w:t xml:space="preserve"> </w:t>
      </w:r>
    </w:p>
    <w:p w14:paraId="177950D9" w14:textId="6B7BD591" w:rsidR="006B1707" w:rsidRPr="00380242" w:rsidRDefault="006B1707" w:rsidP="006B1707">
      <w:pPr>
        <w:tabs>
          <w:tab w:val="left" w:pos="624"/>
        </w:tabs>
        <w:spacing w:after="120"/>
        <w:ind w:left="1871" w:firstLine="624"/>
        <w:rPr>
          <w:color w:val="000000"/>
        </w:rPr>
      </w:pPr>
      <w:r w:rsidRPr="00380242">
        <w:rPr>
          <w:color w:val="000000"/>
        </w:rPr>
        <w:t>5.</w:t>
      </w:r>
      <w:r w:rsidRPr="00380242">
        <w:rPr>
          <w:color w:val="000000"/>
        </w:rPr>
        <w:tab/>
      </w:r>
      <w:r w:rsidR="00C01915" w:rsidRPr="00380242">
        <w:rPr>
          <w:i/>
          <w:iCs/>
          <w:color w:val="000000"/>
        </w:rPr>
        <w:t>Se félicite</w:t>
      </w:r>
      <w:r w:rsidR="00C01915" w:rsidRPr="00380242">
        <w:rPr>
          <w:color w:val="000000"/>
        </w:rPr>
        <w:t xml:space="preserve"> des progrès accomplis dans l’élaboration des produits à l’appui </w:t>
      </w:r>
      <w:r w:rsidR="006641F9" w:rsidRPr="00380242">
        <w:rPr>
          <w:color w:val="000000"/>
        </w:rPr>
        <w:t>des objectifs</w:t>
      </w:r>
      <w:r w:rsidR="0043062D">
        <w:rPr>
          <w:color w:val="000000"/>
        </w:rPr>
        <w:t> </w:t>
      </w:r>
      <w:r w:rsidRPr="00380242">
        <w:t>4</w:t>
      </w:r>
      <w:r w:rsidR="0043062D">
        <w:t> </w:t>
      </w:r>
      <w:r w:rsidRPr="00380242">
        <w:t xml:space="preserve">a) </w:t>
      </w:r>
      <w:r w:rsidR="006641F9" w:rsidRPr="00380242">
        <w:t xml:space="preserve">et </w:t>
      </w:r>
      <w:r w:rsidRPr="00380242">
        <w:t>4</w:t>
      </w:r>
      <w:r w:rsidR="0043062D">
        <w:t> </w:t>
      </w:r>
      <w:r w:rsidRPr="00380242">
        <w:t xml:space="preserve">b) </w:t>
      </w:r>
      <w:r w:rsidR="006641F9" w:rsidRPr="00380242">
        <w:t xml:space="preserve">et des trois </w:t>
      </w:r>
      <w:r w:rsidR="00200707" w:rsidRPr="00654980">
        <w:t>sujets</w:t>
      </w:r>
      <w:r w:rsidR="00380242">
        <w:t xml:space="preserve"> prioritaires </w:t>
      </w:r>
      <w:r w:rsidR="00154594">
        <w:t xml:space="preserve">initiaux </w:t>
      </w:r>
      <w:r w:rsidR="00380242">
        <w:t xml:space="preserve">du programme de travail de la Plateforme </w:t>
      </w:r>
      <w:r w:rsidR="00AF69FA">
        <w:t xml:space="preserve">pour la période allant </w:t>
      </w:r>
      <w:r w:rsidR="00380242">
        <w:t xml:space="preserve">jusqu’en </w:t>
      </w:r>
      <w:r w:rsidRPr="00380242">
        <w:t>2030</w:t>
      </w:r>
      <w:r w:rsidR="0043062D" w:rsidRPr="003F2A25">
        <w:rPr>
          <w:szCs w:val="18"/>
          <w:vertAlign w:val="superscript"/>
        </w:rPr>
        <w:footnoteReference w:id="22"/>
      </w:r>
      <w:r w:rsidRPr="00380242">
        <w:t xml:space="preserve">, </w:t>
      </w:r>
      <w:r w:rsidR="00380242">
        <w:t xml:space="preserve">et décide d’examiner ces produits </w:t>
      </w:r>
      <w:r w:rsidR="00E859EE">
        <w:t xml:space="preserve">à sa neuvième session ; </w:t>
      </w:r>
    </w:p>
    <w:p w14:paraId="241F44A3" w14:textId="50681A9F" w:rsidR="006B1707" w:rsidRPr="007D1A35" w:rsidRDefault="00E859EE" w:rsidP="00222B17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7D1A35">
        <w:rPr>
          <w:lang w:val="fr-FR"/>
        </w:rPr>
        <w:t xml:space="preserve">La Plénière souhaitera peut-être </w:t>
      </w:r>
      <w:r w:rsidR="007D1A35" w:rsidRPr="007D1A35">
        <w:rPr>
          <w:lang w:val="fr-FR"/>
        </w:rPr>
        <w:t>examiner le projet de déci</w:t>
      </w:r>
      <w:r w:rsidR="007D1A35">
        <w:rPr>
          <w:lang w:val="fr-FR"/>
        </w:rPr>
        <w:t>si</w:t>
      </w:r>
      <w:r w:rsidR="007D1A35" w:rsidRPr="007D1A35">
        <w:rPr>
          <w:lang w:val="fr-FR"/>
        </w:rPr>
        <w:t>on</w:t>
      </w:r>
      <w:r w:rsidR="00654980">
        <w:rPr>
          <w:lang w:val="fr-FR"/>
        </w:rPr>
        <w:t>,</w:t>
      </w:r>
      <w:r w:rsidR="007D1A35" w:rsidRPr="007D1A35">
        <w:rPr>
          <w:lang w:val="fr-FR"/>
        </w:rPr>
        <w:t xml:space="preserve"> qui</w:t>
      </w:r>
      <w:r w:rsidR="007D1A35">
        <w:rPr>
          <w:lang w:val="fr-FR"/>
        </w:rPr>
        <w:t xml:space="preserve"> relève du point</w:t>
      </w:r>
      <w:r w:rsidR="009B1F83">
        <w:rPr>
          <w:lang w:val="fr-FR"/>
        </w:rPr>
        <w:t> </w:t>
      </w:r>
      <w:r w:rsidR="006B1707" w:rsidRPr="007D1A35">
        <w:rPr>
          <w:lang w:val="fr-FR"/>
        </w:rPr>
        <w:t xml:space="preserve">9 </w:t>
      </w:r>
      <w:r w:rsidR="007D1A35">
        <w:rPr>
          <w:lang w:val="fr-FR"/>
        </w:rPr>
        <w:t>de l’ordre du jour provisoire</w:t>
      </w:r>
      <w:r w:rsidR="0043062D">
        <w:rPr>
          <w:lang w:val="fr-FR"/>
        </w:rPr>
        <w:t> </w:t>
      </w:r>
      <w:r w:rsidR="006B1707" w:rsidRPr="007D1A35">
        <w:rPr>
          <w:lang w:val="fr-FR"/>
        </w:rPr>
        <w:t xml:space="preserve">: </w:t>
      </w:r>
    </w:p>
    <w:p w14:paraId="3A088469" w14:textId="77777777" w:rsidR="00464576" w:rsidRPr="002B1339" w:rsidRDefault="00464576" w:rsidP="00464576">
      <w:pPr>
        <w:pStyle w:val="Normal-pool"/>
        <w:keepNext/>
        <w:keepLines/>
        <w:spacing w:before="240" w:after="120"/>
        <w:ind w:left="1890"/>
        <w:jc w:val="center"/>
        <w:rPr>
          <w:b/>
          <w:sz w:val="24"/>
          <w:szCs w:val="24"/>
          <w:lang w:val="en-US"/>
        </w:rPr>
      </w:pPr>
      <w:r w:rsidRPr="002B1339">
        <w:rPr>
          <w:b/>
          <w:bCs/>
          <w:sz w:val="24"/>
          <w:szCs w:val="24"/>
          <w:lang w:val="en-US"/>
        </w:rPr>
        <w:t>VI</w:t>
      </w:r>
    </w:p>
    <w:p w14:paraId="73CC7407" w14:textId="4B547399" w:rsidR="00464576" w:rsidRPr="002B1339" w:rsidRDefault="002C1516" w:rsidP="00610372">
      <w:pPr>
        <w:pStyle w:val="CH2"/>
        <w:spacing w:before="0"/>
        <w:ind w:firstLine="0"/>
        <w:jc w:val="center"/>
        <w:rPr>
          <w:b w:val="0"/>
          <w:bCs/>
          <w:lang w:val="fr-FR"/>
        </w:rPr>
      </w:pPr>
      <w:r w:rsidRPr="002B1339">
        <w:rPr>
          <w:lang w:val="fr-FR"/>
        </w:rPr>
        <w:t xml:space="preserve">Renforcement </w:t>
      </w:r>
      <w:r w:rsidR="00610372" w:rsidRPr="002B1339">
        <w:rPr>
          <w:lang w:val="fr-FR"/>
        </w:rPr>
        <w:t xml:space="preserve">de l’efficacité de la Plateforme </w:t>
      </w:r>
    </w:p>
    <w:p w14:paraId="7482B6E2" w14:textId="1AAF226C" w:rsidR="00F827FC" w:rsidRPr="00AE04C7" w:rsidRDefault="00F827FC" w:rsidP="00F827FC">
      <w:pPr>
        <w:pStyle w:val="Normal-pool"/>
        <w:spacing w:after="120"/>
        <w:ind w:left="1871" w:firstLine="624"/>
        <w:rPr>
          <w:lang w:val="fr-FR"/>
        </w:rPr>
      </w:pPr>
      <w:r w:rsidRPr="00AE04C7">
        <w:rPr>
          <w:lang w:val="fr-FR"/>
        </w:rPr>
        <w:t>1.</w:t>
      </w:r>
      <w:r w:rsidRPr="00AE04C7">
        <w:rPr>
          <w:lang w:val="fr-FR"/>
        </w:rPr>
        <w:tab/>
      </w:r>
      <w:r w:rsidR="00215096" w:rsidRPr="00AE04C7">
        <w:rPr>
          <w:i/>
          <w:iCs/>
          <w:lang w:val="fr-FR"/>
        </w:rPr>
        <w:t xml:space="preserve">Accueille avec satisfaction </w:t>
      </w:r>
      <w:r w:rsidR="00215096" w:rsidRPr="00AE04C7">
        <w:rPr>
          <w:lang w:val="fr-FR"/>
        </w:rPr>
        <w:t>l</w:t>
      </w:r>
      <w:r w:rsidRPr="00AE04C7">
        <w:rPr>
          <w:lang w:val="fr-FR"/>
        </w:rPr>
        <w:t>e r</w:t>
      </w:r>
      <w:r w:rsidR="00215096" w:rsidRPr="00AE04C7">
        <w:rPr>
          <w:lang w:val="fr-FR"/>
        </w:rPr>
        <w:t xml:space="preserve">apport </w:t>
      </w:r>
      <w:r w:rsidR="00770EFE" w:rsidRPr="00AE04C7">
        <w:rPr>
          <w:lang w:val="fr-FR"/>
        </w:rPr>
        <w:t>du Bureau, du Groupe d’experts multidisciplinaire et de la Secrétaire ex</w:t>
      </w:r>
      <w:r w:rsidR="00AE04C7" w:rsidRPr="00AE04C7">
        <w:rPr>
          <w:lang w:val="fr-FR"/>
        </w:rPr>
        <w:t>é</w:t>
      </w:r>
      <w:r w:rsidR="00770EFE" w:rsidRPr="00AE04C7">
        <w:rPr>
          <w:lang w:val="fr-FR"/>
        </w:rPr>
        <w:t xml:space="preserve">cutive </w:t>
      </w:r>
      <w:r w:rsidR="00AE04C7" w:rsidRPr="00AE04C7">
        <w:rPr>
          <w:lang w:val="fr-FR"/>
        </w:rPr>
        <w:t>sur les progr</w:t>
      </w:r>
      <w:r w:rsidR="00087869">
        <w:rPr>
          <w:lang w:val="fr-FR"/>
        </w:rPr>
        <w:t>è</w:t>
      </w:r>
      <w:r w:rsidR="00AE04C7" w:rsidRPr="00AE04C7">
        <w:rPr>
          <w:lang w:val="fr-FR"/>
        </w:rPr>
        <w:t>s réa</w:t>
      </w:r>
      <w:r w:rsidR="00AE04C7">
        <w:rPr>
          <w:lang w:val="fr-FR"/>
        </w:rPr>
        <w:t xml:space="preserve">lisés </w:t>
      </w:r>
      <w:r w:rsidR="00087869">
        <w:rPr>
          <w:lang w:val="fr-FR"/>
        </w:rPr>
        <w:t xml:space="preserve">dans la mise en œuvre </w:t>
      </w:r>
      <w:bookmarkStart w:id="5" w:name="_Hlk40116463"/>
      <w:r w:rsidR="00087869">
        <w:rPr>
          <w:lang w:val="fr-FR"/>
        </w:rPr>
        <w:t xml:space="preserve">des </w:t>
      </w:r>
      <w:r w:rsidRPr="00AE04C7">
        <w:rPr>
          <w:lang w:val="fr-FR"/>
        </w:rPr>
        <w:t>recomm</w:t>
      </w:r>
      <w:r w:rsidR="00087869">
        <w:rPr>
          <w:lang w:val="fr-FR"/>
        </w:rPr>
        <w:t>a</w:t>
      </w:r>
      <w:r w:rsidRPr="00AE04C7">
        <w:rPr>
          <w:lang w:val="fr-FR"/>
        </w:rPr>
        <w:t xml:space="preserve">ndations </w:t>
      </w:r>
      <w:r w:rsidR="00087869">
        <w:rPr>
          <w:lang w:val="fr-FR"/>
        </w:rPr>
        <w:t>formulées dans le rapport</w:t>
      </w:r>
      <w:r w:rsidR="001E4827">
        <w:rPr>
          <w:lang w:val="fr-FR"/>
        </w:rPr>
        <w:t xml:space="preserve"> sur l’examen de la Plateforme à l’issue de son premier programme de travail</w:t>
      </w:r>
      <w:r w:rsidR="002B1339" w:rsidRPr="007B32FF">
        <w:rPr>
          <w:szCs w:val="18"/>
          <w:vertAlign w:val="superscript"/>
        </w:rPr>
        <w:footnoteReference w:id="23"/>
      </w:r>
      <w:r w:rsidR="001E4827">
        <w:rPr>
          <w:lang w:val="fr-FR"/>
        </w:rPr>
        <w:t> ;</w:t>
      </w:r>
      <w:bookmarkEnd w:id="5"/>
      <w:r w:rsidR="001E4827">
        <w:rPr>
          <w:lang w:val="fr-FR"/>
        </w:rPr>
        <w:t xml:space="preserve"> </w:t>
      </w:r>
    </w:p>
    <w:p w14:paraId="55AEFC27" w14:textId="56ED5C27" w:rsidR="00F827FC" w:rsidRPr="00C36CE5" w:rsidRDefault="00F827FC" w:rsidP="00F827FC">
      <w:pPr>
        <w:pStyle w:val="Normal-pool"/>
        <w:spacing w:after="120"/>
        <w:ind w:left="1871" w:firstLine="624"/>
        <w:rPr>
          <w:lang w:val="fr-FR"/>
        </w:rPr>
      </w:pPr>
      <w:bookmarkStart w:id="6" w:name="_Hlk43996126"/>
      <w:r w:rsidRPr="00C36CE5">
        <w:rPr>
          <w:lang w:val="fr-FR"/>
        </w:rPr>
        <w:t>2.</w:t>
      </w:r>
      <w:r w:rsidRPr="00C36CE5">
        <w:rPr>
          <w:i/>
          <w:iCs/>
          <w:lang w:val="fr-FR"/>
        </w:rPr>
        <w:tab/>
      </w:r>
      <w:r w:rsidR="001E4827" w:rsidRPr="00C36CE5">
        <w:rPr>
          <w:i/>
          <w:iCs/>
          <w:lang w:val="fr-FR"/>
        </w:rPr>
        <w:t xml:space="preserve">Prie le </w:t>
      </w:r>
      <w:r w:rsidRPr="00C36CE5">
        <w:rPr>
          <w:lang w:val="fr-FR"/>
        </w:rPr>
        <w:t xml:space="preserve">Bureau, </w:t>
      </w:r>
      <w:r w:rsidR="00B02331" w:rsidRPr="00C36CE5">
        <w:rPr>
          <w:lang w:val="fr-FR"/>
        </w:rPr>
        <w:t>le Groupe d’experts multidisciplinaire</w:t>
      </w:r>
      <w:r w:rsidR="00511EDC" w:rsidRPr="00C36CE5">
        <w:rPr>
          <w:lang w:val="fr-FR"/>
        </w:rPr>
        <w:t xml:space="preserve"> et la Secrétaire ex</w:t>
      </w:r>
      <w:r w:rsidR="00A83461" w:rsidRPr="00C36CE5">
        <w:rPr>
          <w:lang w:val="fr-FR"/>
        </w:rPr>
        <w:t>é</w:t>
      </w:r>
      <w:r w:rsidR="00511EDC" w:rsidRPr="00C36CE5">
        <w:rPr>
          <w:lang w:val="fr-FR"/>
        </w:rPr>
        <w:t>cutive,</w:t>
      </w:r>
      <w:r w:rsidR="00A83461" w:rsidRPr="00C36CE5">
        <w:rPr>
          <w:lang w:val="fr-FR"/>
        </w:rPr>
        <w:t xml:space="preserve"> conformément à leurs mandats respectifs</w:t>
      </w:r>
      <w:r w:rsidRPr="00C36CE5">
        <w:rPr>
          <w:lang w:val="fr-FR"/>
        </w:rPr>
        <w:t xml:space="preserve">, </w:t>
      </w:r>
      <w:r w:rsidR="00A83461" w:rsidRPr="00C36CE5">
        <w:rPr>
          <w:lang w:val="fr-FR"/>
        </w:rPr>
        <w:t xml:space="preserve">de continuer </w:t>
      </w:r>
      <w:r w:rsidR="008D6FF9" w:rsidRPr="00C36CE5">
        <w:rPr>
          <w:lang w:val="fr-FR"/>
        </w:rPr>
        <w:t xml:space="preserve">à tenir compte des recommandations formulées par la commission d’examen </w:t>
      </w:r>
      <w:r w:rsidR="00C36CE5" w:rsidRPr="00C36CE5">
        <w:rPr>
          <w:lang w:val="fr-FR"/>
        </w:rPr>
        <w:t>dans</w:t>
      </w:r>
      <w:r w:rsidR="00C36CE5">
        <w:rPr>
          <w:lang w:val="fr-FR"/>
        </w:rPr>
        <w:t xml:space="preserve"> la mise en œuvre du programme de travail glissant de la </w:t>
      </w:r>
      <w:r w:rsidRPr="00C36CE5">
        <w:rPr>
          <w:lang w:val="fr-FR"/>
        </w:rPr>
        <w:t>Plat</w:t>
      </w:r>
      <w:r w:rsidR="00C36CE5">
        <w:rPr>
          <w:lang w:val="fr-FR"/>
        </w:rPr>
        <w:t>e</w:t>
      </w:r>
      <w:r w:rsidRPr="00C36CE5">
        <w:rPr>
          <w:lang w:val="fr-FR"/>
        </w:rPr>
        <w:t>form</w:t>
      </w:r>
      <w:r w:rsidR="00C36CE5">
        <w:rPr>
          <w:lang w:val="fr-FR"/>
        </w:rPr>
        <w:t xml:space="preserve">e </w:t>
      </w:r>
      <w:r w:rsidR="0094629E">
        <w:rPr>
          <w:lang w:val="fr-FR"/>
        </w:rPr>
        <w:t xml:space="preserve">pour la période allant </w:t>
      </w:r>
      <w:r w:rsidR="00C36CE5">
        <w:rPr>
          <w:lang w:val="fr-FR"/>
        </w:rPr>
        <w:t xml:space="preserve">jusqu’en </w:t>
      </w:r>
      <w:r w:rsidRPr="00C36CE5">
        <w:rPr>
          <w:lang w:val="fr-FR"/>
        </w:rPr>
        <w:t xml:space="preserve">2030 </w:t>
      </w:r>
      <w:r w:rsidR="00A9029E">
        <w:rPr>
          <w:lang w:val="fr-FR"/>
        </w:rPr>
        <w:t xml:space="preserve">et de lui faire rapport à sa neuvième session sur les progrès accomplis, </w:t>
      </w:r>
      <w:r w:rsidR="00773D3B">
        <w:rPr>
          <w:lang w:val="fr-FR"/>
        </w:rPr>
        <w:t xml:space="preserve">y compris </w:t>
      </w:r>
      <w:r w:rsidR="00773D3B" w:rsidRPr="00434D41">
        <w:rPr>
          <w:lang w:val="fr-FR"/>
        </w:rPr>
        <w:t>sur</w:t>
      </w:r>
      <w:r w:rsidR="00773D3B">
        <w:rPr>
          <w:lang w:val="fr-FR"/>
        </w:rPr>
        <w:t xml:space="preserve"> </w:t>
      </w:r>
      <w:r w:rsidR="0079518C">
        <w:rPr>
          <w:lang w:val="fr-FR"/>
        </w:rPr>
        <w:t xml:space="preserve">les solutions et questions supplémentaires ; </w:t>
      </w:r>
      <w:bookmarkEnd w:id="6"/>
      <w:r w:rsidRPr="00C36CE5">
        <w:rPr>
          <w:lang w:val="fr-FR"/>
        </w:rPr>
        <w:t xml:space="preserve"> </w:t>
      </w:r>
    </w:p>
    <w:p w14:paraId="350C4E58" w14:textId="607877F6" w:rsidR="00F827FC" w:rsidRPr="008643E8" w:rsidRDefault="00F827FC" w:rsidP="00F827FC">
      <w:pPr>
        <w:pStyle w:val="Normal-pool"/>
        <w:spacing w:after="120"/>
        <w:ind w:left="1871" w:firstLine="624"/>
        <w:rPr>
          <w:lang w:val="fr-FR"/>
        </w:rPr>
      </w:pPr>
      <w:r w:rsidRPr="008643E8">
        <w:rPr>
          <w:iCs/>
          <w:lang w:val="fr-FR"/>
        </w:rPr>
        <w:t>3.</w:t>
      </w:r>
      <w:r w:rsidRPr="008643E8">
        <w:rPr>
          <w:i/>
          <w:lang w:val="fr-FR"/>
        </w:rPr>
        <w:tab/>
      </w:r>
      <w:r w:rsidR="0079518C" w:rsidRPr="008643E8">
        <w:rPr>
          <w:i/>
          <w:lang w:val="fr-FR"/>
        </w:rPr>
        <w:t xml:space="preserve">Accueille </w:t>
      </w:r>
      <w:r w:rsidR="008643E8" w:rsidRPr="008643E8">
        <w:rPr>
          <w:i/>
          <w:lang w:val="fr-FR"/>
        </w:rPr>
        <w:t xml:space="preserve">avec satisfaction </w:t>
      </w:r>
      <w:r w:rsidR="008643E8" w:rsidRPr="008643E8">
        <w:rPr>
          <w:lang w:val="fr-FR"/>
        </w:rPr>
        <w:t xml:space="preserve">la </w:t>
      </w:r>
      <w:r w:rsidRPr="008643E8">
        <w:rPr>
          <w:lang w:val="fr-FR"/>
        </w:rPr>
        <w:t xml:space="preserve">note </w:t>
      </w:r>
      <w:r w:rsidR="008643E8" w:rsidRPr="008643E8">
        <w:rPr>
          <w:lang w:val="fr-FR"/>
        </w:rPr>
        <w:t xml:space="preserve">du </w:t>
      </w:r>
      <w:r w:rsidRPr="008643E8">
        <w:rPr>
          <w:lang w:val="fr-FR"/>
        </w:rPr>
        <w:t xml:space="preserve">Bureau </w:t>
      </w:r>
      <w:r w:rsidR="008643E8" w:rsidRPr="008643E8">
        <w:rPr>
          <w:lang w:val="fr-FR"/>
        </w:rPr>
        <w:t>e</w:t>
      </w:r>
      <w:r w:rsidR="008643E8">
        <w:rPr>
          <w:lang w:val="fr-FR"/>
        </w:rPr>
        <w:t>t du Groupe d’experts multi</w:t>
      </w:r>
      <w:r w:rsidR="008509F9">
        <w:rPr>
          <w:lang w:val="fr-FR"/>
        </w:rPr>
        <w:t xml:space="preserve">disciplinaire sur </w:t>
      </w:r>
      <w:r w:rsidR="002A5386">
        <w:rPr>
          <w:lang w:val="fr-FR"/>
        </w:rPr>
        <w:t>l’application</w:t>
      </w:r>
      <w:r w:rsidR="00B716E7">
        <w:rPr>
          <w:lang w:val="fr-FR"/>
        </w:rPr>
        <w:t xml:space="preserve"> de leurs rôles respectifs dans la pratique</w:t>
      </w:r>
      <w:r w:rsidR="00D40EEA" w:rsidRPr="00263AB5">
        <w:rPr>
          <w:szCs w:val="18"/>
          <w:vertAlign w:val="superscript"/>
        </w:rPr>
        <w:footnoteReference w:id="24"/>
      </w:r>
      <w:r w:rsidR="00D40EEA">
        <w:rPr>
          <w:lang w:val="fr-FR"/>
        </w:rPr>
        <w:t> </w:t>
      </w:r>
      <w:r w:rsidRPr="008643E8">
        <w:rPr>
          <w:lang w:val="fr-FR"/>
        </w:rPr>
        <w:t>;</w:t>
      </w:r>
    </w:p>
    <w:p w14:paraId="34264835" w14:textId="39A6ED3C" w:rsidR="00F827FC" w:rsidRPr="0044474A" w:rsidRDefault="00F827FC" w:rsidP="00F827FC">
      <w:pPr>
        <w:pStyle w:val="Normal-pool"/>
        <w:spacing w:after="120"/>
        <w:ind w:left="1871" w:firstLine="624"/>
        <w:rPr>
          <w:lang w:val="fr-FR"/>
        </w:rPr>
      </w:pPr>
      <w:r w:rsidRPr="0044474A">
        <w:rPr>
          <w:iCs/>
          <w:lang w:val="fr-FR"/>
        </w:rPr>
        <w:t>4.</w:t>
      </w:r>
      <w:r w:rsidRPr="0044474A">
        <w:rPr>
          <w:i/>
          <w:lang w:val="fr-FR"/>
        </w:rPr>
        <w:tab/>
      </w:r>
      <w:r w:rsidR="00810591" w:rsidRPr="0044474A">
        <w:rPr>
          <w:i/>
          <w:lang w:val="fr-FR"/>
        </w:rPr>
        <w:t xml:space="preserve">Se félicite </w:t>
      </w:r>
      <w:r w:rsidR="00810591" w:rsidRPr="0044474A">
        <w:rPr>
          <w:lang w:val="fr-FR"/>
        </w:rPr>
        <w:t xml:space="preserve">des progrès accomplis par le </w:t>
      </w:r>
      <w:r w:rsidRPr="0044474A">
        <w:rPr>
          <w:lang w:val="fr-FR"/>
        </w:rPr>
        <w:t xml:space="preserve">Bureau </w:t>
      </w:r>
      <w:r w:rsidR="00810591" w:rsidRPr="0044474A">
        <w:rPr>
          <w:lang w:val="fr-FR"/>
        </w:rPr>
        <w:t xml:space="preserve">et le Groupe d’experts multidisciplinaire </w:t>
      </w:r>
      <w:r w:rsidR="007B7801" w:rsidRPr="0044474A">
        <w:rPr>
          <w:lang w:val="fr-FR"/>
        </w:rPr>
        <w:t xml:space="preserve">dans l’élaboration d’une note sur l’utilisation et </w:t>
      </w:r>
      <w:r w:rsidR="00D44E85">
        <w:rPr>
          <w:lang w:val="fr-FR"/>
        </w:rPr>
        <w:t>les effets</w:t>
      </w:r>
      <w:r w:rsidR="0044474A" w:rsidRPr="0044474A">
        <w:rPr>
          <w:lang w:val="fr-FR"/>
        </w:rPr>
        <w:t xml:space="preserve"> du cadre co</w:t>
      </w:r>
      <w:r w:rsidR="0044474A">
        <w:rPr>
          <w:lang w:val="fr-FR"/>
        </w:rPr>
        <w:t xml:space="preserve">nceptuel </w:t>
      </w:r>
      <w:r w:rsidR="00003A43">
        <w:rPr>
          <w:lang w:val="fr-FR"/>
        </w:rPr>
        <w:t xml:space="preserve">de la </w:t>
      </w:r>
      <w:r w:rsidRPr="0044474A">
        <w:rPr>
          <w:lang w:val="fr-FR"/>
        </w:rPr>
        <w:t>Plat</w:t>
      </w:r>
      <w:r w:rsidR="00003A43">
        <w:rPr>
          <w:lang w:val="fr-FR"/>
        </w:rPr>
        <w:t>e</w:t>
      </w:r>
      <w:r w:rsidRPr="0044474A">
        <w:rPr>
          <w:lang w:val="fr-FR"/>
        </w:rPr>
        <w:t>form</w:t>
      </w:r>
      <w:r w:rsidR="00003A43">
        <w:rPr>
          <w:lang w:val="fr-FR"/>
        </w:rPr>
        <w:t xml:space="preserve">e et </w:t>
      </w:r>
      <w:r w:rsidRPr="0044474A">
        <w:rPr>
          <w:lang w:val="fr-FR"/>
        </w:rPr>
        <w:t>invite</w:t>
      </w:r>
      <w:r w:rsidR="00553BA1">
        <w:rPr>
          <w:lang w:val="fr-FR"/>
        </w:rPr>
        <w:t xml:space="preserve"> les </w:t>
      </w:r>
      <w:r w:rsidRPr="0044474A">
        <w:rPr>
          <w:lang w:val="fr-FR"/>
        </w:rPr>
        <w:t>memb</w:t>
      </w:r>
      <w:r w:rsidR="00553BA1">
        <w:rPr>
          <w:lang w:val="fr-FR"/>
        </w:rPr>
        <w:t>re</w:t>
      </w:r>
      <w:r w:rsidRPr="0044474A">
        <w:rPr>
          <w:lang w:val="fr-FR"/>
        </w:rPr>
        <w:t xml:space="preserve">s, </w:t>
      </w:r>
      <w:r w:rsidR="00553BA1">
        <w:rPr>
          <w:lang w:val="fr-FR"/>
        </w:rPr>
        <w:t xml:space="preserve">les observateurs et les autres parties prenantes </w:t>
      </w:r>
      <w:r w:rsidR="00685894">
        <w:rPr>
          <w:lang w:val="fr-FR"/>
        </w:rPr>
        <w:t xml:space="preserve">à faire part de leurs </w:t>
      </w:r>
      <w:r w:rsidR="00703ECD">
        <w:rPr>
          <w:lang w:val="fr-FR"/>
        </w:rPr>
        <w:t xml:space="preserve">observations </w:t>
      </w:r>
      <w:r w:rsidR="00441E67">
        <w:rPr>
          <w:lang w:val="fr-FR"/>
        </w:rPr>
        <w:t xml:space="preserve">sur le </w:t>
      </w:r>
      <w:r w:rsidR="00685894">
        <w:rPr>
          <w:lang w:val="fr-FR"/>
        </w:rPr>
        <w:t xml:space="preserve">projet de note au secrétariat avant le </w:t>
      </w:r>
      <w:r w:rsidRPr="0044474A">
        <w:rPr>
          <w:lang w:val="fr-FR"/>
        </w:rPr>
        <w:t>30</w:t>
      </w:r>
      <w:r w:rsidR="00D40EEA">
        <w:rPr>
          <w:lang w:val="fr-FR"/>
        </w:rPr>
        <w:t> </w:t>
      </w:r>
      <w:r w:rsidR="00685894">
        <w:rPr>
          <w:lang w:val="fr-FR"/>
        </w:rPr>
        <w:t xml:space="preserve">juillet </w:t>
      </w:r>
      <w:r w:rsidRPr="0044474A">
        <w:rPr>
          <w:lang w:val="fr-FR"/>
        </w:rPr>
        <w:t>2021</w:t>
      </w:r>
      <w:r w:rsidR="00D40EEA">
        <w:rPr>
          <w:lang w:val="fr-FR"/>
        </w:rPr>
        <w:t> </w:t>
      </w:r>
      <w:r w:rsidRPr="0044474A">
        <w:rPr>
          <w:lang w:val="fr-FR"/>
        </w:rPr>
        <w:t>;</w:t>
      </w:r>
    </w:p>
    <w:p w14:paraId="3BACE29C" w14:textId="0429ED57" w:rsidR="00F827FC" w:rsidRPr="00CD3F29" w:rsidRDefault="00685894" w:rsidP="005A50FA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CD3F29">
        <w:rPr>
          <w:lang w:val="fr-FR"/>
        </w:rPr>
        <w:t xml:space="preserve">La Plénière souhaitera peut-être </w:t>
      </w:r>
      <w:r w:rsidR="00CD3F29" w:rsidRPr="00CD3F29">
        <w:rPr>
          <w:lang w:val="fr-FR"/>
        </w:rPr>
        <w:t>examiner le projet de décision ci</w:t>
      </w:r>
      <w:r w:rsidR="00CD3F29">
        <w:rPr>
          <w:lang w:val="fr-FR"/>
        </w:rPr>
        <w:t>-après</w:t>
      </w:r>
      <w:r w:rsidR="00B63594">
        <w:rPr>
          <w:lang w:val="fr-FR"/>
        </w:rPr>
        <w:t>,</w:t>
      </w:r>
      <w:r w:rsidR="00CD3F29">
        <w:rPr>
          <w:lang w:val="fr-FR"/>
        </w:rPr>
        <w:t xml:space="preserve"> qui relève d</w:t>
      </w:r>
      <w:r w:rsidR="00067079">
        <w:rPr>
          <w:lang w:val="fr-FR"/>
        </w:rPr>
        <w:t>u point</w:t>
      </w:r>
      <w:r w:rsidR="00D40EEA">
        <w:rPr>
          <w:lang w:val="fr-FR"/>
        </w:rPr>
        <w:t> </w:t>
      </w:r>
      <w:r w:rsidR="00067079">
        <w:rPr>
          <w:lang w:val="fr-FR"/>
        </w:rPr>
        <w:t xml:space="preserve">12 de l’ordre du jour provisoire : </w:t>
      </w:r>
      <w:r w:rsidR="00CD3F29" w:rsidRPr="00CD3F29">
        <w:rPr>
          <w:lang w:val="fr-FR"/>
        </w:rPr>
        <w:t xml:space="preserve"> </w:t>
      </w:r>
      <w:r w:rsidR="00F827FC" w:rsidRPr="00CD3F29">
        <w:rPr>
          <w:lang w:val="fr-FR"/>
        </w:rPr>
        <w:t xml:space="preserve"> </w:t>
      </w:r>
    </w:p>
    <w:p w14:paraId="32967FEB" w14:textId="77777777" w:rsidR="00464576" w:rsidRPr="00AF693F" w:rsidRDefault="00464576" w:rsidP="00464576">
      <w:pPr>
        <w:pStyle w:val="Normal-pool"/>
        <w:keepNext/>
        <w:keepLines/>
        <w:spacing w:before="240" w:after="120"/>
        <w:ind w:left="1886"/>
        <w:jc w:val="center"/>
        <w:rPr>
          <w:b/>
          <w:sz w:val="24"/>
          <w:szCs w:val="24"/>
          <w:lang w:val="fr-FR"/>
        </w:rPr>
      </w:pPr>
      <w:r w:rsidRPr="00AF693F">
        <w:rPr>
          <w:b/>
          <w:bCs/>
          <w:sz w:val="24"/>
          <w:szCs w:val="24"/>
          <w:lang w:val="fr-FR"/>
        </w:rPr>
        <w:t>VII</w:t>
      </w:r>
    </w:p>
    <w:p w14:paraId="52B62BF8" w14:textId="77777777" w:rsidR="00464576" w:rsidRPr="00AF693F" w:rsidRDefault="00464576" w:rsidP="00464576">
      <w:pPr>
        <w:pStyle w:val="Normal-pool"/>
        <w:keepNext/>
        <w:keepLines/>
        <w:spacing w:after="120"/>
        <w:ind w:left="1886"/>
        <w:jc w:val="center"/>
        <w:rPr>
          <w:b/>
          <w:sz w:val="24"/>
          <w:szCs w:val="24"/>
          <w:lang w:val="fr-FR"/>
        </w:rPr>
      </w:pPr>
      <w:r w:rsidRPr="00AF693F">
        <w:rPr>
          <w:b/>
          <w:bCs/>
          <w:sz w:val="24"/>
          <w:szCs w:val="24"/>
          <w:lang w:val="fr-FR"/>
        </w:rPr>
        <w:t>Appui technique au programme de travail</w:t>
      </w:r>
    </w:p>
    <w:p w14:paraId="31C19B84" w14:textId="40B35FFE" w:rsidR="00464576" w:rsidRPr="00546330" w:rsidRDefault="00464576" w:rsidP="00464576">
      <w:pPr>
        <w:pStyle w:val="Normal-pool"/>
        <w:spacing w:after="120"/>
        <w:ind w:left="1871" w:firstLine="624"/>
        <w:rPr>
          <w:lang w:val="fr-FR"/>
        </w:rPr>
      </w:pPr>
      <w:r w:rsidRPr="00546330">
        <w:rPr>
          <w:i/>
          <w:iCs/>
          <w:lang w:val="fr-FR"/>
        </w:rPr>
        <w:t xml:space="preserve">Prie </w:t>
      </w:r>
      <w:r w:rsidRPr="00546330">
        <w:rPr>
          <w:lang w:val="fr-FR"/>
        </w:rPr>
        <w:t>le secrétariat de mettre en place, en consultation avec le Bureau et dans les limites du budget approuvé figurant dans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annexe de la décision IPBES-</w:t>
      </w:r>
      <w:r w:rsidR="00C317C4">
        <w:rPr>
          <w:lang w:val="fr-FR"/>
        </w:rPr>
        <w:t>8</w:t>
      </w:r>
      <w:r w:rsidRPr="00546330">
        <w:rPr>
          <w:lang w:val="fr-FR"/>
        </w:rPr>
        <w:t>/[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 xml:space="preserve">  ], les dispositions institutionnelles nécessaires à la mise en œuvre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appui technique requis pour le programme de travail.</w:t>
      </w:r>
    </w:p>
    <w:p w14:paraId="6F3DE2AD" w14:textId="1D172DF4" w:rsidR="007E2A0A" w:rsidRPr="001D22CD" w:rsidRDefault="00464576" w:rsidP="00AE5B70">
      <w:pPr>
        <w:pStyle w:val="CH1"/>
        <w:numPr>
          <w:ilvl w:val="0"/>
          <w:numId w:val="8"/>
        </w:numPr>
        <w:tabs>
          <w:tab w:val="clear" w:pos="851"/>
        </w:tabs>
        <w:ind w:hanging="648"/>
        <w:rPr>
          <w:lang w:val="fr-FR"/>
        </w:rPr>
      </w:pPr>
      <w:r w:rsidRPr="001D22CD">
        <w:rPr>
          <w:lang w:val="fr-FR"/>
        </w:rPr>
        <w:t xml:space="preserve">Projet de décision : </w:t>
      </w:r>
      <w:r w:rsidR="00020FC3">
        <w:rPr>
          <w:lang w:val="fr-FR"/>
        </w:rPr>
        <w:t>Durée du m</w:t>
      </w:r>
      <w:r w:rsidR="001D22CD" w:rsidRPr="001D22CD">
        <w:rPr>
          <w:lang w:val="fr-FR"/>
        </w:rPr>
        <w:t xml:space="preserve">andat des membres du </w:t>
      </w:r>
      <w:r w:rsidR="007E2A0A" w:rsidRPr="001D22CD">
        <w:rPr>
          <w:lang w:val="fr-FR"/>
        </w:rPr>
        <w:t xml:space="preserve">Bureau </w:t>
      </w:r>
      <w:r w:rsidR="001D22CD" w:rsidRPr="001D22CD">
        <w:rPr>
          <w:lang w:val="fr-FR"/>
        </w:rPr>
        <w:t>e</w:t>
      </w:r>
      <w:r w:rsidR="001D22CD">
        <w:rPr>
          <w:lang w:val="fr-FR"/>
        </w:rPr>
        <w:t>t</w:t>
      </w:r>
      <w:r w:rsidR="00C5025C">
        <w:rPr>
          <w:lang w:val="fr-FR"/>
        </w:rPr>
        <w:t> </w:t>
      </w:r>
      <w:r w:rsidR="001D22CD">
        <w:rPr>
          <w:lang w:val="fr-FR"/>
        </w:rPr>
        <w:t>du</w:t>
      </w:r>
      <w:r w:rsidR="00C5025C">
        <w:rPr>
          <w:lang w:val="fr-FR"/>
        </w:rPr>
        <w:t> </w:t>
      </w:r>
      <w:r w:rsidR="001D22CD">
        <w:rPr>
          <w:lang w:val="fr-FR"/>
        </w:rPr>
        <w:t xml:space="preserve">Groupe d’experts multidisciplinaire </w:t>
      </w:r>
      <w:r w:rsidR="007E2A0A" w:rsidRPr="001D22CD">
        <w:rPr>
          <w:lang w:val="fr-FR"/>
        </w:rPr>
        <w:t xml:space="preserve"> </w:t>
      </w:r>
    </w:p>
    <w:p w14:paraId="2071B9D6" w14:textId="528475CF" w:rsidR="00D712AD" w:rsidRPr="00B678B2" w:rsidRDefault="00225727" w:rsidP="005A50FA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B678B2">
        <w:rPr>
          <w:lang w:val="fr-FR"/>
        </w:rPr>
        <w:t xml:space="preserve">La Plénière souhaitera peut-être </w:t>
      </w:r>
      <w:r w:rsidR="00B678B2" w:rsidRPr="00B678B2">
        <w:rPr>
          <w:lang w:val="fr-FR"/>
        </w:rPr>
        <w:t>examiner le projet de d</w:t>
      </w:r>
      <w:r w:rsidR="00B678B2">
        <w:rPr>
          <w:lang w:val="fr-FR"/>
        </w:rPr>
        <w:t>é</w:t>
      </w:r>
      <w:r w:rsidR="00B678B2" w:rsidRPr="00B678B2">
        <w:rPr>
          <w:lang w:val="fr-FR"/>
        </w:rPr>
        <w:t>cision ci-aprè</w:t>
      </w:r>
      <w:r w:rsidR="00B678B2">
        <w:rPr>
          <w:lang w:val="fr-FR"/>
        </w:rPr>
        <w:t>s</w:t>
      </w:r>
      <w:r w:rsidR="0044618F">
        <w:rPr>
          <w:lang w:val="fr-FR"/>
        </w:rPr>
        <w:t>,</w:t>
      </w:r>
      <w:r w:rsidR="00B678B2">
        <w:rPr>
          <w:lang w:val="fr-FR"/>
        </w:rPr>
        <w:t xml:space="preserve"> qui relève du point</w:t>
      </w:r>
      <w:r w:rsidR="00AF693F">
        <w:rPr>
          <w:lang w:val="fr-FR"/>
        </w:rPr>
        <w:t> </w:t>
      </w:r>
      <w:r w:rsidR="00D712AD" w:rsidRPr="00B678B2">
        <w:rPr>
          <w:lang w:val="fr-FR"/>
        </w:rPr>
        <w:t>2</w:t>
      </w:r>
      <w:r w:rsidR="00AF693F">
        <w:rPr>
          <w:lang w:val="fr-FR"/>
        </w:rPr>
        <w:t> </w:t>
      </w:r>
      <w:r w:rsidR="00D712AD" w:rsidRPr="00B678B2">
        <w:rPr>
          <w:lang w:val="fr-FR"/>
        </w:rPr>
        <w:t xml:space="preserve">c) </w:t>
      </w:r>
      <w:r w:rsidR="00B678B2">
        <w:rPr>
          <w:lang w:val="fr-FR"/>
        </w:rPr>
        <w:t>de l’ordre du jour provisoire</w:t>
      </w:r>
      <w:r w:rsidR="00AF693F">
        <w:rPr>
          <w:lang w:val="fr-FR"/>
        </w:rPr>
        <w:t> </w:t>
      </w:r>
      <w:r w:rsidR="00D712AD" w:rsidRPr="00B678B2">
        <w:rPr>
          <w:lang w:val="fr-FR"/>
        </w:rPr>
        <w:t xml:space="preserve">: </w:t>
      </w:r>
    </w:p>
    <w:p w14:paraId="45F3144B" w14:textId="6C093C94" w:rsidR="00D712AD" w:rsidRPr="00D712AD" w:rsidRDefault="00B678B2" w:rsidP="00D712AD">
      <w:pPr>
        <w:keepNext/>
        <w:tabs>
          <w:tab w:val="left" w:pos="624"/>
          <w:tab w:val="left" w:pos="4082"/>
        </w:tabs>
        <w:spacing w:after="120"/>
        <w:ind w:left="1871" w:firstLine="624"/>
        <w:rPr>
          <w:i/>
          <w:lang w:val="en-US"/>
        </w:rPr>
      </w:pPr>
      <w:r>
        <w:rPr>
          <w:i/>
          <w:lang w:val="en-US"/>
        </w:rPr>
        <w:t>La Plénière</w:t>
      </w:r>
      <w:r w:rsidR="002068BA">
        <w:rPr>
          <w:i/>
          <w:lang w:val="en-US"/>
        </w:rPr>
        <w:t xml:space="preserve">, </w:t>
      </w:r>
      <w:r w:rsidR="00D712AD" w:rsidRPr="00D712AD">
        <w:rPr>
          <w:i/>
          <w:lang w:val="en-US"/>
        </w:rPr>
        <w:t xml:space="preserve"> </w:t>
      </w:r>
    </w:p>
    <w:p w14:paraId="195E5B03" w14:textId="5D4B07DD" w:rsidR="00D712AD" w:rsidRPr="00C83037" w:rsidRDefault="00D712AD" w:rsidP="00D712AD">
      <w:pPr>
        <w:keepNext/>
        <w:tabs>
          <w:tab w:val="left" w:pos="624"/>
        </w:tabs>
        <w:spacing w:after="120"/>
        <w:ind w:left="1871" w:firstLine="624"/>
      </w:pPr>
      <w:r w:rsidRPr="00C83037">
        <w:rPr>
          <w:i/>
        </w:rPr>
        <w:t>R</w:t>
      </w:r>
      <w:r w:rsidR="002068BA" w:rsidRPr="00C83037">
        <w:rPr>
          <w:i/>
        </w:rPr>
        <w:t xml:space="preserve">appelant </w:t>
      </w:r>
      <w:r w:rsidR="002068BA" w:rsidRPr="00C83037">
        <w:t>la d</w:t>
      </w:r>
      <w:r w:rsidR="00317C56" w:rsidRPr="00C83037">
        <w:t>é</w:t>
      </w:r>
      <w:r w:rsidR="002068BA" w:rsidRPr="00C83037">
        <w:t>cision</w:t>
      </w:r>
      <w:r w:rsidR="00AF693F">
        <w:t> </w:t>
      </w:r>
      <w:r w:rsidRPr="00C83037">
        <w:t xml:space="preserve">IPBES-7/3 </w:t>
      </w:r>
      <w:r w:rsidR="00317C56" w:rsidRPr="00C83037">
        <w:t xml:space="preserve">sur </w:t>
      </w:r>
      <w:r w:rsidR="003C3225">
        <w:t>s</w:t>
      </w:r>
      <w:r w:rsidR="006F29F1">
        <w:t xml:space="preserve">es </w:t>
      </w:r>
      <w:r w:rsidR="00470B53" w:rsidRPr="00C83037">
        <w:t>future</w:t>
      </w:r>
      <w:r w:rsidR="006F29F1">
        <w:t>s</w:t>
      </w:r>
      <w:r w:rsidR="00470B53" w:rsidRPr="00C83037">
        <w:t xml:space="preserve"> sessions</w:t>
      </w:r>
      <w:r w:rsidR="003C3225">
        <w:t xml:space="preserve">, </w:t>
      </w:r>
      <w:r w:rsidR="00470B53" w:rsidRPr="00C83037">
        <w:t xml:space="preserve"> </w:t>
      </w:r>
      <w:r w:rsidR="00DB2A99">
        <w:t xml:space="preserve"> </w:t>
      </w:r>
    </w:p>
    <w:p w14:paraId="53D64CCB" w14:textId="4DE13BBA" w:rsidR="00D712AD" w:rsidRPr="005646D2" w:rsidRDefault="00D712AD" w:rsidP="00D712AD">
      <w:pPr>
        <w:tabs>
          <w:tab w:val="left" w:pos="624"/>
        </w:tabs>
        <w:spacing w:after="120"/>
        <w:ind w:left="1871" w:firstLine="624"/>
        <w:rPr>
          <w:lang w:eastAsia="ko-KR"/>
        </w:rPr>
      </w:pPr>
      <w:r w:rsidRPr="005646D2">
        <w:t>1.</w:t>
      </w:r>
      <w:r w:rsidRPr="005646D2">
        <w:tab/>
      </w:r>
      <w:r w:rsidRPr="005646D2">
        <w:rPr>
          <w:i/>
          <w:iCs/>
        </w:rPr>
        <w:t>D</w:t>
      </w:r>
      <w:r w:rsidR="006F29F1" w:rsidRPr="005646D2">
        <w:rPr>
          <w:i/>
          <w:iCs/>
        </w:rPr>
        <w:t>é</w:t>
      </w:r>
      <w:r w:rsidRPr="005646D2">
        <w:rPr>
          <w:i/>
          <w:iCs/>
        </w:rPr>
        <w:t xml:space="preserve">cide, </w:t>
      </w:r>
      <w:r w:rsidRPr="005646D2">
        <w:rPr>
          <w:lang w:eastAsia="ko-KR"/>
        </w:rPr>
        <w:t>no</w:t>
      </w:r>
      <w:r w:rsidR="0092643A" w:rsidRPr="005646D2">
        <w:rPr>
          <w:lang w:eastAsia="ko-KR"/>
        </w:rPr>
        <w:t>nobstant l’article</w:t>
      </w:r>
      <w:r w:rsidR="00AF693F">
        <w:rPr>
          <w:lang w:eastAsia="ko-KR"/>
        </w:rPr>
        <w:t> </w:t>
      </w:r>
      <w:r w:rsidRPr="005646D2">
        <w:rPr>
          <w:lang w:eastAsia="ko-KR"/>
        </w:rPr>
        <w:t xml:space="preserve">15 </w:t>
      </w:r>
      <w:r w:rsidR="0092643A" w:rsidRPr="005646D2">
        <w:rPr>
          <w:lang w:eastAsia="ko-KR"/>
        </w:rPr>
        <w:t xml:space="preserve">du règlement intérieur </w:t>
      </w:r>
      <w:r w:rsidR="00371B6B" w:rsidRPr="005646D2">
        <w:rPr>
          <w:lang w:eastAsia="ko-KR"/>
        </w:rPr>
        <w:t>de</w:t>
      </w:r>
      <w:r w:rsidR="00DC22EB">
        <w:rPr>
          <w:lang w:eastAsia="ko-KR"/>
        </w:rPr>
        <w:t xml:space="preserve"> se</w:t>
      </w:r>
      <w:r w:rsidR="00371B6B" w:rsidRPr="005646D2">
        <w:rPr>
          <w:lang w:eastAsia="ko-KR"/>
        </w:rPr>
        <w:t>s sessions</w:t>
      </w:r>
      <w:r w:rsidR="00B5767F" w:rsidRPr="005646D2">
        <w:rPr>
          <w:lang w:eastAsia="ko-KR"/>
        </w:rPr>
        <w:t xml:space="preserve">, que le mandat des membres actuels </w:t>
      </w:r>
      <w:r w:rsidR="005646D2" w:rsidRPr="005646D2">
        <w:rPr>
          <w:lang w:eastAsia="ko-KR"/>
        </w:rPr>
        <w:t xml:space="preserve">du Bureau </w:t>
      </w:r>
      <w:r w:rsidR="00C1196A">
        <w:rPr>
          <w:lang w:eastAsia="ko-KR"/>
        </w:rPr>
        <w:t xml:space="preserve">sera prolongé </w:t>
      </w:r>
      <w:r w:rsidR="005646D2">
        <w:rPr>
          <w:lang w:eastAsia="ko-KR"/>
        </w:rPr>
        <w:t xml:space="preserve">jusqu’à la fin de </w:t>
      </w:r>
      <w:r w:rsidR="00B960C7">
        <w:rPr>
          <w:lang w:eastAsia="ko-KR"/>
        </w:rPr>
        <w:t>sa dixième session, au</w:t>
      </w:r>
      <w:r w:rsidR="008A6D44">
        <w:rPr>
          <w:lang w:eastAsia="ko-KR"/>
        </w:rPr>
        <w:t> </w:t>
      </w:r>
      <w:r w:rsidR="00B960C7">
        <w:rPr>
          <w:lang w:eastAsia="ko-KR"/>
        </w:rPr>
        <w:t xml:space="preserve">cours de laquelle </w:t>
      </w:r>
      <w:r w:rsidR="00213AD6">
        <w:rPr>
          <w:lang w:eastAsia="ko-KR"/>
        </w:rPr>
        <w:t>leurs successeurs</w:t>
      </w:r>
      <w:r w:rsidR="00D44536">
        <w:rPr>
          <w:lang w:eastAsia="ko-KR"/>
        </w:rPr>
        <w:t xml:space="preserve"> </w:t>
      </w:r>
      <w:r w:rsidR="00781670">
        <w:rPr>
          <w:lang w:eastAsia="ko-KR"/>
        </w:rPr>
        <w:t xml:space="preserve">seront élus ; </w:t>
      </w:r>
      <w:r w:rsidRPr="005646D2">
        <w:rPr>
          <w:lang w:eastAsia="ko-KR"/>
        </w:rPr>
        <w:t xml:space="preserve"> </w:t>
      </w:r>
    </w:p>
    <w:p w14:paraId="5F4CE541" w14:textId="7822F18C" w:rsidR="00D712AD" w:rsidRPr="00545472" w:rsidRDefault="00D712AD" w:rsidP="00D712AD">
      <w:pPr>
        <w:tabs>
          <w:tab w:val="left" w:pos="624"/>
        </w:tabs>
        <w:spacing w:after="120"/>
        <w:ind w:left="1871" w:firstLine="624"/>
        <w:rPr>
          <w:lang w:eastAsia="ko-KR"/>
        </w:rPr>
      </w:pPr>
      <w:r w:rsidRPr="00545472">
        <w:t>2.</w:t>
      </w:r>
      <w:r w:rsidRPr="00545472">
        <w:tab/>
      </w:r>
      <w:r w:rsidR="00781670" w:rsidRPr="00545472">
        <w:t xml:space="preserve">Décide également, </w:t>
      </w:r>
      <w:r w:rsidRPr="00545472">
        <w:rPr>
          <w:lang w:eastAsia="ko-KR"/>
        </w:rPr>
        <w:t>no</w:t>
      </w:r>
      <w:r w:rsidR="00FB6449" w:rsidRPr="00545472">
        <w:rPr>
          <w:lang w:eastAsia="ko-KR"/>
        </w:rPr>
        <w:t>nobstant l’article</w:t>
      </w:r>
      <w:r w:rsidR="008A6D44">
        <w:rPr>
          <w:lang w:eastAsia="ko-KR"/>
        </w:rPr>
        <w:t> </w:t>
      </w:r>
      <w:r w:rsidR="00FB6449" w:rsidRPr="00545472">
        <w:rPr>
          <w:lang w:eastAsia="ko-KR"/>
        </w:rPr>
        <w:t>2</w:t>
      </w:r>
      <w:r w:rsidRPr="00545472">
        <w:rPr>
          <w:lang w:eastAsia="ko-KR"/>
        </w:rPr>
        <w:t xml:space="preserve">9 </w:t>
      </w:r>
      <w:r w:rsidR="00FB6449" w:rsidRPr="00545472">
        <w:rPr>
          <w:lang w:eastAsia="ko-KR"/>
        </w:rPr>
        <w:t>du règlement intérieur de</w:t>
      </w:r>
      <w:r w:rsidR="00DC22EB">
        <w:rPr>
          <w:lang w:eastAsia="ko-KR"/>
        </w:rPr>
        <w:t xml:space="preserve"> se</w:t>
      </w:r>
      <w:r w:rsidR="00FB6449" w:rsidRPr="00545472">
        <w:rPr>
          <w:lang w:eastAsia="ko-KR"/>
        </w:rPr>
        <w:t>s sessions</w:t>
      </w:r>
      <w:r w:rsidRPr="00545472">
        <w:rPr>
          <w:lang w:eastAsia="ko-KR"/>
        </w:rPr>
        <w:t xml:space="preserve">, </w:t>
      </w:r>
      <w:r w:rsidR="00FB6449" w:rsidRPr="00545472">
        <w:rPr>
          <w:lang w:eastAsia="ko-KR"/>
        </w:rPr>
        <w:t xml:space="preserve">que le mandat des membres </w:t>
      </w:r>
      <w:r w:rsidR="00545472" w:rsidRPr="00545472">
        <w:rPr>
          <w:lang w:eastAsia="ko-KR"/>
        </w:rPr>
        <w:t>actuels du Gr</w:t>
      </w:r>
      <w:r w:rsidR="00545472">
        <w:rPr>
          <w:lang w:eastAsia="ko-KR"/>
        </w:rPr>
        <w:t xml:space="preserve">oupe d’experts multidisciplinaire </w:t>
      </w:r>
      <w:r w:rsidR="00904C03">
        <w:rPr>
          <w:lang w:eastAsia="ko-KR"/>
        </w:rPr>
        <w:t>sera prolongé j</w:t>
      </w:r>
      <w:r w:rsidR="00843B39">
        <w:rPr>
          <w:lang w:eastAsia="ko-KR"/>
        </w:rPr>
        <w:t>usqu’à la fin de sa neuvième session, au cou</w:t>
      </w:r>
      <w:r w:rsidR="00276B51">
        <w:rPr>
          <w:lang w:eastAsia="ko-KR"/>
        </w:rPr>
        <w:t>r</w:t>
      </w:r>
      <w:r w:rsidR="00843B39">
        <w:rPr>
          <w:lang w:eastAsia="ko-KR"/>
        </w:rPr>
        <w:t xml:space="preserve">s de laquelle </w:t>
      </w:r>
      <w:r w:rsidR="00276B51">
        <w:rPr>
          <w:lang w:eastAsia="ko-KR"/>
        </w:rPr>
        <w:t>le</w:t>
      </w:r>
      <w:r w:rsidR="00904C03">
        <w:rPr>
          <w:lang w:eastAsia="ko-KR"/>
        </w:rPr>
        <w:t xml:space="preserve">urs successeurs seront élus. </w:t>
      </w:r>
      <w:r w:rsidR="00276B51">
        <w:rPr>
          <w:lang w:eastAsia="ko-KR"/>
        </w:rPr>
        <w:t xml:space="preserve"> </w:t>
      </w:r>
    </w:p>
    <w:p w14:paraId="6B77E94C" w14:textId="342DF0F2" w:rsidR="00464576" w:rsidRPr="007E2A0A" w:rsidRDefault="00464576" w:rsidP="00AE5B70">
      <w:pPr>
        <w:pStyle w:val="CH1"/>
        <w:numPr>
          <w:ilvl w:val="0"/>
          <w:numId w:val="8"/>
        </w:numPr>
        <w:tabs>
          <w:tab w:val="clear" w:pos="851"/>
        </w:tabs>
        <w:ind w:hanging="648"/>
        <w:rPr>
          <w:sz w:val="20"/>
          <w:szCs w:val="20"/>
          <w:lang w:val="en-US"/>
        </w:rPr>
      </w:pPr>
      <w:r w:rsidRPr="007E2A0A">
        <w:rPr>
          <w:lang w:val="en-US"/>
        </w:rPr>
        <w:t>Dispositifs financiers et budgétaires</w:t>
      </w:r>
    </w:p>
    <w:p w14:paraId="723DFA59" w14:textId="3081889D" w:rsidR="00464576" w:rsidRPr="00546330" w:rsidRDefault="00464576" w:rsidP="00464576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546330">
        <w:rPr>
          <w:lang w:val="fr-FR"/>
        </w:rPr>
        <w:t>La Plénière souhaitera peut-être examiner le projet de décision ci-après</w:t>
      </w:r>
      <w:r w:rsidR="00D56189">
        <w:rPr>
          <w:lang w:val="fr-FR"/>
        </w:rPr>
        <w:t xml:space="preserve">, qui porte sur </w:t>
      </w:r>
      <w:r w:rsidR="00DF1A74">
        <w:rPr>
          <w:lang w:val="fr-FR"/>
        </w:rPr>
        <w:t>les dispositifs financiers et budgétaires</w:t>
      </w:r>
      <w:r w:rsidR="00D56189">
        <w:rPr>
          <w:lang w:val="fr-FR"/>
        </w:rPr>
        <w:t xml:space="preserve"> et </w:t>
      </w:r>
      <w:r w:rsidRPr="00546330">
        <w:rPr>
          <w:lang w:val="fr-FR"/>
        </w:rPr>
        <w:t>relève du point</w:t>
      </w:r>
      <w:r w:rsidR="008B0064" w:rsidRPr="00546330">
        <w:rPr>
          <w:lang w:val="fr-FR"/>
        </w:rPr>
        <w:t> </w:t>
      </w:r>
      <w:r w:rsidR="00417EB6">
        <w:rPr>
          <w:lang w:val="fr-FR"/>
        </w:rPr>
        <w:t>6</w:t>
      </w:r>
      <w:r w:rsidRPr="00546330">
        <w:rPr>
          <w:lang w:val="fr-FR"/>
        </w:rPr>
        <w:t xml:space="preserve">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ordre du jour provisoire :</w:t>
      </w:r>
    </w:p>
    <w:p w14:paraId="4EBA1E58" w14:textId="77777777" w:rsidR="00464576" w:rsidRPr="00546330" w:rsidRDefault="00464576" w:rsidP="00464576">
      <w:pPr>
        <w:pStyle w:val="Normal-pool"/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871" w:firstLine="624"/>
        <w:rPr>
          <w:i/>
          <w:lang w:val="fr-FR"/>
        </w:rPr>
      </w:pPr>
      <w:r w:rsidRPr="00546330">
        <w:rPr>
          <w:i/>
          <w:iCs/>
          <w:lang w:val="fr-FR"/>
        </w:rPr>
        <w:t>La Plénière,</w:t>
      </w:r>
    </w:p>
    <w:p w14:paraId="552AF31B" w14:textId="04208AC0" w:rsidR="00464576" w:rsidRPr="00546330" w:rsidRDefault="00464576" w:rsidP="00464576">
      <w:pPr>
        <w:pStyle w:val="Normal-pool"/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fr-FR"/>
        </w:rPr>
      </w:pPr>
      <w:bookmarkStart w:id="7" w:name="_Hlk535846233"/>
      <w:r w:rsidRPr="00546330">
        <w:rPr>
          <w:i/>
          <w:iCs/>
          <w:lang w:val="fr-FR"/>
        </w:rPr>
        <w:t>Se félicitant</w:t>
      </w:r>
      <w:r w:rsidRPr="00546330">
        <w:rPr>
          <w:lang w:val="fr-FR"/>
        </w:rPr>
        <w:t xml:space="preserve"> des contributions en espèces et en nature reçues depuis sa s</w:t>
      </w:r>
      <w:r w:rsidR="00417EB6">
        <w:rPr>
          <w:lang w:val="fr-FR"/>
        </w:rPr>
        <w:t>eptième</w:t>
      </w:r>
      <w:r w:rsidR="008B0064" w:rsidRPr="00546330">
        <w:rPr>
          <w:lang w:val="fr-FR"/>
        </w:rPr>
        <w:t> </w:t>
      </w:r>
      <w:r w:rsidRPr="00546330">
        <w:rPr>
          <w:lang w:val="fr-FR"/>
        </w:rPr>
        <w:t>session,</w:t>
      </w:r>
    </w:p>
    <w:p w14:paraId="6BBD242E" w14:textId="7DE21D73" w:rsidR="00464576" w:rsidRPr="00546330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fr-FR"/>
        </w:rPr>
      </w:pPr>
      <w:r w:rsidRPr="00546330">
        <w:rPr>
          <w:i/>
          <w:iCs/>
          <w:lang w:val="fr-FR"/>
        </w:rPr>
        <w:t>Prenant note</w:t>
      </w:r>
      <w:r w:rsidRPr="00546330">
        <w:rPr>
          <w:lang w:val="fr-FR"/>
        </w:rPr>
        <w:t xml:space="preserve">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 xml:space="preserve">état des contributions en espèces et en nature reçues à ce jour, qui figure dans les tableaux [   ], [   ] et [   ] </w:t>
      </w:r>
      <w:r w:rsidR="00E27972">
        <w:rPr>
          <w:lang w:val="fr-FR"/>
        </w:rPr>
        <w:t xml:space="preserve">de </w:t>
      </w:r>
      <w:r w:rsidRPr="00546330">
        <w:rPr>
          <w:lang w:val="fr-FR"/>
        </w:rPr>
        <w:t>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 xml:space="preserve">annexe </w:t>
      </w:r>
      <w:r w:rsidR="00E27972">
        <w:rPr>
          <w:lang w:val="fr-FR"/>
        </w:rPr>
        <w:t>de</w:t>
      </w:r>
      <w:r w:rsidRPr="00546330">
        <w:rPr>
          <w:lang w:val="fr-FR"/>
        </w:rPr>
        <w:t xml:space="preserve"> la présente décision</w:t>
      </w:r>
      <w:r w:rsidRPr="00546330">
        <w:rPr>
          <w:szCs w:val="18"/>
          <w:vertAlign w:val="superscript"/>
          <w:lang w:val="fr-FR"/>
        </w:rPr>
        <w:footnoteReference w:id="25"/>
      </w:r>
      <w:r w:rsidRPr="00546330">
        <w:rPr>
          <w:lang w:val="fr-FR"/>
        </w:rPr>
        <w:t>,</w:t>
      </w:r>
    </w:p>
    <w:p w14:paraId="5221DC97" w14:textId="4DCE8263" w:rsidR="00464576" w:rsidRPr="00546330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fr-FR"/>
        </w:rPr>
      </w:pPr>
      <w:r w:rsidRPr="00546330">
        <w:rPr>
          <w:i/>
          <w:iCs/>
          <w:lang w:val="fr-FR"/>
        </w:rPr>
        <w:t xml:space="preserve">Prenant note également </w:t>
      </w:r>
      <w:r w:rsidRPr="00546330">
        <w:rPr>
          <w:lang w:val="fr-FR"/>
        </w:rPr>
        <w:t xml:space="preserve">des contributions </w:t>
      </w:r>
      <w:r w:rsidR="00F32907">
        <w:rPr>
          <w:lang w:val="fr-FR"/>
        </w:rPr>
        <w:t xml:space="preserve">annoncées </w:t>
      </w:r>
      <w:r w:rsidRPr="00546330">
        <w:rPr>
          <w:lang w:val="fr-FR"/>
        </w:rPr>
        <w:t xml:space="preserve">pour la période </w:t>
      </w:r>
      <w:r w:rsidR="00F32907">
        <w:rPr>
          <w:lang w:val="fr-FR"/>
        </w:rPr>
        <w:t xml:space="preserve">s’étendant </w:t>
      </w:r>
      <w:r w:rsidRPr="00546330">
        <w:rPr>
          <w:lang w:val="fr-FR"/>
        </w:rPr>
        <w:t>au</w:t>
      </w:r>
      <w:r w:rsidRPr="00546330">
        <w:rPr>
          <w:lang w:val="fr-FR"/>
        </w:rPr>
        <w:noBreakHyphen/>
        <w:t>delà de 20</w:t>
      </w:r>
      <w:r w:rsidR="00BF7493">
        <w:rPr>
          <w:lang w:val="fr-FR"/>
        </w:rPr>
        <w:t>21</w:t>
      </w:r>
      <w:r w:rsidRPr="00546330">
        <w:rPr>
          <w:lang w:val="fr-FR"/>
        </w:rPr>
        <w:t>,</w:t>
      </w:r>
    </w:p>
    <w:p w14:paraId="78186BA3" w14:textId="647894D5" w:rsidR="00464576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strike/>
          <w:lang w:val="fr-FR"/>
        </w:rPr>
      </w:pPr>
      <w:r w:rsidRPr="00546330">
        <w:rPr>
          <w:i/>
          <w:iCs/>
          <w:lang w:val="fr-FR"/>
        </w:rPr>
        <w:t>Prenant note en outre</w:t>
      </w:r>
      <w:r w:rsidRPr="00546330">
        <w:rPr>
          <w:lang w:val="fr-FR"/>
        </w:rPr>
        <w:t xml:space="preserve">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 xml:space="preserve">état des dépenses </w:t>
      </w:r>
      <w:r w:rsidR="00B15C96">
        <w:rPr>
          <w:lang w:val="fr-FR"/>
        </w:rPr>
        <w:t xml:space="preserve">en </w:t>
      </w:r>
      <w:r w:rsidRPr="00546330">
        <w:rPr>
          <w:lang w:val="fr-FR"/>
        </w:rPr>
        <w:t>2018</w:t>
      </w:r>
      <w:r w:rsidR="00BF7493">
        <w:rPr>
          <w:lang w:val="fr-FR"/>
        </w:rPr>
        <w:t>, 2019 et 2020,</w:t>
      </w:r>
      <w:r w:rsidR="00B15C96">
        <w:rPr>
          <w:lang w:val="fr-FR"/>
        </w:rPr>
        <w:t xml:space="preserve"> respectivemen</w:t>
      </w:r>
      <w:r w:rsidR="00E27972">
        <w:rPr>
          <w:lang w:val="fr-FR"/>
        </w:rPr>
        <w:t>t</w:t>
      </w:r>
      <w:r w:rsidR="00F94F8B">
        <w:rPr>
          <w:lang w:val="fr-FR"/>
        </w:rPr>
        <w:t>,</w:t>
      </w:r>
      <w:r w:rsidRPr="00546330">
        <w:rPr>
          <w:lang w:val="fr-FR"/>
        </w:rPr>
        <w:t xml:space="preserve"> qui</w:t>
      </w:r>
      <w:r w:rsidR="00C5025C">
        <w:rPr>
          <w:lang w:val="fr-FR"/>
        </w:rPr>
        <w:t> </w:t>
      </w:r>
      <w:r w:rsidR="00C86F5E">
        <w:rPr>
          <w:lang w:val="fr-FR"/>
        </w:rPr>
        <w:t xml:space="preserve">est présenté </w:t>
      </w:r>
      <w:r w:rsidRPr="00546330">
        <w:rPr>
          <w:lang w:val="fr-FR"/>
        </w:rPr>
        <w:t>dans les tableaux [   ]</w:t>
      </w:r>
      <w:r w:rsidR="003845DE">
        <w:rPr>
          <w:lang w:val="fr-FR"/>
        </w:rPr>
        <w:t>,</w:t>
      </w:r>
      <w:r w:rsidRPr="00546330">
        <w:rPr>
          <w:lang w:val="fr-FR"/>
        </w:rPr>
        <w:t xml:space="preserve"> [   ]</w:t>
      </w:r>
      <w:r w:rsidR="003845DE">
        <w:rPr>
          <w:lang w:val="fr-FR"/>
        </w:rPr>
        <w:t xml:space="preserve"> et</w:t>
      </w:r>
      <w:r w:rsidRPr="00546330">
        <w:rPr>
          <w:lang w:val="fr-FR"/>
        </w:rPr>
        <w:t xml:space="preserve"> </w:t>
      </w:r>
      <w:r w:rsidR="003845DE" w:rsidRPr="00546330">
        <w:rPr>
          <w:lang w:val="fr-FR"/>
        </w:rPr>
        <w:t>[   ]</w:t>
      </w:r>
      <w:r w:rsidR="003845DE">
        <w:rPr>
          <w:lang w:val="fr-FR"/>
        </w:rPr>
        <w:t xml:space="preserve"> </w:t>
      </w:r>
      <w:r w:rsidRPr="00546330">
        <w:rPr>
          <w:lang w:val="fr-FR"/>
        </w:rPr>
        <w:t>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annexe de la présente décision</w:t>
      </w:r>
      <w:r w:rsidRPr="00546330">
        <w:rPr>
          <w:szCs w:val="18"/>
          <w:vertAlign w:val="superscript"/>
          <w:lang w:val="fr-FR"/>
        </w:rPr>
        <w:footnoteReference w:id="26"/>
      </w:r>
      <w:r w:rsidRPr="00546330">
        <w:rPr>
          <w:lang w:val="fr-FR"/>
        </w:rPr>
        <w:t xml:space="preserve">, </w:t>
      </w:r>
    </w:p>
    <w:p w14:paraId="64791813" w14:textId="5E469850" w:rsidR="00371399" w:rsidRPr="008117A6" w:rsidRDefault="00371399" w:rsidP="00371399">
      <w:pPr>
        <w:pStyle w:val="Normal-pool"/>
        <w:spacing w:after="120"/>
        <w:ind w:left="1871" w:firstLine="624"/>
        <w:rPr>
          <w:lang w:val="fr-FR"/>
        </w:rPr>
      </w:pPr>
      <w:r w:rsidRPr="008117A6">
        <w:rPr>
          <w:i/>
          <w:iCs/>
          <w:lang w:val="fr-FR"/>
        </w:rPr>
        <w:t>R</w:t>
      </w:r>
      <w:r w:rsidR="00F94F8B" w:rsidRPr="008117A6">
        <w:rPr>
          <w:i/>
          <w:iCs/>
          <w:lang w:val="fr-FR"/>
        </w:rPr>
        <w:t xml:space="preserve">appelant </w:t>
      </w:r>
      <w:r w:rsidR="00D83AEA" w:rsidRPr="008117A6">
        <w:rPr>
          <w:lang w:val="fr-FR"/>
        </w:rPr>
        <w:t>les proc</w:t>
      </w:r>
      <w:r w:rsidR="008117A6" w:rsidRPr="008117A6">
        <w:rPr>
          <w:lang w:val="fr-FR"/>
        </w:rPr>
        <w:t>é</w:t>
      </w:r>
      <w:r w:rsidR="00D83AEA" w:rsidRPr="008117A6">
        <w:rPr>
          <w:lang w:val="fr-FR"/>
        </w:rPr>
        <w:t xml:space="preserve">dures financières pour la </w:t>
      </w:r>
      <w:r w:rsidRPr="008117A6">
        <w:rPr>
          <w:lang w:val="fr-FR"/>
        </w:rPr>
        <w:t>Plat</w:t>
      </w:r>
      <w:r w:rsidR="00D83AEA" w:rsidRPr="008117A6">
        <w:rPr>
          <w:lang w:val="fr-FR"/>
        </w:rPr>
        <w:t>e</w:t>
      </w:r>
      <w:r w:rsidRPr="008117A6">
        <w:rPr>
          <w:lang w:val="fr-FR"/>
        </w:rPr>
        <w:t>form</w:t>
      </w:r>
      <w:r w:rsidR="00D83AEA" w:rsidRPr="008117A6">
        <w:rPr>
          <w:lang w:val="fr-FR"/>
        </w:rPr>
        <w:t>e</w:t>
      </w:r>
      <w:r w:rsidRPr="008117A6">
        <w:rPr>
          <w:lang w:val="fr-FR"/>
        </w:rPr>
        <w:t xml:space="preserve"> </w:t>
      </w:r>
      <w:r w:rsidR="00D83AEA" w:rsidRPr="008117A6">
        <w:rPr>
          <w:lang w:val="fr-FR"/>
        </w:rPr>
        <w:t>adopt</w:t>
      </w:r>
      <w:r w:rsidR="008117A6" w:rsidRPr="008117A6">
        <w:rPr>
          <w:lang w:val="fr-FR"/>
        </w:rPr>
        <w:t>é</w:t>
      </w:r>
      <w:r w:rsidR="00D83AEA" w:rsidRPr="008117A6">
        <w:rPr>
          <w:lang w:val="fr-FR"/>
        </w:rPr>
        <w:t xml:space="preserve">es </w:t>
      </w:r>
      <w:r w:rsidR="008117A6">
        <w:rPr>
          <w:lang w:val="fr-FR"/>
        </w:rPr>
        <w:t>dans la décision</w:t>
      </w:r>
      <w:r w:rsidR="008A6D44">
        <w:rPr>
          <w:lang w:val="fr-FR"/>
        </w:rPr>
        <w:t> </w:t>
      </w:r>
      <w:r w:rsidRPr="008117A6">
        <w:rPr>
          <w:lang w:val="fr-FR"/>
        </w:rPr>
        <w:t xml:space="preserve">IPBES-2/7 </w:t>
      </w:r>
      <w:r w:rsidR="00815923">
        <w:rPr>
          <w:lang w:val="fr-FR"/>
        </w:rPr>
        <w:t>et modifiées dans la décision</w:t>
      </w:r>
      <w:r w:rsidR="008A6D44">
        <w:rPr>
          <w:lang w:val="fr-FR"/>
        </w:rPr>
        <w:t> </w:t>
      </w:r>
      <w:r w:rsidRPr="008117A6">
        <w:rPr>
          <w:lang w:val="fr-FR"/>
        </w:rPr>
        <w:t xml:space="preserve">IPBES-3/2, </w:t>
      </w:r>
      <w:r w:rsidR="00815923">
        <w:rPr>
          <w:lang w:val="fr-FR"/>
        </w:rPr>
        <w:t>en particulier le</w:t>
      </w:r>
      <w:r w:rsidR="001F2C1F">
        <w:rPr>
          <w:lang w:val="fr-FR"/>
        </w:rPr>
        <w:t>s articles</w:t>
      </w:r>
      <w:r w:rsidR="008A6D44">
        <w:rPr>
          <w:lang w:val="fr-FR"/>
        </w:rPr>
        <w:t> </w:t>
      </w:r>
      <w:r w:rsidRPr="008117A6">
        <w:rPr>
          <w:lang w:val="fr-FR"/>
        </w:rPr>
        <w:t>4, 5</w:t>
      </w:r>
      <w:r w:rsidR="001F2C1F">
        <w:rPr>
          <w:lang w:val="fr-FR"/>
        </w:rPr>
        <w:t xml:space="preserve"> et 10, </w:t>
      </w:r>
      <w:r w:rsidRPr="008117A6">
        <w:rPr>
          <w:lang w:val="fr-FR"/>
        </w:rPr>
        <w:t xml:space="preserve"> </w:t>
      </w:r>
    </w:p>
    <w:p w14:paraId="5BE643CD" w14:textId="77620B7E" w:rsidR="00464576" w:rsidRPr="00546330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fr-FR"/>
        </w:rPr>
      </w:pPr>
      <w:r w:rsidRPr="00546330">
        <w:rPr>
          <w:lang w:val="fr-FR"/>
        </w:rPr>
        <w:t>1.</w:t>
      </w:r>
      <w:r w:rsidRPr="00546330">
        <w:rPr>
          <w:lang w:val="fr-FR"/>
        </w:rPr>
        <w:tab/>
      </w:r>
      <w:r w:rsidRPr="00546330">
        <w:rPr>
          <w:i/>
          <w:iCs/>
          <w:lang w:val="fr-FR"/>
        </w:rPr>
        <w:t xml:space="preserve">Invite </w:t>
      </w:r>
      <w:r w:rsidRPr="00546330">
        <w:rPr>
          <w:lang w:val="fr-FR"/>
        </w:rPr>
        <w:t>les gouvernements, les organismes des Nations Unies, le Fonds pour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environnement mondial,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autres organisations intergouvernementales, les parties prenantes et autres entités en mesure de le faire, notamment les organisations régionales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intégration économique, le secteur privé et les fondations, à annoncer et à verser des contributions au Fonds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 xml:space="preserve">affectation spéciale </w:t>
      </w:r>
      <w:r w:rsidR="0070735F">
        <w:rPr>
          <w:lang w:val="fr-FR"/>
        </w:rPr>
        <w:t xml:space="preserve">de la </w:t>
      </w:r>
      <w:r w:rsidR="00031B6B">
        <w:rPr>
          <w:lang w:val="fr-FR"/>
        </w:rPr>
        <w:t xml:space="preserve">Plateforme </w:t>
      </w:r>
      <w:r w:rsidRPr="00546330">
        <w:rPr>
          <w:lang w:val="fr-FR"/>
        </w:rPr>
        <w:t xml:space="preserve">et à apporter </w:t>
      </w:r>
      <w:r w:rsidR="00031B6B">
        <w:rPr>
          <w:lang w:val="fr-FR"/>
        </w:rPr>
        <w:t xml:space="preserve">à cette dernière </w:t>
      </w:r>
      <w:r w:rsidRPr="00546330">
        <w:rPr>
          <w:lang w:val="fr-FR"/>
        </w:rPr>
        <w:t xml:space="preserve">des contributions en nature </w:t>
      </w:r>
      <w:r w:rsidR="00031B6B">
        <w:rPr>
          <w:lang w:val="fr-FR"/>
        </w:rPr>
        <w:t>au profit de ses activités</w:t>
      </w:r>
      <w:r w:rsidR="00EB4F0B">
        <w:rPr>
          <w:lang w:val="fr-FR"/>
        </w:rPr>
        <w:t xml:space="preserve"> </w:t>
      </w:r>
      <w:r w:rsidRPr="00546330">
        <w:rPr>
          <w:lang w:val="fr-FR"/>
        </w:rPr>
        <w:t>;</w:t>
      </w:r>
    </w:p>
    <w:p w14:paraId="2BC3E56B" w14:textId="1AE312B4" w:rsidR="00464576" w:rsidRPr="00546330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color w:val="000000"/>
          <w:lang w:val="fr-FR"/>
        </w:rPr>
      </w:pPr>
      <w:r w:rsidRPr="00546330">
        <w:rPr>
          <w:lang w:val="fr-FR"/>
        </w:rPr>
        <w:t>2.</w:t>
      </w:r>
      <w:r w:rsidRPr="00546330">
        <w:rPr>
          <w:lang w:val="fr-FR"/>
        </w:rPr>
        <w:tab/>
      </w:r>
      <w:r w:rsidRPr="00546330">
        <w:rPr>
          <w:i/>
          <w:iCs/>
          <w:lang w:val="fr-FR"/>
        </w:rPr>
        <w:t xml:space="preserve">Prie </w:t>
      </w:r>
      <w:r w:rsidRPr="00546330">
        <w:rPr>
          <w:lang w:val="fr-FR"/>
        </w:rPr>
        <w:t xml:space="preserve">la Secrétaire exécutive, agissant sous la direction du Bureau, de lui faire rapport à sa </w:t>
      </w:r>
      <w:r w:rsidR="00992F95">
        <w:rPr>
          <w:lang w:val="fr-FR"/>
        </w:rPr>
        <w:t>neuv</w:t>
      </w:r>
      <w:r w:rsidRPr="00546330">
        <w:rPr>
          <w:lang w:val="fr-FR"/>
        </w:rPr>
        <w:t>ième session sur les dépenses de 20</w:t>
      </w:r>
      <w:r w:rsidR="00992F95">
        <w:rPr>
          <w:lang w:val="fr-FR"/>
        </w:rPr>
        <w:t>2</w:t>
      </w:r>
      <w:r w:rsidRPr="00546330">
        <w:rPr>
          <w:lang w:val="fr-FR"/>
        </w:rPr>
        <w:t xml:space="preserve">1 et sur les activités </w:t>
      </w:r>
      <w:r w:rsidR="00521361">
        <w:rPr>
          <w:lang w:val="fr-FR"/>
        </w:rPr>
        <w:t xml:space="preserve">de collecte des </w:t>
      </w:r>
      <w:r w:rsidRPr="00546330">
        <w:rPr>
          <w:lang w:val="fr-FR"/>
        </w:rPr>
        <w:t>fonds ;</w:t>
      </w:r>
    </w:p>
    <w:p w14:paraId="1544FA76" w14:textId="039E120E" w:rsidR="00464576" w:rsidRPr="00546330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color w:val="000000"/>
          <w:lang w:val="fr-FR"/>
        </w:rPr>
      </w:pPr>
      <w:r w:rsidRPr="00546330">
        <w:rPr>
          <w:lang w:val="fr-FR"/>
        </w:rPr>
        <w:t>3.</w:t>
      </w:r>
      <w:r w:rsidRPr="00546330">
        <w:rPr>
          <w:lang w:val="fr-FR"/>
        </w:rPr>
        <w:tab/>
      </w:r>
      <w:r w:rsidRPr="00546330">
        <w:rPr>
          <w:i/>
          <w:iCs/>
          <w:lang w:val="fr-FR"/>
        </w:rPr>
        <w:t xml:space="preserve">Adopte </w:t>
      </w:r>
      <w:r w:rsidRPr="00546330">
        <w:rPr>
          <w:lang w:val="fr-FR"/>
        </w:rPr>
        <w:t xml:space="preserve">le budget révisé </w:t>
      </w:r>
      <w:r w:rsidR="00AB75EF">
        <w:rPr>
          <w:lang w:val="fr-FR"/>
        </w:rPr>
        <w:t xml:space="preserve">pour </w:t>
      </w:r>
      <w:r w:rsidRPr="00546330">
        <w:rPr>
          <w:lang w:val="fr-FR"/>
        </w:rPr>
        <w:t>20</w:t>
      </w:r>
      <w:r w:rsidR="006A6765">
        <w:rPr>
          <w:lang w:val="fr-FR"/>
        </w:rPr>
        <w:t>2</w:t>
      </w:r>
      <w:r w:rsidRPr="00546330">
        <w:rPr>
          <w:lang w:val="fr-FR"/>
        </w:rPr>
        <w:t>1</w:t>
      </w:r>
      <w:r w:rsidRPr="00546330">
        <w:rPr>
          <w:szCs w:val="18"/>
          <w:vertAlign w:val="superscript"/>
          <w:lang w:val="fr-FR"/>
        </w:rPr>
        <w:footnoteReference w:id="27"/>
      </w:r>
      <w:r w:rsidRPr="00546330">
        <w:rPr>
          <w:lang w:val="fr-FR"/>
        </w:rPr>
        <w:t>,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 xml:space="preserve">un montant de [ 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 xml:space="preserve"> ] dollars, </w:t>
      </w:r>
      <w:r w:rsidR="00AB75EF">
        <w:rPr>
          <w:lang w:val="fr-FR"/>
        </w:rPr>
        <w:t xml:space="preserve">présenté dans </w:t>
      </w:r>
      <w:r w:rsidR="001D2176">
        <w:rPr>
          <w:lang w:val="fr-FR"/>
        </w:rPr>
        <w:t xml:space="preserve">le </w:t>
      </w:r>
      <w:r w:rsidRPr="00546330">
        <w:rPr>
          <w:lang w:val="fr-FR"/>
        </w:rPr>
        <w:t>tableau [  ]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annexe de la présente décision ;</w:t>
      </w:r>
    </w:p>
    <w:p w14:paraId="12494A60" w14:textId="7F9BF6D6" w:rsidR="00464576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 w:firstLine="624"/>
        <w:rPr>
          <w:lang w:val="fr-FR"/>
        </w:rPr>
      </w:pPr>
      <w:r w:rsidRPr="00546330">
        <w:rPr>
          <w:lang w:val="fr-FR"/>
        </w:rPr>
        <w:t>4.</w:t>
      </w:r>
      <w:r w:rsidRPr="00546330">
        <w:rPr>
          <w:lang w:val="fr-FR"/>
        </w:rPr>
        <w:tab/>
      </w:r>
      <w:r w:rsidRPr="00546330">
        <w:rPr>
          <w:i/>
          <w:iCs/>
          <w:lang w:val="fr-FR"/>
        </w:rPr>
        <w:t>Adopte également</w:t>
      </w:r>
      <w:r w:rsidRPr="00546330">
        <w:rPr>
          <w:lang w:val="fr-FR"/>
        </w:rPr>
        <w:t xml:space="preserve"> le budget pour 202</w:t>
      </w:r>
      <w:r w:rsidR="006A6765">
        <w:rPr>
          <w:lang w:val="fr-FR"/>
        </w:rPr>
        <w:t>2</w:t>
      </w:r>
      <w:r w:rsidRPr="00546330">
        <w:rPr>
          <w:szCs w:val="18"/>
          <w:vertAlign w:val="superscript"/>
          <w:lang w:val="fr-FR"/>
        </w:rPr>
        <w:footnoteReference w:id="28"/>
      </w:r>
      <w:r w:rsidRPr="00546330">
        <w:rPr>
          <w:lang w:val="fr-FR"/>
        </w:rPr>
        <w:t>,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 xml:space="preserve">un montant de [ 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 xml:space="preserve"> ] dollars, </w:t>
      </w:r>
      <w:r w:rsidR="001D2176">
        <w:rPr>
          <w:lang w:val="fr-FR"/>
        </w:rPr>
        <w:t xml:space="preserve">présenté dans le </w:t>
      </w:r>
      <w:r w:rsidRPr="00546330">
        <w:rPr>
          <w:lang w:val="fr-FR"/>
        </w:rPr>
        <w:t xml:space="preserve">tableau [  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>]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annexe de la présente décision</w:t>
      </w:r>
      <w:r w:rsidR="001D2176">
        <w:rPr>
          <w:lang w:val="fr-FR"/>
        </w:rPr>
        <w:t> ;</w:t>
      </w:r>
    </w:p>
    <w:p w14:paraId="73D6D3FD" w14:textId="1B7448EC" w:rsidR="004906E4" w:rsidRPr="00F43147" w:rsidRDefault="004906E4" w:rsidP="004906E4">
      <w:pPr>
        <w:tabs>
          <w:tab w:val="left" w:pos="624"/>
        </w:tabs>
        <w:spacing w:after="120"/>
        <w:ind w:left="1871" w:firstLine="624"/>
        <w:rPr>
          <w:color w:val="000000"/>
        </w:rPr>
      </w:pPr>
      <w:r w:rsidRPr="00F43147">
        <w:rPr>
          <w:color w:val="000000"/>
        </w:rPr>
        <w:t>5.</w:t>
      </w:r>
      <w:r w:rsidRPr="00F43147">
        <w:rPr>
          <w:color w:val="000000"/>
        </w:rPr>
        <w:tab/>
      </w:r>
      <w:r w:rsidR="00191AA0" w:rsidRPr="00F43147">
        <w:rPr>
          <w:i/>
          <w:iCs/>
          <w:color w:val="000000"/>
        </w:rPr>
        <w:t xml:space="preserve">Adopte en outre </w:t>
      </w:r>
      <w:r w:rsidR="00191AA0" w:rsidRPr="00F43147">
        <w:rPr>
          <w:color w:val="000000"/>
        </w:rPr>
        <w:t xml:space="preserve">le budget provisoire </w:t>
      </w:r>
      <w:r w:rsidR="00AB2F10" w:rsidRPr="00F43147">
        <w:rPr>
          <w:color w:val="000000"/>
        </w:rPr>
        <w:t xml:space="preserve">pour </w:t>
      </w:r>
      <w:r w:rsidRPr="00F43147">
        <w:rPr>
          <w:color w:val="000000"/>
        </w:rPr>
        <w:t>2023</w:t>
      </w:r>
      <w:r w:rsidR="00474847" w:rsidRPr="00081C66">
        <w:rPr>
          <w:szCs w:val="18"/>
          <w:vertAlign w:val="superscript"/>
        </w:rPr>
        <w:footnoteReference w:id="29"/>
      </w:r>
      <w:r w:rsidRPr="00F43147">
        <w:rPr>
          <w:color w:val="000000"/>
        </w:rPr>
        <w:t xml:space="preserve">, </w:t>
      </w:r>
      <w:r w:rsidR="00AB2F10" w:rsidRPr="00F43147">
        <w:rPr>
          <w:color w:val="000000"/>
        </w:rPr>
        <w:t xml:space="preserve">d’un montant de </w:t>
      </w:r>
      <w:r w:rsidRPr="00F43147">
        <w:rPr>
          <w:color w:val="000000"/>
        </w:rPr>
        <w:t>[--]</w:t>
      </w:r>
      <w:r w:rsidR="00AB2F10" w:rsidRPr="00F43147">
        <w:rPr>
          <w:color w:val="000000"/>
        </w:rPr>
        <w:t xml:space="preserve"> dollars</w:t>
      </w:r>
      <w:r w:rsidRPr="00F43147">
        <w:rPr>
          <w:color w:val="000000"/>
        </w:rPr>
        <w:t xml:space="preserve">, </w:t>
      </w:r>
      <w:r w:rsidR="003254AC">
        <w:rPr>
          <w:color w:val="000000"/>
        </w:rPr>
        <w:t xml:space="preserve">présenté dans le </w:t>
      </w:r>
      <w:r w:rsidR="004B4D57">
        <w:rPr>
          <w:color w:val="000000"/>
        </w:rPr>
        <w:t xml:space="preserve">tableau </w:t>
      </w:r>
      <w:r w:rsidRPr="00F43147">
        <w:t>[--]</w:t>
      </w:r>
      <w:r w:rsidRPr="00F43147">
        <w:rPr>
          <w:color w:val="000000"/>
        </w:rPr>
        <w:t xml:space="preserve"> </w:t>
      </w:r>
      <w:r w:rsidR="004B4D57">
        <w:rPr>
          <w:color w:val="000000"/>
        </w:rPr>
        <w:t xml:space="preserve">de l’annexe de la </w:t>
      </w:r>
      <w:r w:rsidRPr="00F43147">
        <w:rPr>
          <w:color w:val="000000"/>
        </w:rPr>
        <w:t>pr</w:t>
      </w:r>
      <w:r w:rsidR="004B4D57">
        <w:rPr>
          <w:color w:val="000000"/>
        </w:rPr>
        <w:t>é</w:t>
      </w:r>
      <w:r w:rsidRPr="00F43147">
        <w:rPr>
          <w:color w:val="000000"/>
        </w:rPr>
        <w:t>sent</w:t>
      </w:r>
      <w:r w:rsidR="004B4D57">
        <w:rPr>
          <w:color w:val="000000"/>
        </w:rPr>
        <w:t>e décision</w:t>
      </w:r>
      <w:r w:rsidR="005A0648">
        <w:rPr>
          <w:color w:val="000000"/>
        </w:rPr>
        <w:t xml:space="preserve"> ; </w:t>
      </w:r>
      <w:r w:rsidRPr="00F43147">
        <w:rPr>
          <w:color w:val="000000"/>
        </w:rPr>
        <w:t xml:space="preserve"> </w:t>
      </w:r>
    </w:p>
    <w:p w14:paraId="381D79F0" w14:textId="5DADC08B" w:rsidR="00F45B69" w:rsidRPr="00D235A4" w:rsidRDefault="00757F4E" w:rsidP="00F45B69">
      <w:pPr>
        <w:pStyle w:val="NormalNonumber"/>
        <w:ind w:left="1814" w:hanging="567"/>
        <w:rPr>
          <w:i/>
          <w:iCs/>
        </w:rPr>
      </w:pP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 w:rsidR="00D2482E">
        <w:rPr>
          <w:color w:val="000000"/>
          <w:lang w:val="fr-FR"/>
        </w:rPr>
        <w:tab/>
      </w:r>
      <w:r w:rsidR="004906E4" w:rsidRPr="00F45B69">
        <w:rPr>
          <w:color w:val="000000"/>
          <w:lang w:val="fr-FR"/>
        </w:rPr>
        <w:t>6.</w:t>
      </w:r>
      <w:r w:rsidR="004906E4" w:rsidRPr="00F45B69">
        <w:rPr>
          <w:color w:val="000000"/>
          <w:lang w:val="fr-FR"/>
        </w:rPr>
        <w:tab/>
      </w:r>
      <w:r w:rsidR="00F45B69">
        <w:rPr>
          <w:i/>
          <w:iCs/>
          <w:lang w:val="fr-FR"/>
        </w:rPr>
        <w:t>Décide que :</w:t>
      </w:r>
    </w:p>
    <w:p w14:paraId="5DDBBAC9" w14:textId="77777777" w:rsidR="00F45B69" w:rsidRPr="00554C94" w:rsidRDefault="00F45B69" w:rsidP="00F45B69">
      <w:pPr>
        <w:pStyle w:val="NormalNonumber"/>
        <w:ind w:left="1814" w:hanging="5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a)</w:t>
      </w:r>
      <w:r>
        <w:rPr>
          <w:lang w:val="fr-FR"/>
        </w:rPr>
        <w:tab/>
        <w:t>Ni les logos ni les noms des donateurs du secteur privé ou des parties prenantes non gouvernementales ne pourront apparaître dans les rapports</w:t>
      </w:r>
      <w:r w:rsidRPr="00383DC7">
        <w:rPr>
          <w:vertAlign w:val="superscript"/>
          <w:lang w:val="fr-FR"/>
        </w:rPr>
        <w:footnoteReference w:id="30"/>
      </w:r>
      <w:r>
        <w:rPr>
          <w:lang w:val="fr-FR"/>
        </w:rPr>
        <w:t xml:space="preserve"> de la Plateforme ;</w:t>
      </w:r>
    </w:p>
    <w:p w14:paraId="138F8D85" w14:textId="1EF8BFBE" w:rsidR="004906E4" w:rsidRPr="00F45B69" w:rsidRDefault="00F45B69" w:rsidP="00757F4E">
      <w:pPr>
        <w:pStyle w:val="NormalNonumber"/>
        <w:ind w:left="1814" w:hanging="567"/>
        <w:rPr>
          <w:color w:val="00000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</w:t>
      </w:r>
      <w:r>
        <w:rPr>
          <w:lang w:val="fr-FR"/>
        </w:rPr>
        <w:tab/>
        <w:t>Il sera fait mention sur le site web de la Plateforme de tous les donateurs apportant des contributions financières au fonds d’affectation spéciale, y compris les parties prenantes du secteur privé et les parties prenantes non gouvernementales.</w:t>
      </w:r>
    </w:p>
    <w:bookmarkEnd w:id="7"/>
    <w:p w14:paraId="20B6FF9F" w14:textId="1C95893E" w:rsidR="00464576" w:rsidRPr="00546330" w:rsidRDefault="00464576" w:rsidP="00AE5B70">
      <w:pPr>
        <w:pStyle w:val="CH1"/>
        <w:numPr>
          <w:ilvl w:val="0"/>
          <w:numId w:val="8"/>
        </w:numPr>
        <w:tabs>
          <w:tab w:val="clear" w:pos="851"/>
        </w:tabs>
        <w:ind w:hanging="648"/>
        <w:rPr>
          <w:lang w:val="fr-FR"/>
        </w:rPr>
      </w:pPr>
      <w:r w:rsidRPr="00546330">
        <w:rPr>
          <w:bCs/>
          <w:lang w:val="fr-FR"/>
        </w:rPr>
        <w:t>Projet de décision : Organisation des travaux de la Plénière et date et lieu de ses futures sessions</w:t>
      </w:r>
    </w:p>
    <w:p w14:paraId="277939D3" w14:textId="41A6B3A0" w:rsidR="00464576" w:rsidRPr="00546330" w:rsidRDefault="00464576" w:rsidP="00464576">
      <w:pPr>
        <w:pStyle w:val="Normalnumber"/>
        <w:numPr>
          <w:ilvl w:val="0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color w:val="000000"/>
          <w:lang w:val="fr-FR"/>
        </w:rPr>
      </w:pPr>
      <w:r w:rsidRPr="00546330">
        <w:rPr>
          <w:lang w:val="fr-FR"/>
        </w:rPr>
        <w:t>La Plénière souhaitera peut-être examiner le projet de décision ci-après, qui porte sur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organisation de ses travaux et la date et le lieu de ses futures sessions et relève du point 10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ordre du jour provisoire :</w:t>
      </w:r>
    </w:p>
    <w:p w14:paraId="70AC1CEE" w14:textId="77777777" w:rsidR="00464576" w:rsidRPr="00546330" w:rsidRDefault="00464576" w:rsidP="0046457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00"/>
        <w:ind w:left="1871" w:firstLine="624"/>
        <w:rPr>
          <w:i/>
          <w:lang w:val="fr-FR"/>
        </w:rPr>
      </w:pPr>
      <w:r w:rsidRPr="00546330">
        <w:rPr>
          <w:i/>
          <w:iCs/>
          <w:lang w:val="fr-FR"/>
        </w:rPr>
        <w:t>La Plénière,</w:t>
      </w:r>
    </w:p>
    <w:p w14:paraId="15DEC907" w14:textId="33F6241B" w:rsidR="00464576" w:rsidRPr="00546330" w:rsidRDefault="00464576" w:rsidP="00464576">
      <w:pPr>
        <w:pStyle w:val="Normal-pool"/>
        <w:numPr>
          <w:ilvl w:val="0"/>
          <w:numId w:val="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00"/>
        <w:rPr>
          <w:color w:val="000000"/>
          <w:lang w:val="fr-FR"/>
        </w:rPr>
      </w:pPr>
      <w:r w:rsidRPr="00546330">
        <w:rPr>
          <w:i/>
          <w:iCs/>
          <w:lang w:val="fr-FR"/>
        </w:rPr>
        <w:t xml:space="preserve">Décide </w:t>
      </w:r>
      <w:r w:rsidRPr="00546330">
        <w:rPr>
          <w:lang w:val="fr-FR"/>
        </w:rPr>
        <w:t xml:space="preserve">que sa </w:t>
      </w:r>
      <w:r w:rsidR="0012473A">
        <w:rPr>
          <w:lang w:val="fr-FR"/>
        </w:rPr>
        <w:t>neuvième</w:t>
      </w:r>
      <w:r w:rsidRPr="00546330">
        <w:rPr>
          <w:lang w:val="fr-FR"/>
        </w:rPr>
        <w:t xml:space="preserve"> session se tiendra du [  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 xml:space="preserve">] au [ 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 xml:space="preserve"> ] 202</w:t>
      </w:r>
      <w:r w:rsidR="0012473A">
        <w:rPr>
          <w:lang w:val="fr-FR"/>
        </w:rPr>
        <w:t>2</w:t>
      </w:r>
      <w:r w:rsidRPr="00546330">
        <w:rPr>
          <w:rStyle w:val="FootnoteReference"/>
          <w:lang w:val="fr-FR"/>
        </w:rPr>
        <w:footnoteReference w:id="31"/>
      </w:r>
      <w:r w:rsidRPr="00546330">
        <w:rPr>
          <w:lang w:val="fr-FR"/>
        </w:rPr>
        <w:t>;</w:t>
      </w:r>
    </w:p>
    <w:p w14:paraId="1ED2E10B" w14:textId="7CC722D9" w:rsidR="00464576" w:rsidRPr="00546330" w:rsidRDefault="00464576" w:rsidP="006640C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3060"/>
        </w:tabs>
        <w:spacing w:after="100"/>
        <w:ind w:left="1871" w:firstLine="624"/>
        <w:rPr>
          <w:lang w:val="fr-FR"/>
        </w:rPr>
      </w:pPr>
      <w:r w:rsidRPr="00546330">
        <w:rPr>
          <w:lang w:val="fr-FR"/>
        </w:rPr>
        <w:t>2.</w:t>
      </w:r>
      <w:r w:rsidRPr="00546330">
        <w:rPr>
          <w:lang w:val="fr-FR"/>
        </w:rPr>
        <w:tab/>
      </w:r>
      <w:r w:rsidRPr="00546330">
        <w:rPr>
          <w:i/>
          <w:iCs/>
          <w:lang w:val="fr-FR"/>
        </w:rPr>
        <w:t>Décide également</w:t>
      </w:r>
      <w:r w:rsidRPr="00546330">
        <w:rPr>
          <w:lang w:val="fr-FR"/>
        </w:rPr>
        <w:t xml:space="preserve">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accepter avec gratitude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 xml:space="preserve">offre du Gouvernement [  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>] d</w:t>
      </w:r>
      <w:r w:rsidR="00275DBD" w:rsidRPr="00546330">
        <w:rPr>
          <w:lang w:val="fr-FR"/>
        </w:rPr>
        <w:t>’</w:t>
      </w:r>
      <w:r w:rsidR="00AE5B70" w:rsidRPr="00546330">
        <w:rPr>
          <w:lang w:val="fr-FR"/>
        </w:rPr>
        <w:t xml:space="preserve">accueillir sa </w:t>
      </w:r>
      <w:r w:rsidR="0012473A">
        <w:rPr>
          <w:lang w:val="fr-FR"/>
        </w:rPr>
        <w:t>neuvième</w:t>
      </w:r>
      <w:r w:rsidR="00AE5B70" w:rsidRPr="00546330">
        <w:rPr>
          <w:lang w:val="fr-FR"/>
        </w:rPr>
        <w:t> </w:t>
      </w:r>
      <w:r w:rsidRPr="00546330">
        <w:rPr>
          <w:lang w:val="fr-FR"/>
        </w:rPr>
        <w:t>session à [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 xml:space="preserve">  ], sous réserve qu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un accord soit conclu à cet effet avec le pays hôte ;</w:t>
      </w:r>
    </w:p>
    <w:p w14:paraId="1B10321F" w14:textId="0C3A2657" w:rsidR="00464576" w:rsidRDefault="00464576" w:rsidP="006640C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3060"/>
        </w:tabs>
        <w:spacing w:after="100"/>
        <w:ind w:left="1871" w:firstLine="624"/>
        <w:rPr>
          <w:lang w:val="fr-FR"/>
        </w:rPr>
      </w:pPr>
      <w:r w:rsidRPr="00546330">
        <w:rPr>
          <w:lang w:val="fr-FR"/>
        </w:rPr>
        <w:t>3.</w:t>
      </w:r>
      <w:r w:rsidRPr="00546330">
        <w:rPr>
          <w:lang w:val="fr-FR"/>
        </w:rPr>
        <w:tab/>
      </w:r>
      <w:r w:rsidRPr="00546330">
        <w:rPr>
          <w:i/>
          <w:iCs/>
          <w:lang w:val="fr-FR"/>
        </w:rPr>
        <w:t xml:space="preserve">Prie </w:t>
      </w:r>
      <w:r w:rsidRPr="00546330">
        <w:rPr>
          <w:lang w:val="fr-FR"/>
        </w:rPr>
        <w:t>la Secrétaire exécutive de tenir des consultations avec le Gouvernement [</w:t>
      </w:r>
      <w:r w:rsidR="00AE5B70" w:rsidRPr="00546330">
        <w:rPr>
          <w:lang w:val="fr-FR"/>
        </w:rPr>
        <w:t xml:space="preserve"> </w:t>
      </w:r>
      <w:r w:rsidRPr="00546330">
        <w:rPr>
          <w:lang w:val="fr-FR"/>
        </w:rPr>
        <w:t>  ] afin de négocier un accord avec le pays hôte, conformément à la résolution 40/243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Assemblée générale et aux dispositions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instruction administrative ST/AI/342 de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Organisation des Nations Unies, en vue de conclure et de signer l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accord avec le pays hôte dès que possible,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 xml:space="preserve">organiser sa </w:t>
      </w:r>
      <w:r w:rsidR="0028258D" w:rsidRPr="006640C4">
        <w:rPr>
          <w:lang w:val="fr-FR"/>
        </w:rPr>
        <w:t>neuvi</w:t>
      </w:r>
      <w:r w:rsidRPr="006640C4">
        <w:rPr>
          <w:lang w:val="fr-FR"/>
        </w:rPr>
        <w:t>ème</w:t>
      </w:r>
      <w:r w:rsidRPr="00546330">
        <w:rPr>
          <w:lang w:val="fr-FR"/>
        </w:rPr>
        <w:t xml:space="preserve"> session en étroite collaboration avec le pays hôte et d</w:t>
      </w:r>
      <w:r w:rsidR="00275DBD" w:rsidRPr="00546330">
        <w:rPr>
          <w:lang w:val="fr-FR"/>
        </w:rPr>
        <w:t>’</w:t>
      </w:r>
      <w:r w:rsidRPr="00546330">
        <w:rPr>
          <w:lang w:val="fr-FR"/>
        </w:rPr>
        <w:t>inviter les membres et observateurs de la Plateforme intergouvernementale scientifique et politique sur la biodiversité et les services écosystémiques à participer aux travaux de la session ;</w:t>
      </w:r>
    </w:p>
    <w:p w14:paraId="29F6563B" w14:textId="6FA25258" w:rsidR="00153E64" w:rsidRPr="00144B7A" w:rsidRDefault="00153E64" w:rsidP="006640C4">
      <w:pPr>
        <w:tabs>
          <w:tab w:val="clear" w:pos="2948"/>
          <w:tab w:val="left" w:pos="624"/>
          <w:tab w:val="left" w:pos="3060"/>
          <w:tab w:val="left" w:pos="3150"/>
        </w:tabs>
        <w:spacing w:after="100"/>
        <w:ind w:left="1871" w:firstLine="624"/>
        <w:rPr>
          <w:color w:val="000000"/>
        </w:rPr>
      </w:pPr>
      <w:r w:rsidRPr="00144B7A">
        <w:rPr>
          <w:color w:val="000000"/>
        </w:rPr>
        <w:t>4.</w:t>
      </w:r>
      <w:r w:rsidRPr="00144B7A">
        <w:rPr>
          <w:color w:val="000000"/>
        </w:rPr>
        <w:tab/>
      </w:r>
      <w:r w:rsidR="00EF2C8C" w:rsidRPr="00144B7A">
        <w:rPr>
          <w:i/>
          <w:iCs/>
          <w:color w:val="000000"/>
        </w:rPr>
        <w:t xml:space="preserve">Prie </w:t>
      </w:r>
      <w:r w:rsidR="008D3CA8" w:rsidRPr="00144B7A">
        <w:rPr>
          <w:color w:val="000000"/>
        </w:rPr>
        <w:t xml:space="preserve">le </w:t>
      </w:r>
      <w:r w:rsidRPr="00144B7A">
        <w:rPr>
          <w:color w:val="000000"/>
        </w:rPr>
        <w:t xml:space="preserve">Bureau </w:t>
      </w:r>
      <w:r w:rsidR="00EF6A42" w:rsidRPr="00144B7A">
        <w:rPr>
          <w:color w:val="000000"/>
        </w:rPr>
        <w:t>de d</w:t>
      </w:r>
      <w:r w:rsidR="005331E3">
        <w:rPr>
          <w:color w:val="000000"/>
        </w:rPr>
        <w:t>é</w:t>
      </w:r>
      <w:r w:rsidR="00EF6A42" w:rsidRPr="00144B7A">
        <w:rPr>
          <w:color w:val="000000"/>
        </w:rPr>
        <w:t>cider</w:t>
      </w:r>
      <w:r w:rsidR="00433DEA">
        <w:rPr>
          <w:color w:val="000000"/>
        </w:rPr>
        <w:t xml:space="preserve"> </w:t>
      </w:r>
      <w:r w:rsidR="00EF6A42" w:rsidRPr="00144B7A">
        <w:rPr>
          <w:color w:val="000000"/>
        </w:rPr>
        <w:t xml:space="preserve">des modalités </w:t>
      </w:r>
      <w:r w:rsidR="00144B7A" w:rsidRPr="00144B7A">
        <w:rPr>
          <w:color w:val="000000"/>
        </w:rPr>
        <w:t xml:space="preserve">de </w:t>
      </w:r>
      <w:r w:rsidR="0050524F">
        <w:rPr>
          <w:color w:val="000000"/>
        </w:rPr>
        <w:t>s</w:t>
      </w:r>
      <w:r w:rsidR="00144B7A" w:rsidRPr="00144B7A">
        <w:rPr>
          <w:color w:val="000000"/>
        </w:rPr>
        <w:t>a neuvième session, y compris la possibilité de tenir la r</w:t>
      </w:r>
      <w:r w:rsidR="005331E3">
        <w:rPr>
          <w:color w:val="000000"/>
        </w:rPr>
        <w:t>é</w:t>
      </w:r>
      <w:r w:rsidR="00144B7A" w:rsidRPr="00144B7A">
        <w:rPr>
          <w:color w:val="000000"/>
        </w:rPr>
        <w:t>union en ligne si</w:t>
      </w:r>
      <w:r w:rsidR="00144B7A">
        <w:rPr>
          <w:color w:val="000000"/>
        </w:rPr>
        <w:t xml:space="preserve"> les circonstances ne permettent pas </w:t>
      </w:r>
      <w:r w:rsidR="005331E3">
        <w:rPr>
          <w:color w:val="000000"/>
        </w:rPr>
        <w:t xml:space="preserve">d’organiser une réunion en présentiel ; </w:t>
      </w:r>
      <w:r w:rsidRPr="00144B7A">
        <w:rPr>
          <w:color w:val="000000"/>
        </w:rPr>
        <w:t xml:space="preserve"> </w:t>
      </w:r>
    </w:p>
    <w:p w14:paraId="6A56D63F" w14:textId="4A062FC1" w:rsidR="00153E64" w:rsidRPr="00065947" w:rsidRDefault="00153E64" w:rsidP="006640C4">
      <w:pPr>
        <w:tabs>
          <w:tab w:val="clear" w:pos="2948"/>
          <w:tab w:val="left" w:pos="624"/>
          <w:tab w:val="left" w:pos="3060"/>
        </w:tabs>
        <w:spacing w:after="120"/>
        <w:ind w:left="1843" w:firstLine="652"/>
        <w:rPr>
          <w:color w:val="000000"/>
        </w:rPr>
      </w:pPr>
      <w:r w:rsidRPr="00065947">
        <w:rPr>
          <w:color w:val="000000"/>
        </w:rPr>
        <w:t>5.</w:t>
      </w:r>
      <w:r w:rsidRPr="00065947">
        <w:rPr>
          <w:color w:val="000000"/>
        </w:rPr>
        <w:tab/>
      </w:r>
      <w:r w:rsidRPr="00065947">
        <w:rPr>
          <w:i/>
          <w:iCs/>
          <w:color w:val="000000"/>
        </w:rPr>
        <w:t>D</w:t>
      </w:r>
      <w:r w:rsidR="003D40C9" w:rsidRPr="00065947">
        <w:rPr>
          <w:i/>
          <w:iCs/>
          <w:color w:val="000000"/>
        </w:rPr>
        <w:t xml:space="preserve">écide provisoirement, </w:t>
      </w:r>
      <w:r w:rsidR="003D40C9" w:rsidRPr="00065947">
        <w:rPr>
          <w:color w:val="000000"/>
        </w:rPr>
        <w:t xml:space="preserve">en attendant </w:t>
      </w:r>
      <w:r w:rsidR="0030683B">
        <w:rPr>
          <w:color w:val="000000"/>
        </w:rPr>
        <w:t xml:space="preserve">la </w:t>
      </w:r>
      <w:r w:rsidR="0060467E" w:rsidRPr="00065947">
        <w:rPr>
          <w:color w:val="000000"/>
        </w:rPr>
        <w:t>confirmation finale à sa neuvième session</w:t>
      </w:r>
      <w:r w:rsidR="0060467E" w:rsidRPr="00065947">
        <w:rPr>
          <w:i/>
          <w:iCs/>
          <w:color w:val="000000"/>
        </w:rPr>
        <w:t xml:space="preserve">, </w:t>
      </w:r>
      <w:r w:rsidR="00065947" w:rsidRPr="00065947">
        <w:rPr>
          <w:color w:val="000000"/>
        </w:rPr>
        <w:t>que</w:t>
      </w:r>
      <w:r w:rsidR="003B066F">
        <w:rPr>
          <w:color w:val="000000"/>
        </w:rPr>
        <w:t xml:space="preserve"> </w:t>
      </w:r>
      <w:r w:rsidR="00065947">
        <w:rPr>
          <w:color w:val="000000"/>
        </w:rPr>
        <w:t xml:space="preserve">sa </w:t>
      </w:r>
      <w:r w:rsidR="00A22D7A">
        <w:rPr>
          <w:color w:val="000000"/>
        </w:rPr>
        <w:t xml:space="preserve">dixième session </w:t>
      </w:r>
      <w:r w:rsidR="003B066F">
        <w:rPr>
          <w:color w:val="000000"/>
        </w:rPr>
        <w:t xml:space="preserve">se tiendra </w:t>
      </w:r>
      <w:r w:rsidR="00A22D7A">
        <w:rPr>
          <w:color w:val="000000"/>
        </w:rPr>
        <w:t xml:space="preserve">du </w:t>
      </w:r>
      <w:r w:rsidRPr="00065947">
        <w:rPr>
          <w:color w:val="000000"/>
        </w:rPr>
        <w:t xml:space="preserve">[--] </w:t>
      </w:r>
      <w:r w:rsidR="00A22D7A">
        <w:rPr>
          <w:color w:val="000000"/>
        </w:rPr>
        <w:t>au</w:t>
      </w:r>
      <w:r w:rsidRPr="00065947">
        <w:rPr>
          <w:color w:val="000000"/>
        </w:rPr>
        <w:t xml:space="preserve"> [--] 2023</w:t>
      </w:r>
      <w:r w:rsidR="00A632C3" w:rsidRPr="00046746">
        <w:rPr>
          <w:szCs w:val="18"/>
          <w:vertAlign w:val="superscript"/>
        </w:rPr>
        <w:footnoteReference w:id="32"/>
      </w:r>
      <w:r w:rsidR="00A632C3">
        <w:rPr>
          <w:color w:val="000000"/>
        </w:rPr>
        <w:t> </w:t>
      </w:r>
      <w:r w:rsidRPr="00065947">
        <w:rPr>
          <w:color w:val="000000"/>
        </w:rPr>
        <w:t>;</w:t>
      </w:r>
    </w:p>
    <w:p w14:paraId="20660D4C" w14:textId="3AA11614" w:rsidR="00153E64" w:rsidRPr="00E36381" w:rsidRDefault="00153E64" w:rsidP="006640C4">
      <w:pPr>
        <w:tabs>
          <w:tab w:val="clear" w:pos="2948"/>
          <w:tab w:val="left" w:pos="624"/>
          <w:tab w:val="left" w:pos="3060"/>
        </w:tabs>
        <w:spacing w:after="100"/>
        <w:ind w:left="1871" w:firstLine="624"/>
      </w:pPr>
      <w:r w:rsidRPr="00E36381">
        <w:rPr>
          <w:color w:val="000000"/>
        </w:rPr>
        <w:t>6.</w:t>
      </w:r>
      <w:r w:rsidRPr="00E36381">
        <w:rPr>
          <w:color w:val="000000"/>
        </w:rPr>
        <w:tab/>
      </w:r>
      <w:r w:rsidR="00A22D7A" w:rsidRPr="00E36381">
        <w:rPr>
          <w:i/>
          <w:iCs/>
          <w:color w:val="000000"/>
        </w:rPr>
        <w:t>Décide également provisoirement</w:t>
      </w:r>
      <w:r w:rsidR="00475A2B" w:rsidRPr="00E36381">
        <w:rPr>
          <w:i/>
          <w:iCs/>
          <w:color w:val="000000"/>
        </w:rPr>
        <w:t xml:space="preserve">, </w:t>
      </w:r>
      <w:r w:rsidR="00475A2B" w:rsidRPr="00E36381">
        <w:rPr>
          <w:color w:val="000000"/>
        </w:rPr>
        <w:t>en attendant la confirmation finale à sa neuvième</w:t>
      </w:r>
      <w:r w:rsidR="00FD4B38">
        <w:rPr>
          <w:color w:val="000000"/>
        </w:rPr>
        <w:t xml:space="preserve"> sess</w:t>
      </w:r>
      <w:r w:rsidR="004F2EF2" w:rsidRPr="00E36381">
        <w:rPr>
          <w:color w:val="000000"/>
        </w:rPr>
        <w:t>ion, d’accepter</w:t>
      </w:r>
      <w:r w:rsidR="00BB5AD6">
        <w:rPr>
          <w:color w:val="000000"/>
        </w:rPr>
        <w:t xml:space="preserve"> avec gratitude </w:t>
      </w:r>
      <w:r w:rsidR="00E36381" w:rsidRPr="00E36381">
        <w:rPr>
          <w:color w:val="000000"/>
        </w:rPr>
        <w:t xml:space="preserve">l’offre </w:t>
      </w:r>
      <w:r w:rsidR="00BB5AD6">
        <w:rPr>
          <w:color w:val="000000"/>
        </w:rPr>
        <w:t>du</w:t>
      </w:r>
      <w:r w:rsidR="00E36381" w:rsidRPr="00E36381">
        <w:rPr>
          <w:color w:val="000000"/>
        </w:rPr>
        <w:t xml:space="preserve"> Gouvernement </w:t>
      </w:r>
      <w:r w:rsidRPr="00E36381">
        <w:t xml:space="preserve">[--] </w:t>
      </w:r>
      <w:r w:rsidR="00FD4B38">
        <w:t xml:space="preserve">d’accueillir </w:t>
      </w:r>
      <w:r w:rsidR="00BB5AD6">
        <w:t>s</w:t>
      </w:r>
      <w:r w:rsidR="00FD4B38">
        <w:t>a dixième</w:t>
      </w:r>
      <w:r w:rsidR="00383728">
        <w:t xml:space="preserve"> session </w:t>
      </w:r>
      <w:r w:rsidR="00F65E79">
        <w:t xml:space="preserve">à </w:t>
      </w:r>
      <w:r w:rsidRPr="00E36381">
        <w:t xml:space="preserve">[--], </w:t>
      </w:r>
      <w:r w:rsidR="00F65E79">
        <w:t xml:space="preserve">sous réserve </w:t>
      </w:r>
      <w:r w:rsidR="00383728">
        <w:t xml:space="preserve">qu’un accord soit conclu à cet effet avec le pays hôte ; </w:t>
      </w:r>
    </w:p>
    <w:p w14:paraId="4E6391E6" w14:textId="3C17A8E9" w:rsidR="00E35E7F" w:rsidRPr="003B2B94" w:rsidRDefault="00E35E7F" w:rsidP="006640C4">
      <w:pPr>
        <w:tabs>
          <w:tab w:val="clear" w:pos="2948"/>
          <w:tab w:val="left" w:pos="624"/>
          <w:tab w:val="left" w:pos="3060"/>
        </w:tabs>
        <w:spacing w:after="100"/>
        <w:ind w:left="1871" w:firstLine="624"/>
        <w:rPr>
          <w:color w:val="000000"/>
        </w:rPr>
      </w:pPr>
      <w:r w:rsidRPr="003B2B94">
        <w:rPr>
          <w:iCs/>
          <w:color w:val="000000"/>
        </w:rPr>
        <w:t>7.</w:t>
      </w:r>
      <w:r w:rsidRPr="003B2B94">
        <w:rPr>
          <w:iCs/>
          <w:color w:val="000000"/>
        </w:rPr>
        <w:tab/>
      </w:r>
      <w:r w:rsidR="00383728" w:rsidRPr="003B2B94">
        <w:rPr>
          <w:i/>
          <w:color w:val="000000"/>
        </w:rPr>
        <w:t xml:space="preserve">Prie </w:t>
      </w:r>
      <w:r w:rsidR="00383728" w:rsidRPr="003B2B94">
        <w:rPr>
          <w:color w:val="000000"/>
        </w:rPr>
        <w:t xml:space="preserve">la </w:t>
      </w:r>
      <w:r w:rsidR="001F6020" w:rsidRPr="003B2B94">
        <w:rPr>
          <w:color w:val="000000"/>
        </w:rPr>
        <w:t xml:space="preserve">Secrétaire exécutive de conclure et signer </w:t>
      </w:r>
      <w:r w:rsidR="002F23D4" w:rsidRPr="003B2B94">
        <w:rPr>
          <w:color w:val="000000"/>
        </w:rPr>
        <w:t xml:space="preserve">dès que possible </w:t>
      </w:r>
      <w:r w:rsidR="004219E1" w:rsidRPr="003B2B94">
        <w:rPr>
          <w:color w:val="000000"/>
        </w:rPr>
        <w:t xml:space="preserve">un accord avec le pays hôte </w:t>
      </w:r>
      <w:r w:rsidR="00762905" w:rsidRPr="003B2B94">
        <w:rPr>
          <w:color w:val="000000"/>
        </w:rPr>
        <w:t xml:space="preserve">en vue de </w:t>
      </w:r>
      <w:r w:rsidR="003B2B94" w:rsidRPr="003B2B94">
        <w:rPr>
          <w:color w:val="000000"/>
        </w:rPr>
        <w:t xml:space="preserve">l’organisation de sa </w:t>
      </w:r>
      <w:r w:rsidR="003B2B94">
        <w:rPr>
          <w:color w:val="000000"/>
        </w:rPr>
        <w:t xml:space="preserve">dixième session, conformément </w:t>
      </w:r>
      <w:r w:rsidR="00B21BBB">
        <w:rPr>
          <w:color w:val="000000"/>
        </w:rPr>
        <w:t>aux règles et procédures applica</w:t>
      </w:r>
      <w:r w:rsidR="00EA54B6">
        <w:rPr>
          <w:color w:val="000000"/>
        </w:rPr>
        <w:t>b</w:t>
      </w:r>
      <w:r w:rsidR="00B21BBB">
        <w:rPr>
          <w:color w:val="000000"/>
        </w:rPr>
        <w:t xml:space="preserve">les </w:t>
      </w:r>
      <w:r w:rsidR="00EA54B6">
        <w:rPr>
          <w:color w:val="000000"/>
        </w:rPr>
        <w:t>de l’ONU</w:t>
      </w:r>
      <w:r w:rsidR="00A632C3">
        <w:rPr>
          <w:color w:val="000000"/>
        </w:rPr>
        <w:t> </w:t>
      </w:r>
      <w:r w:rsidRPr="003B2B94">
        <w:rPr>
          <w:color w:val="000000"/>
        </w:rPr>
        <w:t>;</w:t>
      </w:r>
    </w:p>
    <w:p w14:paraId="22F7C5A5" w14:textId="72B0A539" w:rsidR="00464576" w:rsidRPr="00546330" w:rsidRDefault="00C857DD" w:rsidP="006640C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3060"/>
        </w:tabs>
        <w:spacing w:after="100"/>
        <w:ind w:left="1871" w:firstLine="624"/>
        <w:rPr>
          <w:color w:val="000000"/>
          <w:lang w:val="fr-FR"/>
        </w:rPr>
      </w:pPr>
      <w:r>
        <w:rPr>
          <w:lang w:val="fr-FR"/>
        </w:rPr>
        <w:t>8</w:t>
      </w:r>
      <w:r w:rsidR="00464576" w:rsidRPr="00546330">
        <w:rPr>
          <w:lang w:val="fr-FR"/>
        </w:rPr>
        <w:t>.</w:t>
      </w:r>
      <w:r w:rsidR="00464576" w:rsidRPr="00546330">
        <w:rPr>
          <w:lang w:val="fr-FR"/>
        </w:rPr>
        <w:tab/>
      </w:r>
      <w:r w:rsidR="00464576" w:rsidRPr="00546330">
        <w:rPr>
          <w:i/>
          <w:iCs/>
          <w:lang w:val="fr-FR"/>
        </w:rPr>
        <w:t xml:space="preserve">Prend note </w:t>
      </w:r>
      <w:r w:rsidR="00464576" w:rsidRPr="00546330">
        <w:rPr>
          <w:lang w:val="fr-FR"/>
        </w:rPr>
        <w:t>du projet d</w:t>
      </w:r>
      <w:r w:rsidR="00275DBD" w:rsidRPr="00546330">
        <w:rPr>
          <w:lang w:val="fr-FR"/>
        </w:rPr>
        <w:t>’</w:t>
      </w:r>
      <w:r w:rsidR="00464576" w:rsidRPr="00546330">
        <w:rPr>
          <w:lang w:val="fr-FR"/>
        </w:rPr>
        <w:t>ordre du</w:t>
      </w:r>
      <w:r w:rsidR="00AE5B70" w:rsidRPr="00546330">
        <w:rPr>
          <w:lang w:val="fr-FR"/>
        </w:rPr>
        <w:t xml:space="preserve"> jour provisoire de sa </w:t>
      </w:r>
      <w:r w:rsidR="00F12C00">
        <w:rPr>
          <w:lang w:val="fr-FR"/>
        </w:rPr>
        <w:t>neuvi</w:t>
      </w:r>
      <w:r w:rsidR="00AE5B70" w:rsidRPr="00546330">
        <w:rPr>
          <w:lang w:val="fr-FR"/>
        </w:rPr>
        <w:t>ème </w:t>
      </w:r>
      <w:r w:rsidR="00464576" w:rsidRPr="00546330">
        <w:rPr>
          <w:lang w:val="fr-FR"/>
        </w:rPr>
        <w:t>session, qui figure dans l</w:t>
      </w:r>
      <w:r w:rsidR="00275DBD" w:rsidRPr="00546330">
        <w:rPr>
          <w:lang w:val="fr-FR"/>
        </w:rPr>
        <w:t>’</w:t>
      </w:r>
      <w:r w:rsidR="00464576" w:rsidRPr="00546330">
        <w:rPr>
          <w:lang w:val="fr-FR"/>
        </w:rPr>
        <w:t>annexe de la présente décision</w:t>
      </w:r>
      <w:r w:rsidR="00464576" w:rsidRPr="00546330">
        <w:rPr>
          <w:szCs w:val="18"/>
          <w:vertAlign w:val="superscript"/>
          <w:lang w:val="fr-FR"/>
        </w:rPr>
        <w:footnoteReference w:id="33"/>
      </w:r>
      <w:r w:rsidR="00464576" w:rsidRPr="00546330">
        <w:rPr>
          <w:lang w:val="fr-FR"/>
        </w:rPr>
        <w:t> ;</w:t>
      </w:r>
    </w:p>
    <w:p w14:paraId="16660F81" w14:textId="396A9C32" w:rsidR="00464576" w:rsidRPr="00546330" w:rsidRDefault="00F12C00" w:rsidP="006640C4">
      <w:pPr>
        <w:pStyle w:val="Normal-pool"/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3060"/>
        </w:tabs>
        <w:spacing w:after="100"/>
        <w:ind w:left="1871" w:firstLine="624"/>
        <w:rPr>
          <w:color w:val="000000"/>
          <w:lang w:val="fr-FR"/>
        </w:rPr>
      </w:pPr>
      <w:r>
        <w:rPr>
          <w:lang w:val="fr-FR"/>
        </w:rPr>
        <w:t>9</w:t>
      </w:r>
      <w:r w:rsidR="00464576" w:rsidRPr="00546330">
        <w:rPr>
          <w:lang w:val="fr-FR"/>
        </w:rPr>
        <w:t>.</w:t>
      </w:r>
      <w:r w:rsidR="00464576" w:rsidRPr="00546330">
        <w:rPr>
          <w:lang w:val="fr-FR"/>
        </w:rPr>
        <w:tab/>
      </w:r>
      <w:r w:rsidR="00464576" w:rsidRPr="00546330">
        <w:rPr>
          <w:i/>
          <w:iCs/>
          <w:lang w:val="fr-FR"/>
        </w:rPr>
        <w:t xml:space="preserve">Prie </w:t>
      </w:r>
      <w:r w:rsidR="00464576" w:rsidRPr="00546330">
        <w:rPr>
          <w:lang w:val="fr-FR"/>
        </w:rPr>
        <w:t>la Secrétaire exécutive d</w:t>
      </w:r>
      <w:r w:rsidR="00275DBD" w:rsidRPr="00546330">
        <w:rPr>
          <w:lang w:val="fr-FR"/>
        </w:rPr>
        <w:t>’</w:t>
      </w:r>
      <w:r w:rsidR="00464576" w:rsidRPr="00546330">
        <w:rPr>
          <w:lang w:val="fr-FR"/>
        </w:rPr>
        <w:t>inviter les membres et les observateurs qui sont l</w:t>
      </w:r>
      <w:r w:rsidR="00275DBD" w:rsidRPr="00546330">
        <w:rPr>
          <w:lang w:val="fr-FR"/>
        </w:rPr>
        <w:t>’</w:t>
      </w:r>
      <w:r w:rsidR="00464576" w:rsidRPr="00546330">
        <w:rPr>
          <w:lang w:val="fr-FR"/>
        </w:rPr>
        <w:t>objet du mécanisme de participation renforcée prévu</w:t>
      </w:r>
      <w:r w:rsidR="00AE5B70" w:rsidRPr="00546330">
        <w:rPr>
          <w:lang w:val="fr-FR"/>
        </w:rPr>
        <w:t xml:space="preserve"> dans la décision </w:t>
      </w:r>
      <w:r w:rsidR="00464576" w:rsidRPr="00546330">
        <w:rPr>
          <w:lang w:val="fr-FR"/>
        </w:rPr>
        <w:t>IPBES-5/4 à communiquer par écrit</w:t>
      </w:r>
      <w:r w:rsidR="00401699">
        <w:rPr>
          <w:lang w:val="fr-FR"/>
        </w:rPr>
        <w:t xml:space="preserve"> </w:t>
      </w:r>
      <w:r w:rsidR="00464576" w:rsidRPr="00546330">
        <w:rPr>
          <w:lang w:val="fr-FR"/>
        </w:rPr>
        <w:t>des observations sur le projet d</w:t>
      </w:r>
      <w:r w:rsidR="00275DBD" w:rsidRPr="00546330">
        <w:rPr>
          <w:lang w:val="fr-FR"/>
        </w:rPr>
        <w:t>’</w:t>
      </w:r>
      <w:r w:rsidR="00464576" w:rsidRPr="00546330">
        <w:rPr>
          <w:lang w:val="fr-FR"/>
        </w:rPr>
        <w:t xml:space="preserve">organisation des travaux de sa </w:t>
      </w:r>
      <w:r>
        <w:rPr>
          <w:lang w:val="fr-FR"/>
        </w:rPr>
        <w:t>neuvième</w:t>
      </w:r>
      <w:r w:rsidR="00AE5B70" w:rsidRPr="00546330">
        <w:rPr>
          <w:lang w:val="fr-FR"/>
        </w:rPr>
        <w:t> </w:t>
      </w:r>
      <w:r w:rsidR="00464576" w:rsidRPr="00546330">
        <w:rPr>
          <w:lang w:val="fr-FR"/>
        </w:rPr>
        <w:t>session ;</w:t>
      </w:r>
    </w:p>
    <w:p w14:paraId="646D830E" w14:textId="4378EAA1" w:rsidR="00464576" w:rsidRPr="00546330" w:rsidRDefault="00F12C00" w:rsidP="006640C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3060"/>
        </w:tabs>
        <w:spacing w:after="100"/>
        <w:ind w:left="1871" w:firstLine="624"/>
        <w:rPr>
          <w:color w:val="000000"/>
          <w:lang w:val="fr-FR"/>
        </w:rPr>
      </w:pPr>
      <w:r>
        <w:rPr>
          <w:lang w:val="fr-FR"/>
        </w:rPr>
        <w:t>10</w:t>
      </w:r>
      <w:r w:rsidR="00464576" w:rsidRPr="00546330">
        <w:rPr>
          <w:lang w:val="fr-FR"/>
        </w:rPr>
        <w:t>.</w:t>
      </w:r>
      <w:r w:rsidR="00464576" w:rsidRPr="00546330">
        <w:rPr>
          <w:lang w:val="fr-FR"/>
        </w:rPr>
        <w:tab/>
      </w:r>
      <w:r w:rsidR="00464576" w:rsidRPr="00546330">
        <w:rPr>
          <w:i/>
          <w:iCs/>
          <w:lang w:val="fr-FR"/>
        </w:rPr>
        <w:t xml:space="preserve">Prie également </w:t>
      </w:r>
      <w:r w:rsidR="00464576" w:rsidRPr="00546330">
        <w:rPr>
          <w:lang w:val="fr-FR"/>
        </w:rPr>
        <w:t>la Secrétaire exécutive d</w:t>
      </w:r>
      <w:r w:rsidR="00275DBD" w:rsidRPr="00546330">
        <w:rPr>
          <w:lang w:val="fr-FR"/>
        </w:rPr>
        <w:t>’</w:t>
      </w:r>
      <w:r w:rsidR="00464576" w:rsidRPr="00546330">
        <w:rPr>
          <w:lang w:val="fr-FR"/>
        </w:rPr>
        <w:t>établir la version finale du projet d</w:t>
      </w:r>
      <w:r w:rsidR="00275DBD" w:rsidRPr="00546330">
        <w:rPr>
          <w:lang w:val="fr-FR"/>
        </w:rPr>
        <w:t>’</w:t>
      </w:r>
      <w:r w:rsidR="00464576" w:rsidRPr="00546330">
        <w:rPr>
          <w:lang w:val="fr-FR"/>
        </w:rPr>
        <w:t xml:space="preserve">organisation des travaux de sa </w:t>
      </w:r>
      <w:r>
        <w:rPr>
          <w:lang w:val="fr-FR"/>
        </w:rPr>
        <w:t>neuvi</w:t>
      </w:r>
      <w:r w:rsidR="00464576" w:rsidRPr="00546330">
        <w:rPr>
          <w:lang w:val="fr-FR"/>
        </w:rPr>
        <w:t xml:space="preserve">ème session à la lumière des observations reçues pendant sa </w:t>
      </w:r>
      <w:r>
        <w:rPr>
          <w:lang w:val="fr-FR"/>
        </w:rPr>
        <w:t>huitième</w:t>
      </w:r>
      <w:r w:rsidR="00464576" w:rsidRPr="00546330">
        <w:rPr>
          <w:lang w:val="fr-FR"/>
        </w:rPr>
        <w:t xml:space="preserve"> session et des observations reçues par écrit comme suite à l</w:t>
      </w:r>
      <w:r w:rsidR="00275DBD" w:rsidRPr="00546330">
        <w:rPr>
          <w:lang w:val="fr-FR"/>
        </w:rPr>
        <w:t>’</w:t>
      </w:r>
      <w:r w:rsidR="00464576" w:rsidRPr="00546330">
        <w:rPr>
          <w:lang w:val="fr-FR"/>
        </w:rPr>
        <w:t>invitation visée au paragraphe </w:t>
      </w:r>
      <w:r>
        <w:rPr>
          <w:lang w:val="fr-FR"/>
        </w:rPr>
        <w:t>9</w:t>
      </w:r>
      <w:r w:rsidR="00464576" w:rsidRPr="00546330">
        <w:rPr>
          <w:lang w:val="fr-FR"/>
        </w:rPr>
        <w:t xml:space="preserve"> de la présente décision.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8"/>
        <w:gridCol w:w="1899"/>
        <w:gridCol w:w="1900"/>
        <w:gridCol w:w="1900"/>
      </w:tblGrid>
      <w:tr w:rsidR="00464576" w:rsidRPr="00546330" w14:paraId="5C4713A6" w14:textId="77777777" w:rsidTr="00001D99">
        <w:tc>
          <w:tcPr>
            <w:tcW w:w="1899" w:type="dxa"/>
          </w:tcPr>
          <w:p w14:paraId="58499CF5" w14:textId="77777777" w:rsidR="00464576" w:rsidRPr="00546330" w:rsidRDefault="00464576" w:rsidP="00275DBD">
            <w:pPr>
              <w:pStyle w:val="Normal-pool"/>
              <w:spacing w:before="240" w:after="0"/>
              <w:rPr>
                <w:lang w:val="fr-FR"/>
              </w:rPr>
            </w:pPr>
          </w:p>
        </w:tc>
        <w:tc>
          <w:tcPr>
            <w:tcW w:w="1898" w:type="dxa"/>
          </w:tcPr>
          <w:p w14:paraId="1B1739EC" w14:textId="77777777" w:rsidR="00464576" w:rsidRPr="00546330" w:rsidRDefault="00464576" w:rsidP="00275DBD">
            <w:pPr>
              <w:pStyle w:val="Normal-pool"/>
              <w:spacing w:before="240" w:after="0"/>
              <w:rPr>
                <w:lang w:val="fr-FR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6515E12F" w14:textId="77777777" w:rsidR="00464576" w:rsidRPr="00546330" w:rsidRDefault="00464576" w:rsidP="00275DBD">
            <w:pPr>
              <w:pStyle w:val="Normal-pool"/>
              <w:spacing w:before="240" w:after="0"/>
              <w:rPr>
                <w:lang w:val="fr-FR"/>
              </w:rPr>
            </w:pPr>
          </w:p>
        </w:tc>
        <w:tc>
          <w:tcPr>
            <w:tcW w:w="1900" w:type="dxa"/>
          </w:tcPr>
          <w:p w14:paraId="136CA8BC" w14:textId="77777777" w:rsidR="00464576" w:rsidRPr="00546330" w:rsidRDefault="00464576" w:rsidP="00275DBD">
            <w:pPr>
              <w:pStyle w:val="Normal-pool"/>
              <w:spacing w:before="240" w:after="0"/>
              <w:rPr>
                <w:lang w:val="fr-FR"/>
              </w:rPr>
            </w:pPr>
          </w:p>
        </w:tc>
        <w:tc>
          <w:tcPr>
            <w:tcW w:w="1900" w:type="dxa"/>
          </w:tcPr>
          <w:p w14:paraId="4A91F3E9" w14:textId="77777777" w:rsidR="00464576" w:rsidRPr="00546330" w:rsidRDefault="00464576" w:rsidP="00275DBD">
            <w:pPr>
              <w:pStyle w:val="Normal-pool"/>
              <w:spacing w:before="240" w:after="0"/>
              <w:rPr>
                <w:lang w:val="fr-FR"/>
              </w:rPr>
            </w:pPr>
          </w:p>
        </w:tc>
      </w:tr>
    </w:tbl>
    <w:p w14:paraId="19766901" w14:textId="77777777" w:rsidR="00464576" w:rsidRPr="00546330" w:rsidRDefault="00464576" w:rsidP="00DF4270">
      <w:pPr>
        <w:pStyle w:val="AATitle"/>
        <w:ind w:right="4160"/>
        <w:rPr>
          <w:b w:val="0"/>
          <w:lang w:val="fr-FR" w:eastAsia="ja-JP"/>
        </w:rPr>
      </w:pPr>
    </w:p>
    <w:sectPr w:rsidR="00464576" w:rsidRPr="00546330" w:rsidSect="00DA3F7A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6" w:h="16838" w:code="9"/>
      <w:pgMar w:top="907" w:right="851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6571" w14:textId="77777777" w:rsidR="00423E15" w:rsidRDefault="00423E15">
      <w:r>
        <w:separator/>
      </w:r>
    </w:p>
  </w:endnote>
  <w:endnote w:type="continuationSeparator" w:id="0">
    <w:p w14:paraId="145111A2" w14:textId="77777777" w:rsidR="00423E15" w:rsidRDefault="004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60D9" w14:textId="790503EE" w:rsidR="00123699" w:rsidRDefault="001236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3E7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6185" w14:textId="27734852" w:rsidR="00123699" w:rsidRDefault="0012369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3E7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FB0" w14:textId="3F0024DD" w:rsidR="005F06C5" w:rsidRDefault="00471270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  <w:r>
      <w:t>K</w:t>
    </w:r>
    <w:r w:rsidR="00F672A8">
      <w:t>2100863</w:t>
    </w:r>
    <w:r>
      <w:tab/>
    </w:r>
    <w:r w:rsidR="00764BF1">
      <w:t>05</w:t>
    </w:r>
    <w:r w:rsidR="000D5153">
      <w:t>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B89C" w14:textId="77777777" w:rsidR="00423E15" w:rsidRDefault="00423E15" w:rsidP="00D92DE0">
      <w:pPr>
        <w:ind w:left="624"/>
      </w:pPr>
      <w:r>
        <w:separator/>
      </w:r>
    </w:p>
  </w:footnote>
  <w:footnote w:type="continuationSeparator" w:id="0">
    <w:p w14:paraId="114F21AA" w14:textId="77777777" w:rsidR="00423E15" w:rsidRDefault="00423E15">
      <w:r>
        <w:continuationSeparator/>
      </w:r>
    </w:p>
  </w:footnote>
  <w:footnote w:id="1">
    <w:p w14:paraId="2E963351" w14:textId="28AA1F63" w:rsidR="00464576" w:rsidRPr="00D20515" w:rsidRDefault="00464576" w:rsidP="00464576">
      <w:pPr>
        <w:pStyle w:val="NormalNonumber"/>
        <w:tabs>
          <w:tab w:val="left" w:pos="624"/>
        </w:tabs>
        <w:spacing w:before="20" w:after="40"/>
        <w:rPr>
          <w:sz w:val="18"/>
          <w:szCs w:val="18"/>
          <w:lang w:val="fr-FR"/>
        </w:rPr>
      </w:pPr>
      <w:r w:rsidRPr="00D20515">
        <w:rPr>
          <w:sz w:val="18"/>
          <w:szCs w:val="18"/>
          <w:lang w:val="fr-FR"/>
        </w:rPr>
        <w:t>* IPBES/</w:t>
      </w:r>
      <w:r w:rsidR="006B6E65" w:rsidRPr="00D20515">
        <w:rPr>
          <w:sz w:val="18"/>
          <w:szCs w:val="18"/>
          <w:lang w:val="fr-FR"/>
        </w:rPr>
        <w:t>8</w:t>
      </w:r>
      <w:r w:rsidRPr="00D20515">
        <w:rPr>
          <w:sz w:val="18"/>
          <w:szCs w:val="18"/>
          <w:lang w:val="fr-FR"/>
        </w:rPr>
        <w:t>/1.</w:t>
      </w:r>
    </w:p>
  </w:footnote>
  <w:footnote w:id="2">
    <w:p w14:paraId="533B7B1F" w14:textId="60447283" w:rsidR="00464576" w:rsidRPr="00D20515" w:rsidRDefault="00464576" w:rsidP="00464576">
      <w:pPr>
        <w:pStyle w:val="FootnoteText"/>
        <w:rPr>
          <w:szCs w:val="18"/>
          <w:lang w:val="fr-FR"/>
        </w:rPr>
      </w:pPr>
      <w:r w:rsidRPr="0012125D">
        <w:rPr>
          <w:rStyle w:val="FootnoteReference"/>
          <w:sz w:val="18"/>
        </w:rPr>
        <w:footnoteRef/>
      </w:r>
      <w:r w:rsidRPr="00D20515">
        <w:rPr>
          <w:szCs w:val="18"/>
          <w:lang w:val="fr-FR"/>
        </w:rPr>
        <w:t xml:space="preserve"> IPBES/</w:t>
      </w:r>
      <w:r w:rsidR="000720CD" w:rsidRPr="00D20515">
        <w:rPr>
          <w:szCs w:val="18"/>
          <w:lang w:val="fr-FR"/>
        </w:rPr>
        <w:t>8</w:t>
      </w:r>
      <w:r w:rsidRPr="00D20515">
        <w:rPr>
          <w:szCs w:val="18"/>
          <w:lang w:val="fr-FR"/>
        </w:rPr>
        <w:t>/2.</w:t>
      </w:r>
    </w:p>
  </w:footnote>
  <w:footnote w:id="3">
    <w:p w14:paraId="75A685BD" w14:textId="0743A544" w:rsidR="00CA0593" w:rsidRPr="00AA0468" w:rsidRDefault="00CA059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A0468">
        <w:rPr>
          <w:lang w:val="fr-FR"/>
        </w:rPr>
        <w:t xml:space="preserve"> </w:t>
      </w:r>
      <w:r w:rsidR="00E35BCC" w:rsidRPr="00AA0468">
        <w:rPr>
          <w:lang w:val="fr-FR"/>
        </w:rPr>
        <w:t xml:space="preserve">Le projet de texte </w:t>
      </w:r>
      <w:r w:rsidR="00AA0468" w:rsidRPr="00AA0468">
        <w:rPr>
          <w:lang w:val="fr-FR"/>
        </w:rPr>
        <w:t>d</w:t>
      </w:r>
      <w:r w:rsidR="00AA0468">
        <w:rPr>
          <w:lang w:val="fr-FR"/>
        </w:rPr>
        <w:t xml:space="preserve">e </w:t>
      </w:r>
      <w:r w:rsidR="00E35BCC" w:rsidRPr="00AA0468">
        <w:rPr>
          <w:lang w:val="fr-FR"/>
        </w:rPr>
        <w:t xml:space="preserve">cette </w:t>
      </w:r>
      <w:r w:rsidR="00AA0468" w:rsidRPr="00AA0468">
        <w:rPr>
          <w:lang w:val="fr-FR"/>
        </w:rPr>
        <w:t>d</w:t>
      </w:r>
      <w:r w:rsidR="00AA0468">
        <w:rPr>
          <w:lang w:val="fr-FR"/>
        </w:rPr>
        <w:t>é</w:t>
      </w:r>
      <w:r w:rsidR="00AA0468" w:rsidRPr="00AA0468">
        <w:rPr>
          <w:lang w:val="fr-FR"/>
        </w:rPr>
        <w:t xml:space="preserve">cision </w:t>
      </w:r>
      <w:r w:rsidR="00070240">
        <w:rPr>
          <w:lang w:val="fr-FR"/>
        </w:rPr>
        <w:t xml:space="preserve">figure </w:t>
      </w:r>
      <w:r w:rsidR="00280CCF">
        <w:rPr>
          <w:lang w:val="fr-FR"/>
        </w:rPr>
        <w:t>d</w:t>
      </w:r>
      <w:r w:rsidR="00AA0468" w:rsidRPr="00AA0468">
        <w:rPr>
          <w:lang w:val="fr-FR"/>
        </w:rPr>
        <w:t>ans la section</w:t>
      </w:r>
      <w:r w:rsidR="00BF4252">
        <w:rPr>
          <w:lang w:val="fr-FR"/>
        </w:rPr>
        <w:t> </w:t>
      </w:r>
      <w:r w:rsidR="00EE71B1" w:rsidRPr="00AA0468">
        <w:rPr>
          <w:szCs w:val="18"/>
          <w:lang w:val="fr-FR"/>
        </w:rPr>
        <w:t xml:space="preserve">IV </w:t>
      </w:r>
      <w:r w:rsidR="00AA0468">
        <w:rPr>
          <w:szCs w:val="18"/>
          <w:lang w:val="fr-FR"/>
        </w:rPr>
        <w:t xml:space="preserve">ci-dessous. </w:t>
      </w:r>
    </w:p>
  </w:footnote>
  <w:footnote w:id="4">
    <w:p w14:paraId="7B3A6F24" w14:textId="75DD882F" w:rsidR="005F4786" w:rsidRPr="00AA0468" w:rsidRDefault="005F4786" w:rsidP="005F4786">
      <w:pPr>
        <w:pStyle w:val="FootnoteText"/>
        <w:rPr>
          <w:szCs w:val="18"/>
          <w:lang w:val="fr-FR"/>
        </w:rPr>
      </w:pPr>
      <w:r w:rsidRPr="00E806AF">
        <w:rPr>
          <w:rStyle w:val="FootnoteReference"/>
          <w:sz w:val="18"/>
          <w:lang w:val="en-GB"/>
        </w:rPr>
        <w:footnoteRef/>
      </w:r>
      <w:r w:rsidRPr="00AA0468">
        <w:rPr>
          <w:szCs w:val="18"/>
          <w:lang w:val="fr-FR"/>
        </w:rPr>
        <w:t xml:space="preserve"> </w:t>
      </w:r>
      <w:r w:rsidR="00AA0468" w:rsidRPr="00AA0468">
        <w:rPr>
          <w:szCs w:val="18"/>
          <w:lang w:val="fr-FR"/>
        </w:rPr>
        <w:t xml:space="preserve">Voir la décision </w:t>
      </w:r>
      <w:r w:rsidRPr="00AA0468">
        <w:rPr>
          <w:szCs w:val="18"/>
          <w:lang w:val="fr-FR"/>
        </w:rPr>
        <w:t>IPBES-3/3, annex</w:t>
      </w:r>
      <w:r w:rsidR="00AA0468" w:rsidRPr="00AA0468">
        <w:rPr>
          <w:szCs w:val="18"/>
          <w:lang w:val="fr-FR"/>
        </w:rPr>
        <w:t>e</w:t>
      </w:r>
      <w:r w:rsidR="00BF4252">
        <w:rPr>
          <w:szCs w:val="18"/>
          <w:lang w:val="fr-FR"/>
        </w:rPr>
        <w:t> </w:t>
      </w:r>
      <w:r w:rsidRPr="00AA0468">
        <w:rPr>
          <w:szCs w:val="18"/>
          <w:lang w:val="fr-FR"/>
        </w:rPr>
        <w:t xml:space="preserve">I. </w:t>
      </w:r>
    </w:p>
  </w:footnote>
  <w:footnote w:id="5">
    <w:p w14:paraId="0BC6B151" w14:textId="12368E8E" w:rsidR="005F4786" w:rsidRPr="00AA0468" w:rsidRDefault="005F4786" w:rsidP="005F4786">
      <w:pPr>
        <w:pStyle w:val="FootnoteText"/>
        <w:tabs>
          <w:tab w:val="left" w:pos="624"/>
        </w:tabs>
        <w:rPr>
          <w:szCs w:val="18"/>
          <w:lang w:val="fr-FR"/>
        </w:rPr>
      </w:pPr>
      <w:r w:rsidRPr="00682A80">
        <w:rPr>
          <w:rStyle w:val="FootnoteReference"/>
          <w:sz w:val="18"/>
          <w:lang w:val="en-GB"/>
        </w:rPr>
        <w:footnoteRef/>
      </w:r>
      <w:r w:rsidRPr="00AA0468">
        <w:rPr>
          <w:szCs w:val="18"/>
          <w:lang w:val="fr-FR"/>
        </w:rPr>
        <w:t xml:space="preserve"> </w:t>
      </w:r>
      <w:r w:rsidR="00AA0468" w:rsidRPr="00AA0468">
        <w:rPr>
          <w:szCs w:val="18"/>
          <w:lang w:val="fr-FR"/>
        </w:rPr>
        <w:t xml:space="preserve">Le projet de texte du rapport de </w:t>
      </w:r>
      <w:r w:rsidR="00AA0468">
        <w:rPr>
          <w:szCs w:val="18"/>
          <w:lang w:val="fr-FR"/>
        </w:rPr>
        <w:t xml:space="preserve">cadrage </w:t>
      </w:r>
      <w:r w:rsidR="00070240">
        <w:rPr>
          <w:szCs w:val="18"/>
          <w:lang w:val="fr-FR"/>
        </w:rPr>
        <w:t xml:space="preserve">figure </w:t>
      </w:r>
      <w:r w:rsidR="00947E2D">
        <w:rPr>
          <w:szCs w:val="18"/>
          <w:lang w:val="fr-FR"/>
        </w:rPr>
        <w:t xml:space="preserve">dans le </w:t>
      </w:r>
      <w:r w:rsidRPr="00AA0468">
        <w:rPr>
          <w:szCs w:val="18"/>
          <w:lang w:val="fr-FR"/>
        </w:rPr>
        <w:t>document</w:t>
      </w:r>
      <w:r w:rsidR="00BF4252">
        <w:rPr>
          <w:szCs w:val="18"/>
          <w:lang w:val="fr-FR"/>
        </w:rPr>
        <w:t> </w:t>
      </w:r>
      <w:r w:rsidRPr="00AA0468">
        <w:rPr>
          <w:szCs w:val="18"/>
          <w:lang w:val="fr-FR"/>
        </w:rPr>
        <w:t>IPBES/8/3.</w:t>
      </w:r>
    </w:p>
  </w:footnote>
  <w:footnote w:id="6">
    <w:p w14:paraId="608D2001" w14:textId="7C28333A" w:rsidR="005F4786" w:rsidRPr="006056BA" w:rsidRDefault="005F4786" w:rsidP="005F4786">
      <w:pPr>
        <w:pStyle w:val="FootnoteText"/>
        <w:rPr>
          <w:szCs w:val="18"/>
          <w:lang w:val="fr-FR"/>
        </w:rPr>
      </w:pPr>
      <w:r w:rsidRPr="00E806AF">
        <w:rPr>
          <w:rStyle w:val="FootnoteReference"/>
          <w:sz w:val="18"/>
          <w:lang w:val="en-GB"/>
        </w:rPr>
        <w:footnoteRef/>
      </w:r>
      <w:r w:rsidRPr="006056BA">
        <w:rPr>
          <w:szCs w:val="18"/>
          <w:lang w:val="fr-FR"/>
        </w:rPr>
        <w:t xml:space="preserve"> </w:t>
      </w:r>
      <w:r w:rsidR="006056BA" w:rsidRPr="006056BA">
        <w:rPr>
          <w:szCs w:val="18"/>
          <w:lang w:val="fr-FR"/>
        </w:rPr>
        <w:t xml:space="preserve">Voir la décision </w:t>
      </w:r>
      <w:r w:rsidRPr="006056BA">
        <w:rPr>
          <w:szCs w:val="18"/>
          <w:lang w:val="fr-FR"/>
        </w:rPr>
        <w:t>IPBES-3/3, annex</w:t>
      </w:r>
      <w:r w:rsidR="006056BA" w:rsidRPr="006056BA">
        <w:rPr>
          <w:szCs w:val="18"/>
          <w:lang w:val="fr-FR"/>
        </w:rPr>
        <w:t>e</w:t>
      </w:r>
      <w:r w:rsidR="00BF4252">
        <w:rPr>
          <w:szCs w:val="18"/>
          <w:lang w:val="fr-FR"/>
        </w:rPr>
        <w:t> </w:t>
      </w:r>
      <w:r w:rsidRPr="006056BA">
        <w:rPr>
          <w:szCs w:val="18"/>
          <w:lang w:val="fr-FR"/>
        </w:rPr>
        <w:t xml:space="preserve">I. </w:t>
      </w:r>
    </w:p>
  </w:footnote>
  <w:footnote w:id="7">
    <w:p w14:paraId="2111AD51" w14:textId="3C619C96" w:rsidR="005F4786" w:rsidRPr="00CD3860" w:rsidRDefault="005F4786" w:rsidP="005F4786">
      <w:pPr>
        <w:pStyle w:val="FootnoteText"/>
        <w:tabs>
          <w:tab w:val="left" w:pos="624"/>
        </w:tabs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CD3860">
        <w:rPr>
          <w:szCs w:val="18"/>
          <w:lang w:val="fr-FR"/>
        </w:rPr>
        <w:t xml:space="preserve"> </w:t>
      </w:r>
      <w:r w:rsidR="006056BA" w:rsidRPr="00CD3860">
        <w:rPr>
          <w:szCs w:val="18"/>
          <w:lang w:val="fr-FR"/>
        </w:rPr>
        <w:t xml:space="preserve">Le projet de texte </w:t>
      </w:r>
      <w:r w:rsidR="00CD3860" w:rsidRPr="00CD3860">
        <w:rPr>
          <w:szCs w:val="18"/>
          <w:lang w:val="fr-FR"/>
        </w:rPr>
        <w:t xml:space="preserve">du rapport de </w:t>
      </w:r>
      <w:r w:rsidR="00CD3860">
        <w:rPr>
          <w:szCs w:val="18"/>
          <w:lang w:val="fr-FR"/>
        </w:rPr>
        <w:t xml:space="preserve">cadrage </w:t>
      </w:r>
      <w:r w:rsidR="00D236AA">
        <w:rPr>
          <w:szCs w:val="18"/>
          <w:lang w:val="fr-FR"/>
        </w:rPr>
        <w:t xml:space="preserve">figure </w:t>
      </w:r>
      <w:r w:rsidR="00947E2D">
        <w:rPr>
          <w:szCs w:val="18"/>
          <w:lang w:val="fr-FR"/>
        </w:rPr>
        <w:t xml:space="preserve">dans le </w:t>
      </w:r>
      <w:r w:rsidR="00CD3860">
        <w:rPr>
          <w:szCs w:val="18"/>
          <w:lang w:val="fr-FR"/>
        </w:rPr>
        <w:t>document</w:t>
      </w:r>
      <w:r w:rsidR="00BF4252">
        <w:rPr>
          <w:szCs w:val="18"/>
          <w:lang w:val="fr-FR"/>
        </w:rPr>
        <w:t> </w:t>
      </w:r>
      <w:r w:rsidRPr="00CD3860">
        <w:rPr>
          <w:szCs w:val="18"/>
          <w:lang w:val="fr-FR"/>
        </w:rPr>
        <w:t>IPBES/8/4.</w:t>
      </w:r>
    </w:p>
  </w:footnote>
  <w:footnote w:id="8">
    <w:p w14:paraId="27BBA725" w14:textId="77777777" w:rsidR="00E46541" w:rsidRPr="00D20515" w:rsidRDefault="00E46541" w:rsidP="00E46541">
      <w:pPr>
        <w:pStyle w:val="FootnoteText"/>
        <w:tabs>
          <w:tab w:val="left" w:pos="624"/>
        </w:tabs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D20515">
        <w:rPr>
          <w:szCs w:val="18"/>
          <w:lang w:val="fr-FR"/>
        </w:rPr>
        <w:t xml:space="preserve"> IPBES/8/INF/5.</w:t>
      </w:r>
    </w:p>
  </w:footnote>
  <w:footnote w:id="9">
    <w:p w14:paraId="0DEB8B8F" w14:textId="5D36ECA0" w:rsidR="00761259" w:rsidRPr="00CD3860" w:rsidRDefault="00761259" w:rsidP="00761259">
      <w:pPr>
        <w:pStyle w:val="FootnoteText"/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CD3860">
        <w:rPr>
          <w:szCs w:val="18"/>
          <w:lang w:val="fr-FR"/>
        </w:rPr>
        <w:t xml:space="preserve"> Voir la décision IPBES-3/3, annexe</w:t>
      </w:r>
      <w:r w:rsidR="00BF4252">
        <w:rPr>
          <w:szCs w:val="18"/>
          <w:lang w:val="fr-FR"/>
        </w:rPr>
        <w:t> </w:t>
      </w:r>
      <w:r w:rsidRPr="00CD3860">
        <w:rPr>
          <w:szCs w:val="18"/>
          <w:lang w:val="fr-FR"/>
        </w:rPr>
        <w:t xml:space="preserve">I. </w:t>
      </w:r>
    </w:p>
  </w:footnote>
  <w:footnote w:id="10">
    <w:p w14:paraId="434FAA5E" w14:textId="77777777" w:rsidR="009D64E6" w:rsidRPr="00D20515" w:rsidRDefault="009D64E6" w:rsidP="009D64E6">
      <w:pPr>
        <w:pStyle w:val="FootnoteText"/>
        <w:tabs>
          <w:tab w:val="left" w:pos="624"/>
        </w:tabs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D20515">
        <w:rPr>
          <w:szCs w:val="18"/>
          <w:lang w:val="fr-FR"/>
        </w:rPr>
        <w:t xml:space="preserve"> IPBES/8/INF/20.</w:t>
      </w:r>
    </w:p>
  </w:footnote>
  <w:footnote w:id="11">
    <w:p w14:paraId="3B54F8C0" w14:textId="41874E26" w:rsidR="009D64E6" w:rsidRPr="00D20515" w:rsidRDefault="009D64E6" w:rsidP="009D64E6">
      <w:pPr>
        <w:pStyle w:val="FootnoteText"/>
        <w:rPr>
          <w:szCs w:val="18"/>
          <w:lang w:val="fr-FR"/>
        </w:rPr>
      </w:pPr>
      <w:r w:rsidRPr="00E806AF">
        <w:rPr>
          <w:rStyle w:val="FootnoteReference"/>
          <w:sz w:val="18"/>
          <w:lang w:val="en-GB"/>
        </w:rPr>
        <w:footnoteRef/>
      </w:r>
      <w:r w:rsidRPr="00D20515">
        <w:rPr>
          <w:szCs w:val="18"/>
          <w:lang w:val="fr-FR"/>
        </w:rPr>
        <w:t xml:space="preserve"> Voir la décision IPBES-3/3, annexe</w:t>
      </w:r>
      <w:r w:rsidR="00BF4252">
        <w:rPr>
          <w:szCs w:val="18"/>
          <w:lang w:val="fr-FR"/>
        </w:rPr>
        <w:t> </w:t>
      </w:r>
      <w:r w:rsidRPr="00D20515">
        <w:rPr>
          <w:szCs w:val="18"/>
          <w:lang w:val="fr-FR"/>
        </w:rPr>
        <w:t xml:space="preserve">I. </w:t>
      </w:r>
    </w:p>
  </w:footnote>
  <w:footnote w:id="12">
    <w:p w14:paraId="0EB73C5F" w14:textId="77777777" w:rsidR="00C85244" w:rsidRPr="00682A80" w:rsidRDefault="00C85244" w:rsidP="00C85244">
      <w:pPr>
        <w:pStyle w:val="FootnoteText"/>
        <w:tabs>
          <w:tab w:val="left" w:pos="624"/>
        </w:tabs>
        <w:rPr>
          <w:szCs w:val="18"/>
          <w:lang w:val="en-GB"/>
        </w:rPr>
      </w:pPr>
      <w:r w:rsidRPr="00682A80">
        <w:rPr>
          <w:rStyle w:val="FootnoteReference"/>
          <w:sz w:val="18"/>
          <w:lang w:val="en-GB"/>
        </w:rPr>
        <w:footnoteRef/>
      </w:r>
      <w:r w:rsidRPr="00682A80">
        <w:rPr>
          <w:szCs w:val="18"/>
          <w:lang w:val="en-GB"/>
        </w:rPr>
        <w:t xml:space="preserve"> IPBES/8/</w:t>
      </w:r>
      <w:r w:rsidRPr="00E806AF">
        <w:rPr>
          <w:szCs w:val="18"/>
          <w:lang w:val="en-GB"/>
        </w:rPr>
        <w:t>6</w:t>
      </w:r>
      <w:r w:rsidRPr="00682A80">
        <w:rPr>
          <w:szCs w:val="18"/>
          <w:lang w:val="en-GB"/>
        </w:rPr>
        <w:t>.</w:t>
      </w:r>
    </w:p>
  </w:footnote>
  <w:footnote w:id="13">
    <w:p w14:paraId="665E9CB2" w14:textId="4C155BCD" w:rsidR="0066645C" w:rsidRPr="0077162C" w:rsidRDefault="0066645C" w:rsidP="0066645C">
      <w:pPr>
        <w:pStyle w:val="FootnoteText"/>
        <w:rPr>
          <w:szCs w:val="18"/>
          <w:lang w:val="fr-FR"/>
        </w:rPr>
      </w:pPr>
      <w:r w:rsidRPr="00E806AF">
        <w:rPr>
          <w:rStyle w:val="FootnoteReference"/>
          <w:sz w:val="18"/>
          <w:lang w:val="en-GB"/>
        </w:rPr>
        <w:footnoteRef/>
      </w:r>
      <w:r w:rsidRPr="0077162C">
        <w:rPr>
          <w:szCs w:val="18"/>
          <w:lang w:val="fr-FR"/>
        </w:rPr>
        <w:t xml:space="preserve"> Voir la décision</w:t>
      </w:r>
      <w:r w:rsidR="00CB3403">
        <w:rPr>
          <w:szCs w:val="18"/>
          <w:lang w:val="fr-FR"/>
        </w:rPr>
        <w:t> </w:t>
      </w:r>
      <w:r w:rsidRPr="0077162C">
        <w:rPr>
          <w:szCs w:val="18"/>
          <w:lang w:val="fr-FR"/>
        </w:rPr>
        <w:t>IPBES-3/3, annexe</w:t>
      </w:r>
      <w:r w:rsidR="00951CE8">
        <w:rPr>
          <w:szCs w:val="18"/>
          <w:lang w:val="fr-FR"/>
        </w:rPr>
        <w:t> </w:t>
      </w:r>
      <w:r w:rsidRPr="0077162C">
        <w:rPr>
          <w:szCs w:val="18"/>
          <w:lang w:val="fr-FR"/>
        </w:rPr>
        <w:t xml:space="preserve">I. </w:t>
      </w:r>
    </w:p>
  </w:footnote>
  <w:footnote w:id="14">
    <w:p w14:paraId="0DE0E5AD" w14:textId="59F27FBD" w:rsidR="00DA4A04" w:rsidRPr="0077162C" w:rsidRDefault="00DA4A04" w:rsidP="00DA4A04">
      <w:pPr>
        <w:pStyle w:val="FootnoteText"/>
        <w:tabs>
          <w:tab w:val="left" w:pos="624"/>
        </w:tabs>
        <w:rPr>
          <w:szCs w:val="18"/>
          <w:lang w:val="fr-FR"/>
        </w:rPr>
      </w:pPr>
      <w:r w:rsidRPr="00682A80">
        <w:rPr>
          <w:rStyle w:val="FootnoteReference"/>
          <w:sz w:val="18"/>
          <w:lang w:val="en-GB"/>
        </w:rPr>
        <w:footnoteRef/>
      </w:r>
      <w:r w:rsidRPr="0077162C">
        <w:rPr>
          <w:szCs w:val="18"/>
          <w:lang w:val="fr-FR"/>
        </w:rPr>
        <w:t xml:space="preserve"> </w:t>
      </w:r>
      <w:r w:rsidR="0077162C" w:rsidRPr="0077162C">
        <w:rPr>
          <w:szCs w:val="18"/>
          <w:lang w:val="fr-FR"/>
        </w:rPr>
        <w:t>Le projet de plan de travail de l’équipe spéciale sur l</w:t>
      </w:r>
      <w:r w:rsidR="0077162C">
        <w:rPr>
          <w:szCs w:val="18"/>
          <w:lang w:val="fr-FR"/>
        </w:rPr>
        <w:t>e</w:t>
      </w:r>
      <w:r w:rsidR="00D8278F">
        <w:rPr>
          <w:szCs w:val="18"/>
          <w:lang w:val="fr-FR"/>
        </w:rPr>
        <w:t xml:space="preserve"> renforcement des capacités </w:t>
      </w:r>
      <w:r w:rsidR="00F4776E">
        <w:rPr>
          <w:szCs w:val="18"/>
          <w:lang w:val="fr-FR"/>
        </w:rPr>
        <w:t xml:space="preserve">figure </w:t>
      </w:r>
      <w:r w:rsidR="00D8278F">
        <w:rPr>
          <w:szCs w:val="18"/>
          <w:lang w:val="fr-FR"/>
        </w:rPr>
        <w:t xml:space="preserve">dans la </w:t>
      </w:r>
      <w:r w:rsidRPr="0077162C">
        <w:rPr>
          <w:szCs w:val="18"/>
          <w:lang w:val="fr-FR"/>
        </w:rPr>
        <w:t>section</w:t>
      </w:r>
      <w:r w:rsidR="00951CE8">
        <w:rPr>
          <w:szCs w:val="18"/>
          <w:lang w:val="fr-FR"/>
        </w:rPr>
        <w:t> </w:t>
      </w:r>
      <w:r w:rsidRPr="0077162C">
        <w:rPr>
          <w:szCs w:val="18"/>
          <w:lang w:val="fr-FR"/>
        </w:rPr>
        <w:t xml:space="preserve">II.B </w:t>
      </w:r>
      <w:r w:rsidR="00D8278F">
        <w:rPr>
          <w:szCs w:val="18"/>
          <w:lang w:val="fr-FR"/>
        </w:rPr>
        <w:t>du</w:t>
      </w:r>
      <w:r w:rsidR="00CB3403">
        <w:rPr>
          <w:szCs w:val="18"/>
          <w:lang w:val="fr-FR"/>
        </w:rPr>
        <w:t> </w:t>
      </w:r>
      <w:r w:rsidRPr="0077162C">
        <w:rPr>
          <w:szCs w:val="18"/>
          <w:lang w:val="fr-FR"/>
        </w:rPr>
        <w:t>document</w:t>
      </w:r>
      <w:r w:rsidR="00B41B02">
        <w:rPr>
          <w:szCs w:val="18"/>
          <w:lang w:val="fr-FR"/>
        </w:rPr>
        <w:t> </w:t>
      </w:r>
      <w:r w:rsidRPr="0077162C">
        <w:rPr>
          <w:szCs w:val="18"/>
          <w:lang w:val="fr-FR"/>
        </w:rPr>
        <w:t>IPBES/8/7.</w:t>
      </w:r>
    </w:p>
  </w:footnote>
  <w:footnote w:id="15">
    <w:p w14:paraId="07D7C45D" w14:textId="111CF3AE" w:rsidR="00DA4A04" w:rsidRPr="00146996" w:rsidRDefault="00DA4A04" w:rsidP="00DA4A04">
      <w:pPr>
        <w:pStyle w:val="FootnoteText"/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146996">
        <w:rPr>
          <w:szCs w:val="18"/>
          <w:lang w:val="fr-FR"/>
        </w:rPr>
        <w:t xml:space="preserve"> </w:t>
      </w:r>
      <w:r w:rsidR="00D8278F" w:rsidRPr="00146996">
        <w:rPr>
          <w:szCs w:val="18"/>
          <w:lang w:val="fr-FR"/>
        </w:rPr>
        <w:t>Le</w:t>
      </w:r>
      <w:r w:rsidR="00146996" w:rsidRPr="00146996">
        <w:rPr>
          <w:szCs w:val="18"/>
          <w:lang w:val="fr-FR"/>
        </w:rPr>
        <w:t>s</w:t>
      </w:r>
      <w:r w:rsidR="00D8278F" w:rsidRPr="00146996">
        <w:rPr>
          <w:szCs w:val="18"/>
          <w:lang w:val="fr-FR"/>
        </w:rPr>
        <w:t xml:space="preserve"> projets de </w:t>
      </w:r>
      <w:r w:rsidR="00146996" w:rsidRPr="00146996">
        <w:rPr>
          <w:szCs w:val="18"/>
          <w:lang w:val="fr-FR"/>
        </w:rPr>
        <w:t>produit</w:t>
      </w:r>
      <w:r w:rsidR="00F4776E">
        <w:rPr>
          <w:szCs w:val="18"/>
          <w:lang w:val="fr-FR"/>
        </w:rPr>
        <w:t>s</w:t>
      </w:r>
      <w:r w:rsidR="00146996" w:rsidRPr="00146996">
        <w:rPr>
          <w:szCs w:val="18"/>
          <w:lang w:val="fr-FR"/>
        </w:rPr>
        <w:t xml:space="preserve"> </w:t>
      </w:r>
      <w:r w:rsidR="00F4776E">
        <w:rPr>
          <w:szCs w:val="18"/>
          <w:lang w:val="fr-FR"/>
        </w:rPr>
        <w:t xml:space="preserve">figurent </w:t>
      </w:r>
      <w:r w:rsidR="00146996">
        <w:rPr>
          <w:szCs w:val="18"/>
          <w:lang w:val="fr-FR"/>
        </w:rPr>
        <w:t xml:space="preserve">dans la </w:t>
      </w:r>
      <w:r w:rsidRPr="00146996">
        <w:rPr>
          <w:szCs w:val="18"/>
          <w:lang w:val="fr-FR"/>
        </w:rPr>
        <w:t>section</w:t>
      </w:r>
      <w:r w:rsidR="00951CE8">
        <w:rPr>
          <w:szCs w:val="18"/>
          <w:lang w:val="fr-FR"/>
        </w:rPr>
        <w:t> </w:t>
      </w:r>
      <w:r w:rsidRPr="00146996">
        <w:rPr>
          <w:szCs w:val="18"/>
          <w:lang w:val="fr-FR"/>
        </w:rPr>
        <w:t xml:space="preserve">II.A </w:t>
      </w:r>
      <w:r w:rsidR="00146996">
        <w:rPr>
          <w:szCs w:val="18"/>
          <w:lang w:val="fr-FR"/>
        </w:rPr>
        <w:t xml:space="preserve">du </w:t>
      </w:r>
      <w:r w:rsidRPr="00146996">
        <w:rPr>
          <w:szCs w:val="18"/>
          <w:lang w:val="fr-FR"/>
        </w:rPr>
        <w:t>document</w:t>
      </w:r>
      <w:r w:rsidR="00951CE8">
        <w:rPr>
          <w:szCs w:val="18"/>
          <w:lang w:val="fr-FR"/>
        </w:rPr>
        <w:t> </w:t>
      </w:r>
      <w:r w:rsidRPr="00146996">
        <w:rPr>
          <w:szCs w:val="18"/>
          <w:lang w:val="fr-FR"/>
        </w:rPr>
        <w:t>IPBES/8/7.</w:t>
      </w:r>
    </w:p>
  </w:footnote>
  <w:footnote w:id="16">
    <w:p w14:paraId="691968D8" w14:textId="77777777" w:rsidR="00951CE8" w:rsidRPr="006C59B0" w:rsidRDefault="00951CE8" w:rsidP="00951CE8">
      <w:pPr>
        <w:pStyle w:val="FootnoteText"/>
        <w:rPr>
          <w:szCs w:val="18"/>
          <w:lang w:val="en-GB"/>
        </w:rPr>
      </w:pPr>
      <w:r w:rsidRPr="006C59B0">
        <w:rPr>
          <w:rStyle w:val="FootnoteReference"/>
          <w:sz w:val="18"/>
          <w:lang w:val="en-GB"/>
        </w:rPr>
        <w:footnoteRef/>
      </w:r>
      <w:r w:rsidRPr="006C59B0">
        <w:rPr>
          <w:szCs w:val="18"/>
          <w:lang w:val="en-GB"/>
        </w:rPr>
        <w:t xml:space="preserve"> </w:t>
      </w:r>
      <w:r w:rsidRPr="00404335">
        <w:rPr>
          <w:szCs w:val="18"/>
          <w:lang w:val="en-GB"/>
        </w:rPr>
        <w:t>IPBES/8/INF/12</w:t>
      </w:r>
      <w:r w:rsidRPr="006C59B0">
        <w:rPr>
          <w:szCs w:val="18"/>
          <w:lang w:val="en-GB"/>
        </w:rPr>
        <w:t>.</w:t>
      </w:r>
    </w:p>
  </w:footnote>
  <w:footnote w:id="17">
    <w:p w14:paraId="1E3FA820" w14:textId="1A8CDEBE" w:rsidR="008F0CF6" w:rsidRPr="008B711A" w:rsidRDefault="008F0CF6" w:rsidP="008F0CF6">
      <w:pPr>
        <w:pStyle w:val="FootnoteText"/>
        <w:tabs>
          <w:tab w:val="left" w:pos="624"/>
        </w:tabs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E25CAB">
        <w:rPr>
          <w:szCs w:val="18"/>
          <w:lang w:val="fr-FR"/>
        </w:rPr>
        <w:t xml:space="preserve"> </w:t>
      </w:r>
      <w:r w:rsidR="00154594" w:rsidRPr="00E25CAB">
        <w:rPr>
          <w:szCs w:val="18"/>
          <w:lang w:val="fr-FR"/>
        </w:rPr>
        <w:t xml:space="preserve">Le projet </w:t>
      </w:r>
      <w:r w:rsidR="00E25CAB" w:rsidRPr="00E25CAB">
        <w:rPr>
          <w:szCs w:val="18"/>
          <w:lang w:val="fr-FR"/>
        </w:rPr>
        <w:t>de plan de travail de l’équipe spéciale sur les connaissances et les donnée</w:t>
      </w:r>
      <w:r w:rsidR="00E25CAB">
        <w:rPr>
          <w:szCs w:val="18"/>
          <w:lang w:val="fr-FR"/>
        </w:rPr>
        <w:t xml:space="preserve">s </w:t>
      </w:r>
      <w:r w:rsidR="00243C85">
        <w:rPr>
          <w:szCs w:val="18"/>
          <w:lang w:val="fr-FR"/>
        </w:rPr>
        <w:t xml:space="preserve">figure </w:t>
      </w:r>
      <w:r w:rsidR="00E25CAB">
        <w:rPr>
          <w:szCs w:val="18"/>
          <w:lang w:val="fr-FR"/>
        </w:rPr>
        <w:t xml:space="preserve">dans la </w:t>
      </w:r>
      <w:r w:rsidRPr="00E25CAB">
        <w:rPr>
          <w:szCs w:val="18"/>
          <w:lang w:val="fr-FR"/>
        </w:rPr>
        <w:t>section</w:t>
      </w:r>
      <w:r w:rsidR="00951CE8">
        <w:rPr>
          <w:szCs w:val="18"/>
          <w:lang w:val="fr-FR"/>
        </w:rPr>
        <w:t> </w:t>
      </w:r>
      <w:r w:rsidRPr="00E25CAB">
        <w:rPr>
          <w:szCs w:val="18"/>
          <w:lang w:val="fr-FR"/>
        </w:rPr>
        <w:t xml:space="preserve">III.A.2. </w:t>
      </w:r>
      <w:r w:rsidR="008B711A">
        <w:rPr>
          <w:szCs w:val="18"/>
          <w:lang w:val="fr-FR"/>
        </w:rPr>
        <w:t xml:space="preserve">et </w:t>
      </w:r>
      <w:r w:rsidRPr="008B711A">
        <w:rPr>
          <w:szCs w:val="18"/>
          <w:lang w:val="fr-FR"/>
        </w:rPr>
        <w:t xml:space="preserve">III.B.2. </w:t>
      </w:r>
      <w:r w:rsidR="008B711A" w:rsidRPr="008B711A">
        <w:rPr>
          <w:szCs w:val="18"/>
          <w:lang w:val="fr-FR"/>
        </w:rPr>
        <w:t>du</w:t>
      </w:r>
      <w:r w:rsidRPr="008B711A">
        <w:rPr>
          <w:szCs w:val="18"/>
          <w:lang w:val="fr-FR"/>
        </w:rPr>
        <w:t xml:space="preserve"> document</w:t>
      </w:r>
      <w:r w:rsidR="00951CE8">
        <w:rPr>
          <w:szCs w:val="18"/>
          <w:lang w:val="fr-FR"/>
        </w:rPr>
        <w:t> </w:t>
      </w:r>
      <w:r w:rsidRPr="008B711A">
        <w:rPr>
          <w:szCs w:val="18"/>
          <w:lang w:val="fr-FR"/>
        </w:rPr>
        <w:t>IPBES/8/7.</w:t>
      </w:r>
    </w:p>
  </w:footnote>
  <w:footnote w:id="18">
    <w:p w14:paraId="0B21950A" w14:textId="4BE509D2" w:rsidR="008F0CF6" w:rsidRPr="00465C0D" w:rsidRDefault="008F0CF6" w:rsidP="008F0CF6">
      <w:pPr>
        <w:pStyle w:val="FootnoteText"/>
        <w:tabs>
          <w:tab w:val="left" w:pos="624"/>
        </w:tabs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465C0D">
        <w:rPr>
          <w:szCs w:val="18"/>
          <w:lang w:val="fr-FR"/>
        </w:rPr>
        <w:t xml:space="preserve"> </w:t>
      </w:r>
      <w:r w:rsidR="008B711A" w:rsidRPr="00465C0D">
        <w:rPr>
          <w:szCs w:val="18"/>
          <w:lang w:val="fr-FR"/>
        </w:rPr>
        <w:t>Le projet de plan de travail de l’équipe spéciale sur</w:t>
      </w:r>
      <w:r w:rsidR="00465C0D" w:rsidRPr="00465C0D">
        <w:rPr>
          <w:szCs w:val="18"/>
          <w:lang w:val="fr-FR"/>
        </w:rPr>
        <w:t xml:space="preserve"> le</w:t>
      </w:r>
      <w:r w:rsidR="00465C0D">
        <w:rPr>
          <w:szCs w:val="18"/>
          <w:lang w:val="fr-FR"/>
        </w:rPr>
        <w:t xml:space="preserve">s savoirs autochtones et locaux </w:t>
      </w:r>
      <w:r w:rsidR="00243C85">
        <w:rPr>
          <w:szCs w:val="18"/>
          <w:lang w:val="fr-FR"/>
        </w:rPr>
        <w:t xml:space="preserve">figure </w:t>
      </w:r>
      <w:r w:rsidR="00E50068">
        <w:rPr>
          <w:szCs w:val="18"/>
          <w:lang w:val="fr-FR"/>
        </w:rPr>
        <w:t xml:space="preserve">dans la </w:t>
      </w:r>
      <w:r w:rsidRPr="00465C0D">
        <w:rPr>
          <w:szCs w:val="18"/>
          <w:lang w:val="fr-FR"/>
        </w:rPr>
        <w:t>section</w:t>
      </w:r>
      <w:r w:rsidR="002B1339">
        <w:rPr>
          <w:szCs w:val="18"/>
          <w:lang w:val="fr-FR"/>
        </w:rPr>
        <w:t> </w:t>
      </w:r>
      <w:r w:rsidRPr="00465C0D">
        <w:rPr>
          <w:szCs w:val="18"/>
          <w:lang w:val="fr-FR"/>
        </w:rPr>
        <w:t xml:space="preserve">IV.B </w:t>
      </w:r>
      <w:r w:rsidR="00E50068">
        <w:rPr>
          <w:szCs w:val="18"/>
          <w:lang w:val="fr-FR"/>
        </w:rPr>
        <w:t>du</w:t>
      </w:r>
      <w:r w:rsidRPr="00465C0D">
        <w:rPr>
          <w:szCs w:val="18"/>
          <w:lang w:val="fr-FR"/>
        </w:rPr>
        <w:t xml:space="preserve"> document</w:t>
      </w:r>
      <w:r w:rsidR="002B1339">
        <w:rPr>
          <w:szCs w:val="18"/>
          <w:lang w:val="fr-FR"/>
        </w:rPr>
        <w:t> </w:t>
      </w:r>
      <w:r w:rsidRPr="00465C0D">
        <w:rPr>
          <w:szCs w:val="18"/>
          <w:lang w:val="fr-FR"/>
        </w:rPr>
        <w:t>IPBES/8/7.</w:t>
      </w:r>
    </w:p>
  </w:footnote>
  <w:footnote w:id="19">
    <w:p w14:paraId="337E7C90" w14:textId="030051A7" w:rsidR="0043062D" w:rsidRPr="00DE694A" w:rsidRDefault="0043062D" w:rsidP="0043062D">
      <w:pPr>
        <w:pStyle w:val="FootnoteText"/>
        <w:rPr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DE694A">
        <w:rPr>
          <w:szCs w:val="18"/>
          <w:lang w:val="fr-FR"/>
        </w:rPr>
        <w:t xml:space="preserve"> Les projets de produit</w:t>
      </w:r>
      <w:r>
        <w:rPr>
          <w:szCs w:val="18"/>
          <w:lang w:val="fr-FR"/>
        </w:rPr>
        <w:t xml:space="preserve">s livrables figurent dans les </w:t>
      </w:r>
      <w:r w:rsidRPr="00DE694A">
        <w:rPr>
          <w:szCs w:val="18"/>
          <w:lang w:val="fr-FR"/>
        </w:rPr>
        <w:t>sections</w:t>
      </w:r>
      <w:r w:rsidR="002B1339">
        <w:rPr>
          <w:szCs w:val="18"/>
          <w:lang w:val="fr-FR"/>
        </w:rPr>
        <w:t> </w:t>
      </w:r>
      <w:r w:rsidRPr="00DE694A">
        <w:rPr>
          <w:szCs w:val="18"/>
          <w:lang w:val="fr-FR"/>
        </w:rPr>
        <w:t xml:space="preserve">III.A.1, </w:t>
      </w:r>
      <w:bookmarkStart w:id="4" w:name="_Hlk68010372"/>
      <w:r w:rsidRPr="00DE694A">
        <w:rPr>
          <w:szCs w:val="18"/>
          <w:lang w:val="fr-FR"/>
        </w:rPr>
        <w:t xml:space="preserve">III.B.1 </w:t>
      </w:r>
      <w:r>
        <w:rPr>
          <w:szCs w:val="18"/>
          <w:lang w:val="fr-FR"/>
        </w:rPr>
        <w:t xml:space="preserve">et </w:t>
      </w:r>
      <w:r w:rsidRPr="00DE694A">
        <w:rPr>
          <w:szCs w:val="18"/>
          <w:lang w:val="fr-FR"/>
        </w:rPr>
        <w:t xml:space="preserve">IV.B </w:t>
      </w:r>
      <w:bookmarkEnd w:id="4"/>
      <w:r>
        <w:rPr>
          <w:szCs w:val="18"/>
          <w:lang w:val="fr-FR"/>
        </w:rPr>
        <w:t xml:space="preserve">du </w:t>
      </w:r>
      <w:r w:rsidRPr="00DE694A">
        <w:rPr>
          <w:szCs w:val="18"/>
          <w:lang w:val="fr-FR"/>
        </w:rPr>
        <w:t>document</w:t>
      </w:r>
      <w:r w:rsidR="00D40EEA">
        <w:rPr>
          <w:szCs w:val="18"/>
          <w:lang w:val="fr-FR"/>
        </w:rPr>
        <w:t> </w:t>
      </w:r>
      <w:r w:rsidRPr="00DE694A">
        <w:rPr>
          <w:szCs w:val="18"/>
          <w:lang w:val="fr-FR"/>
        </w:rPr>
        <w:t>IPBES/8/7.</w:t>
      </w:r>
    </w:p>
  </w:footnote>
  <w:footnote w:id="20">
    <w:p w14:paraId="5E98F6B5" w14:textId="52C4510F" w:rsidR="006B1707" w:rsidRPr="00136A7C" w:rsidRDefault="006B1707" w:rsidP="006B1707">
      <w:pPr>
        <w:pStyle w:val="FootnoteText"/>
        <w:tabs>
          <w:tab w:val="left" w:pos="624"/>
        </w:tabs>
        <w:rPr>
          <w:szCs w:val="18"/>
          <w:lang w:val="fr-FR"/>
        </w:rPr>
      </w:pPr>
      <w:r w:rsidRPr="00682A80">
        <w:rPr>
          <w:rStyle w:val="FootnoteReference"/>
          <w:sz w:val="18"/>
          <w:lang w:val="en-GB"/>
        </w:rPr>
        <w:footnoteRef/>
      </w:r>
      <w:r w:rsidRPr="00136A7C">
        <w:rPr>
          <w:szCs w:val="18"/>
          <w:lang w:val="fr-FR"/>
        </w:rPr>
        <w:t xml:space="preserve"> </w:t>
      </w:r>
      <w:r w:rsidR="00CA161B" w:rsidRPr="00136A7C">
        <w:rPr>
          <w:szCs w:val="18"/>
          <w:lang w:val="fr-FR"/>
        </w:rPr>
        <w:t xml:space="preserve">Le projet de plan de travail </w:t>
      </w:r>
      <w:r w:rsidR="00136A7C" w:rsidRPr="00136A7C">
        <w:rPr>
          <w:szCs w:val="18"/>
          <w:lang w:val="fr-FR"/>
        </w:rPr>
        <w:t>de l’équipe spécia</w:t>
      </w:r>
      <w:r w:rsidR="00136A7C">
        <w:rPr>
          <w:szCs w:val="18"/>
          <w:lang w:val="fr-FR"/>
        </w:rPr>
        <w:t xml:space="preserve">le sur les outils </w:t>
      </w:r>
      <w:r w:rsidR="00BA0FD8">
        <w:rPr>
          <w:szCs w:val="18"/>
          <w:lang w:val="fr-FR"/>
        </w:rPr>
        <w:t xml:space="preserve">et méthodes d’élaboration des produits </w:t>
      </w:r>
      <w:r w:rsidR="00243C85">
        <w:rPr>
          <w:szCs w:val="18"/>
          <w:lang w:val="fr-FR"/>
        </w:rPr>
        <w:t xml:space="preserve">figure </w:t>
      </w:r>
      <w:r w:rsidR="00BA0FD8">
        <w:rPr>
          <w:szCs w:val="18"/>
          <w:lang w:val="fr-FR"/>
        </w:rPr>
        <w:t xml:space="preserve">dans la </w:t>
      </w:r>
      <w:r w:rsidRPr="00136A7C">
        <w:rPr>
          <w:szCs w:val="18"/>
          <w:lang w:val="fr-FR"/>
        </w:rPr>
        <w:t>section</w:t>
      </w:r>
      <w:r w:rsidR="00D40EEA">
        <w:rPr>
          <w:szCs w:val="18"/>
          <w:lang w:val="fr-FR"/>
        </w:rPr>
        <w:t> </w:t>
      </w:r>
      <w:r w:rsidRPr="00136A7C">
        <w:rPr>
          <w:szCs w:val="18"/>
          <w:lang w:val="fr-FR"/>
        </w:rPr>
        <w:t>V.B of document</w:t>
      </w:r>
      <w:r w:rsidR="00D40EEA">
        <w:rPr>
          <w:szCs w:val="18"/>
          <w:lang w:val="fr-FR"/>
        </w:rPr>
        <w:t> </w:t>
      </w:r>
      <w:r w:rsidRPr="00136A7C">
        <w:rPr>
          <w:szCs w:val="18"/>
          <w:lang w:val="fr-FR"/>
        </w:rPr>
        <w:t>IPBES/8/7.</w:t>
      </w:r>
    </w:p>
  </w:footnote>
  <w:footnote w:id="21">
    <w:p w14:paraId="2D3D6143" w14:textId="126B221C" w:rsidR="006B1707" w:rsidRPr="00BA0FD8" w:rsidRDefault="006B1707" w:rsidP="006B1707">
      <w:pPr>
        <w:pStyle w:val="FootnoteText"/>
        <w:tabs>
          <w:tab w:val="left" w:pos="624"/>
        </w:tabs>
        <w:rPr>
          <w:szCs w:val="18"/>
          <w:lang w:val="fr-FR"/>
        </w:rPr>
      </w:pPr>
      <w:r w:rsidRPr="00682A80">
        <w:rPr>
          <w:rStyle w:val="FootnoteReference"/>
          <w:sz w:val="18"/>
          <w:lang w:val="en-GB"/>
        </w:rPr>
        <w:footnoteRef/>
      </w:r>
      <w:r w:rsidRPr="00BA0FD8">
        <w:rPr>
          <w:szCs w:val="18"/>
          <w:lang w:val="fr-FR"/>
        </w:rPr>
        <w:t xml:space="preserve"> </w:t>
      </w:r>
      <w:r w:rsidR="00BA0FD8" w:rsidRPr="00BA0FD8">
        <w:rPr>
          <w:szCs w:val="18"/>
          <w:lang w:val="fr-FR"/>
        </w:rPr>
        <w:t>Le projet de plan de travail de l’équipe spé</w:t>
      </w:r>
      <w:r w:rsidR="00BA0FD8">
        <w:rPr>
          <w:szCs w:val="18"/>
          <w:lang w:val="fr-FR"/>
        </w:rPr>
        <w:t xml:space="preserve">ciale sur les scénarios et les modèles </w:t>
      </w:r>
      <w:r w:rsidR="00243C85">
        <w:rPr>
          <w:szCs w:val="18"/>
          <w:lang w:val="fr-FR"/>
        </w:rPr>
        <w:t xml:space="preserve">figure </w:t>
      </w:r>
      <w:r w:rsidR="005422E6">
        <w:rPr>
          <w:szCs w:val="18"/>
          <w:lang w:val="fr-FR"/>
        </w:rPr>
        <w:t xml:space="preserve">dans </w:t>
      </w:r>
      <w:r w:rsidR="006D1501">
        <w:rPr>
          <w:szCs w:val="18"/>
          <w:lang w:val="fr-FR"/>
        </w:rPr>
        <w:t xml:space="preserve">la </w:t>
      </w:r>
      <w:r w:rsidRPr="00BA0FD8">
        <w:rPr>
          <w:szCs w:val="18"/>
          <w:lang w:val="fr-FR"/>
        </w:rPr>
        <w:t>section</w:t>
      </w:r>
      <w:r w:rsidR="00D40EEA">
        <w:rPr>
          <w:szCs w:val="18"/>
          <w:lang w:val="fr-FR"/>
        </w:rPr>
        <w:t> </w:t>
      </w:r>
      <w:r w:rsidRPr="00BA0FD8">
        <w:rPr>
          <w:szCs w:val="18"/>
          <w:lang w:val="fr-FR"/>
        </w:rPr>
        <w:t xml:space="preserve">VI.B </w:t>
      </w:r>
      <w:r w:rsidR="006D1501">
        <w:rPr>
          <w:szCs w:val="18"/>
          <w:lang w:val="fr-FR"/>
        </w:rPr>
        <w:t>du</w:t>
      </w:r>
      <w:r w:rsidRPr="00BA0FD8">
        <w:rPr>
          <w:szCs w:val="18"/>
          <w:lang w:val="fr-FR"/>
        </w:rPr>
        <w:t xml:space="preserve"> document</w:t>
      </w:r>
      <w:r w:rsidR="00D40EEA">
        <w:rPr>
          <w:szCs w:val="18"/>
          <w:lang w:val="fr-FR"/>
        </w:rPr>
        <w:t> </w:t>
      </w:r>
      <w:r w:rsidRPr="00BA0FD8">
        <w:rPr>
          <w:szCs w:val="18"/>
          <w:lang w:val="fr-FR"/>
        </w:rPr>
        <w:t>IPBES/8/7.</w:t>
      </w:r>
    </w:p>
  </w:footnote>
  <w:footnote w:id="22">
    <w:p w14:paraId="08BD0B2D" w14:textId="0441F1F0" w:rsidR="0043062D" w:rsidRPr="00567264" w:rsidRDefault="0043062D" w:rsidP="0043062D">
      <w:pPr>
        <w:pStyle w:val="FootnoteText"/>
        <w:rPr>
          <w:szCs w:val="18"/>
          <w:lang w:val="fr-FR"/>
        </w:rPr>
      </w:pPr>
      <w:r w:rsidRPr="00E806AF">
        <w:rPr>
          <w:rStyle w:val="FootnoteReference"/>
          <w:sz w:val="18"/>
          <w:lang w:val="en-GB"/>
        </w:rPr>
        <w:footnoteRef/>
      </w:r>
      <w:r w:rsidRPr="00567264">
        <w:rPr>
          <w:szCs w:val="18"/>
          <w:lang w:val="fr-FR"/>
        </w:rPr>
        <w:t xml:space="preserve"> Les projets de produits fi</w:t>
      </w:r>
      <w:r>
        <w:rPr>
          <w:szCs w:val="18"/>
          <w:lang w:val="fr-FR"/>
        </w:rPr>
        <w:t xml:space="preserve">gurent dans les </w:t>
      </w:r>
      <w:r w:rsidRPr="00567264">
        <w:rPr>
          <w:szCs w:val="18"/>
          <w:lang w:val="fr-FR"/>
        </w:rPr>
        <w:t>sections</w:t>
      </w:r>
      <w:r w:rsidR="00D40EEA">
        <w:rPr>
          <w:szCs w:val="18"/>
          <w:lang w:val="fr-FR"/>
        </w:rPr>
        <w:t> </w:t>
      </w:r>
      <w:r w:rsidRPr="00567264">
        <w:rPr>
          <w:szCs w:val="18"/>
          <w:lang w:val="fr-FR"/>
        </w:rPr>
        <w:t xml:space="preserve">V.A </w:t>
      </w:r>
      <w:r>
        <w:rPr>
          <w:szCs w:val="18"/>
          <w:lang w:val="fr-FR"/>
        </w:rPr>
        <w:t xml:space="preserve">et </w:t>
      </w:r>
      <w:r w:rsidRPr="00567264">
        <w:rPr>
          <w:szCs w:val="18"/>
          <w:lang w:val="fr-FR"/>
        </w:rPr>
        <w:t xml:space="preserve">VI.A </w:t>
      </w:r>
      <w:r>
        <w:rPr>
          <w:szCs w:val="18"/>
          <w:lang w:val="fr-FR"/>
        </w:rPr>
        <w:t>du</w:t>
      </w:r>
      <w:r w:rsidRPr="00567264">
        <w:rPr>
          <w:szCs w:val="18"/>
          <w:lang w:val="fr-FR"/>
        </w:rPr>
        <w:t xml:space="preserve"> document</w:t>
      </w:r>
      <w:r w:rsidR="00D40EEA">
        <w:rPr>
          <w:szCs w:val="18"/>
          <w:lang w:val="fr-FR"/>
        </w:rPr>
        <w:t> </w:t>
      </w:r>
      <w:r w:rsidRPr="00567264">
        <w:rPr>
          <w:szCs w:val="18"/>
          <w:lang w:val="fr-FR"/>
        </w:rPr>
        <w:t>IPBES/8/7.</w:t>
      </w:r>
    </w:p>
  </w:footnote>
  <w:footnote w:id="23">
    <w:p w14:paraId="4BC84BD8" w14:textId="77777777" w:rsidR="002B1339" w:rsidRPr="00E034E0" w:rsidRDefault="002B1339" w:rsidP="002B1339">
      <w:pPr>
        <w:pStyle w:val="FootnoteText"/>
        <w:tabs>
          <w:tab w:val="left" w:pos="624"/>
        </w:tabs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E034E0">
        <w:rPr>
          <w:szCs w:val="18"/>
          <w:lang w:val="fr-FR"/>
        </w:rPr>
        <w:t xml:space="preserve"> IPBES/8/8.</w:t>
      </w:r>
    </w:p>
  </w:footnote>
  <w:footnote w:id="24">
    <w:p w14:paraId="0DEDBA52" w14:textId="77777777" w:rsidR="00D40EEA" w:rsidRPr="00E034E0" w:rsidRDefault="00D40EEA" w:rsidP="00D40EEA">
      <w:pPr>
        <w:pStyle w:val="FootnoteText"/>
        <w:tabs>
          <w:tab w:val="left" w:pos="624"/>
        </w:tabs>
        <w:rPr>
          <w:szCs w:val="18"/>
          <w:lang w:val="fr-FR"/>
        </w:rPr>
      </w:pPr>
      <w:r w:rsidRPr="006C59B0">
        <w:rPr>
          <w:rStyle w:val="FootnoteReference"/>
          <w:sz w:val="18"/>
          <w:lang w:val="en-GB"/>
        </w:rPr>
        <w:footnoteRef/>
      </w:r>
      <w:r w:rsidRPr="00E034E0">
        <w:rPr>
          <w:szCs w:val="18"/>
          <w:lang w:val="fr-FR"/>
        </w:rPr>
        <w:t xml:space="preserve"> IPBES/8/INF/22.</w:t>
      </w:r>
    </w:p>
  </w:footnote>
  <w:footnote w:id="25">
    <w:p w14:paraId="096EB27F" w14:textId="2F425E38" w:rsidR="00464576" w:rsidRPr="0012125D" w:rsidRDefault="00464576" w:rsidP="00464576">
      <w:pPr>
        <w:pStyle w:val="FootnoteText"/>
        <w:tabs>
          <w:tab w:val="left" w:pos="624"/>
        </w:tabs>
        <w:rPr>
          <w:szCs w:val="18"/>
        </w:rPr>
      </w:pPr>
      <w:r w:rsidRPr="0012125D">
        <w:rPr>
          <w:rStyle w:val="FootnoteReference"/>
          <w:sz w:val="18"/>
        </w:rPr>
        <w:footnoteRef/>
      </w:r>
      <w:r w:rsidRPr="0012125D">
        <w:rPr>
          <w:szCs w:val="18"/>
        </w:rPr>
        <w:t xml:space="preserve"> </w:t>
      </w:r>
      <w:r w:rsidR="0065219F" w:rsidRPr="0012125D">
        <w:rPr>
          <w:szCs w:val="18"/>
        </w:rPr>
        <w:t>La ve</w:t>
      </w:r>
      <w:r w:rsidR="0065219F">
        <w:rPr>
          <w:szCs w:val="18"/>
        </w:rPr>
        <w:t>rsion préliminaire des tableaux </w:t>
      </w:r>
      <w:r w:rsidR="0065219F" w:rsidRPr="0012125D">
        <w:rPr>
          <w:szCs w:val="18"/>
        </w:rPr>
        <w:t>1, 2 et 3 est reprodu</w:t>
      </w:r>
      <w:r w:rsidR="0065219F">
        <w:rPr>
          <w:szCs w:val="18"/>
        </w:rPr>
        <w:t>ite dans le document</w:t>
      </w:r>
      <w:r w:rsidR="008A6D44">
        <w:rPr>
          <w:szCs w:val="18"/>
        </w:rPr>
        <w:t> </w:t>
      </w:r>
      <w:r w:rsidR="0065219F">
        <w:rPr>
          <w:szCs w:val="18"/>
        </w:rPr>
        <w:t>IPBES/</w:t>
      </w:r>
      <w:r w:rsidR="00F24151">
        <w:rPr>
          <w:szCs w:val="18"/>
        </w:rPr>
        <w:t>8</w:t>
      </w:r>
      <w:r w:rsidR="0065219F">
        <w:rPr>
          <w:szCs w:val="18"/>
        </w:rPr>
        <w:t>/</w:t>
      </w:r>
      <w:r w:rsidR="00F24151">
        <w:rPr>
          <w:szCs w:val="18"/>
        </w:rPr>
        <w:t>5</w:t>
      </w:r>
      <w:r w:rsidR="0065219F">
        <w:rPr>
          <w:szCs w:val="18"/>
        </w:rPr>
        <w:t>.</w:t>
      </w:r>
    </w:p>
  </w:footnote>
  <w:footnote w:id="26">
    <w:p w14:paraId="76C2629D" w14:textId="54BAD9AB" w:rsidR="00464576" w:rsidRPr="0012125D" w:rsidRDefault="00464576" w:rsidP="00464576">
      <w:pPr>
        <w:pStyle w:val="FootnoteText"/>
        <w:tabs>
          <w:tab w:val="left" w:pos="624"/>
        </w:tabs>
        <w:rPr>
          <w:szCs w:val="18"/>
        </w:rPr>
      </w:pPr>
      <w:r w:rsidRPr="0012125D">
        <w:rPr>
          <w:rStyle w:val="FootnoteReference"/>
          <w:sz w:val="18"/>
        </w:rPr>
        <w:footnoteRef/>
      </w:r>
      <w:r w:rsidRPr="0012125D">
        <w:rPr>
          <w:szCs w:val="18"/>
        </w:rPr>
        <w:t xml:space="preserve"> </w:t>
      </w:r>
      <w:r w:rsidR="0065219F" w:rsidRPr="0012125D">
        <w:rPr>
          <w:szCs w:val="18"/>
        </w:rPr>
        <w:t>La ve</w:t>
      </w:r>
      <w:r w:rsidR="0065219F">
        <w:rPr>
          <w:szCs w:val="18"/>
        </w:rPr>
        <w:t>rsion préliminaire des tableaux </w:t>
      </w:r>
      <w:r w:rsidR="0065219F" w:rsidRPr="0012125D">
        <w:rPr>
          <w:szCs w:val="18"/>
        </w:rPr>
        <w:t>5</w:t>
      </w:r>
      <w:r w:rsidR="00A9485B">
        <w:rPr>
          <w:szCs w:val="18"/>
        </w:rPr>
        <w:t>, 6 et 7</w:t>
      </w:r>
      <w:r w:rsidR="0065219F" w:rsidRPr="0012125D">
        <w:rPr>
          <w:szCs w:val="18"/>
        </w:rPr>
        <w:t xml:space="preserve"> est reproduite dans le document</w:t>
      </w:r>
      <w:r w:rsidR="008A6D44">
        <w:rPr>
          <w:szCs w:val="18"/>
        </w:rPr>
        <w:t> </w:t>
      </w:r>
      <w:r w:rsidR="0065219F" w:rsidRPr="0012125D">
        <w:rPr>
          <w:szCs w:val="18"/>
        </w:rPr>
        <w:t>IPBES/</w:t>
      </w:r>
      <w:r w:rsidR="00A9485B">
        <w:rPr>
          <w:szCs w:val="18"/>
        </w:rPr>
        <w:t>8</w:t>
      </w:r>
      <w:r w:rsidR="0065219F" w:rsidRPr="0012125D">
        <w:rPr>
          <w:szCs w:val="18"/>
        </w:rPr>
        <w:t>/</w:t>
      </w:r>
      <w:r w:rsidR="00A9485B">
        <w:rPr>
          <w:szCs w:val="18"/>
        </w:rPr>
        <w:t>5</w:t>
      </w:r>
      <w:r w:rsidR="0065219F" w:rsidRPr="0012125D">
        <w:rPr>
          <w:szCs w:val="18"/>
        </w:rPr>
        <w:t>.</w:t>
      </w:r>
    </w:p>
  </w:footnote>
  <w:footnote w:id="27">
    <w:p w14:paraId="1A4E0EE2" w14:textId="6C1026FC" w:rsidR="00464576" w:rsidRPr="0012125D" w:rsidRDefault="00464576" w:rsidP="00464576">
      <w:pPr>
        <w:pStyle w:val="FootnoteText"/>
        <w:tabs>
          <w:tab w:val="left" w:pos="624"/>
        </w:tabs>
        <w:rPr>
          <w:szCs w:val="18"/>
        </w:rPr>
      </w:pPr>
      <w:r w:rsidRPr="0012125D">
        <w:rPr>
          <w:rStyle w:val="FootnoteReference"/>
          <w:sz w:val="18"/>
        </w:rPr>
        <w:footnoteRef/>
      </w:r>
      <w:r w:rsidRPr="0012125D">
        <w:rPr>
          <w:szCs w:val="18"/>
        </w:rPr>
        <w:t xml:space="preserve"> </w:t>
      </w:r>
      <w:r w:rsidR="0065219F" w:rsidRPr="0012125D">
        <w:rPr>
          <w:szCs w:val="18"/>
        </w:rPr>
        <w:t xml:space="preserve">Le projet de budget révisé </w:t>
      </w:r>
      <w:r w:rsidR="0065219F">
        <w:rPr>
          <w:szCs w:val="18"/>
        </w:rPr>
        <w:t>de</w:t>
      </w:r>
      <w:r w:rsidR="00881550">
        <w:rPr>
          <w:szCs w:val="18"/>
        </w:rPr>
        <w:t xml:space="preserve"> 20</w:t>
      </w:r>
      <w:r w:rsidR="00A9485B">
        <w:rPr>
          <w:szCs w:val="18"/>
        </w:rPr>
        <w:t>21</w:t>
      </w:r>
      <w:r w:rsidR="00881550">
        <w:rPr>
          <w:szCs w:val="18"/>
        </w:rPr>
        <w:t xml:space="preserve"> figure au tableau </w:t>
      </w:r>
      <w:r w:rsidR="00A9485B">
        <w:rPr>
          <w:szCs w:val="18"/>
        </w:rPr>
        <w:t>8</w:t>
      </w:r>
      <w:r w:rsidR="0065219F" w:rsidRPr="0012125D">
        <w:rPr>
          <w:szCs w:val="18"/>
        </w:rPr>
        <w:t xml:space="preserve"> du document</w:t>
      </w:r>
      <w:r w:rsidR="00A632C3">
        <w:rPr>
          <w:szCs w:val="18"/>
        </w:rPr>
        <w:t> </w:t>
      </w:r>
      <w:r w:rsidR="0065219F" w:rsidRPr="0012125D">
        <w:rPr>
          <w:szCs w:val="18"/>
        </w:rPr>
        <w:t>IPBES/</w:t>
      </w:r>
      <w:r w:rsidR="00A9485B">
        <w:rPr>
          <w:szCs w:val="18"/>
        </w:rPr>
        <w:t>8</w:t>
      </w:r>
      <w:r w:rsidR="0065219F" w:rsidRPr="0012125D">
        <w:rPr>
          <w:szCs w:val="18"/>
        </w:rPr>
        <w:t>/</w:t>
      </w:r>
      <w:r w:rsidR="00A9485B">
        <w:rPr>
          <w:szCs w:val="18"/>
        </w:rPr>
        <w:t>5</w:t>
      </w:r>
      <w:r w:rsidR="0065219F" w:rsidRPr="0012125D">
        <w:rPr>
          <w:szCs w:val="18"/>
        </w:rPr>
        <w:t>.</w:t>
      </w:r>
    </w:p>
  </w:footnote>
  <w:footnote w:id="28">
    <w:p w14:paraId="3F9DB2AB" w14:textId="217F6492" w:rsidR="00464576" w:rsidRPr="0012125D" w:rsidRDefault="00464576" w:rsidP="00464576">
      <w:pPr>
        <w:pStyle w:val="FootnoteText"/>
        <w:tabs>
          <w:tab w:val="left" w:pos="624"/>
        </w:tabs>
        <w:rPr>
          <w:szCs w:val="18"/>
        </w:rPr>
      </w:pPr>
      <w:r w:rsidRPr="0012125D">
        <w:rPr>
          <w:rStyle w:val="FootnoteReference"/>
          <w:sz w:val="18"/>
        </w:rPr>
        <w:footnoteRef/>
      </w:r>
      <w:r w:rsidRPr="0012125D">
        <w:rPr>
          <w:szCs w:val="18"/>
        </w:rPr>
        <w:t xml:space="preserve"> </w:t>
      </w:r>
      <w:r w:rsidR="0065219F" w:rsidRPr="0012125D">
        <w:rPr>
          <w:szCs w:val="18"/>
        </w:rPr>
        <w:t>La version préliminaire du projet de bud</w:t>
      </w:r>
      <w:r w:rsidR="0065219F">
        <w:rPr>
          <w:szCs w:val="18"/>
        </w:rPr>
        <w:t>get pour 202</w:t>
      </w:r>
      <w:r w:rsidR="00A9485B">
        <w:rPr>
          <w:szCs w:val="18"/>
        </w:rPr>
        <w:t>2</w:t>
      </w:r>
      <w:r w:rsidR="0065219F">
        <w:rPr>
          <w:szCs w:val="18"/>
        </w:rPr>
        <w:t xml:space="preserve"> figure au tableau </w:t>
      </w:r>
      <w:r w:rsidR="0065219F" w:rsidRPr="0012125D">
        <w:rPr>
          <w:szCs w:val="18"/>
        </w:rPr>
        <w:t>9 du document</w:t>
      </w:r>
      <w:r w:rsidR="00A632C3">
        <w:rPr>
          <w:szCs w:val="18"/>
        </w:rPr>
        <w:t> </w:t>
      </w:r>
      <w:r w:rsidR="0065219F" w:rsidRPr="0012125D">
        <w:rPr>
          <w:szCs w:val="18"/>
        </w:rPr>
        <w:t>IPBES/</w:t>
      </w:r>
      <w:r w:rsidR="00EE37AF">
        <w:rPr>
          <w:szCs w:val="18"/>
        </w:rPr>
        <w:t>8</w:t>
      </w:r>
      <w:r w:rsidR="0065219F" w:rsidRPr="0012125D">
        <w:rPr>
          <w:szCs w:val="18"/>
        </w:rPr>
        <w:t>/</w:t>
      </w:r>
      <w:r w:rsidR="00EE37AF">
        <w:rPr>
          <w:szCs w:val="18"/>
        </w:rPr>
        <w:t>5</w:t>
      </w:r>
      <w:r w:rsidR="0065219F" w:rsidRPr="0012125D">
        <w:rPr>
          <w:szCs w:val="18"/>
        </w:rPr>
        <w:t>.</w:t>
      </w:r>
    </w:p>
  </w:footnote>
  <w:footnote w:id="29">
    <w:p w14:paraId="571E37A3" w14:textId="132ACBF5" w:rsidR="00474847" w:rsidRPr="007A3AF3" w:rsidRDefault="00474847" w:rsidP="00474847">
      <w:pPr>
        <w:pStyle w:val="FootnoteText"/>
        <w:tabs>
          <w:tab w:val="left" w:pos="624"/>
        </w:tabs>
        <w:rPr>
          <w:szCs w:val="18"/>
          <w:lang w:val="fr-FR"/>
        </w:rPr>
      </w:pPr>
      <w:r w:rsidRPr="00E806AF">
        <w:rPr>
          <w:rStyle w:val="FootnoteReference"/>
          <w:sz w:val="18"/>
          <w:lang w:val="en-GB"/>
        </w:rPr>
        <w:footnoteRef/>
      </w:r>
      <w:r w:rsidRPr="007A3AF3">
        <w:rPr>
          <w:szCs w:val="18"/>
          <w:lang w:val="fr-FR"/>
        </w:rPr>
        <w:t xml:space="preserve"> </w:t>
      </w:r>
      <w:r w:rsidRPr="0012125D">
        <w:rPr>
          <w:szCs w:val="18"/>
        </w:rPr>
        <w:t>La version préliminaire du projet de bud</w:t>
      </w:r>
      <w:r>
        <w:rPr>
          <w:szCs w:val="18"/>
        </w:rPr>
        <w:t>get pour 2023 figure au tableau 10</w:t>
      </w:r>
      <w:r w:rsidRPr="0012125D">
        <w:rPr>
          <w:szCs w:val="18"/>
        </w:rPr>
        <w:t xml:space="preserve"> du document</w:t>
      </w:r>
      <w:r w:rsidR="00A632C3">
        <w:rPr>
          <w:szCs w:val="18"/>
        </w:rPr>
        <w:t> </w:t>
      </w:r>
      <w:r w:rsidRPr="0012125D">
        <w:rPr>
          <w:szCs w:val="18"/>
        </w:rPr>
        <w:t>IPBES/</w:t>
      </w:r>
      <w:r>
        <w:rPr>
          <w:szCs w:val="18"/>
        </w:rPr>
        <w:t>8</w:t>
      </w:r>
      <w:r w:rsidRPr="0012125D">
        <w:rPr>
          <w:szCs w:val="18"/>
        </w:rPr>
        <w:t>/</w:t>
      </w:r>
      <w:r w:rsidRPr="007A3AF3">
        <w:rPr>
          <w:szCs w:val="18"/>
          <w:lang w:val="fr-FR"/>
        </w:rPr>
        <w:t>5.</w:t>
      </w:r>
    </w:p>
  </w:footnote>
  <w:footnote w:id="30">
    <w:p w14:paraId="7B3B9352" w14:textId="74EBA47A" w:rsidR="00F45B69" w:rsidRPr="00554C94" w:rsidRDefault="00F45B69" w:rsidP="00F45B69">
      <w:pPr>
        <w:pStyle w:val="Normalpool"/>
        <w:spacing w:before="20" w:after="40"/>
        <w:ind w:left="1247"/>
        <w:rPr>
          <w:sz w:val="18"/>
          <w:lang w:val="fr-FR"/>
        </w:rPr>
      </w:pPr>
      <w:r w:rsidRPr="00DB5362">
        <w:rPr>
          <w:rStyle w:val="FootnoteReference"/>
          <w:sz w:val="18"/>
          <w:lang w:val="fr-FR"/>
        </w:rPr>
        <w:footnoteRef/>
      </w:r>
      <w:r>
        <w:rPr>
          <w:lang w:val="fr-FR"/>
        </w:rPr>
        <w:t xml:space="preserve"> On entend par «</w:t>
      </w:r>
      <w:r w:rsidR="00A632C3">
        <w:rPr>
          <w:lang w:val="fr-FR"/>
        </w:rPr>
        <w:t> </w:t>
      </w:r>
      <w:r>
        <w:rPr>
          <w:lang w:val="fr-FR"/>
        </w:rPr>
        <w:t>rapports</w:t>
      </w:r>
      <w:r w:rsidR="00A632C3">
        <w:rPr>
          <w:lang w:val="fr-FR"/>
        </w:rPr>
        <w:t> </w:t>
      </w:r>
      <w:r>
        <w:rPr>
          <w:lang w:val="fr-FR"/>
        </w:rPr>
        <w:t>» les principaux produits de la Plateforme, notamment les rapports</w:t>
      </w:r>
      <w:r w:rsidR="003D40C9">
        <w:rPr>
          <w:lang w:val="fr-FR"/>
        </w:rPr>
        <w:t xml:space="preserve"> </w:t>
      </w:r>
      <w:r>
        <w:rPr>
          <w:lang w:val="fr-FR"/>
        </w:rPr>
        <w:t>d’évaluation, les rapports de synthèse et les résumés établis à l’intention des décideurs ainsi que les résumés techniques, les documents techniques et les directives techniques (annexe</w:t>
      </w:r>
      <w:r w:rsidR="00A632C3">
        <w:rPr>
          <w:lang w:val="fr-FR"/>
        </w:rPr>
        <w:t> </w:t>
      </w:r>
      <w:r>
        <w:rPr>
          <w:lang w:val="fr-FR"/>
        </w:rPr>
        <w:t>I de la décision</w:t>
      </w:r>
      <w:r w:rsidR="00A632C3">
        <w:rPr>
          <w:lang w:val="fr-FR"/>
        </w:rPr>
        <w:t> </w:t>
      </w:r>
      <w:r>
        <w:rPr>
          <w:lang w:val="fr-FR"/>
        </w:rPr>
        <w:t>IPBES-3/3).</w:t>
      </w:r>
    </w:p>
  </w:footnote>
  <w:footnote w:id="31">
    <w:p w14:paraId="1FDC174D" w14:textId="3661E751" w:rsidR="00464576" w:rsidRPr="003D40C9" w:rsidRDefault="00464576" w:rsidP="00924F9E">
      <w:pPr>
        <w:pStyle w:val="FootnoteText"/>
        <w:tabs>
          <w:tab w:val="left" w:pos="624"/>
        </w:tabs>
        <w:rPr>
          <w:szCs w:val="18"/>
          <w:lang w:val="fr-FR"/>
        </w:rPr>
      </w:pPr>
      <w:r w:rsidRPr="0012125D">
        <w:rPr>
          <w:rStyle w:val="FootnoteReference"/>
          <w:sz w:val="18"/>
        </w:rPr>
        <w:footnoteRef/>
      </w:r>
      <w:r w:rsidR="00924F9E" w:rsidRPr="003D40C9">
        <w:rPr>
          <w:szCs w:val="18"/>
          <w:lang w:val="fr-FR"/>
        </w:rPr>
        <w:t>I</w:t>
      </w:r>
      <w:r w:rsidR="003D40C9" w:rsidRPr="003D40C9">
        <w:rPr>
          <w:szCs w:val="18"/>
          <w:lang w:val="fr-FR"/>
        </w:rPr>
        <w:t xml:space="preserve">l est proposé que la neuvième </w:t>
      </w:r>
      <w:r w:rsidR="00924F9E" w:rsidRPr="003D40C9">
        <w:rPr>
          <w:szCs w:val="18"/>
          <w:lang w:val="fr-FR"/>
        </w:rPr>
        <w:t xml:space="preserve">session </w:t>
      </w:r>
      <w:r w:rsidR="003D40C9" w:rsidRPr="003D40C9">
        <w:rPr>
          <w:szCs w:val="18"/>
          <w:lang w:val="fr-FR"/>
        </w:rPr>
        <w:t>se tienne en ma</w:t>
      </w:r>
      <w:r w:rsidR="003D40C9">
        <w:rPr>
          <w:szCs w:val="18"/>
          <w:lang w:val="fr-FR"/>
        </w:rPr>
        <w:t xml:space="preserve">rs ou avril </w:t>
      </w:r>
      <w:r w:rsidR="00924F9E" w:rsidRPr="003D40C9">
        <w:rPr>
          <w:szCs w:val="18"/>
          <w:lang w:val="fr-FR"/>
        </w:rPr>
        <w:t>2022.</w:t>
      </w:r>
    </w:p>
  </w:footnote>
  <w:footnote w:id="32">
    <w:p w14:paraId="0DA1E7AD" w14:textId="77777777" w:rsidR="00A632C3" w:rsidRPr="00CC6F0D" w:rsidRDefault="00A632C3" w:rsidP="00A632C3">
      <w:pPr>
        <w:pStyle w:val="FootnoteText"/>
        <w:rPr>
          <w:szCs w:val="18"/>
          <w:lang w:val="fr-FR"/>
        </w:rPr>
      </w:pPr>
      <w:r w:rsidRPr="00C173A1">
        <w:rPr>
          <w:rStyle w:val="FootnoteReference"/>
          <w:sz w:val="18"/>
          <w:lang w:val="en-GB"/>
        </w:rPr>
        <w:footnoteRef/>
      </w:r>
      <w:r w:rsidRPr="00CC6F0D">
        <w:rPr>
          <w:szCs w:val="18"/>
          <w:lang w:val="fr-FR"/>
        </w:rPr>
        <w:t xml:space="preserve"> Il est proposé que la dixième session se tienne en avri</w:t>
      </w:r>
      <w:r>
        <w:rPr>
          <w:szCs w:val="18"/>
          <w:lang w:val="fr-FR"/>
        </w:rPr>
        <w:t xml:space="preserve">l ou mai </w:t>
      </w:r>
      <w:r w:rsidRPr="00CC6F0D">
        <w:rPr>
          <w:szCs w:val="18"/>
          <w:lang w:val="fr-FR"/>
        </w:rPr>
        <w:t>2023.</w:t>
      </w:r>
    </w:p>
  </w:footnote>
  <w:footnote w:id="33">
    <w:p w14:paraId="59769BE5" w14:textId="7D177919" w:rsidR="00464576" w:rsidRPr="00772179" w:rsidRDefault="00464576" w:rsidP="00464576">
      <w:pPr>
        <w:pStyle w:val="FootnoteText"/>
        <w:tabs>
          <w:tab w:val="left" w:pos="624"/>
        </w:tabs>
        <w:rPr>
          <w:szCs w:val="18"/>
          <w:lang w:val="fr-FR"/>
        </w:rPr>
      </w:pPr>
      <w:r w:rsidRPr="0012125D">
        <w:rPr>
          <w:rStyle w:val="FootnoteReference"/>
          <w:sz w:val="18"/>
        </w:rPr>
        <w:footnoteRef/>
      </w:r>
      <w:r w:rsidRPr="0012125D">
        <w:rPr>
          <w:szCs w:val="18"/>
        </w:rPr>
        <w:t xml:space="preserve"> Le projet d</w:t>
      </w:r>
      <w:r w:rsidR="008B0064">
        <w:rPr>
          <w:szCs w:val="18"/>
        </w:rPr>
        <w:t>’</w:t>
      </w:r>
      <w:r w:rsidRPr="0012125D">
        <w:rPr>
          <w:szCs w:val="18"/>
        </w:rPr>
        <w:t xml:space="preserve">ordre du jour provisoire </w:t>
      </w:r>
      <w:r w:rsidR="004D75A6">
        <w:rPr>
          <w:szCs w:val="18"/>
        </w:rPr>
        <w:t xml:space="preserve">des neuvième et dixième sessions </w:t>
      </w:r>
      <w:r w:rsidRPr="0012125D">
        <w:rPr>
          <w:szCs w:val="18"/>
        </w:rPr>
        <w:t>figure également dans l</w:t>
      </w:r>
      <w:r w:rsidR="00BB1701">
        <w:rPr>
          <w:szCs w:val="18"/>
        </w:rPr>
        <w:t xml:space="preserve">es </w:t>
      </w:r>
      <w:r w:rsidRPr="0012125D">
        <w:rPr>
          <w:szCs w:val="18"/>
        </w:rPr>
        <w:t>annexe</w:t>
      </w:r>
      <w:r w:rsidR="00BB1701">
        <w:rPr>
          <w:szCs w:val="18"/>
        </w:rPr>
        <w:t>s</w:t>
      </w:r>
      <w:r w:rsidR="00A632C3">
        <w:rPr>
          <w:szCs w:val="18"/>
        </w:rPr>
        <w:t> </w:t>
      </w:r>
      <w:r w:rsidRPr="0012125D">
        <w:rPr>
          <w:szCs w:val="18"/>
        </w:rPr>
        <w:t xml:space="preserve">I </w:t>
      </w:r>
      <w:r w:rsidR="00BB1701">
        <w:rPr>
          <w:szCs w:val="18"/>
        </w:rPr>
        <w:t xml:space="preserve">et II </w:t>
      </w:r>
      <w:r w:rsidRPr="0012125D">
        <w:rPr>
          <w:szCs w:val="18"/>
        </w:rPr>
        <w:t>du document</w:t>
      </w:r>
      <w:r w:rsidR="00A632C3">
        <w:rPr>
          <w:szCs w:val="18"/>
        </w:rPr>
        <w:t> </w:t>
      </w:r>
      <w:r w:rsidRPr="0012125D">
        <w:rPr>
          <w:szCs w:val="18"/>
        </w:rPr>
        <w:t>IPBES/</w:t>
      </w:r>
      <w:r w:rsidR="00BB1701">
        <w:rPr>
          <w:szCs w:val="18"/>
        </w:rPr>
        <w:t>8</w:t>
      </w:r>
      <w:r w:rsidRPr="0012125D">
        <w:rPr>
          <w:szCs w:val="18"/>
        </w:rPr>
        <w:t>/</w:t>
      </w:r>
      <w:r w:rsidR="00BB1701">
        <w:rPr>
          <w:szCs w:val="18"/>
        </w:rPr>
        <w:t>9</w:t>
      </w:r>
      <w:r w:rsidRPr="0012125D">
        <w:rPr>
          <w:szCs w:val="18"/>
        </w:rPr>
        <w:t>.</w:t>
      </w:r>
      <w:r w:rsidR="00BB1701">
        <w:rPr>
          <w:szCs w:val="18"/>
        </w:rPr>
        <w:t xml:space="preserve"> </w:t>
      </w:r>
      <w:r w:rsidR="00BB1701" w:rsidRPr="00772179">
        <w:rPr>
          <w:szCs w:val="18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06FD" w14:textId="71136024" w:rsidR="00123699" w:rsidRPr="00275DBD" w:rsidRDefault="00275DBD" w:rsidP="00275DBD">
    <w:pPr>
      <w:pStyle w:val="Header"/>
    </w:pPr>
    <w:r w:rsidRPr="00D24464">
      <w:t>IPBES/7/</w:t>
    </w:r>
    <w:r w:rsidR="000D5153">
      <w:t>8</w:t>
    </w:r>
    <w:r w:rsidRPr="00D24464">
      <w:t>/Add.2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0545" w14:textId="5EAA51A1" w:rsidR="00123699" w:rsidRPr="00275DBD" w:rsidRDefault="00275DBD" w:rsidP="00275DBD">
    <w:pPr>
      <w:pStyle w:val="Header"/>
      <w:jc w:val="right"/>
    </w:pPr>
    <w:r w:rsidRPr="00D24464">
      <w:t>IPBES/7/</w:t>
    </w:r>
    <w:r w:rsidR="000D5153">
      <w:t>8</w:t>
    </w:r>
    <w:r w:rsidRPr="00D24464">
      <w:t>/Add.2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643E"/>
    <w:multiLevelType w:val="hybridMultilevel"/>
    <w:tmpl w:val="C268C8A6"/>
    <w:lvl w:ilvl="0" w:tplc="8DCC61BE">
      <w:start w:val="1"/>
      <w:numFmt w:val="decimal"/>
      <w:lvlText w:val="%1."/>
      <w:lvlJc w:val="left"/>
      <w:pPr>
        <w:ind w:left="720" w:hanging="360"/>
      </w:pPr>
    </w:lvl>
    <w:lvl w:ilvl="1" w:tplc="136C8672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BA0B906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867"/>
    <w:multiLevelType w:val="singleLevel"/>
    <w:tmpl w:val="74682C7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A04E13"/>
    <w:multiLevelType w:val="hybridMultilevel"/>
    <w:tmpl w:val="E196E8FC"/>
    <w:lvl w:ilvl="0" w:tplc="9A2AA36C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1603"/>
    <w:multiLevelType w:val="singleLevel"/>
    <w:tmpl w:val="212E553C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C5347"/>
    <w:multiLevelType w:val="hybridMultilevel"/>
    <w:tmpl w:val="D54E8F70"/>
    <w:lvl w:ilvl="0" w:tplc="364C6B68">
      <w:start w:val="1"/>
      <w:numFmt w:val="lowerLetter"/>
      <w:lvlText w:val="%1)"/>
      <w:lvlJc w:val="left"/>
      <w:pPr>
        <w:ind w:left="417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4890" w:hanging="360"/>
      </w:pPr>
    </w:lvl>
    <w:lvl w:ilvl="2" w:tplc="2000001B" w:tentative="1">
      <w:start w:val="1"/>
      <w:numFmt w:val="lowerRoman"/>
      <w:lvlText w:val="%3."/>
      <w:lvlJc w:val="right"/>
      <w:pPr>
        <w:ind w:left="5610" w:hanging="180"/>
      </w:pPr>
    </w:lvl>
    <w:lvl w:ilvl="3" w:tplc="2000000F" w:tentative="1">
      <w:start w:val="1"/>
      <w:numFmt w:val="decimal"/>
      <w:lvlText w:val="%4."/>
      <w:lvlJc w:val="left"/>
      <w:pPr>
        <w:ind w:left="6330" w:hanging="360"/>
      </w:pPr>
    </w:lvl>
    <w:lvl w:ilvl="4" w:tplc="20000019" w:tentative="1">
      <w:start w:val="1"/>
      <w:numFmt w:val="lowerLetter"/>
      <w:lvlText w:val="%5."/>
      <w:lvlJc w:val="left"/>
      <w:pPr>
        <w:ind w:left="7050" w:hanging="360"/>
      </w:pPr>
    </w:lvl>
    <w:lvl w:ilvl="5" w:tplc="2000001B" w:tentative="1">
      <w:start w:val="1"/>
      <w:numFmt w:val="lowerRoman"/>
      <w:lvlText w:val="%6."/>
      <w:lvlJc w:val="right"/>
      <w:pPr>
        <w:ind w:left="7770" w:hanging="180"/>
      </w:pPr>
    </w:lvl>
    <w:lvl w:ilvl="6" w:tplc="2000000F" w:tentative="1">
      <w:start w:val="1"/>
      <w:numFmt w:val="decimal"/>
      <w:lvlText w:val="%7."/>
      <w:lvlJc w:val="left"/>
      <w:pPr>
        <w:ind w:left="8490" w:hanging="360"/>
      </w:pPr>
    </w:lvl>
    <w:lvl w:ilvl="7" w:tplc="20000019" w:tentative="1">
      <w:start w:val="1"/>
      <w:numFmt w:val="lowerLetter"/>
      <w:lvlText w:val="%8."/>
      <w:lvlJc w:val="left"/>
      <w:pPr>
        <w:ind w:left="9210" w:hanging="360"/>
      </w:pPr>
    </w:lvl>
    <w:lvl w:ilvl="8" w:tplc="2000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5" w15:restartNumberingAfterBreak="0">
    <w:nsid w:val="49283F01"/>
    <w:multiLevelType w:val="hybridMultilevel"/>
    <w:tmpl w:val="B510A346"/>
    <w:lvl w:ilvl="0" w:tplc="138C4B3C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2291BF8"/>
    <w:multiLevelType w:val="multilevel"/>
    <w:tmpl w:val="F4ACF36E"/>
    <w:numStyleLink w:val="Normallist"/>
  </w:abstractNum>
  <w:abstractNum w:abstractNumId="8" w15:restartNumberingAfterBreak="0">
    <w:nsid w:val="6CA840FB"/>
    <w:multiLevelType w:val="hybridMultilevel"/>
    <w:tmpl w:val="1CE6F5C2"/>
    <w:lvl w:ilvl="0" w:tplc="BCF0BB76">
      <w:start w:val="1"/>
      <w:numFmt w:val="decimal"/>
      <w:lvlText w:val="%1."/>
      <w:lvlJc w:val="left"/>
      <w:pPr>
        <w:ind w:left="3125" w:hanging="63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3575" w:hanging="360"/>
      </w:pPr>
    </w:lvl>
    <w:lvl w:ilvl="2" w:tplc="2000001B" w:tentative="1">
      <w:start w:val="1"/>
      <w:numFmt w:val="lowerRoman"/>
      <w:lvlText w:val="%3."/>
      <w:lvlJc w:val="right"/>
      <w:pPr>
        <w:ind w:left="4295" w:hanging="180"/>
      </w:pPr>
    </w:lvl>
    <w:lvl w:ilvl="3" w:tplc="2000000F" w:tentative="1">
      <w:start w:val="1"/>
      <w:numFmt w:val="decimal"/>
      <w:lvlText w:val="%4."/>
      <w:lvlJc w:val="left"/>
      <w:pPr>
        <w:ind w:left="5015" w:hanging="360"/>
      </w:pPr>
    </w:lvl>
    <w:lvl w:ilvl="4" w:tplc="20000019" w:tentative="1">
      <w:start w:val="1"/>
      <w:numFmt w:val="lowerLetter"/>
      <w:lvlText w:val="%5."/>
      <w:lvlJc w:val="left"/>
      <w:pPr>
        <w:ind w:left="5735" w:hanging="360"/>
      </w:pPr>
    </w:lvl>
    <w:lvl w:ilvl="5" w:tplc="2000001B" w:tentative="1">
      <w:start w:val="1"/>
      <w:numFmt w:val="lowerRoman"/>
      <w:lvlText w:val="%6."/>
      <w:lvlJc w:val="right"/>
      <w:pPr>
        <w:ind w:left="6455" w:hanging="180"/>
      </w:pPr>
    </w:lvl>
    <w:lvl w:ilvl="6" w:tplc="2000000F" w:tentative="1">
      <w:start w:val="1"/>
      <w:numFmt w:val="decimal"/>
      <w:lvlText w:val="%7."/>
      <w:lvlJc w:val="left"/>
      <w:pPr>
        <w:ind w:left="7175" w:hanging="360"/>
      </w:pPr>
    </w:lvl>
    <w:lvl w:ilvl="7" w:tplc="20000019" w:tentative="1">
      <w:start w:val="1"/>
      <w:numFmt w:val="lowerLetter"/>
      <w:lvlText w:val="%8."/>
      <w:lvlJc w:val="left"/>
      <w:pPr>
        <w:ind w:left="7895" w:hanging="360"/>
      </w:pPr>
    </w:lvl>
    <w:lvl w:ilvl="8" w:tplc="2000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9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0"/>
  </w:num>
  <w:num w:numId="7">
    <w:abstractNumId w:val="8"/>
    <w:lvlOverride w:ilvl="0">
      <w:lvl w:ilvl="0" w:tplc="BCF0BB76">
        <w:start w:val="1"/>
        <w:numFmt w:val="decimal"/>
        <w:lvlText w:val="%1."/>
        <w:lvlJc w:val="left"/>
        <w:pPr>
          <w:ind w:left="3125" w:hanging="630"/>
        </w:pPr>
        <w:rPr>
          <w:rFonts w:hint="default"/>
          <w:i w:val="0"/>
        </w:rPr>
      </w:lvl>
    </w:lvlOverride>
  </w:num>
  <w:num w:numId="8">
    <w:abstractNumId w:val="2"/>
  </w:num>
  <w:num w:numId="9">
    <w:abstractNumId w:val="5"/>
  </w:num>
  <w:num w:numId="10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3A43"/>
    <w:rsid w:val="00003D89"/>
    <w:rsid w:val="000149E6"/>
    <w:rsid w:val="000164F4"/>
    <w:rsid w:val="00020FC3"/>
    <w:rsid w:val="00021892"/>
    <w:rsid w:val="000227EF"/>
    <w:rsid w:val="000247B0"/>
    <w:rsid w:val="00026997"/>
    <w:rsid w:val="00027CA9"/>
    <w:rsid w:val="00031B6B"/>
    <w:rsid w:val="00033E0B"/>
    <w:rsid w:val="00035EDE"/>
    <w:rsid w:val="0004165E"/>
    <w:rsid w:val="000509B4"/>
    <w:rsid w:val="0005248C"/>
    <w:rsid w:val="0006035B"/>
    <w:rsid w:val="000617ED"/>
    <w:rsid w:val="00062CED"/>
    <w:rsid w:val="00065148"/>
    <w:rsid w:val="00065947"/>
    <w:rsid w:val="00067079"/>
    <w:rsid w:val="00070240"/>
    <w:rsid w:val="00071886"/>
    <w:rsid w:val="00071CBE"/>
    <w:rsid w:val="000720CD"/>
    <w:rsid w:val="000742BC"/>
    <w:rsid w:val="000776AB"/>
    <w:rsid w:val="00082A0C"/>
    <w:rsid w:val="00083504"/>
    <w:rsid w:val="00087715"/>
    <w:rsid w:val="00087869"/>
    <w:rsid w:val="00096173"/>
    <w:rsid w:val="0009640C"/>
    <w:rsid w:val="00097386"/>
    <w:rsid w:val="000A314A"/>
    <w:rsid w:val="000A7974"/>
    <w:rsid w:val="000B22A2"/>
    <w:rsid w:val="000B400E"/>
    <w:rsid w:val="000C2A52"/>
    <w:rsid w:val="000C60DD"/>
    <w:rsid w:val="000C6338"/>
    <w:rsid w:val="000D33C0"/>
    <w:rsid w:val="000D5153"/>
    <w:rsid w:val="000D6941"/>
    <w:rsid w:val="001048CC"/>
    <w:rsid w:val="00113158"/>
    <w:rsid w:val="001146ED"/>
    <w:rsid w:val="001202E3"/>
    <w:rsid w:val="0012294A"/>
    <w:rsid w:val="00123699"/>
    <w:rsid w:val="0012473A"/>
    <w:rsid w:val="00124A79"/>
    <w:rsid w:val="00125B3B"/>
    <w:rsid w:val="001304AB"/>
    <w:rsid w:val="0013059D"/>
    <w:rsid w:val="00131167"/>
    <w:rsid w:val="001331EF"/>
    <w:rsid w:val="00136A7C"/>
    <w:rsid w:val="00141A55"/>
    <w:rsid w:val="001446A3"/>
    <w:rsid w:val="00144B7A"/>
    <w:rsid w:val="00146055"/>
    <w:rsid w:val="00146996"/>
    <w:rsid w:val="00150407"/>
    <w:rsid w:val="00153E64"/>
    <w:rsid w:val="00154594"/>
    <w:rsid w:val="00155395"/>
    <w:rsid w:val="00160D74"/>
    <w:rsid w:val="00167D02"/>
    <w:rsid w:val="00170E98"/>
    <w:rsid w:val="00175107"/>
    <w:rsid w:val="00176C56"/>
    <w:rsid w:val="00176FF2"/>
    <w:rsid w:val="001817AA"/>
    <w:rsid w:val="001817FA"/>
    <w:rsid w:val="00181EC8"/>
    <w:rsid w:val="00184349"/>
    <w:rsid w:val="00184AB9"/>
    <w:rsid w:val="00191AA0"/>
    <w:rsid w:val="00195DC4"/>
    <w:rsid w:val="00195F33"/>
    <w:rsid w:val="001A1536"/>
    <w:rsid w:val="001A4B7F"/>
    <w:rsid w:val="001B091E"/>
    <w:rsid w:val="001B1617"/>
    <w:rsid w:val="001B504B"/>
    <w:rsid w:val="001B6C56"/>
    <w:rsid w:val="001C5F5B"/>
    <w:rsid w:val="001C73BC"/>
    <w:rsid w:val="001D2176"/>
    <w:rsid w:val="001D22CD"/>
    <w:rsid w:val="001D2FFC"/>
    <w:rsid w:val="001D3874"/>
    <w:rsid w:val="001D7E75"/>
    <w:rsid w:val="001E0071"/>
    <w:rsid w:val="001E2937"/>
    <w:rsid w:val="001E3656"/>
    <w:rsid w:val="001E4827"/>
    <w:rsid w:val="001E56D2"/>
    <w:rsid w:val="001E7D56"/>
    <w:rsid w:val="001F099A"/>
    <w:rsid w:val="001F2C1F"/>
    <w:rsid w:val="001F6020"/>
    <w:rsid w:val="001F75DE"/>
    <w:rsid w:val="001F78DA"/>
    <w:rsid w:val="002005B6"/>
    <w:rsid w:val="00200707"/>
    <w:rsid w:val="00200D58"/>
    <w:rsid w:val="002013BE"/>
    <w:rsid w:val="002026DC"/>
    <w:rsid w:val="002063A4"/>
    <w:rsid w:val="002068BA"/>
    <w:rsid w:val="0021145B"/>
    <w:rsid w:val="00211F54"/>
    <w:rsid w:val="00213AD6"/>
    <w:rsid w:val="00215096"/>
    <w:rsid w:val="002175FE"/>
    <w:rsid w:val="00217EAB"/>
    <w:rsid w:val="00222B17"/>
    <w:rsid w:val="00225727"/>
    <w:rsid w:val="002321DA"/>
    <w:rsid w:val="00243172"/>
    <w:rsid w:val="00243C85"/>
    <w:rsid w:val="00243D36"/>
    <w:rsid w:val="00247707"/>
    <w:rsid w:val="00253B4B"/>
    <w:rsid w:val="0026018E"/>
    <w:rsid w:val="00262181"/>
    <w:rsid w:val="00273371"/>
    <w:rsid w:val="00275DBD"/>
    <w:rsid w:val="00276B51"/>
    <w:rsid w:val="00280CCF"/>
    <w:rsid w:val="0028258D"/>
    <w:rsid w:val="00286740"/>
    <w:rsid w:val="002874CC"/>
    <w:rsid w:val="002929D8"/>
    <w:rsid w:val="00295407"/>
    <w:rsid w:val="002A237D"/>
    <w:rsid w:val="002A4C53"/>
    <w:rsid w:val="002A50AD"/>
    <w:rsid w:val="002A5386"/>
    <w:rsid w:val="002A79AE"/>
    <w:rsid w:val="002B0672"/>
    <w:rsid w:val="002B0A73"/>
    <w:rsid w:val="002B1339"/>
    <w:rsid w:val="002B1AE4"/>
    <w:rsid w:val="002B1E2A"/>
    <w:rsid w:val="002B2432"/>
    <w:rsid w:val="002B247F"/>
    <w:rsid w:val="002B4822"/>
    <w:rsid w:val="002C145D"/>
    <w:rsid w:val="002C1516"/>
    <w:rsid w:val="002C2C3E"/>
    <w:rsid w:val="002C3476"/>
    <w:rsid w:val="002C533E"/>
    <w:rsid w:val="002D027F"/>
    <w:rsid w:val="002D0E20"/>
    <w:rsid w:val="002D552B"/>
    <w:rsid w:val="002D6BF3"/>
    <w:rsid w:val="002D7A85"/>
    <w:rsid w:val="002D7B60"/>
    <w:rsid w:val="002E480F"/>
    <w:rsid w:val="002E62BF"/>
    <w:rsid w:val="002E7175"/>
    <w:rsid w:val="002F11F9"/>
    <w:rsid w:val="002F23D4"/>
    <w:rsid w:val="002F4761"/>
    <w:rsid w:val="002F5C79"/>
    <w:rsid w:val="003019E2"/>
    <w:rsid w:val="0030356A"/>
    <w:rsid w:val="0030683B"/>
    <w:rsid w:val="0031413F"/>
    <w:rsid w:val="003148BB"/>
    <w:rsid w:val="00314D96"/>
    <w:rsid w:val="00317976"/>
    <w:rsid w:val="00317C56"/>
    <w:rsid w:val="003218D7"/>
    <w:rsid w:val="003254AC"/>
    <w:rsid w:val="0033108F"/>
    <w:rsid w:val="00331F36"/>
    <w:rsid w:val="003410FC"/>
    <w:rsid w:val="00341CB2"/>
    <w:rsid w:val="00354680"/>
    <w:rsid w:val="00355EA9"/>
    <w:rsid w:val="003578DE"/>
    <w:rsid w:val="00357D48"/>
    <w:rsid w:val="00360AF7"/>
    <w:rsid w:val="003705F5"/>
    <w:rsid w:val="00371399"/>
    <w:rsid w:val="00371B6B"/>
    <w:rsid w:val="00380242"/>
    <w:rsid w:val="00383728"/>
    <w:rsid w:val="003845DE"/>
    <w:rsid w:val="00396257"/>
    <w:rsid w:val="00396929"/>
    <w:rsid w:val="00397EB8"/>
    <w:rsid w:val="003A3109"/>
    <w:rsid w:val="003A4FD0"/>
    <w:rsid w:val="003A69D1"/>
    <w:rsid w:val="003A7705"/>
    <w:rsid w:val="003A77F1"/>
    <w:rsid w:val="003B066F"/>
    <w:rsid w:val="003B1545"/>
    <w:rsid w:val="003B2B94"/>
    <w:rsid w:val="003C3225"/>
    <w:rsid w:val="003C409D"/>
    <w:rsid w:val="003C52F4"/>
    <w:rsid w:val="003C5BA6"/>
    <w:rsid w:val="003D2AEB"/>
    <w:rsid w:val="003D2C27"/>
    <w:rsid w:val="003D40C9"/>
    <w:rsid w:val="003E0116"/>
    <w:rsid w:val="003E1F66"/>
    <w:rsid w:val="003E43C0"/>
    <w:rsid w:val="003F0E85"/>
    <w:rsid w:val="003F2AB7"/>
    <w:rsid w:val="003F5D24"/>
    <w:rsid w:val="00401699"/>
    <w:rsid w:val="00401DCA"/>
    <w:rsid w:val="00410C55"/>
    <w:rsid w:val="0041307B"/>
    <w:rsid w:val="00413BF8"/>
    <w:rsid w:val="00416854"/>
    <w:rsid w:val="00416E62"/>
    <w:rsid w:val="00417725"/>
    <w:rsid w:val="00417EB6"/>
    <w:rsid w:val="00420DD1"/>
    <w:rsid w:val="004219E1"/>
    <w:rsid w:val="00423E15"/>
    <w:rsid w:val="0043062D"/>
    <w:rsid w:val="0043145E"/>
    <w:rsid w:val="00433DEA"/>
    <w:rsid w:val="00434D41"/>
    <w:rsid w:val="00437F26"/>
    <w:rsid w:val="00441E67"/>
    <w:rsid w:val="00444097"/>
    <w:rsid w:val="0044474A"/>
    <w:rsid w:val="00445487"/>
    <w:rsid w:val="0044618F"/>
    <w:rsid w:val="00454769"/>
    <w:rsid w:val="00457F1B"/>
    <w:rsid w:val="00463008"/>
    <w:rsid w:val="00464576"/>
    <w:rsid w:val="00465C0D"/>
    <w:rsid w:val="00466991"/>
    <w:rsid w:val="0047064C"/>
    <w:rsid w:val="00470B53"/>
    <w:rsid w:val="00471270"/>
    <w:rsid w:val="00473A6B"/>
    <w:rsid w:val="00474847"/>
    <w:rsid w:val="00475A2B"/>
    <w:rsid w:val="00476773"/>
    <w:rsid w:val="00480E5F"/>
    <w:rsid w:val="00487277"/>
    <w:rsid w:val="004906E4"/>
    <w:rsid w:val="0049601E"/>
    <w:rsid w:val="004A1936"/>
    <w:rsid w:val="004A345B"/>
    <w:rsid w:val="004A42E1"/>
    <w:rsid w:val="004A49BB"/>
    <w:rsid w:val="004B162C"/>
    <w:rsid w:val="004B4D57"/>
    <w:rsid w:val="004C3DBE"/>
    <w:rsid w:val="004C4F74"/>
    <w:rsid w:val="004C5C96"/>
    <w:rsid w:val="004D06A4"/>
    <w:rsid w:val="004D75A6"/>
    <w:rsid w:val="004E1415"/>
    <w:rsid w:val="004E378C"/>
    <w:rsid w:val="004F1A81"/>
    <w:rsid w:val="004F2EF2"/>
    <w:rsid w:val="004F35F1"/>
    <w:rsid w:val="004F4D94"/>
    <w:rsid w:val="00500670"/>
    <w:rsid w:val="0050524F"/>
    <w:rsid w:val="00510E63"/>
    <w:rsid w:val="00511EA6"/>
    <w:rsid w:val="00511EDC"/>
    <w:rsid w:val="00512504"/>
    <w:rsid w:val="00512F09"/>
    <w:rsid w:val="00521361"/>
    <w:rsid w:val="005218D9"/>
    <w:rsid w:val="00523782"/>
    <w:rsid w:val="005269CF"/>
    <w:rsid w:val="005331E3"/>
    <w:rsid w:val="0053361A"/>
    <w:rsid w:val="00536186"/>
    <w:rsid w:val="00537105"/>
    <w:rsid w:val="00537A5A"/>
    <w:rsid w:val="005422E6"/>
    <w:rsid w:val="00542C88"/>
    <w:rsid w:val="00544CBB"/>
    <w:rsid w:val="00545472"/>
    <w:rsid w:val="00546330"/>
    <w:rsid w:val="00547ABA"/>
    <w:rsid w:val="00553BA1"/>
    <w:rsid w:val="0056088A"/>
    <w:rsid w:val="00560FAA"/>
    <w:rsid w:val="00563DF8"/>
    <w:rsid w:val="005646D2"/>
    <w:rsid w:val="00566BC0"/>
    <w:rsid w:val="00567264"/>
    <w:rsid w:val="0057315F"/>
    <w:rsid w:val="00575ACF"/>
    <w:rsid w:val="00576104"/>
    <w:rsid w:val="00583553"/>
    <w:rsid w:val="00590F72"/>
    <w:rsid w:val="00594A5E"/>
    <w:rsid w:val="005A0648"/>
    <w:rsid w:val="005A1727"/>
    <w:rsid w:val="005A50FA"/>
    <w:rsid w:val="005B034F"/>
    <w:rsid w:val="005B4182"/>
    <w:rsid w:val="005B7C64"/>
    <w:rsid w:val="005C310D"/>
    <w:rsid w:val="005C67C8"/>
    <w:rsid w:val="005C6C6C"/>
    <w:rsid w:val="005D0249"/>
    <w:rsid w:val="005D03E8"/>
    <w:rsid w:val="005D1D16"/>
    <w:rsid w:val="005D2E05"/>
    <w:rsid w:val="005D5D04"/>
    <w:rsid w:val="005D6D4F"/>
    <w:rsid w:val="005D6E8C"/>
    <w:rsid w:val="005E03C5"/>
    <w:rsid w:val="005E5507"/>
    <w:rsid w:val="005F01B8"/>
    <w:rsid w:val="005F06C5"/>
    <w:rsid w:val="005F100C"/>
    <w:rsid w:val="005F2B0E"/>
    <w:rsid w:val="005F448E"/>
    <w:rsid w:val="005F4786"/>
    <w:rsid w:val="005F68DA"/>
    <w:rsid w:val="00600090"/>
    <w:rsid w:val="006038CA"/>
    <w:rsid w:val="0060467E"/>
    <w:rsid w:val="00604E33"/>
    <w:rsid w:val="006056BA"/>
    <w:rsid w:val="0060773B"/>
    <w:rsid w:val="00610372"/>
    <w:rsid w:val="006157B5"/>
    <w:rsid w:val="00620DF7"/>
    <w:rsid w:val="00626FC6"/>
    <w:rsid w:val="006303B4"/>
    <w:rsid w:val="00633D3D"/>
    <w:rsid w:val="00641703"/>
    <w:rsid w:val="006431A6"/>
    <w:rsid w:val="006459F6"/>
    <w:rsid w:val="006470B0"/>
    <w:rsid w:val="006501AD"/>
    <w:rsid w:val="00650C64"/>
    <w:rsid w:val="00650E47"/>
    <w:rsid w:val="00651BFA"/>
    <w:rsid w:val="0065219F"/>
    <w:rsid w:val="0065329D"/>
    <w:rsid w:val="00654475"/>
    <w:rsid w:val="00654980"/>
    <w:rsid w:val="00660161"/>
    <w:rsid w:val="00661A50"/>
    <w:rsid w:val="006640C4"/>
    <w:rsid w:val="006641F9"/>
    <w:rsid w:val="00665A4B"/>
    <w:rsid w:val="0066645C"/>
    <w:rsid w:val="00674D0B"/>
    <w:rsid w:val="00676210"/>
    <w:rsid w:val="006815B9"/>
    <w:rsid w:val="006820A2"/>
    <w:rsid w:val="00685894"/>
    <w:rsid w:val="006920CA"/>
    <w:rsid w:val="00692E2A"/>
    <w:rsid w:val="006A27DA"/>
    <w:rsid w:val="006A4298"/>
    <w:rsid w:val="006A6765"/>
    <w:rsid w:val="006A76F2"/>
    <w:rsid w:val="006B1707"/>
    <w:rsid w:val="006B3D7A"/>
    <w:rsid w:val="006B5D8C"/>
    <w:rsid w:val="006B6E65"/>
    <w:rsid w:val="006C10B1"/>
    <w:rsid w:val="006D0C1D"/>
    <w:rsid w:val="006D1501"/>
    <w:rsid w:val="006D3A41"/>
    <w:rsid w:val="006D6F88"/>
    <w:rsid w:val="006D7EFB"/>
    <w:rsid w:val="006E6672"/>
    <w:rsid w:val="006E6722"/>
    <w:rsid w:val="006F29F1"/>
    <w:rsid w:val="006F497D"/>
    <w:rsid w:val="007027B9"/>
    <w:rsid w:val="00703ECD"/>
    <w:rsid w:val="0070735F"/>
    <w:rsid w:val="007148C9"/>
    <w:rsid w:val="00715E88"/>
    <w:rsid w:val="0072102F"/>
    <w:rsid w:val="00722CFE"/>
    <w:rsid w:val="00725844"/>
    <w:rsid w:val="00731A8E"/>
    <w:rsid w:val="00734CAA"/>
    <w:rsid w:val="00744D5E"/>
    <w:rsid w:val="00750EE3"/>
    <w:rsid w:val="007538C6"/>
    <w:rsid w:val="0075533C"/>
    <w:rsid w:val="00757581"/>
    <w:rsid w:val="00757F4E"/>
    <w:rsid w:val="007611A0"/>
    <w:rsid w:val="00761259"/>
    <w:rsid w:val="00762905"/>
    <w:rsid w:val="00764A22"/>
    <w:rsid w:val="00764BF1"/>
    <w:rsid w:val="007675A1"/>
    <w:rsid w:val="00770EFE"/>
    <w:rsid w:val="0077162C"/>
    <w:rsid w:val="00772179"/>
    <w:rsid w:val="00773D3B"/>
    <w:rsid w:val="007769C1"/>
    <w:rsid w:val="00781048"/>
    <w:rsid w:val="00781670"/>
    <w:rsid w:val="00782C47"/>
    <w:rsid w:val="0078695D"/>
    <w:rsid w:val="00790DA3"/>
    <w:rsid w:val="00791E11"/>
    <w:rsid w:val="0079518C"/>
    <w:rsid w:val="00795BB2"/>
    <w:rsid w:val="00796D3F"/>
    <w:rsid w:val="007A1683"/>
    <w:rsid w:val="007A3A97"/>
    <w:rsid w:val="007A3AF3"/>
    <w:rsid w:val="007A5C12"/>
    <w:rsid w:val="007A7CB0"/>
    <w:rsid w:val="007B2262"/>
    <w:rsid w:val="007B6447"/>
    <w:rsid w:val="007B68A3"/>
    <w:rsid w:val="007B7801"/>
    <w:rsid w:val="007C2541"/>
    <w:rsid w:val="007C25A8"/>
    <w:rsid w:val="007D1A35"/>
    <w:rsid w:val="007D66A8"/>
    <w:rsid w:val="007E003F"/>
    <w:rsid w:val="007E14D1"/>
    <w:rsid w:val="007E2A0A"/>
    <w:rsid w:val="007F0B16"/>
    <w:rsid w:val="007F1E46"/>
    <w:rsid w:val="00803E7A"/>
    <w:rsid w:val="008044A3"/>
    <w:rsid w:val="0080479A"/>
    <w:rsid w:val="00804A35"/>
    <w:rsid w:val="00805823"/>
    <w:rsid w:val="0081058C"/>
    <w:rsid w:val="00810591"/>
    <w:rsid w:val="008117A6"/>
    <w:rsid w:val="00813F72"/>
    <w:rsid w:val="00815923"/>
    <w:rsid w:val="008164F2"/>
    <w:rsid w:val="00821395"/>
    <w:rsid w:val="00830E26"/>
    <w:rsid w:val="00843576"/>
    <w:rsid w:val="0084366F"/>
    <w:rsid w:val="00843B39"/>
    <w:rsid w:val="00843B64"/>
    <w:rsid w:val="00846F04"/>
    <w:rsid w:val="008478FC"/>
    <w:rsid w:val="008509F9"/>
    <w:rsid w:val="00855018"/>
    <w:rsid w:val="00861037"/>
    <w:rsid w:val="008643E8"/>
    <w:rsid w:val="00864C55"/>
    <w:rsid w:val="00867BFF"/>
    <w:rsid w:val="00871790"/>
    <w:rsid w:val="00877C8D"/>
    <w:rsid w:val="00881550"/>
    <w:rsid w:val="0088374A"/>
    <w:rsid w:val="0088480A"/>
    <w:rsid w:val="0088757A"/>
    <w:rsid w:val="008910DF"/>
    <w:rsid w:val="0089346D"/>
    <w:rsid w:val="008957DD"/>
    <w:rsid w:val="00897D98"/>
    <w:rsid w:val="008A6D44"/>
    <w:rsid w:val="008A6DF2"/>
    <w:rsid w:val="008A7807"/>
    <w:rsid w:val="008B0064"/>
    <w:rsid w:val="008B4CC9"/>
    <w:rsid w:val="008B711A"/>
    <w:rsid w:val="008C1225"/>
    <w:rsid w:val="008C1543"/>
    <w:rsid w:val="008D0F7A"/>
    <w:rsid w:val="008D3CA8"/>
    <w:rsid w:val="008D6FF9"/>
    <w:rsid w:val="008D7C99"/>
    <w:rsid w:val="008E0FCB"/>
    <w:rsid w:val="008E7183"/>
    <w:rsid w:val="008F0CF6"/>
    <w:rsid w:val="008F0D0A"/>
    <w:rsid w:val="0090180B"/>
    <w:rsid w:val="00904C03"/>
    <w:rsid w:val="00911418"/>
    <w:rsid w:val="00913BF5"/>
    <w:rsid w:val="0092178C"/>
    <w:rsid w:val="0092320A"/>
    <w:rsid w:val="009234A6"/>
    <w:rsid w:val="00924197"/>
    <w:rsid w:val="00924F9E"/>
    <w:rsid w:val="00925A18"/>
    <w:rsid w:val="0092643A"/>
    <w:rsid w:val="00930B88"/>
    <w:rsid w:val="00936795"/>
    <w:rsid w:val="00940DCC"/>
    <w:rsid w:val="0094179A"/>
    <w:rsid w:val="0094459E"/>
    <w:rsid w:val="00944DBC"/>
    <w:rsid w:val="0094629E"/>
    <w:rsid w:val="00947E2D"/>
    <w:rsid w:val="00950977"/>
    <w:rsid w:val="00951A68"/>
    <w:rsid w:val="00951A7B"/>
    <w:rsid w:val="00951CE8"/>
    <w:rsid w:val="00955501"/>
    <w:rsid w:val="009564A6"/>
    <w:rsid w:val="00967621"/>
    <w:rsid w:val="00967E6A"/>
    <w:rsid w:val="009703DD"/>
    <w:rsid w:val="00987C6E"/>
    <w:rsid w:val="00992040"/>
    <w:rsid w:val="00992F95"/>
    <w:rsid w:val="009A61C4"/>
    <w:rsid w:val="009B1F83"/>
    <w:rsid w:val="009B4A0F"/>
    <w:rsid w:val="009B6DEF"/>
    <w:rsid w:val="009C11D2"/>
    <w:rsid w:val="009C232B"/>
    <w:rsid w:val="009C4932"/>
    <w:rsid w:val="009C6C70"/>
    <w:rsid w:val="009D0B63"/>
    <w:rsid w:val="009D5882"/>
    <w:rsid w:val="009D64E6"/>
    <w:rsid w:val="009E307E"/>
    <w:rsid w:val="009E319B"/>
    <w:rsid w:val="009F2CA7"/>
    <w:rsid w:val="009F3311"/>
    <w:rsid w:val="00A01702"/>
    <w:rsid w:val="00A01CD2"/>
    <w:rsid w:val="00A0510E"/>
    <w:rsid w:val="00A07870"/>
    <w:rsid w:val="00A07F19"/>
    <w:rsid w:val="00A1348D"/>
    <w:rsid w:val="00A1738C"/>
    <w:rsid w:val="00A22D7A"/>
    <w:rsid w:val="00A232EE"/>
    <w:rsid w:val="00A3724F"/>
    <w:rsid w:val="00A41639"/>
    <w:rsid w:val="00A4175F"/>
    <w:rsid w:val="00A42781"/>
    <w:rsid w:val="00A436D3"/>
    <w:rsid w:val="00A4400E"/>
    <w:rsid w:val="00A44411"/>
    <w:rsid w:val="00A444C1"/>
    <w:rsid w:val="00A45E48"/>
    <w:rsid w:val="00A46953"/>
    <w:rsid w:val="00A469FA"/>
    <w:rsid w:val="00A54E6E"/>
    <w:rsid w:val="00A55B01"/>
    <w:rsid w:val="00A56323"/>
    <w:rsid w:val="00A56B5B"/>
    <w:rsid w:val="00A603FF"/>
    <w:rsid w:val="00A632C3"/>
    <w:rsid w:val="00A653CB"/>
    <w:rsid w:val="00A65504"/>
    <w:rsid w:val="00A657DD"/>
    <w:rsid w:val="00A666A6"/>
    <w:rsid w:val="00A675FD"/>
    <w:rsid w:val="00A72437"/>
    <w:rsid w:val="00A73C3E"/>
    <w:rsid w:val="00A73FB3"/>
    <w:rsid w:val="00A80611"/>
    <w:rsid w:val="00A81426"/>
    <w:rsid w:val="00A83461"/>
    <w:rsid w:val="00A9029E"/>
    <w:rsid w:val="00A90AFE"/>
    <w:rsid w:val="00A9485B"/>
    <w:rsid w:val="00AA0468"/>
    <w:rsid w:val="00AA342F"/>
    <w:rsid w:val="00AA4E89"/>
    <w:rsid w:val="00AB2F10"/>
    <w:rsid w:val="00AB5340"/>
    <w:rsid w:val="00AB75EF"/>
    <w:rsid w:val="00AC0A89"/>
    <w:rsid w:val="00AC5F53"/>
    <w:rsid w:val="00AC6DCC"/>
    <w:rsid w:val="00AC78B1"/>
    <w:rsid w:val="00AC7C96"/>
    <w:rsid w:val="00AE04C7"/>
    <w:rsid w:val="00AE0B48"/>
    <w:rsid w:val="00AE237D"/>
    <w:rsid w:val="00AE502A"/>
    <w:rsid w:val="00AE5B70"/>
    <w:rsid w:val="00AF693F"/>
    <w:rsid w:val="00AF69FA"/>
    <w:rsid w:val="00AF7C07"/>
    <w:rsid w:val="00B0020B"/>
    <w:rsid w:val="00B01FCE"/>
    <w:rsid w:val="00B02331"/>
    <w:rsid w:val="00B05395"/>
    <w:rsid w:val="00B058CC"/>
    <w:rsid w:val="00B05E19"/>
    <w:rsid w:val="00B1147B"/>
    <w:rsid w:val="00B116F9"/>
    <w:rsid w:val="00B1473D"/>
    <w:rsid w:val="00B15C96"/>
    <w:rsid w:val="00B21BBB"/>
    <w:rsid w:val="00B22C93"/>
    <w:rsid w:val="00B259BC"/>
    <w:rsid w:val="00B27589"/>
    <w:rsid w:val="00B27619"/>
    <w:rsid w:val="00B37781"/>
    <w:rsid w:val="00B405B7"/>
    <w:rsid w:val="00B41B02"/>
    <w:rsid w:val="00B52222"/>
    <w:rsid w:val="00B54FE7"/>
    <w:rsid w:val="00B5767F"/>
    <w:rsid w:val="00B63594"/>
    <w:rsid w:val="00B64841"/>
    <w:rsid w:val="00B66901"/>
    <w:rsid w:val="00B678B2"/>
    <w:rsid w:val="00B716E7"/>
    <w:rsid w:val="00B71E6D"/>
    <w:rsid w:val="00B72070"/>
    <w:rsid w:val="00B779E1"/>
    <w:rsid w:val="00B81CEB"/>
    <w:rsid w:val="00B858B8"/>
    <w:rsid w:val="00B91AA6"/>
    <w:rsid w:val="00B91EE1"/>
    <w:rsid w:val="00B942C5"/>
    <w:rsid w:val="00B943F9"/>
    <w:rsid w:val="00B960C7"/>
    <w:rsid w:val="00BA0090"/>
    <w:rsid w:val="00BA0FD8"/>
    <w:rsid w:val="00BA1A67"/>
    <w:rsid w:val="00BA394F"/>
    <w:rsid w:val="00BB0E5A"/>
    <w:rsid w:val="00BB1701"/>
    <w:rsid w:val="00BB5AD6"/>
    <w:rsid w:val="00BE5B5F"/>
    <w:rsid w:val="00BF0108"/>
    <w:rsid w:val="00BF3839"/>
    <w:rsid w:val="00BF4252"/>
    <w:rsid w:val="00BF7493"/>
    <w:rsid w:val="00C01915"/>
    <w:rsid w:val="00C020C3"/>
    <w:rsid w:val="00C1196A"/>
    <w:rsid w:val="00C11EC6"/>
    <w:rsid w:val="00C26F55"/>
    <w:rsid w:val="00C30C63"/>
    <w:rsid w:val="00C317C4"/>
    <w:rsid w:val="00C36241"/>
    <w:rsid w:val="00C36B8B"/>
    <w:rsid w:val="00C36CE5"/>
    <w:rsid w:val="00C415C1"/>
    <w:rsid w:val="00C425E0"/>
    <w:rsid w:val="00C47977"/>
    <w:rsid w:val="00C47DBF"/>
    <w:rsid w:val="00C5025C"/>
    <w:rsid w:val="00C552FF"/>
    <w:rsid w:val="00C558DA"/>
    <w:rsid w:val="00C55AF3"/>
    <w:rsid w:val="00C64186"/>
    <w:rsid w:val="00C677FD"/>
    <w:rsid w:val="00C71F4A"/>
    <w:rsid w:val="00C72DA0"/>
    <w:rsid w:val="00C81A8B"/>
    <w:rsid w:val="00C83037"/>
    <w:rsid w:val="00C83231"/>
    <w:rsid w:val="00C84759"/>
    <w:rsid w:val="00C85244"/>
    <w:rsid w:val="00C857DD"/>
    <w:rsid w:val="00C86F5E"/>
    <w:rsid w:val="00C956C1"/>
    <w:rsid w:val="00C978DF"/>
    <w:rsid w:val="00CA0593"/>
    <w:rsid w:val="00CA161B"/>
    <w:rsid w:val="00CA22CD"/>
    <w:rsid w:val="00CA339A"/>
    <w:rsid w:val="00CA6C7F"/>
    <w:rsid w:val="00CB2143"/>
    <w:rsid w:val="00CB2E22"/>
    <w:rsid w:val="00CB3403"/>
    <w:rsid w:val="00CB6616"/>
    <w:rsid w:val="00CC10A6"/>
    <w:rsid w:val="00CC2C8B"/>
    <w:rsid w:val="00CC6F0D"/>
    <w:rsid w:val="00CD03AE"/>
    <w:rsid w:val="00CD3860"/>
    <w:rsid w:val="00CD3F29"/>
    <w:rsid w:val="00CD5EB8"/>
    <w:rsid w:val="00CD6477"/>
    <w:rsid w:val="00CD7044"/>
    <w:rsid w:val="00CE08B9"/>
    <w:rsid w:val="00CE404F"/>
    <w:rsid w:val="00CE4D37"/>
    <w:rsid w:val="00CE524C"/>
    <w:rsid w:val="00CF141F"/>
    <w:rsid w:val="00CF2228"/>
    <w:rsid w:val="00CF416C"/>
    <w:rsid w:val="00CF4777"/>
    <w:rsid w:val="00D03504"/>
    <w:rsid w:val="00D05E4B"/>
    <w:rsid w:val="00D067BB"/>
    <w:rsid w:val="00D1352A"/>
    <w:rsid w:val="00D135BF"/>
    <w:rsid w:val="00D169AF"/>
    <w:rsid w:val="00D20515"/>
    <w:rsid w:val="00D234BF"/>
    <w:rsid w:val="00D236AA"/>
    <w:rsid w:val="00D2482E"/>
    <w:rsid w:val="00D25249"/>
    <w:rsid w:val="00D2563B"/>
    <w:rsid w:val="00D40EEA"/>
    <w:rsid w:val="00D4416C"/>
    <w:rsid w:val="00D44172"/>
    <w:rsid w:val="00D44536"/>
    <w:rsid w:val="00D44E85"/>
    <w:rsid w:val="00D478FE"/>
    <w:rsid w:val="00D56189"/>
    <w:rsid w:val="00D63B8C"/>
    <w:rsid w:val="00D705CF"/>
    <w:rsid w:val="00D712AD"/>
    <w:rsid w:val="00D7180E"/>
    <w:rsid w:val="00D739CC"/>
    <w:rsid w:val="00D768A1"/>
    <w:rsid w:val="00D77405"/>
    <w:rsid w:val="00D8093D"/>
    <w:rsid w:val="00D8108C"/>
    <w:rsid w:val="00D8278F"/>
    <w:rsid w:val="00D837E7"/>
    <w:rsid w:val="00D83AEA"/>
    <w:rsid w:val="00D842AE"/>
    <w:rsid w:val="00D86F40"/>
    <w:rsid w:val="00D872CA"/>
    <w:rsid w:val="00D9211C"/>
    <w:rsid w:val="00D92DE0"/>
    <w:rsid w:val="00D92FEF"/>
    <w:rsid w:val="00D93A0F"/>
    <w:rsid w:val="00D94538"/>
    <w:rsid w:val="00D94CD3"/>
    <w:rsid w:val="00D96F45"/>
    <w:rsid w:val="00DA1BCA"/>
    <w:rsid w:val="00DA28AE"/>
    <w:rsid w:val="00DA3EA9"/>
    <w:rsid w:val="00DA3F7A"/>
    <w:rsid w:val="00DA41BE"/>
    <w:rsid w:val="00DA4A04"/>
    <w:rsid w:val="00DA74D7"/>
    <w:rsid w:val="00DA76C0"/>
    <w:rsid w:val="00DB2A99"/>
    <w:rsid w:val="00DB68C5"/>
    <w:rsid w:val="00DB709D"/>
    <w:rsid w:val="00DC1A57"/>
    <w:rsid w:val="00DC22EB"/>
    <w:rsid w:val="00DC40F4"/>
    <w:rsid w:val="00DC46FF"/>
    <w:rsid w:val="00DC5254"/>
    <w:rsid w:val="00DD1A4F"/>
    <w:rsid w:val="00DD3107"/>
    <w:rsid w:val="00DD7C2C"/>
    <w:rsid w:val="00DE694A"/>
    <w:rsid w:val="00DF03E5"/>
    <w:rsid w:val="00DF09E5"/>
    <w:rsid w:val="00DF0D96"/>
    <w:rsid w:val="00DF1927"/>
    <w:rsid w:val="00DF1A74"/>
    <w:rsid w:val="00DF1E4C"/>
    <w:rsid w:val="00DF3188"/>
    <w:rsid w:val="00DF4270"/>
    <w:rsid w:val="00E034E0"/>
    <w:rsid w:val="00E06797"/>
    <w:rsid w:val="00E07360"/>
    <w:rsid w:val="00E10F2F"/>
    <w:rsid w:val="00E1265B"/>
    <w:rsid w:val="00E13B48"/>
    <w:rsid w:val="00E1404F"/>
    <w:rsid w:val="00E16BC1"/>
    <w:rsid w:val="00E21279"/>
    <w:rsid w:val="00E21393"/>
    <w:rsid w:val="00E21C83"/>
    <w:rsid w:val="00E21F01"/>
    <w:rsid w:val="00E21F5A"/>
    <w:rsid w:val="00E23CD4"/>
    <w:rsid w:val="00E2405C"/>
    <w:rsid w:val="00E24ADA"/>
    <w:rsid w:val="00E256E2"/>
    <w:rsid w:val="00E25CAB"/>
    <w:rsid w:val="00E27972"/>
    <w:rsid w:val="00E3271D"/>
    <w:rsid w:val="00E32F59"/>
    <w:rsid w:val="00E35BCC"/>
    <w:rsid w:val="00E35C68"/>
    <w:rsid w:val="00E35E2C"/>
    <w:rsid w:val="00E35E7F"/>
    <w:rsid w:val="00E36381"/>
    <w:rsid w:val="00E43822"/>
    <w:rsid w:val="00E43CF4"/>
    <w:rsid w:val="00E46541"/>
    <w:rsid w:val="00E46D9A"/>
    <w:rsid w:val="00E47982"/>
    <w:rsid w:val="00E50068"/>
    <w:rsid w:val="00E565FF"/>
    <w:rsid w:val="00E63D26"/>
    <w:rsid w:val="00E65388"/>
    <w:rsid w:val="00E675DC"/>
    <w:rsid w:val="00E67D62"/>
    <w:rsid w:val="00E71004"/>
    <w:rsid w:val="00E75FF6"/>
    <w:rsid w:val="00E859EE"/>
    <w:rsid w:val="00E85B7D"/>
    <w:rsid w:val="00E9030F"/>
    <w:rsid w:val="00E9121B"/>
    <w:rsid w:val="00EA00C2"/>
    <w:rsid w:val="00EA0AE2"/>
    <w:rsid w:val="00EA20B0"/>
    <w:rsid w:val="00EA3497"/>
    <w:rsid w:val="00EA39E5"/>
    <w:rsid w:val="00EA54B6"/>
    <w:rsid w:val="00EB1A96"/>
    <w:rsid w:val="00EB297F"/>
    <w:rsid w:val="00EB4F0B"/>
    <w:rsid w:val="00EB6845"/>
    <w:rsid w:val="00EC0AAD"/>
    <w:rsid w:val="00EC5A46"/>
    <w:rsid w:val="00EC5F91"/>
    <w:rsid w:val="00EC6127"/>
    <w:rsid w:val="00EC63E2"/>
    <w:rsid w:val="00EC71BA"/>
    <w:rsid w:val="00EC740C"/>
    <w:rsid w:val="00ED4064"/>
    <w:rsid w:val="00ED6D69"/>
    <w:rsid w:val="00EE1AE5"/>
    <w:rsid w:val="00EE37AF"/>
    <w:rsid w:val="00EE71B1"/>
    <w:rsid w:val="00EF1263"/>
    <w:rsid w:val="00EF22B3"/>
    <w:rsid w:val="00EF2C8C"/>
    <w:rsid w:val="00EF3B92"/>
    <w:rsid w:val="00EF6A42"/>
    <w:rsid w:val="00F02953"/>
    <w:rsid w:val="00F03B69"/>
    <w:rsid w:val="00F07A50"/>
    <w:rsid w:val="00F113DA"/>
    <w:rsid w:val="00F12C00"/>
    <w:rsid w:val="00F16722"/>
    <w:rsid w:val="00F23134"/>
    <w:rsid w:val="00F238B1"/>
    <w:rsid w:val="00F24151"/>
    <w:rsid w:val="00F277EB"/>
    <w:rsid w:val="00F317F9"/>
    <w:rsid w:val="00F31CBD"/>
    <w:rsid w:val="00F32907"/>
    <w:rsid w:val="00F37DC8"/>
    <w:rsid w:val="00F43147"/>
    <w:rsid w:val="00F439B3"/>
    <w:rsid w:val="00F45B69"/>
    <w:rsid w:val="00F4776E"/>
    <w:rsid w:val="00F47B82"/>
    <w:rsid w:val="00F615EE"/>
    <w:rsid w:val="00F650C3"/>
    <w:rsid w:val="00F65D85"/>
    <w:rsid w:val="00F65E79"/>
    <w:rsid w:val="00F672A8"/>
    <w:rsid w:val="00F8091E"/>
    <w:rsid w:val="00F827FC"/>
    <w:rsid w:val="00F8615C"/>
    <w:rsid w:val="00F874E0"/>
    <w:rsid w:val="00F91BD8"/>
    <w:rsid w:val="00F94F8B"/>
    <w:rsid w:val="00F969E5"/>
    <w:rsid w:val="00FA25D2"/>
    <w:rsid w:val="00FA4125"/>
    <w:rsid w:val="00FA46C5"/>
    <w:rsid w:val="00FA524F"/>
    <w:rsid w:val="00FA6BB0"/>
    <w:rsid w:val="00FA7CDA"/>
    <w:rsid w:val="00FB61A2"/>
    <w:rsid w:val="00FB6449"/>
    <w:rsid w:val="00FC0D95"/>
    <w:rsid w:val="00FC39F0"/>
    <w:rsid w:val="00FD4B38"/>
    <w:rsid w:val="00FD5860"/>
    <w:rsid w:val="00FE352D"/>
    <w:rsid w:val="00FE40EB"/>
    <w:rsid w:val="00FE4D02"/>
    <w:rsid w:val="00FE7D62"/>
    <w:rsid w:val="00FF159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F7A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qFormat/>
    <w:rsid w:val="00DA3F7A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DA3F7A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DA3F7A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DA3F7A"/>
    <w:pPr>
      <w:keepNext/>
      <w:outlineLvl w:val="3"/>
    </w:pPr>
  </w:style>
  <w:style w:type="paragraph" w:styleId="Heading5">
    <w:name w:val="heading 5"/>
    <w:basedOn w:val="Normal"/>
    <w:next w:val="Normal"/>
    <w:qFormat/>
    <w:rsid w:val="00DA3F7A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DA3F7A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A3F7A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DA3F7A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DA3F7A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DA3F7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A3F7A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A3F7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qFormat/>
    <w:rsid w:val="00DA3F7A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DA3F7A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DA3F7A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A3F7A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A3F7A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A3F7A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DA3F7A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DA3F7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link w:val="NormalpoolChar"/>
    <w:autoRedefine/>
    <w:rsid w:val="00DA3F7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DA3F7A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A3F7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DA3F7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number,SUPERS,Footnote Reference Superscript,ftref,(Ref. de nota al pie)"/>
    <w:rsid w:val="00DA3F7A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qFormat/>
    <w:rsid w:val="00DA3F7A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val="fr-CA" w:eastAsia="en-US"/>
    </w:rPr>
  </w:style>
  <w:style w:type="table" w:customStyle="1" w:styleId="AATable">
    <w:name w:val="AA_Table"/>
    <w:basedOn w:val="TableNormal"/>
    <w:semiHidden/>
    <w:rsid w:val="00DA3F7A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A3F7A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A3F7A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DA3F7A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DA3F7A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DA3F7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DA3F7A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DA3F7A"/>
    <w:pPr>
      <w:numPr>
        <w:numId w:val="3"/>
      </w:numPr>
    </w:pPr>
  </w:style>
  <w:style w:type="paragraph" w:customStyle="1" w:styleId="NormalNonumber">
    <w:name w:val="Normal_No_number"/>
    <w:basedOn w:val="Normalpool"/>
    <w:qFormat/>
    <w:rsid w:val="00DA3F7A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qFormat/>
    <w:rsid w:val="00DA3F7A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DA3F7A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DA3F7A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DA3F7A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DA3F7A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DA3F7A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DA3F7A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DA3F7A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DA3F7A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basedOn w:val="DefaultParagraphFont"/>
    <w:link w:val="FootnoteText"/>
    <w:rsid w:val="004F35F1"/>
    <w:rPr>
      <w:sz w:val="18"/>
      <w:lang w:val="fr-CA" w:eastAsia="en-US"/>
    </w:rPr>
  </w:style>
  <w:style w:type="character" w:customStyle="1" w:styleId="NormalnumberChar">
    <w:name w:val="Normal_number Char"/>
    <w:link w:val="Normalnumber"/>
    <w:locked/>
    <w:rsid w:val="00464576"/>
    <w:rPr>
      <w:lang w:val="fr-CA" w:eastAsia="en-US"/>
    </w:rPr>
  </w:style>
  <w:style w:type="character" w:customStyle="1" w:styleId="CH2Char">
    <w:name w:val="CH2 Char"/>
    <w:link w:val="CH2"/>
    <w:locked/>
    <w:rsid w:val="00464576"/>
    <w:rPr>
      <w:b/>
      <w:sz w:val="24"/>
      <w:szCs w:val="24"/>
      <w:lang w:val="fr-CA" w:eastAsia="en-US"/>
    </w:rPr>
  </w:style>
  <w:style w:type="paragraph" w:styleId="Revision">
    <w:name w:val="Revision"/>
    <w:hidden/>
    <w:uiPriority w:val="99"/>
    <w:semiHidden/>
    <w:rsid w:val="005B7C64"/>
    <w:rPr>
      <w:lang w:val="fr-FR" w:eastAsia="en-US"/>
    </w:rPr>
  </w:style>
  <w:style w:type="paragraph" w:styleId="ListParagraph">
    <w:name w:val="List Paragraph"/>
    <w:basedOn w:val="Normal"/>
    <w:uiPriority w:val="34"/>
    <w:qFormat/>
    <w:rsid w:val="004906E4"/>
    <w:pPr>
      <w:ind w:left="720"/>
      <w:contextualSpacing/>
    </w:pPr>
  </w:style>
  <w:style w:type="character" w:customStyle="1" w:styleId="NormalpoolChar">
    <w:name w:val="Normal_pool Char"/>
    <w:link w:val="Normalpool"/>
    <w:locked/>
    <w:rsid w:val="00F45B69"/>
    <w:rPr>
      <w:lang w:val="fr-CA" w:eastAsia="en-US"/>
    </w:rPr>
  </w:style>
  <w:style w:type="paragraph" w:customStyle="1" w:styleId="AnnexNumbered">
    <w:name w:val="Annex Numbered"/>
    <w:basedOn w:val="Normal"/>
    <w:qFormat/>
    <w:rsid w:val="00F45B69"/>
    <w:pPr>
      <w:pageBreakBefore/>
      <w:numPr>
        <w:numId w:val="18"/>
      </w:numPr>
      <w:tabs>
        <w:tab w:val="left" w:pos="4082"/>
      </w:tabs>
    </w:pPr>
    <w:rPr>
      <w:rFonts w:eastAsia="Calibri"/>
      <w:b/>
      <w:bCs/>
      <w:w w:val="103"/>
      <w:sz w:val="28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unterm.un.org/DGAACS/unterm.nsf/WebView/89752D0EE42F5EDF852575EC006B64B1?OpenDocumen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1b53f-1e97-4759-80c4-d294f18acbad">
      <UserInfo>
        <DisplayName/>
        <AccountId xsi:nil="true"/>
        <AccountType/>
      </UserInfo>
    </SharedWithUsers>
    <Uploadeddate xmlns="a5a030b7-a207-4454-9836-0151be6a4cb9">2021-05-06T13:43:35Z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F202-6E40-4A90-ACF6-B0EBD49B1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86321-8EE0-44E2-84F8-934C9E1AA026}"/>
</file>

<file path=customXml/itemProps3.xml><?xml version="1.0" encoding="utf-8"?>
<ds:datastoreItem xmlns:ds="http://schemas.openxmlformats.org/officeDocument/2006/customXml" ds:itemID="{4BF2592B-6BE2-410F-9413-CAC32DD3094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786100a8-bbaa-48b6-aa10-6d2082f346b4"/>
    <ds:schemaRef ds:uri="http://schemas.openxmlformats.org/package/2006/metadata/core-properties"/>
    <ds:schemaRef ds:uri="25a4600d-fc45-4aed-ad1e-9b44b590e5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BBC12B-E4B2-46DE-8E9D-98AE7AA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2665</Words>
  <Characters>15191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2019-03-27T12:58:00Z</cp:lastPrinted>
  <dcterms:created xsi:type="dcterms:W3CDTF">2021-05-06T11:42:00Z</dcterms:created>
  <dcterms:modified xsi:type="dcterms:W3CDTF">2021-05-06T11:42:00Z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9/12/2018 3:09:10 PM</vt:lpwstr>
  </property>
  <property fmtid="{D5CDD505-2E9C-101B-9397-08002B2CF9AE}" pid="5" name="OriginalDocID">
    <vt:lpwstr>95ae6e0b-9fca-41c8-aeb1-e9a23b3f7317</vt:lpwstr>
  </property>
  <property fmtid="{D5CDD505-2E9C-101B-9397-08002B2CF9AE}" pid="6" name="ContentTypeId">
    <vt:lpwstr>0x010100584E11ECFBC18447906D5ABF8AD245CC</vt:lpwstr>
  </property>
  <property fmtid="{D5CDD505-2E9C-101B-9397-08002B2CF9AE}" pid="7" name="Order">
    <vt:r8>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