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E77C84" w:rsidRPr="00C5575D" w14:paraId="1EE8A91C" w14:textId="77777777" w:rsidTr="00732ECD">
        <w:trPr>
          <w:cantSplit/>
          <w:trHeight w:val="57"/>
          <w:jc w:val="right"/>
        </w:trPr>
        <w:tc>
          <w:tcPr>
            <w:tcW w:w="1489" w:type="dxa"/>
          </w:tcPr>
          <w:p w14:paraId="0AA3E434" w14:textId="77777777" w:rsidR="00E77C84" w:rsidRPr="003854ED" w:rsidRDefault="00E77C84" w:rsidP="00732ECD">
            <w:pPr>
              <w:pStyle w:val="Normal-pool"/>
            </w:pPr>
            <w:r w:rsidRPr="00C5575D">
              <w:rPr>
                <w:rFonts w:ascii="Arial" w:hAnsi="Arial" w:cs="Arial"/>
                <w:b/>
                <w:sz w:val="27"/>
                <w:szCs w:val="27"/>
              </w:rPr>
              <w:t xml:space="preserve">UNITED </w:t>
            </w:r>
            <w:r w:rsidRPr="00C5575D">
              <w:rPr>
                <w:rFonts w:ascii="Arial" w:hAnsi="Arial" w:cs="Arial"/>
                <w:b/>
                <w:sz w:val="27"/>
                <w:szCs w:val="27"/>
              </w:rPr>
              <w:br/>
              <w:t>NATIONS</w:t>
            </w:r>
          </w:p>
        </w:tc>
        <w:tc>
          <w:tcPr>
            <w:tcW w:w="6449" w:type="dxa"/>
            <w:gridSpan w:val="3"/>
          </w:tcPr>
          <w:p w14:paraId="4C765FC7" w14:textId="77777777" w:rsidR="00E77C84" w:rsidRPr="003854ED" w:rsidRDefault="00E77C84" w:rsidP="00732ECD">
            <w:pPr>
              <w:pStyle w:val="Normal-pool"/>
              <w:spacing w:before="20"/>
              <w:ind w:left="-113"/>
            </w:pPr>
            <w:r w:rsidRPr="003854ED">
              <w:rPr>
                <w:noProof/>
              </w:rPr>
              <w:drawing>
                <wp:inline distT="0" distB="0" distL="0" distR="0" wp14:anchorId="4BF57420" wp14:editId="2274C053">
                  <wp:extent cx="3559810" cy="442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74453AAB" w14:textId="77777777" w:rsidR="00E77C84" w:rsidRPr="003854ED" w:rsidRDefault="00E77C84" w:rsidP="00732ECD">
            <w:pPr>
              <w:pStyle w:val="Normal-pool"/>
              <w:spacing w:after="120"/>
              <w:jc w:val="right"/>
            </w:pPr>
            <w:r w:rsidRPr="00C5575D">
              <w:rPr>
                <w:rFonts w:ascii="Arial" w:hAnsi="Arial" w:cs="Arial"/>
                <w:b/>
                <w:sz w:val="64"/>
                <w:szCs w:val="64"/>
              </w:rPr>
              <w:t>BES</w:t>
            </w:r>
          </w:p>
        </w:tc>
      </w:tr>
      <w:tr w:rsidR="00E77C84" w:rsidRPr="00C5575D" w14:paraId="08A5CF14" w14:textId="77777777" w:rsidTr="00732ECD">
        <w:trPr>
          <w:cantSplit/>
          <w:trHeight w:val="57"/>
          <w:jc w:val="right"/>
        </w:trPr>
        <w:tc>
          <w:tcPr>
            <w:tcW w:w="1489" w:type="dxa"/>
            <w:tcBorders>
              <w:bottom w:val="single" w:sz="2" w:space="0" w:color="auto"/>
            </w:tcBorders>
          </w:tcPr>
          <w:p w14:paraId="5EAC5BBB" w14:textId="77777777" w:rsidR="00E77C84" w:rsidRPr="00B24A20" w:rsidRDefault="00E77C84" w:rsidP="00732ECD">
            <w:pPr>
              <w:pStyle w:val="Normal-pool"/>
            </w:pPr>
          </w:p>
        </w:tc>
        <w:tc>
          <w:tcPr>
            <w:tcW w:w="5822" w:type="dxa"/>
            <w:gridSpan w:val="2"/>
            <w:tcBorders>
              <w:bottom w:val="single" w:sz="2" w:space="0" w:color="auto"/>
            </w:tcBorders>
          </w:tcPr>
          <w:p w14:paraId="1547F67E" w14:textId="77777777" w:rsidR="00E77C84" w:rsidRPr="00B24A20" w:rsidRDefault="00E77C84" w:rsidP="00732ECD">
            <w:pPr>
              <w:pStyle w:val="Normal-pool"/>
            </w:pPr>
          </w:p>
        </w:tc>
        <w:tc>
          <w:tcPr>
            <w:tcW w:w="2185" w:type="dxa"/>
            <w:gridSpan w:val="2"/>
            <w:tcBorders>
              <w:bottom w:val="single" w:sz="2" w:space="0" w:color="auto"/>
            </w:tcBorders>
          </w:tcPr>
          <w:p w14:paraId="04C80649" w14:textId="77777777" w:rsidR="00E77C84" w:rsidRPr="00C5575D" w:rsidRDefault="00E77C84" w:rsidP="00732ECD">
            <w:pPr>
              <w:pStyle w:val="Normal-pool"/>
              <w:rPr>
                <w:sz w:val="24"/>
                <w:szCs w:val="24"/>
              </w:rPr>
            </w:pPr>
            <w:r w:rsidRPr="00C5575D">
              <w:rPr>
                <w:b/>
                <w:sz w:val="24"/>
                <w:szCs w:val="24"/>
              </w:rPr>
              <w:t>IPBES</w:t>
            </w:r>
            <w:r w:rsidRPr="00C5575D">
              <w:t>/8/</w:t>
            </w:r>
            <w:r w:rsidRPr="004204D7">
              <w:t>1/Add.2</w:t>
            </w:r>
          </w:p>
        </w:tc>
      </w:tr>
      <w:tr w:rsidR="00E77C84" w:rsidRPr="00C5575D" w14:paraId="17D470BB" w14:textId="77777777" w:rsidTr="00732ECD">
        <w:trPr>
          <w:cantSplit/>
          <w:trHeight w:val="57"/>
          <w:jc w:val="right"/>
        </w:trPr>
        <w:tc>
          <w:tcPr>
            <w:tcW w:w="1963" w:type="dxa"/>
            <w:gridSpan w:val="2"/>
            <w:tcBorders>
              <w:top w:val="single" w:sz="2" w:space="0" w:color="auto"/>
              <w:bottom w:val="single" w:sz="24" w:space="0" w:color="auto"/>
            </w:tcBorders>
          </w:tcPr>
          <w:p w14:paraId="5C05DA5A" w14:textId="77777777" w:rsidR="00E77C84" w:rsidRPr="00C5575D" w:rsidRDefault="00E77C84" w:rsidP="00732ECD">
            <w:pPr>
              <w:pStyle w:val="Normal-pool"/>
              <w:spacing w:before="160" w:after="240"/>
              <w:rPr>
                <w:sz w:val="28"/>
                <w:szCs w:val="28"/>
              </w:rPr>
            </w:pPr>
            <w:r w:rsidRPr="00C5575D">
              <w:rPr>
                <w:noProof/>
                <w:sz w:val="28"/>
                <w:szCs w:val="28"/>
                <w:lang w:eastAsia="en-GB"/>
              </w:rPr>
              <w:drawing>
                <wp:inline distT="0" distB="0" distL="0" distR="0" wp14:anchorId="7402FBAD" wp14:editId="317E1FA6">
                  <wp:extent cx="1112520" cy="51879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67968F5A" w14:textId="77777777" w:rsidR="00E77C84" w:rsidRPr="00C5575D" w:rsidRDefault="00E77C84" w:rsidP="00732ECD">
            <w:pPr>
              <w:pStyle w:val="Normal-pool"/>
              <w:spacing w:before="120" w:after="360"/>
              <w:rPr>
                <w:rFonts w:ascii="Arial" w:hAnsi="Arial" w:cs="Arial"/>
                <w:b/>
              </w:rPr>
            </w:pPr>
            <w:r w:rsidRPr="00C5575D">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160655AD" w14:textId="77777777" w:rsidR="00E77C84" w:rsidRPr="004204D7" w:rsidRDefault="00E77C84" w:rsidP="00732ECD">
            <w:pPr>
              <w:pStyle w:val="Normal-pool"/>
              <w:spacing w:before="120"/>
            </w:pPr>
            <w:r w:rsidRPr="004204D7">
              <w:t xml:space="preserve">Distr.: General </w:t>
            </w:r>
            <w:r w:rsidRPr="004204D7">
              <w:br/>
              <w:t>23 March 2021</w:t>
            </w:r>
          </w:p>
          <w:p w14:paraId="0C11897E" w14:textId="77777777" w:rsidR="00E77C84" w:rsidRPr="00C5575D" w:rsidRDefault="00E77C84" w:rsidP="00732ECD">
            <w:pPr>
              <w:pStyle w:val="Normal-pool"/>
              <w:spacing w:before="120" w:after="240"/>
            </w:pPr>
            <w:r w:rsidRPr="004204D7">
              <w:t>Original: English</w:t>
            </w:r>
          </w:p>
        </w:tc>
      </w:tr>
    </w:tbl>
    <w:p w14:paraId="139CE344" w14:textId="21924EFF" w:rsidR="007A5FCD" w:rsidRPr="004204D7" w:rsidRDefault="007A5FCD" w:rsidP="007A5FCD">
      <w:pPr>
        <w:pStyle w:val="AATitle"/>
      </w:pPr>
      <w:r w:rsidRPr="004204D7">
        <w:t xml:space="preserve">Plenary of the Intergovernmental Science-Policy </w:t>
      </w:r>
      <w:r w:rsidRPr="004204D7">
        <w:br/>
        <w:t>Platform on Biodiversity and Ecosystem Services</w:t>
      </w:r>
    </w:p>
    <w:p w14:paraId="04C75C62" w14:textId="77777777" w:rsidR="007A5FCD" w:rsidRPr="004204D7" w:rsidRDefault="007A5FCD" w:rsidP="007A5FCD">
      <w:pPr>
        <w:pStyle w:val="AATitle"/>
      </w:pPr>
      <w:r w:rsidRPr="004204D7">
        <w:t>Eighth session</w:t>
      </w:r>
    </w:p>
    <w:p w14:paraId="6F2FC350" w14:textId="77777777" w:rsidR="007A5FCD" w:rsidRPr="004204D7" w:rsidRDefault="007A5FCD" w:rsidP="007A5FCD">
      <w:pPr>
        <w:pStyle w:val="AATitle"/>
        <w:rPr>
          <w:b w:val="0"/>
        </w:rPr>
      </w:pPr>
      <w:r w:rsidRPr="004204D7">
        <w:rPr>
          <w:b w:val="0"/>
          <w:lang w:eastAsia="ja-JP"/>
        </w:rPr>
        <w:t>Online, 14–24 June 2021</w:t>
      </w:r>
    </w:p>
    <w:p w14:paraId="695544F0" w14:textId="77777777" w:rsidR="00336AFD" w:rsidRPr="004204D7" w:rsidRDefault="00336AFD" w:rsidP="00336AFD">
      <w:pPr>
        <w:pStyle w:val="AATitle"/>
        <w:rPr>
          <w:b w:val="0"/>
          <w:szCs w:val="18"/>
        </w:rPr>
      </w:pPr>
      <w:bookmarkStart w:id="0" w:name="_Hlk498356154"/>
      <w:r w:rsidRPr="004204D7">
        <w:rPr>
          <w:b w:val="0"/>
        </w:rPr>
        <w:t>Item 12 of the provisional agenda</w:t>
      </w:r>
      <w:r w:rsidRPr="004204D7">
        <w:rPr>
          <w:b w:val="0"/>
          <w:szCs w:val="18"/>
        </w:rPr>
        <w:footnoteReference w:customMarkFollows="1" w:id="2"/>
        <w:t>*</w:t>
      </w:r>
    </w:p>
    <w:p w14:paraId="27E55440" w14:textId="77777777" w:rsidR="00336AFD" w:rsidRPr="004204D7" w:rsidRDefault="00336AFD" w:rsidP="00336AFD">
      <w:pPr>
        <w:pStyle w:val="AATitle2"/>
      </w:pPr>
      <w:r w:rsidRPr="004204D7">
        <w:t>Adoption of the decisions and the report of the session</w:t>
      </w:r>
    </w:p>
    <w:p w14:paraId="6D87CA40" w14:textId="77777777" w:rsidR="00336AFD" w:rsidRPr="004204D7" w:rsidRDefault="00336AFD" w:rsidP="00336AFD">
      <w:pPr>
        <w:pStyle w:val="BBTitle"/>
      </w:pPr>
      <w:r w:rsidRPr="004204D7">
        <w:t xml:space="preserve">Draft decisions for the eighth session of the Plenary of the Intergovernmental Science-Policy Platform on Biodiversity and Ecosystem Services </w:t>
      </w:r>
    </w:p>
    <w:p w14:paraId="62A72208" w14:textId="77777777" w:rsidR="007F453C" w:rsidRPr="004204D7" w:rsidRDefault="007F453C" w:rsidP="007F453C">
      <w:pPr>
        <w:pStyle w:val="CH2"/>
      </w:pPr>
      <w:r w:rsidRPr="004204D7">
        <w:tab/>
      </w:r>
      <w:r w:rsidRPr="004204D7">
        <w:tab/>
        <w:t xml:space="preserve">Note by the </w:t>
      </w:r>
      <w:r w:rsidRPr="004204D7">
        <w:rPr>
          <w:rStyle w:val="CH2Char"/>
          <w:b/>
        </w:rPr>
        <w:t>Secretariat</w:t>
      </w:r>
    </w:p>
    <w:p w14:paraId="40D17EDF" w14:textId="77777777" w:rsidR="007F453C" w:rsidRPr="004204D7" w:rsidRDefault="007F453C" w:rsidP="007F453C">
      <w:pPr>
        <w:pStyle w:val="CH1"/>
      </w:pPr>
      <w:r w:rsidRPr="004204D7">
        <w:tab/>
      </w:r>
      <w:r w:rsidRPr="004204D7">
        <w:tab/>
        <w:t>Introduction</w:t>
      </w:r>
    </w:p>
    <w:p w14:paraId="3FFD156A" w14:textId="77777777" w:rsidR="007F453C" w:rsidRPr="004204D7" w:rsidRDefault="007F453C" w:rsidP="00404335">
      <w:pPr>
        <w:pStyle w:val="Normalnumber"/>
        <w:tabs>
          <w:tab w:val="clear" w:pos="1134"/>
        </w:tabs>
      </w:pPr>
      <w:r w:rsidRPr="004204D7">
        <w:t xml:space="preserve">The present note sets out draft decisions for consideration by the Plenary of the Intergovernmental Science-Policy Platform on Biodiversity and Ecosystem Services (IPBES) at its eighth session. It was prepared by the Executive Secretary to assist the Plenary in the development of decisions for adoption on the items on the agenda for the session. The draft decisions follow the structure of the decisions adopted by the Plenary at its previous sessions. The note indicates the item of the provisional agenda (IPBES/8/1) under which each draft decision is expected to be considered. </w:t>
      </w:r>
    </w:p>
    <w:p w14:paraId="6B2B6CA1" w14:textId="62F83973" w:rsidR="007F453C" w:rsidRPr="004204D7" w:rsidRDefault="007F453C" w:rsidP="007F453C">
      <w:pPr>
        <w:pStyle w:val="CH1"/>
      </w:pPr>
      <w:r w:rsidRPr="004204D7">
        <w:tab/>
        <w:t>I.</w:t>
      </w:r>
      <w:r w:rsidRPr="004204D7">
        <w:tab/>
        <w:t xml:space="preserve">Draft decision: Implementation of the </w:t>
      </w:r>
      <w:r w:rsidR="00BA1317">
        <w:t xml:space="preserve">rolling </w:t>
      </w:r>
      <w:r w:rsidRPr="004204D7">
        <w:t>work programme of the Intergovernmental Science-Policy Platform on Biodiversity and Ecosystem Services up to 2030</w:t>
      </w:r>
    </w:p>
    <w:p w14:paraId="7BF3569E" w14:textId="77777777" w:rsidR="007F453C" w:rsidRPr="004204D7" w:rsidRDefault="007F453C" w:rsidP="00404335">
      <w:pPr>
        <w:pStyle w:val="Normalnumber"/>
        <w:tabs>
          <w:tab w:val="clear" w:pos="1134"/>
        </w:tabs>
      </w:pPr>
      <w:r w:rsidRPr="004204D7">
        <w:t xml:space="preserve">The Plenary may wish to consider the following draft decision under item 12 of the provisional agenda: </w:t>
      </w:r>
    </w:p>
    <w:p w14:paraId="414EEE99" w14:textId="77777777" w:rsidR="007F453C" w:rsidRPr="004204D7" w:rsidRDefault="007F453C" w:rsidP="007F453C">
      <w:pPr>
        <w:pStyle w:val="Normal-pool"/>
        <w:spacing w:after="120"/>
        <w:ind w:left="1871" w:firstLine="624"/>
        <w:rPr>
          <w:i/>
          <w:iCs/>
        </w:rPr>
      </w:pPr>
      <w:r w:rsidRPr="004204D7">
        <w:rPr>
          <w:i/>
          <w:iCs/>
        </w:rPr>
        <w:t xml:space="preserve">The Plenary, </w:t>
      </w:r>
    </w:p>
    <w:p w14:paraId="0C243F86" w14:textId="31EA1651" w:rsidR="007F453C" w:rsidRPr="004204D7" w:rsidRDefault="007F453C" w:rsidP="007F453C">
      <w:pPr>
        <w:pStyle w:val="Normal-pool"/>
        <w:spacing w:after="120"/>
        <w:ind w:left="1871" w:firstLine="624"/>
        <w:rPr>
          <w:i/>
        </w:rPr>
      </w:pPr>
      <w:r w:rsidRPr="004204D7">
        <w:rPr>
          <w:i/>
        </w:rPr>
        <w:t xml:space="preserve">Welcoming </w:t>
      </w:r>
      <w:r w:rsidRPr="004204D7">
        <w:t>the report of the Executive Secretary on progress in the implementation of the rolling work programme</w:t>
      </w:r>
      <w:r w:rsidR="00631B5D" w:rsidRPr="004204D7">
        <w:t xml:space="preserve"> up to 2030</w:t>
      </w:r>
      <w:r w:rsidRPr="004204D7">
        <w:t>,</w:t>
      </w:r>
      <w:r w:rsidRPr="004204D7">
        <w:rPr>
          <w:szCs w:val="18"/>
          <w:vertAlign w:val="superscript"/>
        </w:rPr>
        <w:footnoteReference w:id="3"/>
      </w:r>
    </w:p>
    <w:p w14:paraId="65A5A648" w14:textId="7C66FD0F" w:rsidR="007F453C" w:rsidRPr="004204D7" w:rsidRDefault="007F453C" w:rsidP="007F453C">
      <w:pPr>
        <w:pStyle w:val="Normal-pool"/>
        <w:spacing w:after="120"/>
        <w:ind w:left="1871" w:firstLine="624"/>
      </w:pPr>
      <w:r w:rsidRPr="004204D7">
        <w:rPr>
          <w:i/>
        </w:rPr>
        <w:t xml:space="preserve">Acknowledging with appreciation </w:t>
      </w:r>
      <w:r w:rsidRPr="004204D7">
        <w:t xml:space="preserve">the outstanding contribution made by all the experts involved to date in the implementation of the work programme and thanking them for their unwavering commitment thereto, </w:t>
      </w:r>
    </w:p>
    <w:p w14:paraId="1EE9179D" w14:textId="2C86F6CB" w:rsidR="007F453C" w:rsidRPr="004204D7" w:rsidRDefault="007F453C" w:rsidP="007F453C">
      <w:pPr>
        <w:pStyle w:val="Normal-pool"/>
        <w:spacing w:after="120"/>
        <w:ind w:left="1871" w:firstLine="624"/>
      </w:pPr>
      <w:r w:rsidRPr="004204D7">
        <w:rPr>
          <w:i/>
        </w:rPr>
        <w:t xml:space="preserve">Encouraging </w:t>
      </w:r>
      <w:r w:rsidRPr="004204D7">
        <w:rPr>
          <w:iCs/>
        </w:rPr>
        <w:t>Governments and organizations to participate actively in the implementation of the work programme, in particular through the balanced nomination of experts and the review of draft deliverables,</w:t>
      </w:r>
    </w:p>
    <w:p w14:paraId="6F3B9462" w14:textId="77777777" w:rsidR="007F453C" w:rsidRPr="004204D7" w:rsidRDefault="007F453C" w:rsidP="00C173A1">
      <w:pPr>
        <w:pStyle w:val="CH2"/>
        <w:spacing w:before="240"/>
        <w:ind w:firstLine="0"/>
        <w:jc w:val="center"/>
      </w:pPr>
      <w:r w:rsidRPr="004204D7">
        <w:lastRenderedPageBreak/>
        <w:t>I</w:t>
      </w:r>
    </w:p>
    <w:p w14:paraId="5BB87633" w14:textId="77777777" w:rsidR="007F453C" w:rsidRPr="004204D7" w:rsidRDefault="007F453C" w:rsidP="00C173A1">
      <w:pPr>
        <w:pStyle w:val="CH2"/>
        <w:spacing w:before="0"/>
        <w:ind w:firstLine="0"/>
        <w:jc w:val="center"/>
      </w:pPr>
      <w:r w:rsidRPr="004204D7">
        <w:t>Implementation of the work programme of the Platform up to 2030</w:t>
      </w:r>
    </w:p>
    <w:p w14:paraId="4E9B7372" w14:textId="05A0D1DB" w:rsidR="007F453C" w:rsidRPr="004204D7" w:rsidRDefault="007F453C" w:rsidP="007F453C">
      <w:pPr>
        <w:tabs>
          <w:tab w:val="left" w:pos="624"/>
        </w:tabs>
        <w:spacing w:after="120" w:line="240" w:lineRule="auto"/>
        <w:ind w:left="1871" w:firstLine="624"/>
        <w:rPr>
          <w:rFonts w:ascii="Times New Roman" w:eastAsia="Times New Roman" w:hAnsi="Times New Roman"/>
          <w:sz w:val="20"/>
          <w:szCs w:val="20"/>
        </w:rPr>
      </w:pPr>
      <w:r w:rsidRPr="004204D7">
        <w:rPr>
          <w:rFonts w:ascii="Times New Roman" w:eastAsia="Times New Roman" w:hAnsi="Times New Roman"/>
          <w:sz w:val="20"/>
          <w:szCs w:val="20"/>
        </w:rPr>
        <w:t>1</w:t>
      </w:r>
      <w:r w:rsidRPr="004204D7">
        <w:rPr>
          <w:rFonts w:ascii="Times New Roman" w:eastAsia="Times New Roman" w:hAnsi="Times New Roman"/>
          <w:i/>
          <w:sz w:val="20"/>
          <w:szCs w:val="20"/>
        </w:rPr>
        <w:t>.</w:t>
      </w:r>
      <w:r w:rsidRPr="004204D7">
        <w:rPr>
          <w:rFonts w:ascii="Times New Roman" w:eastAsia="Times New Roman" w:hAnsi="Times New Roman"/>
          <w:i/>
          <w:sz w:val="20"/>
          <w:szCs w:val="20"/>
        </w:rPr>
        <w:tab/>
        <w:t>Decides</w:t>
      </w:r>
      <w:r w:rsidRPr="004204D7">
        <w:rPr>
          <w:rFonts w:ascii="Times New Roman" w:eastAsia="Times New Roman" w:hAnsi="Times New Roman"/>
          <w:sz w:val="20"/>
          <w:szCs w:val="20"/>
        </w:rPr>
        <w:t xml:space="preserve"> to proceed with the implementation of the work programme in accordance with the decisions adopted at its previous sessions, the present decision and the approved budget</w:t>
      </w:r>
      <w:r w:rsidR="00055D0F" w:rsidRPr="004204D7">
        <w:rPr>
          <w:rFonts w:ascii="Times New Roman" w:eastAsia="Times New Roman" w:hAnsi="Times New Roman"/>
          <w:sz w:val="20"/>
          <w:szCs w:val="20"/>
        </w:rPr>
        <w:t>, as</w:t>
      </w:r>
      <w:r w:rsidRPr="004204D7">
        <w:rPr>
          <w:rFonts w:ascii="Times New Roman" w:eastAsia="Times New Roman" w:hAnsi="Times New Roman"/>
          <w:sz w:val="20"/>
          <w:szCs w:val="20"/>
        </w:rPr>
        <w:t xml:space="preserve"> set out in decision IPBES</w:t>
      </w:r>
      <w:r w:rsidRPr="004204D7">
        <w:rPr>
          <w:rFonts w:ascii="Times New Roman" w:eastAsia="Times New Roman" w:hAnsi="Times New Roman"/>
          <w:sz w:val="20"/>
          <w:szCs w:val="20"/>
        </w:rPr>
        <w:noBreakHyphen/>
        <w:t>8/[</w:t>
      </w:r>
      <w:r w:rsidR="00BA1317">
        <w:rPr>
          <w:rFonts w:ascii="Times New Roman" w:eastAsia="Times New Roman" w:hAnsi="Times New Roman"/>
          <w:sz w:val="20"/>
          <w:szCs w:val="20"/>
        </w:rPr>
        <w:t>--</w:t>
      </w:r>
      <w:r w:rsidRPr="004204D7">
        <w:rPr>
          <w:rFonts w:ascii="Times New Roman" w:eastAsia="Times New Roman" w:hAnsi="Times New Roman"/>
          <w:sz w:val="20"/>
          <w:szCs w:val="20"/>
        </w:rPr>
        <w:t>];</w:t>
      </w:r>
      <w:r w:rsidRPr="004204D7">
        <w:rPr>
          <w:rFonts w:ascii="Times New Roman" w:eastAsia="Times New Roman" w:hAnsi="Times New Roman"/>
          <w:sz w:val="20"/>
          <w:szCs w:val="18"/>
          <w:vertAlign w:val="superscript"/>
        </w:rPr>
        <w:footnoteReference w:id="4"/>
      </w:r>
    </w:p>
    <w:p w14:paraId="3CA8ABFD" w14:textId="77777777" w:rsidR="007F453C" w:rsidRPr="004204D7" w:rsidRDefault="007F453C" w:rsidP="007F453C">
      <w:pPr>
        <w:tabs>
          <w:tab w:val="left" w:pos="624"/>
        </w:tabs>
        <w:spacing w:after="120" w:line="240" w:lineRule="auto"/>
        <w:ind w:left="1871" w:firstLine="624"/>
        <w:rPr>
          <w:rFonts w:ascii="Times New Roman" w:eastAsia="Times New Roman" w:hAnsi="Times New Roman"/>
          <w:sz w:val="20"/>
          <w:szCs w:val="20"/>
        </w:rPr>
      </w:pPr>
      <w:r w:rsidRPr="004204D7">
        <w:rPr>
          <w:rFonts w:ascii="Times New Roman" w:eastAsia="Times New Roman" w:hAnsi="Times New Roman"/>
          <w:sz w:val="20"/>
          <w:szCs w:val="20"/>
        </w:rPr>
        <w:t>2.</w:t>
      </w:r>
      <w:r w:rsidRPr="004204D7">
        <w:rPr>
          <w:rFonts w:ascii="Times New Roman" w:eastAsia="Times New Roman" w:hAnsi="Times New Roman"/>
          <w:sz w:val="20"/>
          <w:szCs w:val="20"/>
        </w:rPr>
        <w:tab/>
      </w:r>
      <w:r w:rsidRPr="004204D7">
        <w:rPr>
          <w:rFonts w:ascii="Times New Roman" w:eastAsia="Times New Roman" w:hAnsi="Times New Roman"/>
          <w:i/>
          <w:sz w:val="20"/>
          <w:szCs w:val="20"/>
        </w:rPr>
        <w:t>Requests</w:t>
      </w:r>
      <w:r w:rsidRPr="004204D7">
        <w:rPr>
          <w:rFonts w:ascii="Times New Roman" w:eastAsia="Times New Roman" w:hAnsi="Times New Roman"/>
          <w:sz w:val="20"/>
          <w:szCs w:val="20"/>
        </w:rPr>
        <w:t xml:space="preserve"> the Executive Secretary to provide a report on progress in the implementation of the work programme to the Plenary at its ninth session; </w:t>
      </w:r>
    </w:p>
    <w:p w14:paraId="2DDADF01" w14:textId="088FC8D7" w:rsidR="007F453C" w:rsidRPr="004204D7" w:rsidRDefault="007F453C" w:rsidP="00C173A1">
      <w:pPr>
        <w:pStyle w:val="Normalnumber"/>
        <w:tabs>
          <w:tab w:val="clear" w:pos="1134"/>
        </w:tabs>
      </w:pPr>
      <w:r w:rsidRPr="004204D7">
        <w:t xml:space="preserve">The Plenary may wish to consider the following draft decisions under item 7 of the provisional agenda: </w:t>
      </w:r>
    </w:p>
    <w:p w14:paraId="40A9F7E3" w14:textId="77777777" w:rsidR="007F453C" w:rsidRPr="00C173A1" w:rsidRDefault="007F453C" w:rsidP="00C173A1">
      <w:pPr>
        <w:pStyle w:val="CH2"/>
        <w:spacing w:before="240"/>
        <w:ind w:firstLine="0"/>
        <w:jc w:val="center"/>
      </w:pPr>
      <w:r w:rsidRPr="00C173A1">
        <w:t>II</w:t>
      </w:r>
    </w:p>
    <w:p w14:paraId="5397A717" w14:textId="77777777" w:rsidR="007F453C" w:rsidRPr="00C173A1" w:rsidRDefault="007F453C" w:rsidP="00C173A1">
      <w:pPr>
        <w:pStyle w:val="CH2"/>
        <w:spacing w:before="0"/>
        <w:ind w:firstLine="0"/>
        <w:jc w:val="center"/>
      </w:pPr>
      <w:r w:rsidRPr="00C173A1">
        <w:t>Assessing knowledge</w:t>
      </w:r>
    </w:p>
    <w:p w14:paraId="7BF1FF35" w14:textId="4F908455" w:rsidR="007F453C" w:rsidRPr="004204D7" w:rsidRDefault="007F453C" w:rsidP="007F453C">
      <w:pPr>
        <w:tabs>
          <w:tab w:val="left" w:pos="624"/>
        </w:tabs>
        <w:spacing w:after="120" w:line="240" w:lineRule="auto"/>
        <w:ind w:left="1871" w:firstLine="624"/>
        <w:rPr>
          <w:rFonts w:ascii="Times New Roman" w:eastAsia="Calibri" w:hAnsi="Times New Roman"/>
          <w:sz w:val="20"/>
          <w:szCs w:val="20"/>
        </w:rPr>
      </w:pPr>
      <w:r w:rsidRPr="004204D7">
        <w:rPr>
          <w:rFonts w:ascii="Times New Roman" w:eastAsia="Calibri" w:hAnsi="Times New Roman"/>
          <w:sz w:val="20"/>
          <w:szCs w:val="20"/>
        </w:rPr>
        <w:t>1.</w:t>
      </w:r>
      <w:r w:rsidRPr="004204D7">
        <w:rPr>
          <w:rFonts w:ascii="Times New Roman" w:eastAsia="Calibri" w:hAnsi="Times New Roman"/>
          <w:i/>
          <w:sz w:val="20"/>
          <w:szCs w:val="20"/>
        </w:rPr>
        <w:tab/>
        <w:t>Approves</w:t>
      </w:r>
      <w:r w:rsidRPr="004204D7">
        <w:rPr>
          <w:rFonts w:ascii="Times New Roman" w:eastAsia="Calibri" w:hAnsi="Times New Roman"/>
          <w:sz w:val="20"/>
          <w:szCs w:val="20"/>
        </w:rPr>
        <w:t xml:space="preserve"> the undertaking of a thematic assessment of the interlinkages among biodiversity, climate, water, food, energy and health</w:t>
      </w:r>
      <w:r w:rsidR="00342DFE">
        <w:rPr>
          <w:rFonts w:ascii="Times New Roman" w:eastAsia="Calibri" w:hAnsi="Times New Roman"/>
          <w:sz w:val="20"/>
          <w:szCs w:val="20"/>
        </w:rPr>
        <w:t>,</w:t>
      </w:r>
      <w:r w:rsidRPr="004204D7">
        <w:rPr>
          <w:rFonts w:ascii="Times New Roman" w:eastAsia="Calibri" w:hAnsi="Times New Roman"/>
          <w:sz w:val="20"/>
          <w:szCs w:val="20"/>
        </w:rPr>
        <w:t xml:space="preserve"> in accordance with the procedures for the preparation of Platform deliverables</w:t>
      </w:r>
      <w:r w:rsidRPr="004204D7">
        <w:rPr>
          <w:rFonts w:ascii="Times New Roman" w:eastAsia="Calibri" w:hAnsi="Times New Roman"/>
          <w:sz w:val="20"/>
          <w:szCs w:val="18"/>
          <w:vertAlign w:val="superscript"/>
        </w:rPr>
        <w:footnoteReference w:id="5"/>
      </w:r>
      <w:r w:rsidRPr="004204D7">
        <w:rPr>
          <w:rFonts w:ascii="Times New Roman" w:eastAsia="Calibri" w:hAnsi="Times New Roman"/>
          <w:sz w:val="20"/>
          <w:szCs w:val="20"/>
        </w:rPr>
        <w:t xml:space="preserve"> and as outlined in the scoping report for the assessment set out in annex [ </w:t>
      </w:r>
      <w:r w:rsidR="00B1099A">
        <w:rPr>
          <w:rFonts w:ascii="Times New Roman" w:eastAsia="Calibri" w:hAnsi="Times New Roman"/>
          <w:sz w:val="20"/>
          <w:szCs w:val="20"/>
        </w:rPr>
        <w:t>--</w:t>
      </w:r>
      <w:r w:rsidRPr="004204D7">
        <w:rPr>
          <w:rFonts w:ascii="Times New Roman" w:eastAsia="Calibri" w:hAnsi="Times New Roman"/>
          <w:sz w:val="20"/>
          <w:szCs w:val="20"/>
        </w:rPr>
        <w:t>]</w:t>
      </w:r>
      <w:r w:rsidRPr="004204D7">
        <w:rPr>
          <w:rFonts w:ascii="Times New Roman" w:eastAsia="Calibri" w:hAnsi="Times New Roman"/>
          <w:sz w:val="20"/>
          <w:szCs w:val="18"/>
          <w:vertAlign w:val="superscript"/>
        </w:rPr>
        <w:footnoteReference w:id="6"/>
      </w:r>
      <w:r w:rsidRPr="004204D7">
        <w:rPr>
          <w:rFonts w:ascii="Times New Roman" w:eastAsia="Calibri" w:hAnsi="Times New Roman"/>
          <w:sz w:val="20"/>
          <w:szCs w:val="20"/>
        </w:rPr>
        <w:t xml:space="preserve"> to the present decision, for consideration by the Plenary at its eleventh session; </w:t>
      </w:r>
    </w:p>
    <w:p w14:paraId="0DD89D00" w14:textId="4D4EE957" w:rsidR="007F453C" w:rsidRPr="004204D7" w:rsidRDefault="007F453C" w:rsidP="007F453C">
      <w:pPr>
        <w:tabs>
          <w:tab w:val="left" w:pos="624"/>
        </w:tabs>
        <w:spacing w:after="120" w:line="240" w:lineRule="auto"/>
        <w:ind w:left="1871" w:firstLine="624"/>
        <w:rPr>
          <w:rFonts w:ascii="Times New Roman" w:eastAsia="Calibri" w:hAnsi="Times New Roman"/>
          <w:i/>
          <w:sz w:val="20"/>
          <w:szCs w:val="20"/>
        </w:rPr>
      </w:pPr>
      <w:r w:rsidRPr="004204D7">
        <w:rPr>
          <w:rFonts w:ascii="Times New Roman" w:eastAsia="Calibri" w:hAnsi="Times New Roman"/>
          <w:sz w:val="20"/>
          <w:szCs w:val="20"/>
        </w:rPr>
        <w:t>2.</w:t>
      </w:r>
      <w:r w:rsidRPr="004204D7">
        <w:rPr>
          <w:rFonts w:ascii="Times New Roman" w:eastAsia="Calibri" w:hAnsi="Times New Roman"/>
          <w:i/>
          <w:sz w:val="20"/>
          <w:szCs w:val="20"/>
        </w:rPr>
        <w:t xml:space="preserve"> </w:t>
      </w:r>
      <w:r w:rsidRPr="004204D7">
        <w:rPr>
          <w:rFonts w:ascii="Times New Roman" w:eastAsia="Calibri" w:hAnsi="Times New Roman"/>
          <w:i/>
          <w:sz w:val="20"/>
          <w:szCs w:val="20"/>
        </w:rPr>
        <w:tab/>
        <w:t>A</w:t>
      </w:r>
      <w:r w:rsidR="001165C8" w:rsidRPr="004204D7">
        <w:rPr>
          <w:rFonts w:ascii="Times New Roman" w:eastAsia="Calibri" w:hAnsi="Times New Roman"/>
          <w:i/>
          <w:sz w:val="20"/>
          <w:szCs w:val="20"/>
        </w:rPr>
        <w:t>lso a</w:t>
      </w:r>
      <w:r w:rsidRPr="004204D7">
        <w:rPr>
          <w:rFonts w:ascii="Times New Roman" w:eastAsia="Calibri" w:hAnsi="Times New Roman"/>
          <w:i/>
          <w:sz w:val="20"/>
          <w:szCs w:val="20"/>
        </w:rPr>
        <w:t>pproves</w:t>
      </w:r>
      <w:r w:rsidRPr="004204D7">
        <w:rPr>
          <w:rFonts w:ascii="Times New Roman" w:eastAsia="Calibri" w:hAnsi="Times New Roman"/>
          <w:sz w:val="20"/>
          <w:szCs w:val="20"/>
        </w:rPr>
        <w:t xml:space="preserve"> the undertaking of a thematic assessment of the underlying causes of biodiversity loss, determinants of transformative change and options for achieving the 2050 </w:t>
      </w:r>
      <w:r w:rsidR="00775AF3" w:rsidRPr="00E806AF">
        <w:rPr>
          <w:rFonts w:ascii="Times New Roman" w:eastAsia="Calibri" w:hAnsi="Times New Roman"/>
          <w:sz w:val="20"/>
          <w:szCs w:val="20"/>
        </w:rPr>
        <w:t>V</w:t>
      </w:r>
      <w:r w:rsidRPr="004204D7">
        <w:rPr>
          <w:rFonts w:ascii="Times New Roman" w:eastAsia="Calibri" w:hAnsi="Times New Roman"/>
          <w:sz w:val="20"/>
          <w:szCs w:val="20"/>
        </w:rPr>
        <w:t xml:space="preserve">ision for </w:t>
      </w:r>
      <w:r w:rsidR="00775AF3" w:rsidRPr="00E806AF">
        <w:rPr>
          <w:rFonts w:ascii="Times New Roman" w:eastAsia="Calibri" w:hAnsi="Times New Roman"/>
          <w:sz w:val="20"/>
          <w:szCs w:val="20"/>
        </w:rPr>
        <w:t>B</w:t>
      </w:r>
      <w:r w:rsidRPr="004204D7">
        <w:rPr>
          <w:rFonts w:ascii="Times New Roman" w:eastAsia="Calibri" w:hAnsi="Times New Roman"/>
          <w:sz w:val="20"/>
          <w:szCs w:val="20"/>
        </w:rPr>
        <w:t>iodiversity</w:t>
      </w:r>
      <w:r w:rsidR="00342DFE" w:rsidRPr="00E806AF">
        <w:rPr>
          <w:rFonts w:ascii="Times New Roman" w:eastAsia="Calibri" w:hAnsi="Times New Roman"/>
          <w:sz w:val="20"/>
          <w:szCs w:val="20"/>
        </w:rPr>
        <w:t>,</w:t>
      </w:r>
      <w:r w:rsidRPr="004204D7">
        <w:rPr>
          <w:rFonts w:ascii="Times New Roman" w:eastAsia="Calibri" w:hAnsi="Times New Roman"/>
          <w:sz w:val="20"/>
          <w:szCs w:val="20"/>
        </w:rPr>
        <w:t xml:space="preserve"> in accordance with the procedures for the preparation of Platform deliverables</w:t>
      </w:r>
      <w:r w:rsidRPr="004204D7">
        <w:rPr>
          <w:rFonts w:ascii="Times New Roman" w:eastAsia="Calibri" w:hAnsi="Times New Roman"/>
          <w:sz w:val="20"/>
          <w:szCs w:val="18"/>
          <w:vertAlign w:val="superscript"/>
        </w:rPr>
        <w:footnoteReference w:id="7"/>
      </w:r>
      <w:r w:rsidRPr="004204D7">
        <w:rPr>
          <w:rFonts w:ascii="Times New Roman" w:eastAsia="Calibri" w:hAnsi="Times New Roman"/>
          <w:sz w:val="20"/>
          <w:szCs w:val="20"/>
        </w:rPr>
        <w:t xml:space="preserve"> and as outlined in the scoping report for the assessment set out in annex [</w:t>
      </w:r>
      <w:r w:rsidR="00BF6B8F">
        <w:rPr>
          <w:rFonts w:ascii="Times New Roman" w:eastAsia="Calibri" w:hAnsi="Times New Roman"/>
          <w:sz w:val="20"/>
          <w:szCs w:val="20"/>
        </w:rPr>
        <w:t>--</w:t>
      </w:r>
      <w:r w:rsidRPr="004204D7">
        <w:rPr>
          <w:rFonts w:ascii="Times New Roman" w:eastAsia="Calibri" w:hAnsi="Times New Roman"/>
          <w:sz w:val="20"/>
          <w:szCs w:val="20"/>
        </w:rPr>
        <w:t>]</w:t>
      </w:r>
      <w:r w:rsidRPr="004204D7">
        <w:rPr>
          <w:rFonts w:ascii="Times New Roman" w:eastAsia="Calibri" w:hAnsi="Times New Roman"/>
          <w:sz w:val="20"/>
          <w:szCs w:val="18"/>
          <w:vertAlign w:val="superscript"/>
        </w:rPr>
        <w:footnoteReference w:id="8"/>
      </w:r>
      <w:r w:rsidRPr="004204D7">
        <w:rPr>
          <w:rFonts w:ascii="Times New Roman" w:eastAsia="Calibri" w:hAnsi="Times New Roman"/>
          <w:sz w:val="20"/>
          <w:szCs w:val="20"/>
        </w:rPr>
        <w:t xml:space="preserve"> to the present decision, for consideration by the Plenary at its eleventh session;</w:t>
      </w:r>
    </w:p>
    <w:p w14:paraId="4A0BCF82" w14:textId="6AD5FBF3" w:rsidR="007F453C" w:rsidRPr="004204D7" w:rsidRDefault="007F453C" w:rsidP="007F453C">
      <w:pPr>
        <w:tabs>
          <w:tab w:val="left" w:pos="624"/>
        </w:tabs>
        <w:spacing w:after="120" w:line="240" w:lineRule="auto"/>
        <w:ind w:left="1871" w:firstLine="624"/>
        <w:rPr>
          <w:rFonts w:ascii="Times New Roman" w:eastAsia="Calibri" w:hAnsi="Times New Roman"/>
          <w:sz w:val="20"/>
          <w:szCs w:val="20"/>
        </w:rPr>
      </w:pPr>
      <w:r w:rsidRPr="004204D7">
        <w:rPr>
          <w:rFonts w:ascii="Times New Roman" w:eastAsia="Calibri" w:hAnsi="Times New Roman"/>
          <w:sz w:val="20"/>
          <w:szCs w:val="20"/>
        </w:rPr>
        <w:t>3.</w:t>
      </w:r>
      <w:r w:rsidRPr="004204D7">
        <w:rPr>
          <w:rFonts w:ascii="Times New Roman" w:eastAsia="Calibri" w:hAnsi="Times New Roman"/>
          <w:i/>
          <w:sz w:val="20"/>
          <w:szCs w:val="20"/>
        </w:rPr>
        <w:tab/>
        <w:t>Welcomes</w:t>
      </w:r>
      <w:r w:rsidRPr="004204D7">
        <w:rPr>
          <w:rFonts w:ascii="Times New Roman" w:eastAsia="Calibri" w:hAnsi="Times New Roman"/>
          <w:sz w:val="20"/>
          <w:szCs w:val="20"/>
        </w:rPr>
        <w:t xml:space="preserve"> the report on the Platform workshop on biodiversity and pandemics,</w:t>
      </w:r>
      <w:r w:rsidRPr="004204D7">
        <w:rPr>
          <w:rFonts w:ascii="Times New Roman" w:eastAsia="Calibri" w:hAnsi="Times New Roman"/>
          <w:sz w:val="20"/>
          <w:szCs w:val="18"/>
          <w:vertAlign w:val="superscript"/>
        </w:rPr>
        <w:footnoteReference w:id="9"/>
      </w:r>
      <w:r w:rsidRPr="004204D7">
        <w:rPr>
          <w:rFonts w:ascii="Times New Roman" w:eastAsia="Calibri" w:hAnsi="Times New Roman"/>
          <w:sz w:val="20"/>
          <w:szCs w:val="20"/>
        </w:rPr>
        <w:t xml:space="preserve"> and invites the experts </w:t>
      </w:r>
      <w:r w:rsidR="002D225F" w:rsidRPr="004204D7">
        <w:rPr>
          <w:rFonts w:ascii="Times New Roman" w:eastAsia="Calibri" w:hAnsi="Times New Roman"/>
          <w:sz w:val="20"/>
          <w:szCs w:val="20"/>
        </w:rPr>
        <w:t xml:space="preserve">who </w:t>
      </w:r>
      <w:r w:rsidRPr="004204D7">
        <w:rPr>
          <w:rFonts w:ascii="Times New Roman" w:eastAsia="Calibri" w:hAnsi="Times New Roman"/>
          <w:sz w:val="20"/>
          <w:szCs w:val="20"/>
        </w:rPr>
        <w:t>will prepare the thematic assessment of the interlinkages among biodiversity, climate, water, food, energy and health to make use of the report in the undertaking of th</w:t>
      </w:r>
      <w:r w:rsidR="002D225F" w:rsidRPr="004204D7">
        <w:rPr>
          <w:rFonts w:ascii="Times New Roman" w:eastAsia="Calibri" w:hAnsi="Times New Roman"/>
          <w:sz w:val="20"/>
          <w:szCs w:val="20"/>
        </w:rPr>
        <w:t>at</w:t>
      </w:r>
      <w:r w:rsidRPr="004204D7">
        <w:rPr>
          <w:rFonts w:ascii="Times New Roman" w:eastAsia="Calibri" w:hAnsi="Times New Roman"/>
          <w:sz w:val="20"/>
          <w:szCs w:val="20"/>
        </w:rPr>
        <w:t xml:space="preserve"> assessment, in line with the procedures for the preparation of Platform deliverables;</w:t>
      </w:r>
      <w:r w:rsidRPr="004204D7">
        <w:rPr>
          <w:rFonts w:ascii="Times New Roman" w:eastAsia="Calibri" w:hAnsi="Times New Roman"/>
          <w:sz w:val="20"/>
          <w:szCs w:val="18"/>
          <w:vertAlign w:val="superscript"/>
        </w:rPr>
        <w:footnoteReference w:id="10"/>
      </w:r>
    </w:p>
    <w:p w14:paraId="42248525" w14:textId="37883B32" w:rsidR="007F453C" w:rsidRPr="004204D7" w:rsidRDefault="007F453C" w:rsidP="007F453C">
      <w:pPr>
        <w:tabs>
          <w:tab w:val="left" w:pos="624"/>
        </w:tabs>
        <w:spacing w:after="120" w:line="240" w:lineRule="auto"/>
        <w:ind w:left="1871" w:firstLine="624"/>
        <w:rPr>
          <w:rFonts w:ascii="Times New Roman" w:eastAsia="Calibri" w:hAnsi="Times New Roman"/>
          <w:sz w:val="20"/>
          <w:szCs w:val="20"/>
        </w:rPr>
      </w:pPr>
      <w:bookmarkStart w:id="1" w:name="_Hlk500170660"/>
      <w:r w:rsidRPr="004204D7">
        <w:rPr>
          <w:rFonts w:ascii="Times New Roman" w:eastAsia="Calibri" w:hAnsi="Times New Roman"/>
          <w:sz w:val="20"/>
          <w:szCs w:val="20"/>
        </w:rPr>
        <w:t>4.</w:t>
      </w:r>
      <w:r w:rsidRPr="004204D7">
        <w:rPr>
          <w:rFonts w:ascii="Times New Roman" w:eastAsia="Calibri" w:hAnsi="Times New Roman"/>
          <w:i/>
          <w:sz w:val="20"/>
          <w:szCs w:val="20"/>
        </w:rPr>
        <w:tab/>
      </w:r>
      <w:r w:rsidR="001165C8" w:rsidRPr="004204D7">
        <w:rPr>
          <w:rFonts w:ascii="Times New Roman" w:eastAsia="Calibri" w:hAnsi="Times New Roman"/>
          <w:i/>
          <w:sz w:val="20"/>
          <w:szCs w:val="20"/>
        </w:rPr>
        <w:t>Also w</w:t>
      </w:r>
      <w:r w:rsidRPr="004204D7">
        <w:rPr>
          <w:rFonts w:ascii="Times New Roman" w:eastAsia="Calibri" w:hAnsi="Times New Roman"/>
          <w:i/>
          <w:sz w:val="20"/>
          <w:szCs w:val="20"/>
        </w:rPr>
        <w:t>elcomes</w:t>
      </w:r>
      <w:r w:rsidRPr="004204D7">
        <w:rPr>
          <w:rFonts w:ascii="Times New Roman" w:eastAsia="Calibri" w:hAnsi="Times New Roman"/>
          <w:sz w:val="20"/>
          <w:szCs w:val="20"/>
        </w:rPr>
        <w:t xml:space="preserve"> </w:t>
      </w:r>
      <w:bookmarkStart w:id="2" w:name="_Hlk66458234"/>
      <w:r w:rsidRPr="004204D7">
        <w:rPr>
          <w:rFonts w:ascii="Times New Roman" w:eastAsia="Calibri" w:hAnsi="Times New Roman"/>
          <w:sz w:val="20"/>
          <w:szCs w:val="20"/>
        </w:rPr>
        <w:t>the report on the workshop on biodiversity and climate change,</w:t>
      </w:r>
      <w:r w:rsidRPr="004204D7">
        <w:rPr>
          <w:rFonts w:ascii="Times New Roman" w:eastAsia="Calibri" w:hAnsi="Times New Roman"/>
          <w:sz w:val="20"/>
          <w:szCs w:val="18"/>
          <w:vertAlign w:val="superscript"/>
        </w:rPr>
        <w:footnoteReference w:id="11"/>
      </w:r>
      <w:r w:rsidRPr="004204D7">
        <w:rPr>
          <w:rFonts w:ascii="Times New Roman" w:eastAsia="Calibri" w:hAnsi="Times New Roman"/>
          <w:sz w:val="20"/>
          <w:szCs w:val="20"/>
        </w:rPr>
        <w:t xml:space="preserve"> </w:t>
      </w:r>
      <w:bookmarkEnd w:id="2"/>
      <w:r w:rsidR="0081404F" w:rsidRPr="004204D7">
        <w:rPr>
          <w:rFonts w:ascii="Times New Roman" w:eastAsia="Calibri" w:hAnsi="Times New Roman"/>
          <w:sz w:val="20"/>
          <w:szCs w:val="20"/>
        </w:rPr>
        <w:t xml:space="preserve">co-sponsored by the Platform and the Intergovernmental Panel on Climate Change, </w:t>
      </w:r>
      <w:r w:rsidRPr="004204D7">
        <w:rPr>
          <w:rFonts w:ascii="Times New Roman" w:eastAsia="Calibri" w:hAnsi="Times New Roman"/>
          <w:sz w:val="20"/>
          <w:szCs w:val="20"/>
        </w:rPr>
        <w:t xml:space="preserve">and invites the experts </w:t>
      </w:r>
      <w:r w:rsidR="00172CC1" w:rsidRPr="004204D7">
        <w:rPr>
          <w:rFonts w:ascii="Times New Roman" w:eastAsia="Calibri" w:hAnsi="Times New Roman"/>
          <w:sz w:val="20"/>
          <w:szCs w:val="20"/>
        </w:rPr>
        <w:t xml:space="preserve">who </w:t>
      </w:r>
      <w:r w:rsidRPr="004204D7">
        <w:rPr>
          <w:rFonts w:ascii="Times New Roman" w:eastAsia="Calibri" w:hAnsi="Times New Roman"/>
          <w:sz w:val="20"/>
          <w:szCs w:val="20"/>
        </w:rPr>
        <w:t>will prepare the thematic assessment of the interlinkages among biodiversity, climate, water, food, energy and health to make use of the report in the undertaking of th</w:t>
      </w:r>
      <w:r w:rsidR="00172CC1" w:rsidRPr="004204D7">
        <w:rPr>
          <w:rFonts w:ascii="Times New Roman" w:eastAsia="Calibri" w:hAnsi="Times New Roman"/>
          <w:sz w:val="20"/>
          <w:szCs w:val="20"/>
        </w:rPr>
        <w:t>at</w:t>
      </w:r>
      <w:r w:rsidRPr="004204D7">
        <w:rPr>
          <w:rFonts w:ascii="Times New Roman" w:eastAsia="Calibri" w:hAnsi="Times New Roman"/>
          <w:sz w:val="20"/>
          <w:szCs w:val="20"/>
        </w:rPr>
        <w:t xml:space="preserve"> assessment, in line with the procedures for the preparation of Platform deliverables;</w:t>
      </w:r>
      <w:r w:rsidRPr="004204D7">
        <w:rPr>
          <w:rFonts w:ascii="Times New Roman" w:eastAsia="Calibri" w:hAnsi="Times New Roman"/>
          <w:sz w:val="20"/>
          <w:szCs w:val="18"/>
          <w:vertAlign w:val="superscript"/>
        </w:rPr>
        <w:footnoteReference w:id="12"/>
      </w:r>
    </w:p>
    <w:p w14:paraId="0E14AAE5" w14:textId="0F4F3774" w:rsidR="007F453C" w:rsidRPr="004204D7" w:rsidRDefault="007F453C" w:rsidP="007F453C">
      <w:pPr>
        <w:tabs>
          <w:tab w:val="left" w:pos="624"/>
        </w:tabs>
        <w:spacing w:after="120" w:line="240" w:lineRule="auto"/>
        <w:ind w:left="1871" w:firstLine="624"/>
        <w:rPr>
          <w:rFonts w:ascii="Times New Roman" w:eastAsia="Calibri" w:hAnsi="Times New Roman"/>
          <w:sz w:val="20"/>
          <w:szCs w:val="20"/>
        </w:rPr>
      </w:pPr>
      <w:r w:rsidRPr="004204D7">
        <w:rPr>
          <w:rFonts w:ascii="Times New Roman" w:eastAsia="Calibri" w:hAnsi="Times New Roman"/>
          <w:sz w:val="20"/>
          <w:szCs w:val="20"/>
        </w:rPr>
        <w:t>5.</w:t>
      </w:r>
      <w:r w:rsidRPr="004204D7">
        <w:rPr>
          <w:rFonts w:ascii="Times New Roman" w:eastAsia="Calibri" w:hAnsi="Times New Roman"/>
          <w:i/>
          <w:sz w:val="20"/>
          <w:szCs w:val="20"/>
        </w:rPr>
        <w:tab/>
        <w:t xml:space="preserve">Decides, </w:t>
      </w:r>
      <w:r w:rsidRPr="004204D7">
        <w:rPr>
          <w:rFonts w:ascii="Times New Roman" w:eastAsia="Calibri" w:hAnsi="Times New Roman"/>
          <w:iCs/>
          <w:sz w:val="20"/>
          <w:szCs w:val="20"/>
        </w:rPr>
        <w:t>in line with the need for ongoing adaptive management</w:t>
      </w:r>
      <w:r w:rsidR="003672F2" w:rsidRPr="004204D7">
        <w:rPr>
          <w:rFonts w:ascii="Times New Roman" w:eastAsia="Calibri" w:hAnsi="Times New Roman"/>
          <w:iCs/>
          <w:sz w:val="20"/>
          <w:szCs w:val="20"/>
        </w:rPr>
        <w:t>,</w:t>
      </w:r>
      <w:r w:rsidRPr="004204D7">
        <w:rPr>
          <w:rFonts w:ascii="Times New Roman" w:eastAsia="Calibri" w:hAnsi="Times New Roman"/>
          <w:iCs/>
          <w:sz w:val="20"/>
          <w:szCs w:val="20"/>
        </w:rPr>
        <w:t xml:space="preserve"> as set out in section II</w:t>
      </w:r>
      <w:r w:rsidR="007F1B53">
        <w:rPr>
          <w:rFonts w:ascii="Times New Roman" w:eastAsia="Calibri" w:hAnsi="Times New Roman"/>
          <w:iCs/>
          <w:sz w:val="20"/>
          <w:szCs w:val="20"/>
        </w:rPr>
        <w:t xml:space="preserve">, </w:t>
      </w:r>
      <w:r w:rsidR="007F1B53" w:rsidRPr="007F1B53">
        <w:rPr>
          <w:rFonts w:ascii="Times New Roman" w:eastAsia="Calibri" w:hAnsi="Times New Roman"/>
          <w:iCs/>
          <w:sz w:val="20"/>
          <w:szCs w:val="20"/>
        </w:rPr>
        <w:t>paragraph 12</w:t>
      </w:r>
      <w:r w:rsidR="009761E0">
        <w:rPr>
          <w:rFonts w:ascii="Times New Roman" w:eastAsia="Calibri" w:hAnsi="Times New Roman"/>
          <w:iCs/>
          <w:sz w:val="20"/>
          <w:szCs w:val="20"/>
        </w:rPr>
        <w:t>,</w:t>
      </w:r>
      <w:r w:rsidR="007F1B53" w:rsidRPr="007F1B53">
        <w:rPr>
          <w:rFonts w:ascii="Times New Roman" w:eastAsia="Calibri" w:hAnsi="Times New Roman"/>
          <w:iCs/>
          <w:sz w:val="20"/>
          <w:szCs w:val="20"/>
        </w:rPr>
        <w:t xml:space="preserve"> </w:t>
      </w:r>
      <w:r w:rsidR="003672F2" w:rsidRPr="004204D7">
        <w:rPr>
          <w:rFonts w:ascii="Times New Roman" w:eastAsia="Calibri" w:hAnsi="Times New Roman"/>
          <w:iCs/>
          <w:sz w:val="20"/>
          <w:szCs w:val="20"/>
        </w:rPr>
        <w:t>of decision IPBES-7/1,</w:t>
      </w:r>
      <w:r w:rsidRPr="004204D7">
        <w:rPr>
          <w:rFonts w:ascii="Times New Roman" w:eastAsia="Calibri" w:hAnsi="Times New Roman"/>
          <w:iCs/>
          <w:sz w:val="20"/>
          <w:szCs w:val="20"/>
        </w:rPr>
        <w:t xml:space="preserve"> </w:t>
      </w:r>
      <w:r w:rsidRPr="004204D7">
        <w:rPr>
          <w:rFonts w:ascii="Times New Roman" w:eastAsia="Calibri" w:hAnsi="Times New Roman"/>
          <w:sz w:val="20"/>
          <w:szCs w:val="20"/>
        </w:rPr>
        <w:t xml:space="preserve">that with the completion of the </w:t>
      </w:r>
      <w:r w:rsidR="00BE2AC5" w:rsidRPr="004204D7">
        <w:rPr>
          <w:rFonts w:ascii="Times New Roman" w:eastAsia="Calibri" w:hAnsi="Times New Roman"/>
          <w:sz w:val="20"/>
          <w:szCs w:val="20"/>
        </w:rPr>
        <w:t xml:space="preserve">report on the </w:t>
      </w:r>
      <w:r w:rsidRPr="004204D7">
        <w:rPr>
          <w:rFonts w:ascii="Times New Roman" w:eastAsia="Calibri" w:hAnsi="Times New Roman"/>
          <w:sz w:val="20"/>
          <w:szCs w:val="20"/>
        </w:rPr>
        <w:t xml:space="preserve">workshop </w:t>
      </w:r>
      <w:r w:rsidR="00BE2AC5" w:rsidRPr="004204D7">
        <w:rPr>
          <w:rFonts w:ascii="Times New Roman" w:eastAsia="Calibri" w:hAnsi="Times New Roman"/>
          <w:sz w:val="20"/>
          <w:szCs w:val="20"/>
        </w:rPr>
        <w:t xml:space="preserve">on biodiversity and climate change, </w:t>
      </w:r>
      <w:r w:rsidRPr="004204D7">
        <w:rPr>
          <w:rFonts w:ascii="Times New Roman" w:eastAsia="Calibri" w:hAnsi="Times New Roman"/>
          <w:sz w:val="20"/>
          <w:szCs w:val="20"/>
        </w:rPr>
        <w:t>a technical paper on biodiversity and climate change</w:t>
      </w:r>
      <w:r w:rsidR="00BE2AC5" w:rsidRPr="004204D7">
        <w:rPr>
          <w:rFonts w:ascii="Times New Roman" w:eastAsia="Calibri" w:hAnsi="Times New Roman"/>
          <w:sz w:val="20"/>
          <w:szCs w:val="20"/>
        </w:rPr>
        <w:t>,</w:t>
      </w:r>
      <w:r w:rsidRPr="004204D7">
        <w:rPr>
          <w:rFonts w:ascii="Times New Roman" w:eastAsia="Calibri" w:hAnsi="Times New Roman"/>
          <w:sz w:val="20"/>
          <w:szCs w:val="20"/>
        </w:rPr>
        <w:t xml:space="preserve"> </w:t>
      </w:r>
      <w:r w:rsidR="00284B08" w:rsidRPr="004204D7">
        <w:rPr>
          <w:rFonts w:ascii="Times New Roman" w:eastAsia="Calibri" w:hAnsi="Times New Roman"/>
          <w:sz w:val="20"/>
          <w:szCs w:val="20"/>
        </w:rPr>
        <w:t>the preparation of which w</w:t>
      </w:r>
      <w:r w:rsidRPr="004204D7">
        <w:rPr>
          <w:rFonts w:ascii="Times New Roman" w:eastAsia="Calibri" w:hAnsi="Times New Roman"/>
          <w:sz w:val="20"/>
          <w:szCs w:val="20"/>
        </w:rPr>
        <w:t xml:space="preserve">as agreed in </w:t>
      </w:r>
      <w:r w:rsidR="003D459D" w:rsidRPr="004204D7">
        <w:rPr>
          <w:rFonts w:ascii="Times New Roman" w:eastAsia="Calibri" w:hAnsi="Times New Roman"/>
          <w:sz w:val="20"/>
          <w:szCs w:val="20"/>
        </w:rPr>
        <w:t>section II</w:t>
      </w:r>
      <w:r w:rsidR="007F1B53">
        <w:rPr>
          <w:rFonts w:ascii="Times New Roman" w:eastAsia="Calibri" w:hAnsi="Times New Roman"/>
          <w:sz w:val="20"/>
          <w:szCs w:val="20"/>
        </w:rPr>
        <w:t xml:space="preserve">, </w:t>
      </w:r>
      <w:r w:rsidR="007F1B53" w:rsidRPr="007F1B53">
        <w:rPr>
          <w:rFonts w:ascii="Times New Roman" w:eastAsia="Calibri" w:hAnsi="Times New Roman"/>
          <w:sz w:val="20"/>
          <w:szCs w:val="20"/>
        </w:rPr>
        <w:t>paragraph 6</w:t>
      </w:r>
      <w:r w:rsidR="009761E0">
        <w:rPr>
          <w:rFonts w:ascii="Times New Roman" w:eastAsia="Calibri" w:hAnsi="Times New Roman"/>
          <w:sz w:val="20"/>
          <w:szCs w:val="20"/>
        </w:rPr>
        <w:t>,</w:t>
      </w:r>
      <w:r w:rsidR="007F1B53" w:rsidRPr="007F1B53">
        <w:rPr>
          <w:rFonts w:ascii="Times New Roman" w:eastAsia="Calibri" w:hAnsi="Times New Roman"/>
          <w:sz w:val="20"/>
          <w:szCs w:val="20"/>
        </w:rPr>
        <w:t xml:space="preserve"> of</w:t>
      </w:r>
      <w:r w:rsidR="003D459D" w:rsidRPr="004204D7">
        <w:rPr>
          <w:rFonts w:ascii="Times New Roman" w:eastAsia="Calibri" w:hAnsi="Times New Roman"/>
          <w:sz w:val="20"/>
          <w:szCs w:val="20"/>
        </w:rPr>
        <w:t xml:space="preserve"> </w:t>
      </w:r>
      <w:r w:rsidRPr="004204D7">
        <w:rPr>
          <w:rFonts w:ascii="Times New Roman" w:eastAsia="Calibri" w:hAnsi="Times New Roman"/>
          <w:sz w:val="20"/>
          <w:szCs w:val="20"/>
        </w:rPr>
        <w:t xml:space="preserve">decision IPBES-7/1, is no longer required; </w:t>
      </w:r>
    </w:p>
    <w:p w14:paraId="49ECCD7C" w14:textId="667BBE6E" w:rsidR="007F453C" w:rsidRPr="004204D7" w:rsidRDefault="007F453C" w:rsidP="007F453C">
      <w:pPr>
        <w:tabs>
          <w:tab w:val="left" w:pos="624"/>
        </w:tabs>
        <w:spacing w:after="120" w:line="240" w:lineRule="auto"/>
        <w:ind w:left="1871" w:firstLine="624"/>
        <w:rPr>
          <w:rFonts w:ascii="Times New Roman" w:eastAsia="Calibri" w:hAnsi="Times New Roman"/>
          <w:sz w:val="20"/>
          <w:szCs w:val="20"/>
        </w:rPr>
      </w:pPr>
      <w:bookmarkStart w:id="3" w:name="_Hlk66458091"/>
      <w:r w:rsidRPr="004204D7">
        <w:rPr>
          <w:rFonts w:ascii="Times New Roman" w:eastAsia="Calibri" w:hAnsi="Times New Roman"/>
          <w:sz w:val="20"/>
          <w:szCs w:val="20"/>
        </w:rPr>
        <w:t>6.</w:t>
      </w:r>
      <w:r w:rsidRPr="004204D7">
        <w:rPr>
          <w:rFonts w:ascii="Times New Roman" w:eastAsia="Calibri" w:hAnsi="Times New Roman"/>
          <w:sz w:val="20"/>
          <w:szCs w:val="20"/>
        </w:rPr>
        <w:tab/>
      </w:r>
      <w:r w:rsidRPr="004204D7">
        <w:rPr>
          <w:rFonts w:ascii="Times New Roman" w:eastAsia="Calibri" w:hAnsi="Times New Roman"/>
          <w:i/>
          <w:iCs/>
          <w:sz w:val="20"/>
          <w:szCs w:val="20"/>
        </w:rPr>
        <w:t>Welcomes</w:t>
      </w:r>
      <w:r w:rsidRPr="004204D7">
        <w:rPr>
          <w:rFonts w:ascii="Times New Roman" w:eastAsia="Calibri" w:hAnsi="Times New Roman"/>
          <w:sz w:val="20"/>
          <w:szCs w:val="20"/>
        </w:rPr>
        <w:t xml:space="preserve"> the note </w:t>
      </w:r>
      <w:r w:rsidR="00B1711F" w:rsidRPr="004204D7">
        <w:rPr>
          <w:rFonts w:ascii="Times New Roman" w:eastAsia="Calibri" w:hAnsi="Times New Roman"/>
          <w:sz w:val="20"/>
          <w:szCs w:val="20"/>
        </w:rPr>
        <w:t xml:space="preserve">by the secretariat </w:t>
      </w:r>
      <w:r w:rsidRPr="004204D7">
        <w:rPr>
          <w:rFonts w:ascii="Times New Roman" w:eastAsia="Calibri" w:hAnsi="Times New Roman"/>
          <w:sz w:val="20"/>
          <w:szCs w:val="20"/>
        </w:rPr>
        <w:t xml:space="preserve">on </w:t>
      </w:r>
      <w:r w:rsidR="00A42E0B" w:rsidRPr="004204D7">
        <w:rPr>
          <w:rFonts w:ascii="Times New Roman" w:eastAsia="Calibri" w:hAnsi="Times New Roman"/>
          <w:sz w:val="20"/>
          <w:szCs w:val="20"/>
        </w:rPr>
        <w:t xml:space="preserve">the work on </w:t>
      </w:r>
      <w:r w:rsidRPr="004204D7">
        <w:rPr>
          <w:rFonts w:ascii="Times New Roman" w:eastAsia="Calibri" w:hAnsi="Times New Roman"/>
          <w:sz w:val="20"/>
          <w:szCs w:val="20"/>
        </w:rPr>
        <w:t>biodiversity and climate change</w:t>
      </w:r>
      <w:r w:rsidR="00A42E0B" w:rsidRPr="004204D7">
        <w:t xml:space="preserve"> </w:t>
      </w:r>
      <w:r w:rsidR="00A42E0B" w:rsidRPr="004204D7">
        <w:rPr>
          <w:rFonts w:ascii="Times New Roman" w:eastAsia="Calibri" w:hAnsi="Times New Roman"/>
          <w:sz w:val="20"/>
          <w:szCs w:val="20"/>
        </w:rPr>
        <w:t>and collaboration with the Intergovernmental Panel on Climate Change</w:t>
      </w:r>
      <w:r w:rsidRPr="004204D7">
        <w:rPr>
          <w:rFonts w:ascii="Times New Roman" w:eastAsia="Calibri" w:hAnsi="Times New Roman"/>
          <w:sz w:val="20"/>
          <w:szCs w:val="20"/>
        </w:rPr>
        <w:t>;</w:t>
      </w:r>
      <w:r w:rsidRPr="004204D7">
        <w:rPr>
          <w:rFonts w:ascii="Times New Roman" w:eastAsia="Calibri" w:hAnsi="Times New Roman"/>
          <w:sz w:val="20"/>
          <w:szCs w:val="18"/>
          <w:vertAlign w:val="superscript"/>
        </w:rPr>
        <w:footnoteReference w:id="13"/>
      </w:r>
      <w:r w:rsidRPr="004204D7">
        <w:rPr>
          <w:rFonts w:ascii="Times New Roman" w:eastAsia="Calibri" w:hAnsi="Times New Roman"/>
          <w:sz w:val="20"/>
          <w:szCs w:val="20"/>
        </w:rPr>
        <w:t xml:space="preserve"> </w:t>
      </w:r>
    </w:p>
    <w:bookmarkEnd w:id="3"/>
    <w:p w14:paraId="1C93F407" w14:textId="0A33AED4" w:rsidR="007F453C" w:rsidRPr="004204D7" w:rsidRDefault="007F453C" w:rsidP="007F453C">
      <w:pPr>
        <w:tabs>
          <w:tab w:val="left" w:pos="624"/>
        </w:tabs>
        <w:spacing w:after="120" w:line="240" w:lineRule="auto"/>
        <w:ind w:left="1871" w:firstLine="624"/>
        <w:rPr>
          <w:rFonts w:ascii="Times New Roman" w:eastAsia="Calibri" w:hAnsi="Times New Roman"/>
          <w:sz w:val="20"/>
          <w:szCs w:val="20"/>
        </w:rPr>
      </w:pPr>
      <w:r w:rsidRPr="004204D7">
        <w:rPr>
          <w:rFonts w:ascii="Times New Roman" w:eastAsia="Calibri" w:hAnsi="Times New Roman"/>
          <w:sz w:val="20"/>
          <w:szCs w:val="20"/>
        </w:rPr>
        <w:t>7.</w:t>
      </w:r>
      <w:r w:rsidRPr="004204D7">
        <w:rPr>
          <w:rFonts w:ascii="Times New Roman" w:eastAsia="Calibri" w:hAnsi="Times New Roman"/>
          <w:sz w:val="20"/>
          <w:szCs w:val="20"/>
        </w:rPr>
        <w:tab/>
      </w:r>
      <w:r w:rsidRPr="004204D7">
        <w:rPr>
          <w:rFonts w:ascii="Times New Roman" w:eastAsia="Calibri" w:hAnsi="Times New Roman"/>
          <w:i/>
          <w:iCs/>
          <w:sz w:val="20"/>
          <w:szCs w:val="20"/>
        </w:rPr>
        <w:t>Invites</w:t>
      </w:r>
      <w:r w:rsidRPr="004204D7">
        <w:rPr>
          <w:rFonts w:ascii="Times New Roman" w:eastAsia="Calibri" w:hAnsi="Times New Roman"/>
          <w:sz w:val="20"/>
          <w:szCs w:val="20"/>
        </w:rPr>
        <w:t xml:space="preserve"> the Chair and the Executive Secretary of IPBES to continue </w:t>
      </w:r>
      <w:r w:rsidR="00FC7391" w:rsidRPr="004204D7">
        <w:rPr>
          <w:rFonts w:ascii="Times New Roman" w:eastAsia="Calibri" w:hAnsi="Times New Roman"/>
          <w:sz w:val="20"/>
          <w:szCs w:val="20"/>
        </w:rPr>
        <w:t xml:space="preserve">to </w:t>
      </w:r>
      <w:r w:rsidRPr="004204D7">
        <w:rPr>
          <w:rFonts w:ascii="Times New Roman" w:eastAsia="Calibri" w:hAnsi="Times New Roman"/>
          <w:sz w:val="20"/>
          <w:szCs w:val="20"/>
        </w:rPr>
        <w:t>explor</w:t>
      </w:r>
      <w:r w:rsidR="00FC7391" w:rsidRPr="004204D7">
        <w:rPr>
          <w:rFonts w:ascii="Times New Roman" w:eastAsia="Calibri" w:hAnsi="Times New Roman"/>
          <w:sz w:val="20"/>
          <w:szCs w:val="20"/>
        </w:rPr>
        <w:t>e</w:t>
      </w:r>
      <w:r w:rsidRPr="004204D7">
        <w:rPr>
          <w:rFonts w:ascii="Times New Roman" w:eastAsia="Calibri" w:hAnsi="Times New Roman"/>
          <w:sz w:val="20"/>
          <w:szCs w:val="20"/>
        </w:rPr>
        <w:t xml:space="preserve"> with the Chair and </w:t>
      </w:r>
      <w:r w:rsidR="007D7891" w:rsidRPr="004204D7">
        <w:rPr>
          <w:rFonts w:ascii="Times New Roman" w:eastAsia="Calibri" w:hAnsi="Times New Roman"/>
          <w:sz w:val="20"/>
          <w:szCs w:val="20"/>
        </w:rPr>
        <w:t xml:space="preserve">the </w:t>
      </w:r>
      <w:r w:rsidRPr="004204D7">
        <w:rPr>
          <w:rFonts w:ascii="Times New Roman" w:eastAsia="Calibri" w:hAnsi="Times New Roman"/>
          <w:sz w:val="20"/>
          <w:szCs w:val="20"/>
        </w:rPr>
        <w:t xml:space="preserve">Secretary of the Intergovernmental Panel on Climate Change </w:t>
      </w:r>
      <w:bookmarkStart w:id="4" w:name="_Hlk66458066"/>
      <w:r w:rsidRPr="004204D7">
        <w:rPr>
          <w:rFonts w:ascii="Times New Roman" w:eastAsia="Calibri" w:hAnsi="Times New Roman"/>
          <w:sz w:val="20"/>
          <w:szCs w:val="20"/>
        </w:rPr>
        <w:t xml:space="preserve">possible joint activities between </w:t>
      </w:r>
      <w:r w:rsidR="00FC7391" w:rsidRPr="004204D7">
        <w:rPr>
          <w:rFonts w:ascii="Times New Roman" w:eastAsia="Calibri" w:hAnsi="Times New Roman"/>
          <w:sz w:val="20"/>
          <w:szCs w:val="20"/>
        </w:rPr>
        <w:t xml:space="preserve">the Panel </w:t>
      </w:r>
      <w:r w:rsidRPr="004204D7">
        <w:rPr>
          <w:rFonts w:ascii="Times New Roman" w:eastAsia="Calibri" w:hAnsi="Times New Roman"/>
          <w:sz w:val="20"/>
          <w:szCs w:val="20"/>
        </w:rPr>
        <w:t xml:space="preserve">and IPBES, including those set out in section II of the note </w:t>
      </w:r>
      <w:r w:rsidRPr="004204D7">
        <w:rPr>
          <w:rFonts w:ascii="Times New Roman" w:eastAsia="Calibri" w:hAnsi="Times New Roman"/>
          <w:sz w:val="20"/>
          <w:szCs w:val="20"/>
        </w:rPr>
        <w:lastRenderedPageBreak/>
        <w:t xml:space="preserve">on biodiversity and climate change, and to report on progress to the Plenary at its ninth session; </w:t>
      </w:r>
      <w:bookmarkEnd w:id="4"/>
    </w:p>
    <w:p w14:paraId="73056C2F" w14:textId="77777777" w:rsidR="007F453C" w:rsidRPr="004204D7" w:rsidRDefault="007F453C" w:rsidP="00404335">
      <w:pPr>
        <w:pStyle w:val="Normalnumber"/>
        <w:tabs>
          <w:tab w:val="clear" w:pos="1134"/>
        </w:tabs>
      </w:pPr>
      <w:r w:rsidRPr="004204D7">
        <w:t xml:space="preserve">The Plenary may wish to consider the following draft decision under item 9 of the provisional agenda: </w:t>
      </w:r>
    </w:p>
    <w:p w14:paraId="32143765" w14:textId="093FC733" w:rsidR="007F453C" w:rsidRDefault="007F453C" w:rsidP="007F453C">
      <w:pPr>
        <w:tabs>
          <w:tab w:val="left" w:pos="624"/>
        </w:tabs>
        <w:spacing w:after="120" w:line="240" w:lineRule="auto"/>
        <w:ind w:left="1871" w:firstLine="624"/>
        <w:rPr>
          <w:rFonts w:ascii="Times New Roman" w:eastAsia="Calibri" w:hAnsi="Times New Roman"/>
          <w:sz w:val="20"/>
          <w:szCs w:val="20"/>
        </w:rPr>
      </w:pPr>
      <w:r w:rsidRPr="004204D7">
        <w:rPr>
          <w:rFonts w:ascii="Times New Roman" w:eastAsia="Calibri" w:hAnsi="Times New Roman"/>
          <w:i/>
          <w:sz w:val="20"/>
          <w:szCs w:val="20"/>
        </w:rPr>
        <w:t xml:space="preserve">Decides, </w:t>
      </w:r>
      <w:r w:rsidRPr="004204D7">
        <w:rPr>
          <w:rFonts w:ascii="Times New Roman" w:eastAsia="Calibri" w:hAnsi="Times New Roman"/>
          <w:iCs/>
          <w:sz w:val="20"/>
          <w:szCs w:val="20"/>
        </w:rPr>
        <w:t>notwithstanding section 3.1 and related provisions of the procedures for the preparation of Platform deliverables</w:t>
      </w:r>
      <w:r w:rsidRPr="004204D7">
        <w:rPr>
          <w:rFonts w:ascii="Times New Roman" w:eastAsia="Calibri" w:hAnsi="Times New Roman"/>
          <w:sz w:val="20"/>
          <w:szCs w:val="20"/>
        </w:rPr>
        <w:t>,</w:t>
      </w:r>
      <w:r w:rsidRPr="004204D7">
        <w:rPr>
          <w:rFonts w:ascii="Times New Roman" w:eastAsia="Calibri" w:hAnsi="Times New Roman"/>
          <w:sz w:val="20"/>
          <w:szCs w:val="18"/>
          <w:vertAlign w:val="superscript"/>
        </w:rPr>
        <w:footnoteReference w:id="14"/>
      </w:r>
      <w:r w:rsidRPr="004204D7">
        <w:rPr>
          <w:rFonts w:ascii="Times New Roman" w:eastAsia="Calibri" w:hAnsi="Times New Roman"/>
          <w:sz w:val="20"/>
          <w:szCs w:val="20"/>
          <w:vertAlign w:val="superscript"/>
        </w:rPr>
        <w:t xml:space="preserve"> </w:t>
      </w:r>
      <w:r w:rsidRPr="004204D7">
        <w:rPr>
          <w:rFonts w:ascii="Times New Roman" w:eastAsia="Calibri" w:hAnsi="Times New Roman"/>
          <w:sz w:val="20"/>
          <w:szCs w:val="20"/>
        </w:rPr>
        <w:t>to pilot an additional review of the summary for policymakers of the assessment report of the methodological assessment regarding the diverse conceptualization of multiple values of nature and its benefits, including biodiversity and ecosystem functions and services, by Governments in July</w:t>
      </w:r>
      <w:r w:rsidR="001B7AFE" w:rsidRPr="004204D7">
        <w:rPr>
          <w:rFonts w:ascii="Times New Roman" w:eastAsia="Calibri" w:hAnsi="Times New Roman"/>
          <w:sz w:val="20"/>
          <w:szCs w:val="20"/>
        </w:rPr>
        <w:t xml:space="preserve"> and </w:t>
      </w:r>
      <w:r w:rsidRPr="004204D7">
        <w:rPr>
          <w:rFonts w:ascii="Times New Roman" w:eastAsia="Calibri" w:hAnsi="Times New Roman"/>
          <w:sz w:val="20"/>
          <w:szCs w:val="20"/>
        </w:rPr>
        <w:t>August 2021;</w:t>
      </w:r>
    </w:p>
    <w:bookmarkEnd w:id="1"/>
    <w:p w14:paraId="4C9DDBF5" w14:textId="77777777" w:rsidR="007F453C" w:rsidRPr="004204D7" w:rsidRDefault="007F453C" w:rsidP="00404335">
      <w:pPr>
        <w:pStyle w:val="Normalnumber"/>
        <w:tabs>
          <w:tab w:val="clear" w:pos="1134"/>
        </w:tabs>
      </w:pPr>
      <w:r w:rsidRPr="004204D7">
        <w:t xml:space="preserve">The Plenary may wish to consider the following draft decision under item 8 of the provisional agenda: </w:t>
      </w:r>
    </w:p>
    <w:p w14:paraId="5F0C1DAB" w14:textId="77777777" w:rsidR="007F453C" w:rsidRPr="00C173A1" w:rsidRDefault="007F453C" w:rsidP="00C173A1">
      <w:pPr>
        <w:pStyle w:val="CH2"/>
        <w:spacing w:before="240"/>
        <w:ind w:firstLine="0"/>
        <w:jc w:val="center"/>
      </w:pPr>
      <w:r w:rsidRPr="00C173A1">
        <w:t>III</w:t>
      </w:r>
    </w:p>
    <w:p w14:paraId="6EDB16E3" w14:textId="77777777" w:rsidR="007F453C" w:rsidRPr="00C173A1" w:rsidRDefault="007F453C" w:rsidP="00C173A1">
      <w:pPr>
        <w:pStyle w:val="CH2"/>
        <w:spacing w:before="0"/>
        <w:ind w:firstLine="0"/>
        <w:jc w:val="center"/>
      </w:pPr>
      <w:r w:rsidRPr="00C173A1">
        <w:t>Building capacity</w:t>
      </w:r>
    </w:p>
    <w:p w14:paraId="660A06A3" w14:textId="1BA884BE" w:rsidR="007F453C" w:rsidRPr="004204D7" w:rsidRDefault="007F453C" w:rsidP="007F453C">
      <w:pPr>
        <w:tabs>
          <w:tab w:val="left" w:pos="624"/>
        </w:tabs>
        <w:spacing w:after="120" w:line="240" w:lineRule="auto"/>
        <w:ind w:left="1871" w:firstLine="624"/>
        <w:rPr>
          <w:rFonts w:ascii="Times New Roman" w:eastAsia="Times New Roman" w:hAnsi="Times New Roman"/>
          <w:sz w:val="20"/>
          <w:szCs w:val="20"/>
        </w:rPr>
      </w:pPr>
      <w:r w:rsidRPr="00E806AF">
        <w:rPr>
          <w:rFonts w:ascii="Times New Roman" w:eastAsia="Times New Roman" w:hAnsi="Times New Roman"/>
          <w:iCs/>
          <w:color w:val="000000"/>
          <w:sz w:val="20"/>
          <w:szCs w:val="20"/>
        </w:rPr>
        <w:t>1.</w:t>
      </w:r>
      <w:r w:rsidRPr="00E806AF">
        <w:rPr>
          <w:rFonts w:ascii="Times New Roman" w:eastAsia="Times New Roman" w:hAnsi="Times New Roman"/>
          <w:iCs/>
          <w:color w:val="000000"/>
          <w:sz w:val="20"/>
          <w:szCs w:val="20"/>
        </w:rPr>
        <w:tab/>
      </w:r>
      <w:r w:rsidRPr="00E806AF">
        <w:rPr>
          <w:rFonts w:ascii="Times New Roman" w:eastAsia="Times New Roman" w:hAnsi="Times New Roman"/>
          <w:i/>
          <w:color w:val="000000"/>
          <w:sz w:val="20"/>
          <w:szCs w:val="20"/>
        </w:rPr>
        <w:t>Welcomes</w:t>
      </w:r>
      <w:r w:rsidRPr="00E806AF">
        <w:rPr>
          <w:rFonts w:ascii="Times New Roman" w:eastAsia="Times New Roman" w:hAnsi="Times New Roman"/>
          <w:color w:val="000000"/>
          <w:sz w:val="20"/>
          <w:szCs w:val="20"/>
        </w:rPr>
        <w:t xml:space="preserve"> the progress made by the task force on capacity-building in the</w:t>
      </w:r>
      <w:r w:rsidRPr="00FD563C">
        <w:rPr>
          <w:rFonts w:ascii="Times New Roman" w:eastAsia="Times New Roman" w:hAnsi="Times New Roman"/>
          <w:sz w:val="20"/>
          <w:szCs w:val="20"/>
        </w:rPr>
        <w:t xml:space="preserve"> implementation of objectives 2</w:t>
      </w:r>
      <w:r w:rsidR="001401E8" w:rsidRPr="00FD563C">
        <w:rPr>
          <w:rFonts w:ascii="Times New Roman" w:eastAsia="Times New Roman" w:hAnsi="Times New Roman"/>
          <w:sz w:val="20"/>
          <w:szCs w:val="20"/>
        </w:rPr>
        <w:t xml:space="preserve"> </w:t>
      </w:r>
      <w:r w:rsidRPr="00FD563C">
        <w:rPr>
          <w:rFonts w:ascii="Times New Roman" w:eastAsia="Times New Roman" w:hAnsi="Times New Roman"/>
          <w:sz w:val="20"/>
          <w:szCs w:val="20"/>
        </w:rPr>
        <w:t>(a), 2</w:t>
      </w:r>
      <w:r w:rsidR="001401E8" w:rsidRPr="00FD563C">
        <w:rPr>
          <w:rFonts w:ascii="Times New Roman" w:eastAsia="Times New Roman" w:hAnsi="Times New Roman"/>
          <w:sz w:val="20"/>
          <w:szCs w:val="20"/>
        </w:rPr>
        <w:t xml:space="preserve"> </w:t>
      </w:r>
      <w:r w:rsidRPr="00FD563C">
        <w:rPr>
          <w:rFonts w:ascii="Times New Roman" w:eastAsia="Times New Roman" w:hAnsi="Times New Roman"/>
          <w:sz w:val="20"/>
          <w:szCs w:val="20"/>
        </w:rPr>
        <w:t>(b) and 2</w:t>
      </w:r>
      <w:r w:rsidR="001401E8" w:rsidRPr="00FD563C">
        <w:rPr>
          <w:rFonts w:ascii="Times New Roman" w:eastAsia="Times New Roman" w:hAnsi="Times New Roman"/>
          <w:sz w:val="20"/>
          <w:szCs w:val="20"/>
        </w:rPr>
        <w:t xml:space="preserve"> </w:t>
      </w:r>
      <w:r w:rsidRPr="00FD563C">
        <w:rPr>
          <w:rFonts w:ascii="Times New Roman" w:eastAsia="Times New Roman" w:hAnsi="Times New Roman"/>
          <w:sz w:val="20"/>
          <w:szCs w:val="20"/>
        </w:rPr>
        <w:t>(c) of the work programme of the Platform up to 2030;</w:t>
      </w:r>
    </w:p>
    <w:p w14:paraId="29AD84F1" w14:textId="44593C13" w:rsidR="007F453C" w:rsidRPr="00FD563C" w:rsidRDefault="007F453C" w:rsidP="007F453C">
      <w:pPr>
        <w:tabs>
          <w:tab w:val="left" w:pos="624"/>
        </w:tabs>
        <w:spacing w:after="120" w:line="240" w:lineRule="auto"/>
        <w:ind w:left="1871" w:firstLine="624"/>
        <w:rPr>
          <w:rFonts w:ascii="Times New Roman" w:eastAsia="Calibri" w:hAnsi="Times New Roman"/>
          <w:sz w:val="20"/>
          <w:szCs w:val="20"/>
        </w:rPr>
      </w:pPr>
      <w:r w:rsidRPr="00FD563C">
        <w:rPr>
          <w:rFonts w:ascii="Times New Roman" w:eastAsia="Times New Roman" w:hAnsi="Times New Roman"/>
          <w:iCs/>
          <w:color w:val="000000"/>
          <w:sz w:val="20"/>
          <w:szCs w:val="20"/>
        </w:rPr>
        <w:t>2.</w:t>
      </w:r>
      <w:r w:rsidRPr="00FD563C">
        <w:rPr>
          <w:rFonts w:ascii="Times New Roman" w:eastAsia="Times New Roman" w:hAnsi="Times New Roman"/>
          <w:iCs/>
          <w:color w:val="000000"/>
          <w:sz w:val="20"/>
          <w:szCs w:val="20"/>
        </w:rPr>
        <w:tab/>
      </w:r>
      <w:r w:rsidRPr="00FD563C">
        <w:rPr>
          <w:rFonts w:ascii="Times New Roman" w:eastAsia="Times New Roman" w:hAnsi="Times New Roman"/>
          <w:i/>
          <w:color w:val="000000"/>
          <w:sz w:val="20"/>
          <w:szCs w:val="20"/>
        </w:rPr>
        <w:t xml:space="preserve">Approves </w:t>
      </w:r>
      <w:r w:rsidRPr="00FD563C">
        <w:rPr>
          <w:rFonts w:ascii="Times New Roman" w:eastAsia="Times New Roman" w:hAnsi="Times New Roman"/>
          <w:color w:val="000000"/>
          <w:sz w:val="20"/>
          <w:szCs w:val="20"/>
        </w:rPr>
        <w:t xml:space="preserve">the </w:t>
      </w:r>
      <w:r w:rsidR="00BB415F">
        <w:rPr>
          <w:rFonts w:ascii="Times New Roman" w:eastAsia="Times New Roman" w:hAnsi="Times New Roman"/>
          <w:color w:val="000000"/>
          <w:sz w:val="20"/>
          <w:szCs w:val="20"/>
        </w:rPr>
        <w:t xml:space="preserve">interim </w:t>
      </w:r>
      <w:r w:rsidRPr="00FD563C">
        <w:rPr>
          <w:rFonts w:ascii="Times New Roman" w:eastAsia="Times New Roman" w:hAnsi="Times New Roman"/>
          <w:color w:val="000000"/>
          <w:sz w:val="20"/>
          <w:szCs w:val="20"/>
        </w:rPr>
        <w:t xml:space="preserve">workplan of the task force </w:t>
      </w:r>
      <w:r w:rsidRPr="00E806AF">
        <w:rPr>
          <w:rFonts w:ascii="Times New Roman" w:eastAsia="Times New Roman" w:hAnsi="Times New Roman"/>
          <w:color w:val="000000"/>
          <w:sz w:val="20"/>
          <w:szCs w:val="20"/>
        </w:rPr>
        <w:t xml:space="preserve">on capacity-building </w:t>
      </w:r>
      <w:r w:rsidRPr="00FD563C">
        <w:rPr>
          <w:rFonts w:ascii="Times New Roman" w:eastAsia="Times New Roman" w:hAnsi="Times New Roman"/>
          <w:color w:val="000000"/>
          <w:sz w:val="20"/>
          <w:szCs w:val="20"/>
        </w:rPr>
        <w:t>for the intersessional period 2021</w:t>
      </w:r>
      <w:r w:rsidR="006C2FDC">
        <w:rPr>
          <w:rFonts w:ascii="Times New Roman" w:eastAsia="Times New Roman" w:hAnsi="Times New Roman"/>
          <w:color w:val="000000"/>
          <w:sz w:val="20"/>
          <w:szCs w:val="20"/>
        </w:rPr>
        <w:t>–</w:t>
      </w:r>
      <w:r w:rsidRPr="00FD563C">
        <w:rPr>
          <w:rFonts w:ascii="Times New Roman" w:eastAsia="Times New Roman" w:hAnsi="Times New Roman"/>
          <w:color w:val="000000"/>
          <w:sz w:val="20"/>
          <w:szCs w:val="20"/>
        </w:rPr>
        <w:t>2022</w:t>
      </w:r>
      <w:r w:rsidR="004E2A30" w:rsidRPr="00FD563C">
        <w:rPr>
          <w:rFonts w:ascii="Times New Roman" w:eastAsia="Times New Roman" w:hAnsi="Times New Roman"/>
          <w:color w:val="000000"/>
          <w:sz w:val="20"/>
          <w:szCs w:val="20"/>
        </w:rPr>
        <w:t>,</w:t>
      </w:r>
      <w:r w:rsidRPr="00FD563C">
        <w:rPr>
          <w:rFonts w:ascii="Times New Roman" w:eastAsia="Times New Roman" w:hAnsi="Times New Roman"/>
          <w:color w:val="000000"/>
          <w:sz w:val="20"/>
          <w:szCs w:val="20"/>
        </w:rPr>
        <w:t xml:space="preserve"> </w:t>
      </w:r>
      <w:r w:rsidR="004E2A30" w:rsidRPr="00FD563C">
        <w:rPr>
          <w:rFonts w:ascii="Times New Roman" w:eastAsia="Times New Roman" w:hAnsi="Times New Roman"/>
          <w:color w:val="000000"/>
          <w:sz w:val="20"/>
          <w:szCs w:val="20"/>
        </w:rPr>
        <w:t xml:space="preserve">as </w:t>
      </w:r>
      <w:r w:rsidRPr="00FD563C">
        <w:rPr>
          <w:rFonts w:ascii="Times New Roman" w:eastAsia="Calibri" w:hAnsi="Times New Roman"/>
          <w:sz w:val="20"/>
          <w:szCs w:val="20"/>
        </w:rPr>
        <w:t>set out in annex [</w:t>
      </w:r>
      <w:r w:rsidR="006C2FDC">
        <w:rPr>
          <w:rFonts w:ascii="Times New Roman" w:eastAsia="Calibri" w:hAnsi="Times New Roman"/>
          <w:sz w:val="20"/>
          <w:szCs w:val="20"/>
        </w:rPr>
        <w:t>--</w:t>
      </w:r>
      <w:r w:rsidRPr="00FD563C">
        <w:rPr>
          <w:rFonts w:ascii="Times New Roman" w:eastAsia="Calibri" w:hAnsi="Times New Roman"/>
          <w:sz w:val="20"/>
          <w:szCs w:val="20"/>
        </w:rPr>
        <w:t>]</w:t>
      </w:r>
      <w:r w:rsidRPr="00FD563C">
        <w:rPr>
          <w:rFonts w:ascii="Times New Roman" w:eastAsia="Calibri" w:hAnsi="Times New Roman"/>
          <w:sz w:val="20"/>
          <w:szCs w:val="18"/>
          <w:vertAlign w:val="superscript"/>
        </w:rPr>
        <w:footnoteReference w:id="15"/>
      </w:r>
      <w:r w:rsidRPr="00FD563C">
        <w:rPr>
          <w:rFonts w:ascii="Times New Roman" w:eastAsia="Calibri" w:hAnsi="Times New Roman"/>
          <w:sz w:val="20"/>
          <w:szCs w:val="20"/>
        </w:rPr>
        <w:t xml:space="preserve"> to the present decision</w:t>
      </w:r>
      <w:r w:rsidRPr="00FD563C">
        <w:rPr>
          <w:rFonts w:ascii="Times New Roman" w:eastAsia="Times New Roman" w:hAnsi="Times New Roman"/>
          <w:color w:val="000000"/>
          <w:sz w:val="20"/>
          <w:szCs w:val="20"/>
        </w:rPr>
        <w:t>;</w:t>
      </w:r>
      <w:r w:rsidRPr="00FD563C">
        <w:rPr>
          <w:rFonts w:ascii="Times New Roman" w:eastAsia="Calibri" w:hAnsi="Times New Roman"/>
          <w:sz w:val="20"/>
          <w:szCs w:val="18"/>
          <w:vertAlign w:val="superscript"/>
        </w:rPr>
        <w:t xml:space="preserve"> </w:t>
      </w:r>
    </w:p>
    <w:p w14:paraId="00D1D058" w14:textId="76DEC726" w:rsidR="007F453C" w:rsidRPr="004204D7"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827A66">
        <w:rPr>
          <w:rFonts w:ascii="Times New Roman" w:eastAsia="Times New Roman" w:hAnsi="Times New Roman"/>
          <w:color w:val="000000"/>
          <w:sz w:val="20"/>
          <w:szCs w:val="20"/>
        </w:rPr>
        <w:tab/>
        <w:t>3.</w:t>
      </w:r>
      <w:r w:rsidRPr="00827A66">
        <w:rPr>
          <w:rFonts w:ascii="Times New Roman" w:eastAsia="Times New Roman" w:hAnsi="Times New Roman"/>
          <w:color w:val="000000"/>
          <w:sz w:val="20"/>
          <w:szCs w:val="20"/>
        </w:rPr>
        <w:tab/>
      </w:r>
      <w:r w:rsidRPr="00827A66">
        <w:rPr>
          <w:rFonts w:ascii="Times New Roman" w:eastAsia="Times New Roman" w:hAnsi="Times New Roman"/>
          <w:i/>
          <w:iCs/>
          <w:color w:val="000000"/>
          <w:sz w:val="20"/>
          <w:szCs w:val="20"/>
        </w:rPr>
        <w:t>Welcomes</w:t>
      </w:r>
      <w:r w:rsidRPr="00827A66">
        <w:rPr>
          <w:rFonts w:ascii="Times New Roman" w:eastAsia="Times New Roman" w:hAnsi="Times New Roman"/>
          <w:color w:val="000000"/>
          <w:sz w:val="20"/>
          <w:szCs w:val="20"/>
        </w:rPr>
        <w:t xml:space="preserve"> the progress made in the development of deliverables supporting </w:t>
      </w:r>
      <w:r w:rsidRPr="00827A66">
        <w:rPr>
          <w:rFonts w:ascii="Times New Roman" w:eastAsia="Times New Roman" w:hAnsi="Times New Roman"/>
          <w:sz w:val="20"/>
          <w:szCs w:val="20"/>
        </w:rPr>
        <w:t>objectives 2</w:t>
      </w:r>
      <w:r w:rsidR="00A35052" w:rsidRPr="00827A66">
        <w:rPr>
          <w:rFonts w:ascii="Times New Roman" w:eastAsia="Times New Roman" w:hAnsi="Times New Roman"/>
          <w:sz w:val="20"/>
          <w:szCs w:val="20"/>
        </w:rPr>
        <w:t xml:space="preserve"> </w:t>
      </w:r>
      <w:r w:rsidRPr="00827A66">
        <w:rPr>
          <w:rFonts w:ascii="Times New Roman" w:eastAsia="Times New Roman" w:hAnsi="Times New Roman"/>
          <w:sz w:val="20"/>
          <w:szCs w:val="20"/>
        </w:rPr>
        <w:t>(a), 2</w:t>
      </w:r>
      <w:r w:rsidR="00A35052" w:rsidRPr="00827A66">
        <w:rPr>
          <w:rFonts w:ascii="Times New Roman" w:eastAsia="Times New Roman" w:hAnsi="Times New Roman"/>
          <w:sz w:val="20"/>
          <w:szCs w:val="20"/>
        </w:rPr>
        <w:t xml:space="preserve"> </w:t>
      </w:r>
      <w:r w:rsidRPr="00827A66">
        <w:rPr>
          <w:rFonts w:ascii="Times New Roman" w:eastAsia="Times New Roman" w:hAnsi="Times New Roman"/>
          <w:sz w:val="20"/>
          <w:szCs w:val="20"/>
        </w:rPr>
        <w:t>(b) and 2</w:t>
      </w:r>
      <w:r w:rsidR="00A35052" w:rsidRPr="00827A66">
        <w:rPr>
          <w:rFonts w:ascii="Times New Roman" w:eastAsia="Times New Roman" w:hAnsi="Times New Roman"/>
          <w:sz w:val="20"/>
          <w:szCs w:val="20"/>
        </w:rPr>
        <w:t xml:space="preserve"> </w:t>
      </w:r>
      <w:r w:rsidRPr="00827A66">
        <w:rPr>
          <w:rFonts w:ascii="Times New Roman" w:eastAsia="Times New Roman" w:hAnsi="Times New Roman"/>
          <w:sz w:val="20"/>
          <w:szCs w:val="20"/>
        </w:rPr>
        <w:t>(c) and the three initial priority topics of the work programme of the Platform up to 2030,</w:t>
      </w:r>
      <w:r w:rsidRPr="00827A66">
        <w:rPr>
          <w:rFonts w:ascii="Times New Roman" w:eastAsia="Times New Roman" w:hAnsi="Times New Roman"/>
          <w:sz w:val="20"/>
          <w:szCs w:val="18"/>
          <w:vertAlign w:val="superscript"/>
        </w:rPr>
        <w:footnoteReference w:id="16"/>
      </w:r>
      <w:r w:rsidRPr="00827A66">
        <w:rPr>
          <w:rFonts w:ascii="Times New Roman" w:eastAsia="Times New Roman" w:hAnsi="Times New Roman"/>
          <w:sz w:val="20"/>
          <w:szCs w:val="20"/>
        </w:rPr>
        <w:t xml:space="preserve"> and decides to consider the deliverables at its ninth session</w:t>
      </w:r>
      <w:r w:rsidRPr="00827A66">
        <w:rPr>
          <w:rFonts w:ascii="Times New Roman" w:eastAsia="Times New Roman" w:hAnsi="Times New Roman"/>
          <w:color w:val="000000"/>
          <w:sz w:val="20"/>
          <w:szCs w:val="20"/>
        </w:rPr>
        <w:t>;</w:t>
      </w:r>
    </w:p>
    <w:p w14:paraId="0C327BB1" w14:textId="77777777" w:rsidR="007F453C" w:rsidRPr="00C173A1" w:rsidRDefault="007F453C" w:rsidP="00C173A1">
      <w:pPr>
        <w:pStyle w:val="CH2"/>
        <w:spacing w:before="240"/>
        <w:ind w:firstLine="0"/>
        <w:jc w:val="center"/>
      </w:pPr>
      <w:r w:rsidRPr="00C173A1">
        <w:t>IV</w:t>
      </w:r>
    </w:p>
    <w:p w14:paraId="07BFDFDD" w14:textId="77777777" w:rsidR="007F453C" w:rsidRPr="00C173A1" w:rsidRDefault="007F453C" w:rsidP="00C173A1">
      <w:pPr>
        <w:pStyle w:val="CH2"/>
        <w:spacing w:before="0"/>
        <w:ind w:firstLine="0"/>
        <w:jc w:val="center"/>
      </w:pPr>
      <w:r w:rsidRPr="00C173A1">
        <w:t>Strengthening the knowledge foundations</w:t>
      </w:r>
    </w:p>
    <w:p w14:paraId="66FBE6DB" w14:textId="4866DF1A" w:rsidR="007F453C" w:rsidRPr="00713E6C" w:rsidRDefault="007F453C" w:rsidP="007F453C">
      <w:pPr>
        <w:tabs>
          <w:tab w:val="left" w:pos="624"/>
        </w:tabs>
        <w:spacing w:after="120" w:line="240" w:lineRule="auto"/>
        <w:ind w:left="1871" w:firstLine="624"/>
        <w:rPr>
          <w:rFonts w:ascii="Times New Roman" w:eastAsia="Times New Roman" w:hAnsi="Times New Roman"/>
          <w:sz w:val="20"/>
          <w:szCs w:val="20"/>
        </w:rPr>
      </w:pPr>
      <w:bookmarkStart w:id="5" w:name="_Hlk500240677"/>
      <w:r w:rsidRPr="00E806AF">
        <w:rPr>
          <w:rFonts w:ascii="Times New Roman" w:eastAsia="Times New Roman" w:hAnsi="Times New Roman"/>
          <w:iCs/>
          <w:color w:val="000000"/>
          <w:sz w:val="20"/>
          <w:szCs w:val="20"/>
        </w:rPr>
        <w:t>1.</w:t>
      </w:r>
      <w:r w:rsidRPr="00E806AF">
        <w:rPr>
          <w:rFonts w:ascii="Times New Roman" w:eastAsia="Times New Roman" w:hAnsi="Times New Roman"/>
          <w:iCs/>
          <w:color w:val="000000"/>
          <w:sz w:val="20"/>
          <w:szCs w:val="20"/>
        </w:rPr>
        <w:tab/>
      </w:r>
      <w:r w:rsidRPr="00E806AF">
        <w:rPr>
          <w:rFonts w:ascii="Times New Roman" w:eastAsia="Times New Roman" w:hAnsi="Times New Roman"/>
          <w:i/>
          <w:color w:val="000000"/>
          <w:sz w:val="20"/>
          <w:szCs w:val="20"/>
        </w:rPr>
        <w:t>Welcomes</w:t>
      </w:r>
      <w:r w:rsidRPr="00E806AF">
        <w:rPr>
          <w:rFonts w:ascii="Times New Roman" w:eastAsia="Times New Roman" w:hAnsi="Times New Roman"/>
          <w:color w:val="000000"/>
          <w:sz w:val="20"/>
          <w:szCs w:val="20"/>
        </w:rPr>
        <w:t xml:space="preserve"> the progress made by the task force on knowledge and data in the</w:t>
      </w:r>
      <w:r w:rsidRPr="00713E6C">
        <w:rPr>
          <w:rFonts w:ascii="Times New Roman" w:eastAsia="Times New Roman" w:hAnsi="Times New Roman"/>
          <w:sz w:val="20"/>
          <w:szCs w:val="20"/>
        </w:rPr>
        <w:t xml:space="preserve"> implementation of objective 3</w:t>
      </w:r>
      <w:r w:rsidR="001401E8" w:rsidRPr="00713E6C">
        <w:rPr>
          <w:rFonts w:ascii="Times New Roman" w:eastAsia="Times New Roman" w:hAnsi="Times New Roman"/>
          <w:sz w:val="20"/>
          <w:szCs w:val="20"/>
        </w:rPr>
        <w:t xml:space="preserve"> </w:t>
      </w:r>
      <w:r w:rsidRPr="00713E6C">
        <w:rPr>
          <w:rFonts w:ascii="Times New Roman" w:eastAsia="Times New Roman" w:hAnsi="Times New Roman"/>
          <w:sz w:val="20"/>
          <w:szCs w:val="20"/>
        </w:rPr>
        <w:t>(a) of the work programme of the Platform up to 2030;</w:t>
      </w:r>
    </w:p>
    <w:p w14:paraId="68D43F47" w14:textId="2E6279B9" w:rsidR="007F453C" w:rsidRPr="00713E6C"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713E6C">
        <w:rPr>
          <w:rFonts w:ascii="Times New Roman" w:eastAsia="Times New Roman" w:hAnsi="Times New Roman"/>
          <w:color w:val="000000"/>
          <w:sz w:val="20"/>
          <w:szCs w:val="20"/>
        </w:rPr>
        <w:t>2.</w:t>
      </w:r>
      <w:r w:rsidRPr="00713E6C">
        <w:rPr>
          <w:rFonts w:ascii="Times New Roman" w:eastAsia="Times New Roman" w:hAnsi="Times New Roman"/>
          <w:color w:val="000000"/>
          <w:sz w:val="20"/>
          <w:szCs w:val="20"/>
        </w:rPr>
        <w:tab/>
      </w:r>
      <w:r w:rsidRPr="00713E6C">
        <w:rPr>
          <w:rFonts w:ascii="Times New Roman" w:eastAsia="Times New Roman" w:hAnsi="Times New Roman"/>
          <w:i/>
          <w:iCs/>
          <w:color w:val="000000"/>
          <w:sz w:val="20"/>
          <w:szCs w:val="20"/>
        </w:rPr>
        <w:t>Takes note of</w:t>
      </w:r>
      <w:r w:rsidRPr="00713E6C">
        <w:rPr>
          <w:rFonts w:ascii="Times New Roman" w:eastAsia="Times New Roman" w:hAnsi="Times New Roman"/>
          <w:color w:val="000000"/>
          <w:sz w:val="20"/>
          <w:szCs w:val="20"/>
        </w:rPr>
        <w:t xml:space="preserve"> the data management policy of the Platform;</w:t>
      </w:r>
      <w:r w:rsidRPr="00713E6C">
        <w:rPr>
          <w:rFonts w:ascii="Times New Roman" w:eastAsia="Calibri" w:hAnsi="Times New Roman"/>
          <w:sz w:val="20"/>
          <w:szCs w:val="18"/>
          <w:vertAlign w:val="superscript"/>
        </w:rPr>
        <w:footnoteReference w:id="17"/>
      </w:r>
    </w:p>
    <w:p w14:paraId="318C758A" w14:textId="32BF27BA" w:rsidR="007F453C" w:rsidRPr="00713E6C"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713E6C">
        <w:rPr>
          <w:rFonts w:ascii="Times New Roman" w:eastAsia="Times New Roman" w:hAnsi="Times New Roman"/>
          <w:iCs/>
          <w:color w:val="000000"/>
          <w:sz w:val="20"/>
          <w:szCs w:val="20"/>
        </w:rPr>
        <w:t>3.</w:t>
      </w:r>
      <w:r w:rsidRPr="00713E6C">
        <w:rPr>
          <w:rFonts w:ascii="Times New Roman" w:eastAsia="Times New Roman" w:hAnsi="Times New Roman"/>
          <w:iCs/>
          <w:color w:val="000000"/>
          <w:sz w:val="20"/>
          <w:szCs w:val="20"/>
        </w:rPr>
        <w:tab/>
      </w:r>
      <w:r w:rsidRPr="00713E6C">
        <w:rPr>
          <w:rFonts w:ascii="Times New Roman" w:eastAsia="Times New Roman" w:hAnsi="Times New Roman"/>
          <w:i/>
          <w:color w:val="000000"/>
          <w:sz w:val="20"/>
          <w:szCs w:val="20"/>
        </w:rPr>
        <w:t xml:space="preserve">Approves </w:t>
      </w:r>
      <w:r w:rsidRPr="00713E6C">
        <w:rPr>
          <w:rFonts w:ascii="Times New Roman" w:eastAsia="Times New Roman" w:hAnsi="Times New Roman"/>
          <w:color w:val="000000"/>
          <w:sz w:val="20"/>
          <w:szCs w:val="20"/>
        </w:rPr>
        <w:t xml:space="preserve">the </w:t>
      </w:r>
      <w:r w:rsidR="00BB415F">
        <w:rPr>
          <w:rFonts w:ascii="Times New Roman" w:eastAsia="Times New Roman" w:hAnsi="Times New Roman"/>
          <w:color w:val="000000"/>
          <w:sz w:val="20"/>
          <w:szCs w:val="20"/>
        </w:rPr>
        <w:t xml:space="preserve">interim </w:t>
      </w:r>
      <w:r w:rsidRPr="00713E6C">
        <w:rPr>
          <w:rFonts w:ascii="Times New Roman" w:eastAsia="Times New Roman" w:hAnsi="Times New Roman"/>
          <w:color w:val="000000"/>
          <w:sz w:val="20"/>
          <w:szCs w:val="20"/>
        </w:rPr>
        <w:t>workplan of the task force on knowledge and data for the intersessional period 2021</w:t>
      </w:r>
      <w:r w:rsidR="006C2FDC">
        <w:rPr>
          <w:rFonts w:ascii="Times New Roman" w:eastAsia="Times New Roman" w:hAnsi="Times New Roman"/>
          <w:color w:val="000000"/>
          <w:sz w:val="20"/>
          <w:szCs w:val="20"/>
        </w:rPr>
        <w:t>–</w:t>
      </w:r>
      <w:r w:rsidRPr="00713E6C">
        <w:rPr>
          <w:rFonts w:ascii="Times New Roman" w:eastAsia="Times New Roman" w:hAnsi="Times New Roman"/>
          <w:color w:val="000000"/>
          <w:sz w:val="20"/>
          <w:szCs w:val="20"/>
        </w:rPr>
        <w:t>2022</w:t>
      </w:r>
      <w:r w:rsidR="004E2A30" w:rsidRPr="00713E6C">
        <w:rPr>
          <w:rFonts w:ascii="Times New Roman" w:eastAsia="Times New Roman" w:hAnsi="Times New Roman"/>
          <w:color w:val="000000"/>
          <w:sz w:val="20"/>
          <w:szCs w:val="20"/>
        </w:rPr>
        <w:t>, as</w:t>
      </w:r>
      <w:r w:rsidRPr="00713E6C">
        <w:rPr>
          <w:rFonts w:ascii="Times New Roman" w:eastAsia="Times New Roman" w:hAnsi="Times New Roman"/>
          <w:color w:val="000000"/>
          <w:sz w:val="20"/>
          <w:szCs w:val="20"/>
        </w:rPr>
        <w:t xml:space="preserve"> </w:t>
      </w:r>
      <w:r w:rsidRPr="00713E6C">
        <w:rPr>
          <w:rFonts w:ascii="Times New Roman" w:eastAsia="Calibri" w:hAnsi="Times New Roman"/>
          <w:sz w:val="20"/>
          <w:szCs w:val="20"/>
        </w:rPr>
        <w:t>set out in annex [</w:t>
      </w:r>
      <w:r w:rsidR="006C2FDC">
        <w:rPr>
          <w:rFonts w:ascii="Times New Roman" w:eastAsia="Calibri" w:hAnsi="Times New Roman"/>
          <w:sz w:val="20"/>
          <w:szCs w:val="20"/>
        </w:rPr>
        <w:t>--</w:t>
      </w:r>
      <w:r w:rsidRPr="00713E6C">
        <w:rPr>
          <w:rFonts w:ascii="Times New Roman" w:eastAsia="Calibri" w:hAnsi="Times New Roman"/>
          <w:sz w:val="20"/>
          <w:szCs w:val="20"/>
        </w:rPr>
        <w:t>]</w:t>
      </w:r>
      <w:r w:rsidRPr="00713E6C">
        <w:rPr>
          <w:rFonts w:ascii="Times New Roman" w:eastAsia="Calibri" w:hAnsi="Times New Roman"/>
          <w:sz w:val="20"/>
          <w:szCs w:val="18"/>
          <w:vertAlign w:val="superscript"/>
        </w:rPr>
        <w:footnoteReference w:id="18"/>
      </w:r>
      <w:r w:rsidRPr="00713E6C">
        <w:rPr>
          <w:rFonts w:ascii="Times New Roman" w:eastAsia="Calibri" w:hAnsi="Times New Roman"/>
          <w:sz w:val="20"/>
          <w:szCs w:val="20"/>
        </w:rPr>
        <w:t xml:space="preserve"> to the present decision</w:t>
      </w:r>
      <w:r w:rsidRPr="00713E6C">
        <w:rPr>
          <w:rFonts w:ascii="Times New Roman" w:eastAsia="Times New Roman" w:hAnsi="Times New Roman"/>
          <w:color w:val="000000"/>
          <w:sz w:val="20"/>
          <w:szCs w:val="20"/>
        </w:rPr>
        <w:t>;</w:t>
      </w:r>
      <w:r w:rsidRPr="00713E6C">
        <w:rPr>
          <w:rFonts w:ascii="Times New Roman" w:eastAsia="Calibri" w:hAnsi="Times New Roman"/>
          <w:sz w:val="20"/>
          <w:szCs w:val="18"/>
          <w:vertAlign w:val="superscript"/>
        </w:rPr>
        <w:t xml:space="preserve"> </w:t>
      </w:r>
    </w:p>
    <w:p w14:paraId="7485F470" w14:textId="43DE7622" w:rsidR="007F453C" w:rsidRPr="00713E6C" w:rsidRDefault="007F453C" w:rsidP="007F453C">
      <w:pPr>
        <w:tabs>
          <w:tab w:val="left" w:pos="624"/>
        </w:tabs>
        <w:spacing w:after="120" w:line="240" w:lineRule="auto"/>
        <w:ind w:left="1871" w:firstLine="624"/>
        <w:rPr>
          <w:rFonts w:ascii="Times New Roman" w:eastAsia="Times New Roman" w:hAnsi="Times New Roman"/>
          <w:sz w:val="20"/>
          <w:szCs w:val="20"/>
        </w:rPr>
      </w:pPr>
      <w:r w:rsidRPr="00E806AF">
        <w:rPr>
          <w:rFonts w:ascii="Times New Roman" w:eastAsia="Times New Roman" w:hAnsi="Times New Roman"/>
          <w:iCs/>
          <w:color w:val="000000"/>
          <w:sz w:val="20"/>
          <w:szCs w:val="20"/>
        </w:rPr>
        <w:t>4.</w:t>
      </w:r>
      <w:r w:rsidRPr="00E806AF">
        <w:rPr>
          <w:rFonts w:ascii="Times New Roman" w:eastAsia="Times New Roman" w:hAnsi="Times New Roman"/>
          <w:iCs/>
          <w:color w:val="000000"/>
          <w:sz w:val="20"/>
          <w:szCs w:val="20"/>
        </w:rPr>
        <w:tab/>
      </w:r>
      <w:r w:rsidRPr="00E806AF">
        <w:rPr>
          <w:rFonts w:ascii="Times New Roman" w:eastAsia="Times New Roman" w:hAnsi="Times New Roman"/>
          <w:i/>
          <w:color w:val="000000"/>
          <w:sz w:val="20"/>
          <w:szCs w:val="20"/>
        </w:rPr>
        <w:t>Welcomes</w:t>
      </w:r>
      <w:r w:rsidRPr="00E806AF">
        <w:rPr>
          <w:rFonts w:ascii="Times New Roman" w:eastAsia="Times New Roman" w:hAnsi="Times New Roman"/>
          <w:color w:val="000000"/>
          <w:sz w:val="20"/>
          <w:szCs w:val="20"/>
        </w:rPr>
        <w:t xml:space="preserve"> the progress made by the task force on indigenous and local knowledge systems in the</w:t>
      </w:r>
      <w:r w:rsidRPr="00713E6C">
        <w:rPr>
          <w:rFonts w:ascii="Times New Roman" w:eastAsia="Times New Roman" w:hAnsi="Times New Roman"/>
          <w:sz w:val="20"/>
          <w:szCs w:val="20"/>
        </w:rPr>
        <w:t xml:space="preserve"> implementation of objective 3</w:t>
      </w:r>
      <w:r w:rsidR="001401E8" w:rsidRPr="00713E6C">
        <w:rPr>
          <w:rFonts w:ascii="Times New Roman" w:eastAsia="Times New Roman" w:hAnsi="Times New Roman"/>
          <w:sz w:val="20"/>
          <w:szCs w:val="20"/>
        </w:rPr>
        <w:t xml:space="preserve"> </w:t>
      </w:r>
      <w:r w:rsidRPr="00713E6C">
        <w:rPr>
          <w:rFonts w:ascii="Times New Roman" w:eastAsia="Times New Roman" w:hAnsi="Times New Roman"/>
          <w:sz w:val="20"/>
          <w:szCs w:val="20"/>
        </w:rPr>
        <w:t>(b) of the work programme of the Platform up to 2030;</w:t>
      </w:r>
    </w:p>
    <w:p w14:paraId="51FF6D90" w14:textId="44B37E74" w:rsidR="007F453C" w:rsidRPr="00713E6C" w:rsidRDefault="007F453C" w:rsidP="007F453C">
      <w:pPr>
        <w:tabs>
          <w:tab w:val="left" w:pos="624"/>
        </w:tabs>
        <w:spacing w:after="120" w:line="240" w:lineRule="auto"/>
        <w:ind w:left="1871" w:firstLine="624"/>
        <w:rPr>
          <w:rFonts w:ascii="Times New Roman" w:eastAsia="Calibri" w:hAnsi="Times New Roman"/>
          <w:sz w:val="20"/>
          <w:szCs w:val="20"/>
        </w:rPr>
      </w:pPr>
      <w:r w:rsidRPr="00713E6C">
        <w:rPr>
          <w:rFonts w:ascii="Times New Roman" w:eastAsia="Times New Roman" w:hAnsi="Times New Roman"/>
          <w:iCs/>
          <w:color w:val="000000"/>
          <w:sz w:val="20"/>
          <w:szCs w:val="20"/>
        </w:rPr>
        <w:t>5.</w:t>
      </w:r>
      <w:r w:rsidRPr="00713E6C">
        <w:rPr>
          <w:rFonts w:ascii="Times New Roman" w:eastAsia="Times New Roman" w:hAnsi="Times New Roman"/>
          <w:iCs/>
          <w:color w:val="000000"/>
          <w:sz w:val="20"/>
          <w:szCs w:val="20"/>
        </w:rPr>
        <w:tab/>
      </w:r>
      <w:r w:rsidRPr="00713E6C">
        <w:rPr>
          <w:rFonts w:ascii="Times New Roman" w:eastAsia="Times New Roman" w:hAnsi="Times New Roman"/>
          <w:i/>
          <w:color w:val="000000"/>
          <w:sz w:val="20"/>
          <w:szCs w:val="20"/>
        </w:rPr>
        <w:t xml:space="preserve">Approves </w:t>
      </w:r>
      <w:r w:rsidRPr="00713E6C">
        <w:rPr>
          <w:rFonts w:ascii="Times New Roman" w:eastAsia="Times New Roman" w:hAnsi="Times New Roman"/>
          <w:color w:val="000000"/>
          <w:sz w:val="20"/>
          <w:szCs w:val="20"/>
        </w:rPr>
        <w:t xml:space="preserve">the </w:t>
      </w:r>
      <w:r w:rsidR="00BB415F">
        <w:rPr>
          <w:rFonts w:ascii="Times New Roman" w:eastAsia="Times New Roman" w:hAnsi="Times New Roman"/>
          <w:color w:val="000000"/>
          <w:sz w:val="20"/>
          <w:szCs w:val="20"/>
        </w:rPr>
        <w:t xml:space="preserve">interim </w:t>
      </w:r>
      <w:r w:rsidRPr="00713E6C">
        <w:rPr>
          <w:rFonts w:ascii="Times New Roman" w:eastAsia="Times New Roman" w:hAnsi="Times New Roman"/>
          <w:color w:val="000000"/>
          <w:sz w:val="20"/>
          <w:szCs w:val="20"/>
        </w:rPr>
        <w:t xml:space="preserve">workplan of the </w:t>
      </w:r>
      <w:r w:rsidRPr="00E806AF">
        <w:rPr>
          <w:rFonts w:ascii="Times New Roman" w:eastAsia="Times New Roman" w:hAnsi="Times New Roman"/>
          <w:color w:val="000000"/>
          <w:sz w:val="20"/>
          <w:szCs w:val="20"/>
        </w:rPr>
        <w:t xml:space="preserve">task force on indigenous and local knowledge systems </w:t>
      </w:r>
      <w:r w:rsidRPr="00713E6C">
        <w:rPr>
          <w:rFonts w:ascii="Times New Roman" w:eastAsia="Times New Roman" w:hAnsi="Times New Roman"/>
          <w:color w:val="000000"/>
          <w:sz w:val="20"/>
          <w:szCs w:val="20"/>
        </w:rPr>
        <w:t>for the intersessional period 2021</w:t>
      </w:r>
      <w:r w:rsidR="006C2FDC">
        <w:rPr>
          <w:rFonts w:ascii="Times New Roman" w:eastAsia="Times New Roman" w:hAnsi="Times New Roman"/>
          <w:color w:val="000000"/>
          <w:sz w:val="20"/>
          <w:szCs w:val="20"/>
        </w:rPr>
        <w:t>–</w:t>
      </w:r>
      <w:r w:rsidRPr="00713E6C">
        <w:rPr>
          <w:rFonts w:ascii="Times New Roman" w:eastAsia="Times New Roman" w:hAnsi="Times New Roman"/>
          <w:color w:val="000000"/>
          <w:sz w:val="20"/>
          <w:szCs w:val="20"/>
        </w:rPr>
        <w:t>2022</w:t>
      </w:r>
      <w:r w:rsidR="004E2A30" w:rsidRPr="00713E6C">
        <w:rPr>
          <w:rFonts w:ascii="Times New Roman" w:eastAsia="Times New Roman" w:hAnsi="Times New Roman"/>
          <w:color w:val="000000"/>
          <w:sz w:val="20"/>
          <w:szCs w:val="20"/>
        </w:rPr>
        <w:t>, as</w:t>
      </w:r>
      <w:r w:rsidRPr="00713E6C">
        <w:rPr>
          <w:rFonts w:ascii="Times New Roman" w:eastAsia="Times New Roman" w:hAnsi="Times New Roman"/>
          <w:color w:val="000000"/>
          <w:sz w:val="20"/>
          <w:szCs w:val="20"/>
        </w:rPr>
        <w:t xml:space="preserve"> </w:t>
      </w:r>
      <w:r w:rsidRPr="00713E6C">
        <w:rPr>
          <w:rFonts w:ascii="Times New Roman" w:eastAsia="Calibri" w:hAnsi="Times New Roman"/>
          <w:sz w:val="20"/>
          <w:szCs w:val="20"/>
        </w:rPr>
        <w:t>set out in annex [</w:t>
      </w:r>
      <w:r w:rsidR="006C2FDC">
        <w:rPr>
          <w:rFonts w:ascii="Times New Roman" w:eastAsia="Calibri" w:hAnsi="Times New Roman"/>
          <w:sz w:val="20"/>
          <w:szCs w:val="20"/>
        </w:rPr>
        <w:t>--</w:t>
      </w:r>
      <w:r w:rsidRPr="00713E6C">
        <w:rPr>
          <w:rFonts w:ascii="Times New Roman" w:eastAsia="Calibri" w:hAnsi="Times New Roman"/>
          <w:sz w:val="20"/>
          <w:szCs w:val="20"/>
        </w:rPr>
        <w:t>]</w:t>
      </w:r>
      <w:r w:rsidRPr="00713E6C">
        <w:rPr>
          <w:rFonts w:ascii="Times New Roman" w:eastAsia="Calibri" w:hAnsi="Times New Roman"/>
          <w:sz w:val="20"/>
          <w:szCs w:val="18"/>
          <w:vertAlign w:val="superscript"/>
        </w:rPr>
        <w:footnoteReference w:id="19"/>
      </w:r>
      <w:r w:rsidRPr="00713E6C">
        <w:rPr>
          <w:rFonts w:ascii="Times New Roman" w:eastAsia="Calibri" w:hAnsi="Times New Roman"/>
          <w:sz w:val="20"/>
          <w:szCs w:val="20"/>
        </w:rPr>
        <w:t xml:space="preserve"> to the present decision</w:t>
      </w:r>
      <w:r w:rsidRPr="00713E6C">
        <w:rPr>
          <w:rFonts w:ascii="Times New Roman" w:eastAsia="Times New Roman" w:hAnsi="Times New Roman"/>
          <w:color w:val="000000"/>
          <w:sz w:val="20"/>
          <w:szCs w:val="20"/>
        </w:rPr>
        <w:t>;</w:t>
      </w:r>
      <w:r w:rsidRPr="00713E6C">
        <w:rPr>
          <w:rFonts w:ascii="Times New Roman" w:eastAsia="Calibri" w:hAnsi="Times New Roman"/>
          <w:sz w:val="20"/>
          <w:szCs w:val="18"/>
          <w:vertAlign w:val="superscript"/>
        </w:rPr>
        <w:t xml:space="preserve"> </w:t>
      </w:r>
    </w:p>
    <w:p w14:paraId="4F1B1756" w14:textId="3506F325" w:rsidR="007F453C" w:rsidRPr="004204D7"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713E6C">
        <w:rPr>
          <w:rFonts w:ascii="Times New Roman" w:eastAsia="Times New Roman" w:hAnsi="Times New Roman"/>
          <w:color w:val="000000"/>
          <w:sz w:val="20"/>
          <w:szCs w:val="20"/>
        </w:rPr>
        <w:tab/>
        <w:t>6.</w:t>
      </w:r>
      <w:r w:rsidRPr="00713E6C">
        <w:rPr>
          <w:rFonts w:ascii="Times New Roman" w:eastAsia="Times New Roman" w:hAnsi="Times New Roman"/>
          <w:color w:val="000000"/>
          <w:sz w:val="20"/>
          <w:szCs w:val="20"/>
        </w:rPr>
        <w:tab/>
      </w:r>
      <w:r w:rsidRPr="00713E6C">
        <w:rPr>
          <w:rFonts w:ascii="Times New Roman" w:eastAsia="Times New Roman" w:hAnsi="Times New Roman"/>
          <w:i/>
          <w:iCs/>
          <w:color w:val="000000"/>
          <w:sz w:val="20"/>
          <w:szCs w:val="20"/>
        </w:rPr>
        <w:t>Welcomes</w:t>
      </w:r>
      <w:r w:rsidRPr="00713E6C">
        <w:rPr>
          <w:rFonts w:ascii="Times New Roman" w:eastAsia="Times New Roman" w:hAnsi="Times New Roman"/>
          <w:color w:val="000000"/>
          <w:sz w:val="20"/>
          <w:szCs w:val="20"/>
        </w:rPr>
        <w:t xml:space="preserve"> the progress made in the development of the deliverables supporting </w:t>
      </w:r>
      <w:r w:rsidRPr="00713E6C">
        <w:rPr>
          <w:rFonts w:ascii="Times New Roman" w:eastAsia="Times New Roman" w:hAnsi="Times New Roman"/>
          <w:sz w:val="20"/>
          <w:szCs w:val="20"/>
        </w:rPr>
        <w:t>objectives 3</w:t>
      </w:r>
      <w:r w:rsidR="001401E8" w:rsidRPr="00713E6C">
        <w:rPr>
          <w:rFonts w:ascii="Times New Roman" w:eastAsia="Times New Roman" w:hAnsi="Times New Roman"/>
          <w:sz w:val="20"/>
          <w:szCs w:val="20"/>
        </w:rPr>
        <w:t xml:space="preserve"> </w:t>
      </w:r>
      <w:r w:rsidRPr="00713E6C">
        <w:rPr>
          <w:rFonts w:ascii="Times New Roman" w:eastAsia="Times New Roman" w:hAnsi="Times New Roman"/>
          <w:sz w:val="20"/>
          <w:szCs w:val="20"/>
        </w:rPr>
        <w:t>(a) and 3</w:t>
      </w:r>
      <w:r w:rsidR="001401E8" w:rsidRPr="00713E6C">
        <w:rPr>
          <w:rFonts w:ascii="Times New Roman" w:eastAsia="Times New Roman" w:hAnsi="Times New Roman"/>
          <w:sz w:val="20"/>
          <w:szCs w:val="20"/>
        </w:rPr>
        <w:t xml:space="preserve"> </w:t>
      </w:r>
      <w:r w:rsidRPr="00713E6C">
        <w:rPr>
          <w:rFonts w:ascii="Times New Roman" w:eastAsia="Times New Roman" w:hAnsi="Times New Roman"/>
          <w:sz w:val="20"/>
          <w:szCs w:val="20"/>
        </w:rPr>
        <w:t>(b) and the three initial priority topics of the work programme of the Platform up to 2030,</w:t>
      </w:r>
      <w:r w:rsidRPr="00713E6C">
        <w:rPr>
          <w:rFonts w:ascii="Times New Roman" w:eastAsia="Times New Roman" w:hAnsi="Times New Roman"/>
          <w:sz w:val="20"/>
          <w:szCs w:val="18"/>
          <w:vertAlign w:val="superscript"/>
        </w:rPr>
        <w:footnoteReference w:id="20"/>
      </w:r>
      <w:r w:rsidRPr="00713E6C">
        <w:rPr>
          <w:rFonts w:ascii="Times New Roman" w:eastAsia="Times New Roman" w:hAnsi="Times New Roman"/>
          <w:sz w:val="20"/>
          <w:szCs w:val="20"/>
        </w:rPr>
        <w:t xml:space="preserve"> and decides to consider th</w:t>
      </w:r>
      <w:r w:rsidR="00713E6C">
        <w:rPr>
          <w:rFonts w:ascii="Times New Roman" w:eastAsia="Times New Roman" w:hAnsi="Times New Roman"/>
          <w:sz w:val="20"/>
          <w:szCs w:val="20"/>
        </w:rPr>
        <w:t>ose</w:t>
      </w:r>
      <w:r w:rsidRPr="00713E6C">
        <w:rPr>
          <w:rFonts w:ascii="Times New Roman" w:eastAsia="Times New Roman" w:hAnsi="Times New Roman"/>
          <w:sz w:val="20"/>
          <w:szCs w:val="20"/>
        </w:rPr>
        <w:t xml:space="preserve"> deliverables at its ninth session</w:t>
      </w:r>
      <w:r w:rsidRPr="00713E6C">
        <w:rPr>
          <w:rFonts w:ascii="Times New Roman" w:eastAsia="Times New Roman" w:hAnsi="Times New Roman"/>
          <w:color w:val="000000"/>
          <w:sz w:val="20"/>
          <w:szCs w:val="20"/>
        </w:rPr>
        <w:t>;</w:t>
      </w:r>
    </w:p>
    <w:bookmarkEnd w:id="5"/>
    <w:p w14:paraId="5D5B18E7" w14:textId="77777777" w:rsidR="007F453C" w:rsidRPr="00C173A1" w:rsidRDefault="007F453C" w:rsidP="00C173A1">
      <w:pPr>
        <w:pStyle w:val="CH2"/>
        <w:spacing w:before="240"/>
        <w:ind w:firstLine="0"/>
        <w:jc w:val="center"/>
      </w:pPr>
      <w:r w:rsidRPr="00C173A1">
        <w:lastRenderedPageBreak/>
        <w:t>V</w:t>
      </w:r>
    </w:p>
    <w:p w14:paraId="0AD74DE2" w14:textId="77777777" w:rsidR="007F453C" w:rsidRPr="00C173A1" w:rsidRDefault="007F453C" w:rsidP="00C173A1">
      <w:pPr>
        <w:pStyle w:val="CH2"/>
        <w:spacing w:before="0"/>
        <w:ind w:firstLine="0"/>
        <w:jc w:val="center"/>
      </w:pPr>
      <w:r w:rsidRPr="00C173A1">
        <w:t xml:space="preserve">Supporting policy </w:t>
      </w:r>
    </w:p>
    <w:p w14:paraId="00D3832A" w14:textId="400B2A8E" w:rsidR="007F453C" w:rsidRPr="003F2A25" w:rsidRDefault="007F453C" w:rsidP="00336AFD">
      <w:pPr>
        <w:keepNext/>
        <w:keepLines/>
        <w:tabs>
          <w:tab w:val="left" w:pos="624"/>
        </w:tabs>
        <w:spacing w:after="120" w:line="240" w:lineRule="auto"/>
        <w:ind w:left="1871" w:firstLine="624"/>
        <w:rPr>
          <w:rFonts w:ascii="Times New Roman" w:eastAsia="Times New Roman" w:hAnsi="Times New Roman"/>
          <w:sz w:val="20"/>
          <w:szCs w:val="20"/>
        </w:rPr>
      </w:pPr>
      <w:r w:rsidRPr="00E806AF">
        <w:rPr>
          <w:rFonts w:ascii="Times New Roman" w:eastAsia="Times New Roman" w:hAnsi="Times New Roman"/>
          <w:iCs/>
          <w:color w:val="000000"/>
          <w:sz w:val="20"/>
          <w:szCs w:val="20"/>
        </w:rPr>
        <w:t>1.</w:t>
      </w:r>
      <w:r w:rsidRPr="00E806AF">
        <w:rPr>
          <w:rFonts w:ascii="Times New Roman" w:eastAsia="Times New Roman" w:hAnsi="Times New Roman"/>
          <w:iCs/>
          <w:color w:val="000000"/>
          <w:sz w:val="20"/>
          <w:szCs w:val="20"/>
        </w:rPr>
        <w:tab/>
      </w:r>
      <w:r w:rsidRPr="00E806AF">
        <w:rPr>
          <w:rFonts w:ascii="Times New Roman" w:eastAsia="Times New Roman" w:hAnsi="Times New Roman"/>
          <w:i/>
          <w:color w:val="000000"/>
          <w:sz w:val="20"/>
          <w:szCs w:val="20"/>
        </w:rPr>
        <w:t>Welcomes</w:t>
      </w:r>
      <w:r w:rsidRPr="00E806AF">
        <w:rPr>
          <w:rFonts w:ascii="Times New Roman" w:eastAsia="Times New Roman" w:hAnsi="Times New Roman"/>
          <w:color w:val="000000"/>
          <w:sz w:val="20"/>
          <w:szCs w:val="20"/>
        </w:rPr>
        <w:t xml:space="preserve"> the progress made by the task force on policy tools and methodologies in the</w:t>
      </w:r>
      <w:r w:rsidRPr="003F2A25">
        <w:rPr>
          <w:rFonts w:ascii="Times New Roman" w:eastAsia="Times New Roman" w:hAnsi="Times New Roman"/>
          <w:sz w:val="20"/>
          <w:szCs w:val="20"/>
        </w:rPr>
        <w:t xml:space="preserve"> implementation of objective 4</w:t>
      </w:r>
      <w:r w:rsidR="00A35052" w:rsidRPr="003F2A25">
        <w:rPr>
          <w:rFonts w:ascii="Times New Roman" w:eastAsia="Times New Roman" w:hAnsi="Times New Roman"/>
          <w:sz w:val="20"/>
          <w:szCs w:val="20"/>
        </w:rPr>
        <w:t xml:space="preserve"> </w:t>
      </w:r>
      <w:r w:rsidRPr="003F2A25">
        <w:rPr>
          <w:rFonts w:ascii="Times New Roman" w:eastAsia="Times New Roman" w:hAnsi="Times New Roman"/>
          <w:sz w:val="20"/>
          <w:szCs w:val="20"/>
        </w:rPr>
        <w:t>(a) of the work programme of the Platform up to 2030;</w:t>
      </w:r>
    </w:p>
    <w:p w14:paraId="4D5B8E3E" w14:textId="5301AC0B" w:rsidR="007F453C" w:rsidRPr="003F2A25" w:rsidRDefault="007F453C" w:rsidP="00336AFD">
      <w:pPr>
        <w:keepNext/>
        <w:keepLines/>
        <w:tabs>
          <w:tab w:val="left" w:pos="624"/>
        </w:tabs>
        <w:spacing w:after="120" w:line="240" w:lineRule="auto"/>
        <w:ind w:left="1871" w:firstLine="624"/>
        <w:rPr>
          <w:rFonts w:ascii="Times New Roman" w:eastAsia="Times New Roman" w:hAnsi="Times New Roman"/>
          <w:color w:val="000000"/>
          <w:sz w:val="20"/>
          <w:szCs w:val="20"/>
        </w:rPr>
      </w:pPr>
      <w:r w:rsidRPr="003F2A25">
        <w:rPr>
          <w:rFonts w:ascii="Times New Roman" w:eastAsia="Times New Roman" w:hAnsi="Times New Roman"/>
          <w:iCs/>
          <w:color w:val="000000"/>
          <w:sz w:val="20"/>
          <w:szCs w:val="20"/>
        </w:rPr>
        <w:t>2.</w:t>
      </w:r>
      <w:r w:rsidRPr="003F2A25">
        <w:rPr>
          <w:rFonts w:ascii="Times New Roman" w:eastAsia="Times New Roman" w:hAnsi="Times New Roman"/>
          <w:iCs/>
          <w:color w:val="000000"/>
          <w:sz w:val="20"/>
          <w:szCs w:val="20"/>
        </w:rPr>
        <w:tab/>
      </w:r>
      <w:r w:rsidRPr="003F2A25">
        <w:rPr>
          <w:rFonts w:ascii="Times New Roman" w:eastAsia="Times New Roman" w:hAnsi="Times New Roman"/>
          <w:i/>
          <w:color w:val="000000"/>
          <w:sz w:val="20"/>
          <w:szCs w:val="20"/>
        </w:rPr>
        <w:t xml:space="preserve">Approves </w:t>
      </w:r>
      <w:r w:rsidRPr="003F2A25">
        <w:rPr>
          <w:rFonts w:ascii="Times New Roman" w:eastAsia="Times New Roman" w:hAnsi="Times New Roman"/>
          <w:color w:val="000000"/>
          <w:sz w:val="20"/>
          <w:szCs w:val="20"/>
        </w:rPr>
        <w:t xml:space="preserve">the </w:t>
      </w:r>
      <w:r w:rsidR="00BB415F">
        <w:rPr>
          <w:rFonts w:ascii="Times New Roman" w:eastAsia="Times New Roman" w:hAnsi="Times New Roman"/>
          <w:color w:val="000000"/>
          <w:sz w:val="20"/>
          <w:szCs w:val="20"/>
        </w:rPr>
        <w:t xml:space="preserve">interim </w:t>
      </w:r>
      <w:r w:rsidRPr="003F2A25">
        <w:rPr>
          <w:rFonts w:ascii="Times New Roman" w:eastAsia="Times New Roman" w:hAnsi="Times New Roman"/>
          <w:color w:val="000000"/>
          <w:sz w:val="20"/>
          <w:szCs w:val="20"/>
        </w:rPr>
        <w:t xml:space="preserve">workplan of the task force on </w:t>
      </w:r>
      <w:r w:rsidRPr="00E806AF">
        <w:rPr>
          <w:rFonts w:ascii="Times New Roman" w:eastAsia="Times New Roman" w:hAnsi="Times New Roman"/>
          <w:color w:val="000000"/>
          <w:sz w:val="20"/>
          <w:szCs w:val="20"/>
        </w:rPr>
        <w:t xml:space="preserve">policy tools and methodologies </w:t>
      </w:r>
      <w:r w:rsidRPr="003F2A25">
        <w:rPr>
          <w:rFonts w:ascii="Times New Roman" w:eastAsia="Times New Roman" w:hAnsi="Times New Roman"/>
          <w:color w:val="000000"/>
          <w:sz w:val="20"/>
          <w:szCs w:val="20"/>
        </w:rPr>
        <w:t>for the intersessional period 2021</w:t>
      </w:r>
      <w:r w:rsidR="006C2FDC">
        <w:rPr>
          <w:rFonts w:ascii="Times New Roman" w:eastAsia="Times New Roman" w:hAnsi="Times New Roman"/>
          <w:color w:val="000000"/>
          <w:sz w:val="20"/>
          <w:szCs w:val="20"/>
        </w:rPr>
        <w:t>–</w:t>
      </w:r>
      <w:r w:rsidRPr="003F2A25">
        <w:rPr>
          <w:rFonts w:ascii="Times New Roman" w:eastAsia="Times New Roman" w:hAnsi="Times New Roman"/>
          <w:color w:val="000000"/>
          <w:sz w:val="20"/>
          <w:szCs w:val="20"/>
        </w:rPr>
        <w:t>2022</w:t>
      </w:r>
      <w:r w:rsidR="000C24A7" w:rsidRPr="003F2A25">
        <w:rPr>
          <w:rFonts w:ascii="Times New Roman" w:eastAsia="Times New Roman" w:hAnsi="Times New Roman"/>
          <w:color w:val="000000"/>
          <w:sz w:val="20"/>
          <w:szCs w:val="20"/>
        </w:rPr>
        <w:t>, as</w:t>
      </w:r>
      <w:r w:rsidRPr="003F2A25">
        <w:rPr>
          <w:rFonts w:ascii="Times New Roman" w:eastAsia="Times New Roman" w:hAnsi="Times New Roman"/>
          <w:color w:val="000000"/>
          <w:sz w:val="20"/>
          <w:szCs w:val="20"/>
        </w:rPr>
        <w:t xml:space="preserve"> </w:t>
      </w:r>
      <w:r w:rsidRPr="003F2A25">
        <w:rPr>
          <w:rFonts w:ascii="Times New Roman" w:eastAsia="Calibri" w:hAnsi="Times New Roman"/>
          <w:sz w:val="20"/>
          <w:szCs w:val="20"/>
        </w:rPr>
        <w:t>set out in annex [</w:t>
      </w:r>
      <w:r w:rsidR="00905369">
        <w:rPr>
          <w:rFonts w:ascii="Times New Roman" w:eastAsia="Calibri" w:hAnsi="Times New Roman"/>
          <w:sz w:val="20"/>
          <w:szCs w:val="20"/>
        </w:rPr>
        <w:t>--</w:t>
      </w:r>
      <w:r w:rsidRPr="003F2A25">
        <w:rPr>
          <w:rFonts w:ascii="Times New Roman" w:eastAsia="Calibri" w:hAnsi="Times New Roman"/>
          <w:sz w:val="20"/>
          <w:szCs w:val="20"/>
        </w:rPr>
        <w:t>]</w:t>
      </w:r>
      <w:r w:rsidRPr="003F2A25">
        <w:rPr>
          <w:rFonts w:ascii="Times New Roman" w:eastAsia="Calibri" w:hAnsi="Times New Roman"/>
          <w:sz w:val="20"/>
          <w:szCs w:val="18"/>
          <w:vertAlign w:val="superscript"/>
        </w:rPr>
        <w:footnoteReference w:id="21"/>
      </w:r>
      <w:r w:rsidRPr="003F2A25">
        <w:rPr>
          <w:rFonts w:ascii="Times New Roman" w:eastAsia="Calibri" w:hAnsi="Times New Roman"/>
          <w:sz w:val="20"/>
          <w:szCs w:val="20"/>
        </w:rPr>
        <w:t xml:space="preserve"> to the present decision</w:t>
      </w:r>
      <w:r w:rsidRPr="003F2A25">
        <w:rPr>
          <w:rFonts w:ascii="Times New Roman" w:eastAsia="Times New Roman" w:hAnsi="Times New Roman"/>
          <w:color w:val="000000"/>
          <w:sz w:val="20"/>
          <w:szCs w:val="20"/>
        </w:rPr>
        <w:t>;</w:t>
      </w:r>
      <w:r w:rsidRPr="003F2A25">
        <w:rPr>
          <w:rFonts w:ascii="Times New Roman" w:eastAsia="Calibri" w:hAnsi="Times New Roman"/>
          <w:sz w:val="20"/>
          <w:szCs w:val="18"/>
          <w:vertAlign w:val="superscript"/>
        </w:rPr>
        <w:t xml:space="preserve"> </w:t>
      </w:r>
    </w:p>
    <w:p w14:paraId="4C6CABE7" w14:textId="52AD4115" w:rsidR="007F453C" w:rsidRPr="003F2A25" w:rsidRDefault="007F453C" w:rsidP="007F453C">
      <w:pPr>
        <w:tabs>
          <w:tab w:val="left" w:pos="624"/>
        </w:tabs>
        <w:spacing w:after="120" w:line="240" w:lineRule="auto"/>
        <w:ind w:left="1871" w:firstLine="624"/>
        <w:rPr>
          <w:rFonts w:ascii="Times New Roman" w:eastAsia="Times New Roman" w:hAnsi="Times New Roman"/>
          <w:sz w:val="20"/>
          <w:szCs w:val="20"/>
        </w:rPr>
      </w:pPr>
      <w:r w:rsidRPr="00E806AF">
        <w:rPr>
          <w:rFonts w:ascii="Times New Roman" w:eastAsia="Times New Roman" w:hAnsi="Times New Roman"/>
          <w:iCs/>
          <w:color w:val="000000"/>
          <w:sz w:val="20"/>
          <w:szCs w:val="20"/>
        </w:rPr>
        <w:t>3.</w:t>
      </w:r>
      <w:r w:rsidRPr="00E806AF">
        <w:rPr>
          <w:rFonts w:ascii="Times New Roman" w:eastAsia="Times New Roman" w:hAnsi="Times New Roman"/>
          <w:iCs/>
          <w:color w:val="000000"/>
          <w:sz w:val="20"/>
          <w:szCs w:val="20"/>
        </w:rPr>
        <w:tab/>
      </w:r>
      <w:r w:rsidRPr="00E806AF">
        <w:rPr>
          <w:rFonts w:ascii="Times New Roman" w:eastAsia="Times New Roman" w:hAnsi="Times New Roman"/>
          <w:i/>
          <w:color w:val="000000"/>
          <w:sz w:val="20"/>
          <w:szCs w:val="20"/>
        </w:rPr>
        <w:t>Welcomes</w:t>
      </w:r>
      <w:r w:rsidRPr="00E806AF">
        <w:rPr>
          <w:rFonts w:ascii="Times New Roman" w:eastAsia="Times New Roman" w:hAnsi="Times New Roman"/>
          <w:color w:val="000000"/>
          <w:sz w:val="20"/>
          <w:szCs w:val="20"/>
        </w:rPr>
        <w:t xml:space="preserve"> the progress made by the task force on scenarios and models in the</w:t>
      </w:r>
      <w:r w:rsidRPr="003F2A25">
        <w:rPr>
          <w:rFonts w:ascii="Times New Roman" w:eastAsia="Times New Roman" w:hAnsi="Times New Roman"/>
          <w:sz w:val="20"/>
          <w:szCs w:val="20"/>
        </w:rPr>
        <w:t xml:space="preserve"> implementation of objective 4</w:t>
      </w:r>
      <w:r w:rsidR="000C24A7" w:rsidRPr="003F2A25">
        <w:rPr>
          <w:rFonts w:ascii="Times New Roman" w:eastAsia="Times New Roman" w:hAnsi="Times New Roman"/>
          <w:sz w:val="20"/>
          <w:szCs w:val="20"/>
        </w:rPr>
        <w:t xml:space="preserve"> </w:t>
      </w:r>
      <w:r w:rsidRPr="003F2A25">
        <w:rPr>
          <w:rFonts w:ascii="Times New Roman" w:eastAsia="Times New Roman" w:hAnsi="Times New Roman"/>
          <w:sz w:val="20"/>
          <w:szCs w:val="20"/>
        </w:rPr>
        <w:t>(b) of the work programme of the Platform up to 2030;</w:t>
      </w:r>
    </w:p>
    <w:p w14:paraId="000B97E3" w14:textId="0C1AB6B6" w:rsidR="007F453C" w:rsidRPr="003F2A25" w:rsidRDefault="007F453C" w:rsidP="007F453C">
      <w:pPr>
        <w:tabs>
          <w:tab w:val="left" w:pos="624"/>
        </w:tabs>
        <w:spacing w:after="120" w:line="240" w:lineRule="auto"/>
        <w:ind w:left="1871" w:firstLine="624"/>
        <w:rPr>
          <w:rFonts w:ascii="Times New Roman" w:eastAsia="Calibri" w:hAnsi="Times New Roman"/>
          <w:sz w:val="20"/>
          <w:szCs w:val="20"/>
        </w:rPr>
      </w:pPr>
      <w:r w:rsidRPr="003F2A25">
        <w:rPr>
          <w:rFonts w:ascii="Times New Roman" w:eastAsia="Times New Roman" w:hAnsi="Times New Roman"/>
          <w:iCs/>
          <w:color w:val="000000"/>
          <w:sz w:val="20"/>
          <w:szCs w:val="20"/>
        </w:rPr>
        <w:t>4.</w:t>
      </w:r>
      <w:r w:rsidRPr="003F2A25">
        <w:rPr>
          <w:rFonts w:ascii="Times New Roman" w:eastAsia="Times New Roman" w:hAnsi="Times New Roman"/>
          <w:iCs/>
          <w:color w:val="000000"/>
          <w:sz w:val="20"/>
          <w:szCs w:val="20"/>
        </w:rPr>
        <w:tab/>
      </w:r>
      <w:r w:rsidRPr="003F2A25">
        <w:rPr>
          <w:rFonts w:ascii="Times New Roman" w:eastAsia="Times New Roman" w:hAnsi="Times New Roman"/>
          <w:i/>
          <w:color w:val="000000"/>
          <w:sz w:val="20"/>
          <w:szCs w:val="20"/>
        </w:rPr>
        <w:t xml:space="preserve">Approves </w:t>
      </w:r>
      <w:r w:rsidRPr="003F2A25">
        <w:rPr>
          <w:rFonts w:ascii="Times New Roman" w:eastAsia="Times New Roman" w:hAnsi="Times New Roman"/>
          <w:color w:val="000000"/>
          <w:sz w:val="20"/>
          <w:szCs w:val="20"/>
        </w:rPr>
        <w:t xml:space="preserve">the </w:t>
      </w:r>
      <w:r w:rsidR="00BB415F">
        <w:rPr>
          <w:rFonts w:ascii="Times New Roman" w:eastAsia="Times New Roman" w:hAnsi="Times New Roman"/>
          <w:color w:val="000000"/>
          <w:sz w:val="20"/>
          <w:szCs w:val="20"/>
        </w:rPr>
        <w:t xml:space="preserve">interim </w:t>
      </w:r>
      <w:r w:rsidRPr="003F2A25">
        <w:rPr>
          <w:rFonts w:ascii="Times New Roman" w:eastAsia="Times New Roman" w:hAnsi="Times New Roman"/>
          <w:color w:val="000000"/>
          <w:sz w:val="20"/>
          <w:szCs w:val="20"/>
        </w:rPr>
        <w:t xml:space="preserve">workplan of the </w:t>
      </w:r>
      <w:r w:rsidRPr="00E806AF">
        <w:rPr>
          <w:rFonts w:ascii="Times New Roman" w:eastAsia="Times New Roman" w:hAnsi="Times New Roman"/>
          <w:color w:val="000000"/>
          <w:sz w:val="20"/>
          <w:szCs w:val="20"/>
        </w:rPr>
        <w:t xml:space="preserve">task force on scenarios and models </w:t>
      </w:r>
      <w:r w:rsidRPr="003F2A25">
        <w:rPr>
          <w:rFonts w:ascii="Times New Roman" w:eastAsia="Times New Roman" w:hAnsi="Times New Roman"/>
          <w:color w:val="000000"/>
          <w:sz w:val="20"/>
          <w:szCs w:val="20"/>
        </w:rPr>
        <w:t>for the intersessional period 2021</w:t>
      </w:r>
      <w:r w:rsidR="00905369">
        <w:rPr>
          <w:rFonts w:ascii="Times New Roman" w:eastAsia="Times New Roman" w:hAnsi="Times New Roman"/>
          <w:color w:val="000000"/>
          <w:sz w:val="20"/>
          <w:szCs w:val="20"/>
        </w:rPr>
        <w:t>–</w:t>
      </w:r>
      <w:r w:rsidRPr="003F2A25">
        <w:rPr>
          <w:rFonts w:ascii="Times New Roman" w:eastAsia="Times New Roman" w:hAnsi="Times New Roman"/>
          <w:color w:val="000000"/>
          <w:sz w:val="20"/>
          <w:szCs w:val="20"/>
        </w:rPr>
        <w:t>2022</w:t>
      </w:r>
      <w:r w:rsidR="000C24A7" w:rsidRPr="003F2A25">
        <w:rPr>
          <w:rFonts w:ascii="Times New Roman" w:eastAsia="Times New Roman" w:hAnsi="Times New Roman"/>
          <w:color w:val="000000"/>
          <w:sz w:val="20"/>
          <w:szCs w:val="20"/>
        </w:rPr>
        <w:t>, as</w:t>
      </w:r>
      <w:r w:rsidRPr="003F2A25">
        <w:rPr>
          <w:rFonts w:ascii="Times New Roman" w:eastAsia="Times New Roman" w:hAnsi="Times New Roman"/>
          <w:color w:val="000000"/>
          <w:sz w:val="20"/>
          <w:szCs w:val="20"/>
        </w:rPr>
        <w:t xml:space="preserve"> </w:t>
      </w:r>
      <w:r w:rsidRPr="003F2A25">
        <w:rPr>
          <w:rFonts w:ascii="Times New Roman" w:eastAsia="Calibri" w:hAnsi="Times New Roman"/>
          <w:sz w:val="20"/>
          <w:szCs w:val="20"/>
        </w:rPr>
        <w:t>set out in annex [</w:t>
      </w:r>
      <w:r w:rsidR="00905369">
        <w:rPr>
          <w:rFonts w:ascii="Times New Roman" w:eastAsia="Calibri" w:hAnsi="Times New Roman"/>
          <w:sz w:val="20"/>
          <w:szCs w:val="20"/>
        </w:rPr>
        <w:t>--</w:t>
      </w:r>
      <w:r w:rsidRPr="003F2A25">
        <w:rPr>
          <w:rFonts w:ascii="Times New Roman" w:eastAsia="Calibri" w:hAnsi="Times New Roman"/>
          <w:sz w:val="20"/>
          <w:szCs w:val="20"/>
        </w:rPr>
        <w:t>]</w:t>
      </w:r>
      <w:r w:rsidRPr="003F2A25">
        <w:rPr>
          <w:rFonts w:ascii="Times New Roman" w:eastAsia="Calibri" w:hAnsi="Times New Roman"/>
          <w:sz w:val="20"/>
          <w:szCs w:val="18"/>
          <w:vertAlign w:val="superscript"/>
        </w:rPr>
        <w:footnoteReference w:id="22"/>
      </w:r>
      <w:r w:rsidRPr="003F2A25">
        <w:rPr>
          <w:rFonts w:ascii="Times New Roman" w:eastAsia="Calibri" w:hAnsi="Times New Roman"/>
          <w:sz w:val="20"/>
          <w:szCs w:val="20"/>
        </w:rPr>
        <w:t xml:space="preserve"> to the present decision</w:t>
      </w:r>
      <w:r w:rsidRPr="003F2A25">
        <w:rPr>
          <w:rFonts w:ascii="Times New Roman" w:eastAsia="Times New Roman" w:hAnsi="Times New Roman"/>
          <w:color w:val="000000"/>
          <w:sz w:val="20"/>
          <w:szCs w:val="20"/>
        </w:rPr>
        <w:t>;</w:t>
      </w:r>
      <w:r w:rsidRPr="003F2A25">
        <w:rPr>
          <w:rFonts w:ascii="Times New Roman" w:eastAsia="Calibri" w:hAnsi="Times New Roman"/>
          <w:sz w:val="20"/>
          <w:szCs w:val="18"/>
          <w:vertAlign w:val="superscript"/>
        </w:rPr>
        <w:t xml:space="preserve"> </w:t>
      </w:r>
    </w:p>
    <w:p w14:paraId="57CE8035" w14:textId="77E013EB" w:rsidR="007F453C" w:rsidRPr="003F2A25"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3F2A25">
        <w:rPr>
          <w:rFonts w:ascii="Times New Roman" w:eastAsia="Times New Roman" w:hAnsi="Times New Roman"/>
          <w:color w:val="000000"/>
          <w:sz w:val="20"/>
          <w:szCs w:val="20"/>
        </w:rPr>
        <w:tab/>
        <w:t>5.</w:t>
      </w:r>
      <w:r w:rsidRPr="003F2A25">
        <w:rPr>
          <w:rFonts w:ascii="Times New Roman" w:eastAsia="Times New Roman" w:hAnsi="Times New Roman"/>
          <w:color w:val="000000"/>
          <w:sz w:val="20"/>
          <w:szCs w:val="20"/>
        </w:rPr>
        <w:tab/>
      </w:r>
      <w:r w:rsidRPr="003F2A25">
        <w:rPr>
          <w:rFonts w:ascii="Times New Roman" w:eastAsia="Times New Roman" w:hAnsi="Times New Roman"/>
          <w:i/>
          <w:iCs/>
          <w:color w:val="000000"/>
          <w:sz w:val="20"/>
          <w:szCs w:val="20"/>
        </w:rPr>
        <w:t>Welcomes</w:t>
      </w:r>
      <w:r w:rsidRPr="003F2A25">
        <w:rPr>
          <w:rFonts w:ascii="Times New Roman" w:eastAsia="Times New Roman" w:hAnsi="Times New Roman"/>
          <w:color w:val="000000"/>
          <w:sz w:val="20"/>
          <w:szCs w:val="20"/>
        </w:rPr>
        <w:t xml:space="preserve"> the progress made in the development of the deliverables supporting </w:t>
      </w:r>
      <w:r w:rsidRPr="003F2A25">
        <w:rPr>
          <w:rFonts w:ascii="Times New Roman" w:eastAsia="Times New Roman" w:hAnsi="Times New Roman"/>
          <w:sz w:val="20"/>
          <w:szCs w:val="20"/>
        </w:rPr>
        <w:t>objectives 4</w:t>
      </w:r>
      <w:r w:rsidR="000C24A7" w:rsidRPr="003F2A25">
        <w:rPr>
          <w:rFonts w:ascii="Times New Roman" w:eastAsia="Times New Roman" w:hAnsi="Times New Roman"/>
          <w:sz w:val="20"/>
          <w:szCs w:val="20"/>
        </w:rPr>
        <w:t xml:space="preserve"> </w:t>
      </w:r>
      <w:r w:rsidRPr="003F2A25">
        <w:rPr>
          <w:rFonts w:ascii="Times New Roman" w:eastAsia="Times New Roman" w:hAnsi="Times New Roman"/>
          <w:sz w:val="20"/>
          <w:szCs w:val="20"/>
        </w:rPr>
        <w:t>(a) and 4</w:t>
      </w:r>
      <w:r w:rsidR="000C24A7" w:rsidRPr="003F2A25">
        <w:rPr>
          <w:rFonts w:ascii="Times New Roman" w:eastAsia="Times New Roman" w:hAnsi="Times New Roman"/>
          <w:sz w:val="20"/>
          <w:szCs w:val="20"/>
        </w:rPr>
        <w:t xml:space="preserve"> </w:t>
      </w:r>
      <w:r w:rsidRPr="003F2A25">
        <w:rPr>
          <w:rFonts w:ascii="Times New Roman" w:eastAsia="Times New Roman" w:hAnsi="Times New Roman"/>
          <w:sz w:val="20"/>
          <w:szCs w:val="20"/>
        </w:rPr>
        <w:t>(b) and the three initial priority topics of the work programme of the Platform up to 2030,</w:t>
      </w:r>
      <w:r w:rsidRPr="003F2A25">
        <w:rPr>
          <w:rFonts w:ascii="Times New Roman" w:eastAsia="Times New Roman" w:hAnsi="Times New Roman"/>
          <w:sz w:val="20"/>
          <w:szCs w:val="18"/>
          <w:vertAlign w:val="superscript"/>
        </w:rPr>
        <w:footnoteReference w:id="23"/>
      </w:r>
      <w:r w:rsidRPr="003F2A25">
        <w:rPr>
          <w:rFonts w:ascii="Times New Roman" w:eastAsia="Times New Roman" w:hAnsi="Times New Roman"/>
          <w:sz w:val="20"/>
          <w:szCs w:val="20"/>
        </w:rPr>
        <w:t xml:space="preserve"> and decides to consider th</w:t>
      </w:r>
      <w:r w:rsidR="00713E6C" w:rsidRPr="00E806AF">
        <w:rPr>
          <w:rFonts w:ascii="Times New Roman" w:eastAsia="Times New Roman" w:hAnsi="Times New Roman"/>
          <w:sz w:val="20"/>
          <w:szCs w:val="20"/>
        </w:rPr>
        <w:t>ose</w:t>
      </w:r>
      <w:r w:rsidRPr="003F2A25">
        <w:rPr>
          <w:rFonts w:ascii="Times New Roman" w:eastAsia="Times New Roman" w:hAnsi="Times New Roman"/>
          <w:sz w:val="20"/>
          <w:szCs w:val="20"/>
        </w:rPr>
        <w:t xml:space="preserve"> deliverables at its ninth session</w:t>
      </w:r>
      <w:r w:rsidRPr="003F2A25">
        <w:rPr>
          <w:rFonts w:ascii="Times New Roman" w:eastAsia="Times New Roman" w:hAnsi="Times New Roman"/>
          <w:color w:val="000000"/>
          <w:sz w:val="20"/>
          <w:szCs w:val="20"/>
        </w:rPr>
        <w:t>;</w:t>
      </w:r>
    </w:p>
    <w:p w14:paraId="2819598F" w14:textId="77777777" w:rsidR="007F453C" w:rsidRPr="003F2A25" w:rsidRDefault="007F453C" w:rsidP="00404335">
      <w:pPr>
        <w:pStyle w:val="Normalnumber"/>
        <w:tabs>
          <w:tab w:val="clear" w:pos="1134"/>
        </w:tabs>
      </w:pPr>
      <w:r w:rsidRPr="003F2A25">
        <w:t xml:space="preserve">The Plenary may wish to consider the following draft decision under item </w:t>
      </w:r>
      <w:r w:rsidRPr="00E806AF">
        <w:t>9</w:t>
      </w:r>
      <w:r w:rsidRPr="003F2A25">
        <w:t xml:space="preserve"> of the provisional agenda: </w:t>
      </w:r>
    </w:p>
    <w:p w14:paraId="6F8D7E11" w14:textId="77777777" w:rsidR="007F453C" w:rsidRPr="00C173A1" w:rsidRDefault="007F453C" w:rsidP="00C173A1">
      <w:pPr>
        <w:pStyle w:val="CH2"/>
        <w:spacing w:before="240"/>
        <w:ind w:firstLine="0"/>
        <w:jc w:val="center"/>
      </w:pPr>
      <w:r w:rsidRPr="00C173A1">
        <w:t>VI</w:t>
      </w:r>
    </w:p>
    <w:p w14:paraId="222A3815" w14:textId="77777777" w:rsidR="007F453C" w:rsidRPr="00C173A1" w:rsidRDefault="007F453C" w:rsidP="00C173A1">
      <w:pPr>
        <w:pStyle w:val="CH2"/>
        <w:spacing w:before="0"/>
        <w:ind w:firstLine="0"/>
        <w:jc w:val="center"/>
      </w:pPr>
      <w:r w:rsidRPr="00C173A1">
        <w:t>Improving the effectiveness of the Platform</w:t>
      </w:r>
    </w:p>
    <w:p w14:paraId="48B6324E" w14:textId="6A691A3A" w:rsidR="007F453C" w:rsidRPr="00263AB5" w:rsidRDefault="007B32FF" w:rsidP="007B32FF">
      <w:pPr>
        <w:pStyle w:val="Normal-pool"/>
        <w:spacing w:after="120"/>
        <w:ind w:left="1871" w:firstLine="624"/>
      </w:pPr>
      <w:r w:rsidRPr="007B32FF">
        <w:t>1.</w:t>
      </w:r>
      <w:r w:rsidRPr="007B32FF">
        <w:rPr>
          <w:i/>
          <w:iCs/>
        </w:rPr>
        <w:tab/>
      </w:r>
      <w:r w:rsidR="007F453C" w:rsidRPr="007B32FF">
        <w:rPr>
          <w:i/>
          <w:iCs/>
        </w:rPr>
        <w:t>Welcomes</w:t>
      </w:r>
      <w:r w:rsidR="007F453C" w:rsidRPr="007B32FF">
        <w:rPr>
          <w:i/>
        </w:rPr>
        <w:t xml:space="preserve"> </w:t>
      </w:r>
      <w:r w:rsidR="007F453C" w:rsidRPr="007B32FF">
        <w:t xml:space="preserve">the report by the Bureau, the Multidisciplinary Expert Panel and the Executive Secretary </w:t>
      </w:r>
      <w:bookmarkStart w:id="7" w:name="_Hlk40116463"/>
      <w:r w:rsidR="007F453C" w:rsidRPr="007B32FF">
        <w:t xml:space="preserve">on progress in addressing the recommendations set out in the report on the review of </w:t>
      </w:r>
      <w:r w:rsidR="00981B0B" w:rsidRPr="007B32FF">
        <w:t>IPBES</w:t>
      </w:r>
      <w:r w:rsidR="007F453C" w:rsidRPr="007B32FF">
        <w:t xml:space="preserve"> at the end of its first work programme</w:t>
      </w:r>
      <w:bookmarkEnd w:id="7"/>
      <w:r w:rsidR="007F453C" w:rsidRPr="007B32FF">
        <w:rPr>
          <w:iCs/>
        </w:rPr>
        <w:t>;</w:t>
      </w:r>
      <w:r w:rsidR="007F453C" w:rsidRPr="007B32FF">
        <w:rPr>
          <w:szCs w:val="18"/>
          <w:vertAlign w:val="superscript"/>
        </w:rPr>
        <w:footnoteReference w:id="24"/>
      </w:r>
      <w:r w:rsidR="007F453C" w:rsidRPr="00263AB5">
        <w:t xml:space="preserve"> </w:t>
      </w:r>
    </w:p>
    <w:p w14:paraId="10B4A86A" w14:textId="18B3CEAD" w:rsidR="007F453C" w:rsidRPr="00263AB5" w:rsidRDefault="007B32FF" w:rsidP="007B32FF">
      <w:pPr>
        <w:pStyle w:val="Normal-pool"/>
        <w:spacing w:after="120"/>
        <w:ind w:left="1871" w:firstLine="624"/>
      </w:pPr>
      <w:bookmarkStart w:id="8" w:name="_Hlk43996126"/>
      <w:r w:rsidRPr="007B32FF">
        <w:t>2.</w:t>
      </w:r>
      <w:r>
        <w:rPr>
          <w:i/>
          <w:iCs/>
        </w:rPr>
        <w:tab/>
      </w:r>
      <w:r w:rsidR="007F453C" w:rsidRPr="00263AB5">
        <w:rPr>
          <w:i/>
          <w:iCs/>
        </w:rPr>
        <w:t>Requests</w:t>
      </w:r>
      <w:r w:rsidR="007F453C" w:rsidRPr="00263AB5">
        <w:t xml:space="preserve"> the Bureau, the Multidisciplinary Expert Panel and the Executive Secretary, in accordance with their respective mandates, to continue to take the recommendations made by the review panel into account in the implementation of the rolling work programme of the Platform up to 2030 and report on progress to the Plenary at its ninth session, including on further solutions and</w:t>
      </w:r>
      <w:r w:rsidR="00FF0249" w:rsidRPr="00263AB5">
        <w:t xml:space="preserve"> </w:t>
      </w:r>
      <w:r w:rsidR="007F453C" w:rsidRPr="00263AB5">
        <w:t>issues</w:t>
      </w:r>
      <w:bookmarkEnd w:id="8"/>
      <w:r w:rsidR="007F453C" w:rsidRPr="00263AB5">
        <w:t xml:space="preserve">; </w:t>
      </w:r>
    </w:p>
    <w:p w14:paraId="7DADA852" w14:textId="56C01A8B" w:rsidR="007F453C" w:rsidRPr="00263AB5" w:rsidRDefault="007B32FF" w:rsidP="007B32FF">
      <w:pPr>
        <w:pStyle w:val="Normal-pool"/>
        <w:spacing w:after="120"/>
        <w:ind w:left="1871" w:firstLine="624"/>
      </w:pPr>
      <w:r w:rsidRPr="007B32FF">
        <w:rPr>
          <w:iCs/>
        </w:rPr>
        <w:t>3.</w:t>
      </w:r>
      <w:r>
        <w:rPr>
          <w:i/>
        </w:rPr>
        <w:tab/>
      </w:r>
      <w:r w:rsidR="007F453C" w:rsidRPr="00263AB5">
        <w:rPr>
          <w:i/>
        </w:rPr>
        <w:t xml:space="preserve">Welcomes </w:t>
      </w:r>
      <w:r w:rsidR="007F453C" w:rsidRPr="00263AB5">
        <w:t>the note by the Bureau and the Multidisciplinary Expert Panel on the implementation of their respective roles</w:t>
      </w:r>
      <w:r w:rsidR="00B81D1A">
        <w:t xml:space="preserve"> in practice</w:t>
      </w:r>
      <w:r w:rsidR="007F453C" w:rsidRPr="00263AB5">
        <w:t xml:space="preserve"> ;</w:t>
      </w:r>
      <w:r w:rsidR="007F453C" w:rsidRPr="00263AB5">
        <w:rPr>
          <w:szCs w:val="18"/>
          <w:vertAlign w:val="superscript"/>
        </w:rPr>
        <w:footnoteReference w:id="25"/>
      </w:r>
    </w:p>
    <w:p w14:paraId="0A1F4C60" w14:textId="4B729D73" w:rsidR="007F453C" w:rsidRDefault="007B32FF" w:rsidP="007B32FF">
      <w:pPr>
        <w:pStyle w:val="Normal-pool"/>
        <w:spacing w:after="120"/>
        <w:ind w:left="1871" w:firstLine="624"/>
      </w:pPr>
      <w:r w:rsidRPr="007B32FF">
        <w:rPr>
          <w:iCs/>
        </w:rPr>
        <w:t>4.</w:t>
      </w:r>
      <w:r>
        <w:rPr>
          <w:i/>
        </w:rPr>
        <w:tab/>
      </w:r>
      <w:r w:rsidR="00E0324F" w:rsidRPr="00263AB5">
        <w:rPr>
          <w:i/>
        </w:rPr>
        <w:t>Also w</w:t>
      </w:r>
      <w:r w:rsidR="007F453C" w:rsidRPr="00263AB5">
        <w:rPr>
          <w:i/>
        </w:rPr>
        <w:t xml:space="preserve">elcomes </w:t>
      </w:r>
      <w:r w:rsidR="007F453C" w:rsidRPr="00263AB5">
        <w:t>the progress made by the Bureau and the Multidisciplinary Expert Panel in developing a note on the use and impact of the conceptual framework of the Platform and invites members, observers and other stakeholders to provide their comments on the draft note to the secretariat by 30 July 2021;</w:t>
      </w:r>
    </w:p>
    <w:p w14:paraId="6DC1B8A4" w14:textId="77777777" w:rsidR="007F453C" w:rsidRPr="00263AB5" w:rsidRDefault="007F453C" w:rsidP="00404335">
      <w:pPr>
        <w:pStyle w:val="Normalnumber"/>
        <w:tabs>
          <w:tab w:val="clear" w:pos="1134"/>
        </w:tabs>
      </w:pPr>
      <w:r w:rsidRPr="00263AB5">
        <w:t>The Plenary may wish to consider the following draft decision under item</w:t>
      </w:r>
      <w:r w:rsidRPr="004204D7">
        <w:t xml:space="preserve"> </w:t>
      </w:r>
      <w:r w:rsidRPr="00404335">
        <w:t>12</w:t>
      </w:r>
      <w:r w:rsidRPr="004204D7">
        <w:t xml:space="preserve"> </w:t>
      </w:r>
      <w:r w:rsidRPr="00263AB5">
        <w:t xml:space="preserve">of the provisional agenda: </w:t>
      </w:r>
    </w:p>
    <w:p w14:paraId="3BD56D81" w14:textId="77777777" w:rsidR="007F453C" w:rsidRPr="00C173A1" w:rsidRDefault="007F453C" w:rsidP="00C173A1">
      <w:pPr>
        <w:pStyle w:val="CH2"/>
        <w:spacing w:before="240"/>
        <w:ind w:firstLine="0"/>
        <w:jc w:val="center"/>
      </w:pPr>
      <w:r w:rsidRPr="00C173A1">
        <w:t>VII</w:t>
      </w:r>
    </w:p>
    <w:p w14:paraId="05D6C682" w14:textId="77777777" w:rsidR="007F453C" w:rsidRPr="00C173A1" w:rsidRDefault="007F453C" w:rsidP="00C173A1">
      <w:pPr>
        <w:pStyle w:val="CH2"/>
        <w:spacing w:before="0"/>
        <w:ind w:firstLine="0"/>
        <w:jc w:val="center"/>
      </w:pPr>
      <w:r w:rsidRPr="00C173A1">
        <w:t>Technical support for the work programme</w:t>
      </w:r>
    </w:p>
    <w:p w14:paraId="1B8A1822" w14:textId="3330C88E" w:rsidR="007F453C" w:rsidRPr="004204D7" w:rsidRDefault="007F453C" w:rsidP="007F453C">
      <w:pPr>
        <w:tabs>
          <w:tab w:val="left" w:pos="1247"/>
          <w:tab w:val="left" w:pos="1814"/>
          <w:tab w:val="left" w:pos="2381"/>
          <w:tab w:val="left" w:pos="2948"/>
          <w:tab w:val="left" w:pos="3515"/>
          <w:tab w:val="left" w:pos="4082"/>
        </w:tabs>
        <w:spacing w:after="120" w:line="240" w:lineRule="auto"/>
        <w:ind w:left="1871" w:firstLine="624"/>
        <w:rPr>
          <w:rFonts w:ascii="Times New Roman" w:eastAsia="Times New Roman" w:hAnsi="Times New Roman"/>
          <w:sz w:val="20"/>
          <w:szCs w:val="20"/>
        </w:rPr>
      </w:pPr>
      <w:r w:rsidRPr="00263AB5">
        <w:rPr>
          <w:rFonts w:ascii="Times New Roman" w:eastAsia="Times New Roman" w:hAnsi="Times New Roman"/>
          <w:i/>
          <w:iCs/>
          <w:sz w:val="20"/>
          <w:szCs w:val="20"/>
        </w:rPr>
        <w:t xml:space="preserve">Requests </w:t>
      </w:r>
      <w:r w:rsidRPr="00263AB5">
        <w:rPr>
          <w:rFonts w:ascii="Times New Roman" w:eastAsia="Times New Roman" w:hAnsi="Times New Roman"/>
          <w:sz w:val="20"/>
          <w:szCs w:val="20"/>
        </w:rPr>
        <w:t>the secretariat, in consultation with the Bureau and in accordance with the approved budget set out in the annex to decision IPBES-</w:t>
      </w:r>
      <w:r w:rsidR="0072037D">
        <w:rPr>
          <w:rFonts w:ascii="Times New Roman" w:eastAsia="Times New Roman" w:hAnsi="Times New Roman"/>
          <w:sz w:val="20"/>
          <w:szCs w:val="20"/>
        </w:rPr>
        <w:t>8</w:t>
      </w:r>
      <w:r w:rsidRPr="00263AB5">
        <w:rPr>
          <w:rFonts w:ascii="Times New Roman" w:eastAsia="Times New Roman" w:hAnsi="Times New Roman"/>
          <w:sz w:val="20"/>
          <w:szCs w:val="20"/>
        </w:rPr>
        <w:t>/[</w:t>
      </w:r>
      <w:r w:rsidR="0057745C">
        <w:rPr>
          <w:rFonts w:ascii="Times New Roman" w:eastAsia="Times New Roman" w:hAnsi="Times New Roman"/>
          <w:sz w:val="20"/>
          <w:szCs w:val="20"/>
        </w:rPr>
        <w:t>--</w:t>
      </w:r>
      <w:r w:rsidRPr="00263AB5">
        <w:rPr>
          <w:rFonts w:ascii="Times New Roman" w:eastAsia="Times New Roman" w:hAnsi="Times New Roman"/>
          <w:sz w:val="20"/>
          <w:szCs w:val="20"/>
        </w:rPr>
        <w:t xml:space="preserve">], to establish the institutional arrangements necessary to </w:t>
      </w:r>
      <w:r w:rsidR="00945A6B" w:rsidRPr="00263AB5">
        <w:rPr>
          <w:rFonts w:ascii="Times New Roman" w:eastAsia="Times New Roman" w:hAnsi="Times New Roman"/>
          <w:sz w:val="20"/>
          <w:szCs w:val="20"/>
        </w:rPr>
        <w:t xml:space="preserve">implement </w:t>
      </w:r>
      <w:r w:rsidRPr="00263AB5">
        <w:rPr>
          <w:rFonts w:ascii="Times New Roman" w:eastAsia="Times New Roman" w:hAnsi="Times New Roman"/>
          <w:sz w:val="20"/>
          <w:szCs w:val="20"/>
        </w:rPr>
        <w:t>the technical support required for the work programme.</w:t>
      </w:r>
      <w:r w:rsidRPr="004204D7">
        <w:rPr>
          <w:rFonts w:ascii="Times New Roman" w:eastAsia="Times New Roman" w:hAnsi="Times New Roman"/>
          <w:sz w:val="20"/>
          <w:szCs w:val="20"/>
        </w:rPr>
        <w:t xml:space="preserve"> </w:t>
      </w:r>
    </w:p>
    <w:p w14:paraId="1BCC9EF4" w14:textId="1C6B441C" w:rsidR="007F453C" w:rsidRPr="00263AB5" w:rsidRDefault="007F453C" w:rsidP="007F453C">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rPr>
      </w:pPr>
      <w:r w:rsidRPr="004204D7">
        <w:rPr>
          <w:rFonts w:ascii="Times New Roman" w:eastAsia="Times New Roman" w:hAnsi="Times New Roman"/>
          <w:b/>
          <w:sz w:val="28"/>
          <w:szCs w:val="28"/>
        </w:rPr>
        <w:lastRenderedPageBreak/>
        <w:tab/>
      </w:r>
      <w:r w:rsidRPr="00263AB5">
        <w:rPr>
          <w:rFonts w:ascii="Times New Roman" w:eastAsia="Times New Roman" w:hAnsi="Times New Roman"/>
          <w:b/>
          <w:sz w:val="28"/>
          <w:szCs w:val="28"/>
        </w:rPr>
        <w:t>II.</w:t>
      </w:r>
      <w:r w:rsidRPr="00263AB5">
        <w:rPr>
          <w:rFonts w:ascii="Times New Roman" w:eastAsia="Times New Roman" w:hAnsi="Times New Roman"/>
          <w:b/>
          <w:sz w:val="28"/>
          <w:szCs w:val="28"/>
        </w:rPr>
        <w:tab/>
        <w:t>Draft decision: Term of office of the members of the Bureau and the Multidisciplinary Expert Panel</w:t>
      </w:r>
    </w:p>
    <w:p w14:paraId="13FABEE0" w14:textId="77777777" w:rsidR="007F453C" w:rsidRPr="00263AB5" w:rsidRDefault="007F453C" w:rsidP="00404335">
      <w:pPr>
        <w:pStyle w:val="Normalnumber"/>
        <w:tabs>
          <w:tab w:val="clear" w:pos="1134"/>
        </w:tabs>
      </w:pPr>
      <w:r w:rsidRPr="00263AB5">
        <w:t xml:space="preserve">The Plenary may wish to consider the following draft decision under item 2 (c) of the provisional agenda: </w:t>
      </w:r>
    </w:p>
    <w:p w14:paraId="15794EC0" w14:textId="77777777" w:rsidR="007F453C" w:rsidRPr="00263AB5" w:rsidRDefault="007F453C" w:rsidP="007F453C">
      <w:pPr>
        <w:keepNext/>
        <w:tabs>
          <w:tab w:val="left" w:pos="624"/>
          <w:tab w:val="left" w:pos="4082"/>
        </w:tabs>
        <w:spacing w:after="120" w:line="240" w:lineRule="auto"/>
        <w:ind w:left="1871" w:firstLine="624"/>
        <w:rPr>
          <w:rFonts w:ascii="Times New Roman" w:eastAsia="Times New Roman" w:hAnsi="Times New Roman"/>
          <w:i/>
          <w:sz w:val="20"/>
          <w:szCs w:val="20"/>
        </w:rPr>
      </w:pPr>
      <w:r w:rsidRPr="00263AB5">
        <w:rPr>
          <w:rFonts w:ascii="Times New Roman" w:eastAsia="Times New Roman" w:hAnsi="Times New Roman"/>
          <w:i/>
          <w:sz w:val="20"/>
          <w:szCs w:val="20"/>
        </w:rPr>
        <w:t xml:space="preserve">The Plenary, </w:t>
      </w:r>
    </w:p>
    <w:p w14:paraId="69CED824" w14:textId="74DF8672" w:rsidR="007F453C" w:rsidRPr="00263AB5" w:rsidRDefault="007F453C" w:rsidP="007F453C">
      <w:pPr>
        <w:keepNext/>
        <w:tabs>
          <w:tab w:val="left" w:pos="624"/>
        </w:tabs>
        <w:spacing w:after="120" w:line="240" w:lineRule="auto"/>
        <w:ind w:left="1871" w:firstLine="624"/>
        <w:rPr>
          <w:rFonts w:ascii="Times New Roman" w:eastAsia="Times New Roman" w:hAnsi="Times New Roman"/>
          <w:sz w:val="20"/>
          <w:szCs w:val="20"/>
        </w:rPr>
      </w:pPr>
      <w:r w:rsidRPr="00263AB5">
        <w:rPr>
          <w:rFonts w:ascii="Times New Roman" w:eastAsia="Times New Roman" w:hAnsi="Times New Roman"/>
          <w:i/>
          <w:sz w:val="20"/>
          <w:szCs w:val="20"/>
        </w:rPr>
        <w:t xml:space="preserve">Recalling </w:t>
      </w:r>
      <w:r w:rsidRPr="00263AB5">
        <w:rPr>
          <w:rFonts w:ascii="Times New Roman" w:eastAsia="Times New Roman" w:hAnsi="Times New Roman"/>
          <w:sz w:val="20"/>
          <w:szCs w:val="20"/>
        </w:rPr>
        <w:t xml:space="preserve">decision IPBES-7/3 on future sessions of the Plenary of the </w:t>
      </w:r>
      <w:r w:rsidR="000875DA" w:rsidRPr="00263AB5">
        <w:rPr>
          <w:rFonts w:ascii="Times New Roman" w:eastAsia="Times New Roman" w:hAnsi="Times New Roman"/>
          <w:sz w:val="20"/>
          <w:szCs w:val="20"/>
        </w:rPr>
        <w:t>Intergovernmental Science-Policy Platform on Biodiversity and Ecosystem Servic</w:t>
      </w:r>
      <w:r w:rsidR="00B3349B" w:rsidRPr="00E806AF">
        <w:rPr>
          <w:rFonts w:ascii="Times New Roman" w:eastAsia="Times New Roman" w:hAnsi="Times New Roman"/>
          <w:sz w:val="20"/>
          <w:szCs w:val="20"/>
        </w:rPr>
        <w:t>es;</w:t>
      </w:r>
    </w:p>
    <w:p w14:paraId="3F46C65A" w14:textId="3E35C99C" w:rsidR="007F453C" w:rsidRPr="00E806AF" w:rsidRDefault="007F453C" w:rsidP="007F453C">
      <w:pPr>
        <w:tabs>
          <w:tab w:val="left" w:pos="624"/>
        </w:tabs>
        <w:spacing w:after="120" w:line="240" w:lineRule="auto"/>
        <w:ind w:left="1871" w:firstLine="624"/>
        <w:rPr>
          <w:rFonts w:ascii="Times New Roman" w:eastAsia="Times New Roman" w:hAnsi="Times New Roman"/>
          <w:sz w:val="20"/>
          <w:szCs w:val="20"/>
          <w:lang w:eastAsia="ko-KR"/>
        </w:rPr>
      </w:pPr>
      <w:r w:rsidRPr="00263AB5">
        <w:rPr>
          <w:rFonts w:ascii="Times New Roman" w:eastAsia="Times New Roman" w:hAnsi="Times New Roman"/>
          <w:sz w:val="20"/>
          <w:szCs w:val="20"/>
        </w:rPr>
        <w:t>1.</w:t>
      </w:r>
      <w:r w:rsidRPr="00263AB5">
        <w:rPr>
          <w:rFonts w:ascii="Times New Roman" w:eastAsia="Times New Roman" w:hAnsi="Times New Roman"/>
          <w:sz w:val="20"/>
          <w:szCs w:val="20"/>
        </w:rPr>
        <w:tab/>
      </w:r>
      <w:r w:rsidRPr="00263AB5">
        <w:rPr>
          <w:rFonts w:ascii="Times New Roman" w:eastAsia="Times New Roman" w:hAnsi="Times New Roman"/>
          <w:i/>
          <w:iCs/>
          <w:sz w:val="20"/>
          <w:szCs w:val="20"/>
        </w:rPr>
        <w:t xml:space="preserve">Decides, </w:t>
      </w:r>
      <w:r w:rsidRPr="00E806AF">
        <w:rPr>
          <w:rFonts w:ascii="Times New Roman" w:eastAsia="Times New Roman" w:hAnsi="Times New Roman"/>
          <w:sz w:val="20"/>
          <w:szCs w:val="20"/>
          <w:lang w:eastAsia="ko-KR"/>
        </w:rPr>
        <w:t xml:space="preserve">notwithstanding rule 15 of the </w:t>
      </w:r>
      <w:r w:rsidRPr="00E806AF">
        <w:rPr>
          <w:rFonts w:ascii="Times New Roman" w:eastAsia="Times New Roman" w:hAnsi="Times New Roman"/>
          <w:sz w:val="20"/>
          <w:szCs w:val="20"/>
        </w:rPr>
        <w:t xml:space="preserve">rules of procedure for </w:t>
      </w:r>
      <w:r w:rsidR="000875DA" w:rsidRPr="00263AB5">
        <w:rPr>
          <w:rFonts w:ascii="Times New Roman" w:eastAsia="Times New Roman" w:hAnsi="Times New Roman"/>
          <w:sz w:val="20"/>
          <w:szCs w:val="20"/>
        </w:rPr>
        <w:t xml:space="preserve">sessions of </w:t>
      </w:r>
      <w:r w:rsidRPr="00E806AF">
        <w:rPr>
          <w:rFonts w:ascii="Times New Roman" w:eastAsia="Times New Roman" w:hAnsi="Times New Roman"/>
          <w:sz w:val="20"/>
          <w:szCs w:val="20"/>
        </w:rPr>
        <w:t>the Plenary of the Platform</w:t>
      </w:r>
      <w:r w:rsidRPr="00E806AF">
        <w:rPr>
          <w:rFonts w:ascii="Times New Roman" w:eastAsia="Times New Roman" w:hAnsi="Times New Roman"/>
          <w:sz w:val="20"/>
          <w:szCs w:val="20"/>
          <w:lang w:eastAsia="ko-KR"/>
        </w:rPr>
        <w:t>, that the term of office of the current members of the Bureau will extend until the end of the tenth session of the Plenary</w:t>
      </w:r>
      <w:r w:rsidR="000875DA" w:rsidRPr="00263AB5">
        <w:rPr>
          <w:rFonts w:ascii="Times New Roman" w:eastAsia="Times New Roman" w:hAnsi="Times New Roman"/>
          <w:sz w:val="20"/>
          <w:szCs w:val="20"/>
          <w:lang w:eastAsia="ko-KR"/>
        </w:rPr>
        <w:t>,</w:t>
      </w:r>
      <w:r w:rsidRPr="00E806AF">
        <w:rPr>
          <w:rFonts w:ascii="Times New Roman" w:eastAsia="Times New Roman" w:hAnsi="Times New Roman"/>
          <w:sz w:val="20"/>
          <w:szCs w:val="20"/>
          <w:lang w:eastAsia="ko-KR"/>
        </w:rPr>
        <w:t xml:space="preserve"> at which their successors </w:t>
      </w:r>
      <w:r w:rsidR="000875DA" w:rsidRPr="00263AB5">
        <w:rPr>
          <w:rFonts w:ascii="Times New Roman" w:eastAsia="Times New Roman" w:hAnsi="Times New Roman"/>
          <w:sz w:val="20"/>
          <w:szCs w:val="20"/>
          <w:lang w:eastAsia="ko-KR"/>
        </w:rPr>
        <w:t>will be</w:t>
      </w:r>
      <w:r w:rsidR="000875DA" w:rsidRPr="00E806AF">
        <w:rPr>
          <w:rFonts w:ascii="Times New Roman" w:eastAsia="Times New Roman" w:hAnsi="Times New Roman"/>
          <w:sz w:val="20"/>
          <w:szCs w:val="20"/>
          <w:lang w:eastAsia="ko-KR"/>
        </w:rPr>
        <w:t xml:space="preserve"> </w:t>
      </w:r>
      <w:r w:rsidRPr="00E806AF">
        <w:rPr>
          <w:rFonts w:ascii="Times New Roman" w:eastAsia="Times New Roman" w:hAnsi="Times New Roman"/>
          <w:sz w:val="20"/>
          <w:szCs w:val="20"/>
          <w:lang w:eastAsia="ko-KR"/>
        </w:rPr>
        <w:t xml:space="preserve">elected; </w:t>
      </w:r>
    </w:p>
    <w:p w14:paraId="19344C68" w14:textId="5E5CC10D" w:rsidR="007F453C" w:rsidRPr="00E806AF" w:rsidRDefault="007F453C" w:rsidP="007F453C">
      <w:pPr>
        <w:tabs>
          <w:tab w:val="left" w:pos="624"/>
        </w:tabs>
        <w:spacing w:after="120" w:line="240" w:lineRule="auto"/>
        <w:ind w:left="1871" w:firstLine="624"/>
        <w:rPr>
          <w:rFonts w:ascii="Times New Roman" w:eastAsia="Times New Roman" w:hAnsi="Times New Roman"/>
          <w:sz w:val="20"/>
          <w:szCs w:val="20"/>
          <w:lang w:eastAsia="ko-KR"/>
        </w:rPr>
      </w:pPr>
      <w:r w:rsidRPr="00263AB5">
        <w:rPr>
          <w:rFonts w:ascii="Times New Roman" w:eastAsia="Times New Roman" w:hAnsi="Times New Roman"/>
          <w:sz w:val="20"/>
          <w:szCs w:val="20"/>
        </w:rPr>
        <w:t>2.</w:t>
      </w:r>
      <w:r w:rsidRPr="00263AB5">
        <w:rPr>
          <w:rFonts w:ascii="Times New Roman" w:eastAsia="Times New Roman" w:hAnsi="Times New Roman"/>
          <w:sz w:val="20"/>
          <w:szCs w:val="20"/>
        </w:rPr>
        <w:tab/>
      </w:r>
      <w:r w:rsidR="0077696A" w:rsidRPr="00263AB5">
        <w:rPr>
          <w:rFonts w:ascii="Times New Roman" w:eastAsia="Times New Roman" w:hAnsi="Times New Roman"/>
          <w:i/>
          <w:iCs/>
          <w:sz w:val="20"/>
          <w:szCs w:val="20"/>
        </w:rPr>
        <w:t>Also d</w:t>
      </w:r>
      <w:r w:rsidRPr="00263AB5">
        <w:rPr>
          <w:rFonts w:ascii="Times New Roman" w:eastAsia="Times New Roman" w:hAnsi="Times New Roman"/>
          <w:i/>
          <w:iCs/>
          <w:sz w:val="20"/>
          <w:szCs w:val="20"/>
        </w:rPr>
        <w:t xml:space="preserve">ecides, </w:t>
      </w:r>
      <w:r w:rsidRPr="00E806AF">
        <w:rPr>
          <w:rFonts w:ascii="Times New Roman" w:eastAsia="Times New Roman" w:hAnsi="Times New Roman"/>
          <w:sz w:val="20"/>
          <w:szCs w:val="20"/>
          <w:lang w:eastAsia="ko-KR"/>
        </w:rPr>
        <w:t xml:space="preserve">notwithstanding rule 29 of the </w:t>
      </w:r>
      <w:r w:rsidRPr="00E806AF">
        <w:rPr>
          <w:rFonts w:ascii="Times New Roman" w:eastAsia="Times New Roman" w:hAnsi="Times New Roman"/>
          <w:sz w:val="20"/>
          <w:szCs w:val="20"/>
        </w:rPr>
        <w:t xml:space="preserve">rules of procedure for </w:t>
      </w:r>
      <w:r w:rsidR="000875DA" w:rsidRPr="00263AB5">
        <w:rPr>
          <w:rFonts w:ascii="Times New Roman" w:eastAsia="Times New Roman" w:hAnsi="Times New Roman"/>
          <w:sz w:val="20"/>
          <w:szCs w:val="20"/>
        </w:rPr>
        <w:t xml:space="preserve">sessions of </w:t>
      </w:r>
      <w:r w:rsidRPr="00E806AF">
        <w:rPr>
          <w:rFonts w:ascii="Times New Roman" w:eastAsia="Times New Roman" w:hAnsi="Times New Roman"/>
          <w:sz w:val="20"/>
          <w:szCs w:val="20"/>
        </w:rPr>
        <w:t>the Plenary of the Platform</w:t>
      </w:r>
      <w:r w:rsidRPr="00E806AF">
        <w:rPr>
          <w:rFonts w:ascii="Times New Roman" w:eastAsia="Times New Roman" w:hAnsi="Times New Roman"/>
          <w:sz w:val="20"/>
          <w:szCs w:val="20"/>
          <w:lang w:eastAsia="ko-KR"/>
        </w:rPr>
        <w:t>, that the term of office of the current members of the Multidisciplinary Expert Panel will extend until the end of the ninth session of the Plenary</w:t>
      </w:r>
      <w:r w:rsidR="000875DA" w:rsidRPr="00263AB5">
        <w:rPr>
          <w:rFonts w:ascii="Times New Roman" w:eastAsia="Times New Roman" w:hAnsi="Times New Roman"/>
          <w:sz w:val="20"/>
          <w:szCs w:val="20"/>
          <w:lang w:eastAsia="ko-KR"/>
        </w:rPr>
        <w:t>,</w:t>
      </w:r>
      <w:r w:rsidRPr="00E806AF">
        <w:rPr>
          <w:rFonts w:ascii="Times New Roman" w:eastAsia="Times New Roman" w:hAnsi="Times New Roman"/>
          <w:sz w:val="20"/>
          <w:szCs w:val="20"/>
          <w:lang w:eastAsia="ko-KR"/>
        </w:rPr>
        <w:t xml:space="preserve"> at which their successors </w:t>
      </w:r>
      <w:r w:rsidR="000875DA" w:rsidRPr="006D34FC">
        <w:rPr>
          <w:rFonts w:ascii="Times New Roman" w:eastAsia="Times New Roman" w:hAnsi="Times New Roman"/>
          <w:sz w:val="20"/>
          <w:szCs w:val="20"/>
          <w:lang w:eastAsia="ko-KR"/>
        </w:rPr>
        <w:t>will be</w:t>
      </w:r>
      <w:r w:rsidR="000875DA" w:rsidRPr="00E806AF">
        <w:rPr>
          <w:rFonts w:ascii="Times New Roman" w:eastAsia="Times New Roman" w:hAnsi="Times New Roman"/>
          <w:sz w:val="20"/>
          <w:szCs w:val="20"/>
          <w:lang w:eastAsia="ko-KR"/>
        </w:rPr>
        <w:t xml:space="preserve"> </w:t>
      </w:r>
      <w:r w:rsidRPr="00E806AF">
        <w:rPr>
          <w:rFonts w:ascii="Times New Roman" w:eastAsia="Times New Roman" w:hAnsi="Times New Roman"/>
          <w:sz w:val="20"/>
          <w:szCs w:val="20"/>
          <w:lang w:eastAsia="ko-KR"/>
        </w:rPr>
        <w:t>elected.</w:t>
      </w:r>
    </w:p>
    <w:p w14:paraId="0663DFDE" w14:textId="5A209719" w:rsidR="007F453C" w:rsidRPr="006D34FC" w:rsidRDefault="007F453C" w:rsidP="003E169F">
      <w:pPr>
        <w:pStyle w:val="CH1"/>
      </w:pPr>
      <w:r w:rsidRPr="006D34FC">
        <w:tab/>
        <w:t>I</w:t>
      </w:r>
      <w:r w:rsidR="00D5408E">
        <w:t>II</w:t>
      </w:r>
      <w:r w:rsidRPr="006D34FC">
        <w:t>.</w:t>
      </w:r>
      <w:r w:rsidRPr="006D34FC">
        <w:tab/>
        <w:t>Draft decision: Financial and budgetary arrangements</w:t>
      </w:r>
    </w:p>
    <w:p w14:paraId="408FEFF6" w14:textId="77777777" w:rsidR="007F453C" w:rsidRPr="006D34FC" w:rsidRDefault="007F453C" w:rsidP="00404335">
      <w:pPr>
        <w:pStyle w:val="Normalnumber"/>
        <w:tabs>
          <w:tab w:val="clear" w:pos="1134"/>
        </w:tabs>
      </w:pPr>
      <w:r w:rsidRPr="006D34FC">
        <w:t xml:space="preserve">The Plenary may wish to consider the following draft decision on financial and budgetary arrangements under item 6 of the provisional agenda: </w:t>
      </w:r>
    </w:p>
    <w:p w14:paraId="6CF57F90" w14:textId="77777777" w:rsidR="007F453C" w:rsidRPr="006D34FC" w:rsidRDefault="007F453C" w:rsidP="003E169F">
      <w:pPr>
        <w:pStyle w:val="Normal-pool"/>
        <w:spacing w:after="120"/>
        <w:ind w:left="1871" w:firstLine="624"/>
        <w:rPr>
          <w:i/>
          <w:iCs/>
        </w:rPr>
      </w:pPr>
      <w:r w:rsidRPr="006D34FC">
        <w:rPr>
          <w:i/>
          <w:iCs/>
        </w:rPr>
        <w:t xml:space="preserve">The Plenary, </w:t>
      </w:r>
    </w:p>
    <w:p w14:paraId="212BB74B" w14:textId="77777777" w:rsidR="007F453C" w:rsidRPr="006D34FC" w:rsidRDefault="007F453C" w:rsidP="003E169F">
      <w:pPr>
        <w:pStyle w:val="Normal-pool"/>
        <w:spacing w:after="120"/>
        <w:ind w:left="1871" w:firstLine="624"/>
      </w:pPr>
      <w:bookmarkStart w:id="9" w:name="_Hlk535846233"/>
      <w:r w:rsidRPr="006D34FC">
        <w:rPr>
          <w:i/>
        </w:rPr>
        <w:t>Welcoming</w:t>
      </w:r>
      <w:r w:rsidRPr="006D34FC">
        <w:t xml:space="preserve"> the cash and in-kind contributions received since the seventh session of the Plenary of the Intergovernmental Science-Policy Platform on Biodiversity and Ecosystem Services, </w:t>
      </w:r>
    </w:p>
    <w:p w14:paraId="25237504" w14:textId="2AC3D62A" w:rsidR="007F453C" w:rsidRPr="006D34FC" w:rsidRDefault="007F453C" w:rsidP="003E169F">
      <w:pPr>
        <w:pStyle w:val="Normal-pool"/>
        <w:spacing w:after="120"/>
        <w:ind w:left="1871" w:firstLine="624"/>
      </w:pPr>
      <w:r w:rsidRPr="006D34FC">
        <w:rPr>
          <w:i/>
        </w:rPr>
        <w:t>Noting</w:t>
      </w:r>
      <w:r w:rsidRPr="006D34FC">
        <w:t xml:space="preserve"> the status of cash and in-kind contributions received to date, </w:t>
      </w:r>
      <w:r w:rsidRPr="00E806AF">
        <w:t>as listed in tables [</w:t>
      </w:r>
      <w:r w:rsidR="0057745C">
        <w:t>--</w:t>
      </w:r>
      <w:r w:rsidRPr="00E806AF">
        <w:t>], [</w:t>
      </w:r>
      <w:r w:rsidR="0057745C">
        <w:t>--</w:t>
      </w:r>
      <w:r w:rsidRPr="00E806AF">
        <w:t>] and [</w:t>
      </w:r>
      <w:r w:rsidR="0057745C">
        <w:t>--</w:t>
      </w:r>
      <w:r w:rsidRPr="00E806AF">
        <w:t>]</w:t>
      </w:r>
      <w:r w:rsidR="005F59A4" w:rsidRPr="00E806AF">
        <w:t>,</w:t>
      </w:r>
      <w:r w:rsidRPr="00E806AF">
        <w:t xml:space="preserve"> set out in the annex to the present decision,</w:t>
      </w:r>
      <w:r w:rsidRPr="006D34FC">
        <w:rPr>
          <w:szCs w:val="18"/>
          <w:vertAlign w:val="superscript"/>
        </w:rPr>
        <w:footnoteReference w:id="26"/>
      </w:r>
      <w:r w:rsidRPr="006D34FC">
        <w:t xml:space="preserve"> </w:t>
      </w:r>
    </w:p>
    <w:p w14:paraId="5C4CD9D7" w14:textId="77777777" w:rsidR="007F453C" w:rsidRPr="006D34FC" w:rsidRDefault="007F453C" w:rsidP="003E169F">
      <w:pPr>
        <w:pStyle w:val="Normal-pool"/>
        <w:spacing w:after="120"/>
        <w:ind w:left="1871" w:firstLine="624"/>
      </w:pPr>
      <w:r w:rsidRPr="006D34FC">
        <w:rPr>
          <w:i/>
        </w:rPr>
        <w:t>Noting also</w:t>
      </w:r>
      <w:r w:rsidRPr="006D34FC">
        <w:t xml:space="preserve"> the pledges made for the period beyond 2021, </w:t>
      </w:r>
    </w:p>
    <w:p w14:paraId="0B4E0093" w14:textId="76ED978A" w:rsidR="007F453C" w:rsidRDefault="007F453C" w:rsidP="003E169F">
      <w:pPr>
        <w:pStyle w:val="Normal-pool"/>
        <w:spacing w:after="120"/>
        <w:ind w:left="1871" w:firstLine="624"/>
      </w:pPr>
      <w:r w:rsidRPr="006D34FC">
        <w:rPr>
          <w:i/>
        </w:rPr>
        <w:t>Noting further</w:t>
      </w:r>
      <w:r w:rsidRPr="006D34FC">
        <w:t xml:space="preserve"> the status of expenditures in 2018, 2019 and 2020</w:t>
      </w:r>
      <w:r w:rsidR="0057745C">
        <w:t>,</w:t>
      </w:r>
      <w:r w:rsidR="00A922DA" w:rsidRPr="00E806AF">
        <w:rPr>
          <w:szCs w:val="18"/>
        </w:rPr>
        <w:t xml:space="preserve"> respectively</w:t>
      </w:r>
      <w:r w:rsidRPr="006D34FC">
        <w:t>,</w:t>
      </w:r>
      <w:r w:rsidRPr="00E806AF">
        <w:t xml:space="preserve"> as listed in tables [</w:t>
      </w:r>
      <w:r w:rsidR="00887878">
        <w:t>--</w:t>
      </w:r>
      <w:r w:rsidRPr="00E806AF">
        <w:t>]</w:t>
      </w:r>
      <w:r w:rsidR="00A922DA" w:rsidRPr="00E806AF">
        <w:t>, [</w:t>
      </w:r>
      <w:r w:rsidR="00887878">
        <w:t>--</w:t>
      </w:r>
      <w:r w:rsidR="00A922DA" w:rsidRPr="00E806AF">
        <w:t>]</w:t>
      </w:r>
      <w:r w:rsidRPr="00E806AF">
        <w:t xml:space="preserve"> and [</w:t>
      </w:r>
      <w:r w:rsidR="00887878">
        <w:t>--</w:t>
      </w:r>
      <w:r w:rsidRPr="00E806AF">
        <w:t>]</w:t>
      </w:r>
      <w:r w:rsidR="0055558C" w:rsidRPr="00E806AF">
        <w:t>,</w:t>
      </w:r>
      <w:r w:rsidRPr="00E806AF">
        <w:t xml:space="preserve"> set out in the annex to the present decision,</w:t>
      </w:r>
      <w:r w:rsidRPr="006D34FC">
        <w:rPr>
          <w:szCs w:val="18"/>
          <w:vertAlign w:val="superscript"/>
        </w:rPr>
        <w:footnoteReference w:id="27"/>
      </w:r>
      <w:r w:rsidRPr="004204D7">
        <w:t xml:space="preserve"> </w:t>
      </w:r>
    </w:p>
    <w:p w14:paraId="752B7DCE" w14:textId="42DA9572" w:rsidR="00FD4F6C" w:rsidRPr="00FD4F6C" w:rsidRDefault="00FD4F6C" w:rsidP="00FD4F6C">
      <w:pPr>
        <w:pStyle w:val="Normal-pool"/>
        <w:spacing w:after="120"/>
        <w:ind w:left="1871" w:firstLine="624"/>
      </w:pPr>
      <w:r>
        <w:rPr>
          <w:i/>
          <w:iCs/>
        </w:rPr>
        <w:tab/>
      </w:r>
      <w:r w:rsidRPr="00FD4F6C">
        <w:rPr>
          <w:i/>
          <w:iCs/>
        </w:rPr>
        <w:t>Recalling</w:t>
      </w:r>
      <w:r w:rsidRPr="00FD4F6C">
        <w:t xml:space="preserve"> the financial procedures for the Platform adopted in decision IPBES-2/7 and amended in decision IPBES-3/2, in particular </w:t>
      </w:r>
      <w:r w:rsidR="006C59B0">
        <w:t>r</w:t>
      </w:r>
      <w:r w:rsidRPr="00FD4F6C">
        <w:t xml:space="preserve">ule 4, </w:t>
      </w:r>
      <w:r w:rsidR="006C59B0">
        <w:t>r</w:t>
      </w:r>
      <w:r w:rsidRPr="00FD4F6C">
        <w:t xml:space="preserve">ule 5, and </w:t>
      </w:r>
      <w:r w:rsidR="006C59B0">
        <w:t>r</w:t>
      </w:r>
      <w:r w:rsidRPr="00FD4F6C">
        <w:t>ule 10,</w:t>
      </w:r>
    </w:p>
    <w:p w14:paraId="4A78B75B" w14:textId="77777777" w:rsidR="007F453C" w:rsidRPr="00682A80" w:rsidRDefault="007F453C" w:rsidP="007F453C">
      <w:pPr>
        <w:tabs>
          <w:tab w:val="left" w:pos="624"/>
        </w:tabs>
        <w:spacing w:after="120" w:line="240" w:lineRule="auto"/>
        <w:ind w:left="1871" w:firstLine="624"/>
        <w:rPr>
          <w:rFonts w:ascii="Times New Roman" w:eastAsia="Times New Roman" w:hAnsi="Times New Roman"/>
          <w:sz w:val="20"/>
          <w:szCs w:val="20"/>
        </w:rPr>
      </w:pPr>
      <w:r w:rsidRPr="00682A80">
        <w:rPr>
          <w:rFonts w:ascii="Times New Roman" w:eastAsia="Times New Roman" w:hAnsi="Times New Roman"/>
          <w:sz w:val="20"/>
          <w:szCs w:val="20"/>
        </w:rPr>
        <w:t>1.</w:t>
      </w:r>
      <w:r w:rsidRPr="00682A80">
        <w:rPr>
          <w:rFonts w:ascii="Times New Roman" w:eastAsia="Times New Roman" w:hAnsi="Times New Roman"/>
          <w:sz w:val="20"/>
          <w:szCs w:val="20"/>
        </w:rPr>
        <w:tab/>
      </w:r>
      <w:r w:rsidRPr="00682A80">
        <w:rPr>
          <w:rFonts w:ascii="Times New Roman" w:eastAsia="Times New Roman" w:hAnsi="Times New Roman"/>
          <w:i/>
          <w:iCs/>
          <w:sz w:val="20"/>
          <w:szCs w:val="20"/>
        </w:rPr>
        <w:t xml:space="preserve">Invites </w:t>
      </w:r>
      <w:r w:rsidRPr="00682A80">
        <w:rPr>
          <w:rFonts w:ascii="Times New Roman" w:eastAsia="Times New Roman" w:hAnsi="Times New Roman"/>
          <w:sz w:val="20"/>
          <w:szCs w:val="20"/>
        </w:rPr>
        <w:t>pledges and contributions to the trust fund of the Platform, as well as in</w:t>
      </w:r>
      <w:r w:rsidRPr="00682A80">
        <w:rPr>
          <w:rFonts w:ascii="Times New Roman" w:eastAsia="Times New Roman" w:hAnsi="Times New Roman"/>
          <w:sz w:val="20"/>
          <w:szCs w:val="20"/>
        </w:rPr>
        <w:noBreakHyphen/>
        <w:t xml:space="preserve">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 </w:t>
      </w:r>
    </w:p>
    <w:p w14:paraId="141F017E" w14:textId="77777777" w:rsidR="007F453C" w:rsidRPr="00682A80"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682A80">
        <w:rPr>
          <w:rFonts w:ascii="Times New Roman" w:eastAsia="Times New Roman" w:hAnsi="Times New Roman"/>
          <w:color w:val="000000"/>
          <w:sz w:val="20"/>
          <w:szCs w:val="20"/>
        </w:rPr>
        <w:tab/>
        <w:t>2.</w:t>
      </w:r>
      <w:r w:rsidRPr="00682A80">
        <w:rPr>
          <w:rFonts w:ascii="Times New Roman" w:eastAsia="Times New Roman" w:hAnsi="Times New Roman"/>
          <w:color w:val="000000"/>
          <w:sz w:val="20"/>
          <w:szCs w:val="20"/>
        </w:rPr>
        <w:tab/>
      </w:r>
      <w:r w:rsidRPr="00682A80">
        <w:rPr>
          <w:rFonts w:ascii="Times New Roman" w:eastAsia="Times New Roman" w:hAnsi="Times New Roman"/>
          <w:i/>
          <w:iCs/>
          <w:color w:val="000000"/>
          <w:sz w:val="20"/>
          <w:szCs w:val="20"/>
        </w:rPr>
        <w:t xml:space="preserve">Requests </w:t>
      </w:r>
      <w:r w:rsidRPr="00682A80">
        <w:rPr>
          <w:rFonts w:ascii="Times New Roman" w:eastAsia="Times New Roman" w:hAnsi="Times New Roman"/>
          <w:color w:val="000000"/>
          <w:sz w:val="20"/>
          <w:szCs w:val="20"/>
        </w:rPr>
        <w:t xml:space="preserve">the Executive Secretary, under the guidance of the Bureau, to report to the Plenary at its ninth session on expenditures for 2021 and on activities related to fundraising; </w:t>
      </w:r>
    </w:p>
    <w:p w14:paraId="0488F3AD" w14:textId="6E752644" w:rsidR="007F453C" w:rsidRPr="00682A80"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682A80">
        <w:rPr>
          <w:rFonts w:ascii="Times New Roman" w:eastAsia="Times New Roman" w:hAnsi="Times New Roman"/>
          <w:color w:val="000000"/>
          <w:sz w:val="20"/>
          <w:szCs w:val="20"/>
        </w:rPr>
        <w:tab/>
        <w:t>3.</w:t>
      </w:r>
      <w:r w:rsidRPr="00682A80">
        <w:rPr>
          <w:rFonts w:ascii="Times New Roman" w:eastAsia="Times New Roman" w:hAnsi="Times New Roman"/>
          <w:color w:val="000000"/>
          <w:sz w:val="20"/>
          <w:szCs w:val="20"/>
        </w:rPr>
        <w:tab/>
      </w:r>
      <w:r w:rsidRPr="00682A80">
        <w:rPr>
          <w:rFonts w:ascii="Times New Roman" w:eastAsia="Times New Roman" w:hAnsi="Times New Roman"/>
          <w:i/>
          <w:iCs/>
          <w:color w:val="000000"/>
          <w:sz w:val="20"/>
          <w:szCs w:val="20"/>
        </w:rPr>
        <w:t xml:space="preserve">Adopts </w:t>
      </w:r>
      <w:r w:rsidRPr="00682A80">
        <w:rPr>
          <w:rFonts w:ascii="Times New Roman" w:eastAsia="Times New Roman" w:hAnsi="Times New Roman"/>
          <w:color w:val="000000"/>
          <w:sz w:val="20"/>
          <w:szCs w:val="20"/>
        </w:rPr>
        <w:t>the revised budget for 2021,</w:t>
      </w:r>
      <w:r w:rsidRPr="00682A80">
        <w:rPr>
          <w:rFonts w:ascii="Times New Roman" w:eastAsia="Times New Roman" w:hAnsi="Times New Roman"/>
          <w:sz w:val="20"/>
          <w:szCs w:val="18"/>
          <w:vertAlign w:val="superscript"/>
        </w:rPr>
        <w:footnoteReference w:id="28"/>
      </w:r>
      <w:r w:rsidRPr="00682A80">
        <w:rPr>
          <w:rFonts w:ascii="Times New Roman" w:eastAsia="Times New Roman" w:hAnsi="Times New Roman"/>
          <w:color w:val="000000"/>
          <w:sz w:val="20"/>
          <w:szCs w:val="20"/>
        </w:rPr>
        <w:t xml:space="preserve"> amounting to $[</w:t>
      </w:r>
      <w:r w:rsidR="0006012C">
        <w:rPr>
          <w:rFonts w:ascii="Times New Roman" w:eastAsia="Times New Roman" w:hAnsi="Times New Roman"/>
          <w:color w:val="000000"/>
          <w:sz w:val="20"/>
          <w:szCs w:val="20"/>
        </w:rPr>
        <w:t>--</w:t>
      </w:r>
      <w:r w:rsidRPr="00682A80">
        <w:rPr>
          <w:rFonts w:ascii="Times New Roman" w:eastAsia="Times New Roman" w:hAnsi="Times New Roman"/>
          <w:color w:val="000000"/>
          <w:sz w:val="20"/>
          <w:szCs w:val="20"/>
        </w:rPr>
        <w:t xml:space="preserve">], as set out in table </w:t>
      </w:r>
      <w:r w:rsidRPr="00682A80">
        <w:rPr>
          <w:rFonts w:ascii="Times New Roman" w:eastAsia="Times New Roman" w:hAnsi="Times New Roman"/>
          <w:sz w:val="20"/>
          <w:szCs w:val="20"/>
        </w:rPr>
        <w:t>[</w:t>
      </w:r>
      <w:r w:rsidR="0006012C">
        <w:rPr>
          <w:rFonts w:ascii="Times New Roman" w:eastAsia="Times New Roman" w:hAnsi="Times New Roman"/>
          <w:sz w:val="20"/>
          <w:szCs w:val="20"/>
        </w:rPr>
        <w:t>--</w:t>
      </w:r>
      <w:r w:rsidRPr="00682A80">
        <w:rPr>
          <w:rFonts w:ascii="Times New Roman" w:eastAsia="Times New Roman" w:hAnsi="Times New Roman"/>
          <w:sz w:val="20"/>
          <w:szCs w:val="20"/>
        </w:rPr>
        <w:t>]</w:t>
      </w:r>
      <w:r w:rsidRPr="00682A80">
        <w:rPr>
          <w:rFonts w:ascii="Times New Roman" w:eastAsia="Times New Roman" w:hAnsi="Times New Roman"/>
          <w:color w:val="000000"/>
          <w:sz w:val="20"/>
          <w:szCs w:val="20"/>
        </w:rPr>
        <w:t xml:space="preserve"> of the annex to the present decision; </w:t>
      </w:r>
    </w:p>
    <w:p w14:paraId="14F8F078" w14:textId="45110A46" w:rsidR="007F453C" w:rsidRPr="00081C66"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081C66">
        <w:rPr>
          <w:rFonts w:ascii="Times New Roman" w:eastAsia="Times New Roman" w:hAnsi="Times New Roman"/>
          <w:color w:val="000000"/>
          <w:sz w:val="20"/>
          <w:szCs w:val="20"/>
        </w:rPr>
        <w:tab/>
        <w:t>4.</w:t>
      </w:r>
      <w:r w:rsidRPr="00081C66">
        <w:rPr>
          <w:rFonts w:ascii="Times New Roman" w:eastAsia="Times New Roman" w:hAnsi="Times New Roman"/>
          <w:color w:val="000000"/>
          <w:sz w:val="20"/>
          <w:szCs w:val="20"/>
        </w:rPr>
        <w:tab/>
      </w:r>
      <w:r w:rsidRPr="00081C66">
        <w:rPr>
          <w:rFonts w:ascii="Times New Roman" w:eastAsia="Times New Roman" w:hAnsi="Times New Roman"/>
          <w:i/>
          <w:iCs/>
          <w:color w:val="000000"/>
          <w:sz w:val="20"/>
          <w:szCs w:val="20"/>
        </w:rPr>
        <w:t xml:space="preserve">Also adopts </w:t>
      </w:r>
      <w:r w:rsidRPr="00081C66">
        <w:rPr>
          <w:rFonts w:ascii="Times New Roman" w:eastAsia="Times New Roman" w:hAnsi="Times New Roman"/>
          <w:color w:val="000000"/>
          <w:sz w:val="20"/>
          <w:szCs w:val="20"/>
        </w:rPr>
        <w:t>the budget for 2022,</w:t>
      </w:r>
      <w:r w:rsidRPr="00081C66">
        <w:rPr>
          <w:rFonts w:ascii="Times New Roman" w:eastAsia="Times New Roman" w:hAnsi="Times New Roman"/>
          <w:sz w:val="20"/>
          <w:szCs w:val="18"/>
          <w:vertAlign w:val="superscript"/>
        </w:rPr>
        <w:footnoteReference w:id="29"/>
      </w:r>
      <w:r w:rsidRPr="00081C66">
        <w:rPr>
          <w:rFonts w:ascii="Times New Roman" w:eastAsia="Times New Roman" w:hAnsi="Times New Roman"/>
          <w:color w:val="000000"/>
          <w:sz w:val="20"/>
          <w:szCs w:val="20"/>
        </w:rPr>
        <w:t xml:space="preserve"> amounting to $[</w:t>
      </w:r>
      <w:r w:rsidR="0006012C">
        <w:rPr>
          <w:rFonts w:ascii="Times New Roman" w:eastAsia="Times New Roman" w:hAnsi="Times New Roman"/>
          <w:color w:val="000000"/>
          <w:sz w:val="20"/>
          <w:szCs w:val="20"/>
        </w:rPr>
        <w:t>--</w:t>
      </w:r>
      <w:r w:rsidRPr="00081C66">
        <w:rPr>
          <w:rFonts w:ascii="Times New Roman" w:eastAsia="Times New Roman" w:hAnsi="Times New Roman"/>
          <w:color w:val="000000"/>
          <w:sz w:val="20"/>
          <w:szCs w:val="20"/>
        </w:rPr>
        <w:t xml:space="preserve">], as set out in table </w:t>
      </w:r>
      <w:r w:rsidRPr="00081C66">
        <w:rPr>
          <w:rFonts w:ascii="Times New Roman" w:eastAsia="Times New Roman" w:hAnsi="Times New Roman"/>
          <w:sz w:val="20"/>
          <w:szCs w:val="20"/>
        </w:rPr>
        <w:t>[</w:t>
      </w:r>
      <w:r w:rsidR="007C6F01">
        <w:rPr>
          <w:rFonts w:ascii="Times New Roman" w:eastAsia="Times New Roman" w:hAnsi="Times New Roman"/>
          <w:sz w:val="20"/>
          <w:szCs w:val="20"/>
        </w:rPr>
        <w:t>--</w:t>
      </w:r>
      <w:r w:rsidRPr="00081C66">
        <w:rPr>
          <w:rFonts w:ascii="Times New Roman" w:eastAsia="Times New Roman" w:hAnsi="Times New Roman"/>
          <w:sz w:val="20"/>
          <w:szCs w:val="20"/>
        </w:rPr>
        <w:t>]</w:t>
      </w:r>
      <w:r w:rsidRPr="00081C66">
        <w:rPr>
          <w:rFonts w:ascii="Times New Roman" w:eastAsia="Times New Roman" w:hAnsi="Times New Roman"/>
          <w:color w:val="000000"/>
          <w:sz w:val="20"/>
          <w:szCs w:val="20"/>
        </w:rPr>
        <w:t xml:space="preserve"> of the annex to the present decision</w:t>
      </w:r>
      <w:r w:rsidR="005C11FA" w:rsidRPr="00081C66">
        <w:rPr>
          <w:rFonts w:ascii="Times New Roman" w:eastAsia="Times New Roman" w:hAnsi="Times New Roman"/>
          <w:color w:val="000000"/>
          <w:sz w:val="20"/>
          <w:szCs w:val="20"/>
        </w:rPr>
        <w:t>;</w:t>
      </w:r>
      <w:r w:rsidRPr="00081C66">
        <w:rPr>
          <w:rFonts w:ascii="Times New Roman" w:eastAsia="Times New Roman" w:hAnsi="Times New Roman"/>
          <w:color w:val="000000"/>
          <w:sz w:val="20"/>
          <w:szCs w:val="20"/>
        </w:rPr>
        <w:t xml:space="preserve"> </w:t>
      </w:r>
    </w:p>
    <w:p w14:paraId="2D2DDD0C" w14:textId="3A6529A3" w:rsidR="007F453C" w:rsidRPr="00081C66"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081C66">
        <w:rPr>
          <w:rFonts w:ascii="Times New Roman" w:eastAsia="Times New Roman" w:hAnsi="Times New Roman"/>
          <w:color w:val="000000"/>
          <w:sz w:val="20"/>
          <w:szCs w:val="20"/>
        </w:rPr>
        <w:tab/>
        <w:t>5.</w:t>
      </w:r>
      <w:r w:rsidRPr="00081C66">
        <w:rPr>
          <w:rFonts w:ascii="Times New Roman" w:eastAsia="Times New Roman" w:hAnsi="Times New Roman"/>
          <w:color w:val="000000"/>
          <w:sz w:val="20"/>
          <w:szCs w:val="20"/>
        </w:rPr>
        <w:tab/>
      </w:r>
      <w:r w:rsidR="005C11FA" w:rsidRPr="00081C66">
        <w:rPr>
          <w:rFonts w:ascii="Times New Roman" w:eastAsia="Times New Roman" w:hAnsi="Times New Roman"/>
          <w:i/>
          <w:iCs/>
          <w:color w:val="000000"/>
          <w:sz w:val="20"/>
          <w:szCs w:val="20"/>
        </w:rPr>
        <w:t xml:space="preserve">Further </w:t>
      </w:r>
      <w:r w:rsidRPr="00081C66">
        <w:rPr>
          <w:rFonts w:ascii="Times New Roman" w:eastAsia="Times New Roman" w:hAnsi="Times New Roman"/>
          <w:i/>
          <w:iCs/>
          <w:color w:val="000000"/>
          <w:sz w:val="20"/>
          <w:szCs w:val="20"/>
        </w:rPr>
        <w:t xml:space="preserve">adopts </w:t>
      </w:r>
      <w:r w:rsidRPr="00081C66">
        <w:rPr>
          <w:rFonts w:ascii="Times New Roman" w:eastAsia="Times New Roman" w:hAnsi="Times New Roman"/>
          <w:color w:val="000000"/>
          <w:sz w:val="20"/>
          <w:szCs w:val="20"/>
        </w:rPr>
        <w:t>the provisional budget for 2023,</w:t>
      </w:r>
      <w:r w:rsidRPr="00081C66">
        <w:rPr>
          <w:rFonts w:ascii="Times New Roman" w:eastAsia="Times New Roman" w:hAnsi="Times New Roman"/>
          <w:sz w:val="20"/>
          <w:szCs w:val="18"/>
          <w:vertAlign w:val="superscript"/>
        </w:rPr>
        <w:footnoteReference w:id="30"/>
      </w:r>
      <w:r w:rsidRPr="00081C66">
        <w:rPr>
          <w:rFonts w:ascii="Times New Roman" w:eastAsia="Times New Roman" w:hAnsi="Times New Roman"/>
          <w:color w:val="000000"/>
          <w:sz w:val="20"/>
          <w:szCs w:val="20"/>
        </w:rPr>
        <w:t xml:space="preserve"> amounting to $[</w:t>
      </w:r>
      <w:r w:rsidR="0006012C">
        <w:rPr>
          <w:rFonts w:ascii="Times New Roman" w:eastAsia="Times New Roman" w:hAnsi="Times New Roman"/>
          <w:color w:val="000000"/>
          <w:sz w:val="20"/>
          <w:szCs w:val="20"/>
        </w:rPr>
        <w:t>--</w:t>
      </w:r>
      <w:r w:rsidRPr="00081C66">
        <w:rPr>
          <w:rFonts w:ascii="Times New Roman" w:eastAsia="Times New Roman" w:hAnsi="Times New Roman"/>
          <w:color w:val="000000"/>
          <w:sz w:val="20"/>
          <w:szCs w:val="20"/>
        </w:rPr>
        <w:t xml:space="preserve">], as set out in table </w:t>
      </w:r>
      <w:r w:rsidRPr="00081C66">
        <w:rPr>
          <w:rFonts w:ascii="Times New Roman" w:eastAsia="Times New Roman" w:hAnsi="Times New Roman"/>
          <w:sz w:val="20"/>
          <w:szCs w:val="20"/>
        </w:rPr>
        <w:t>[</w:t>
      </w:r>
      <w:r w:rsidR="0006012C">
        <w:rPr>
          <w:rFonts w:ascii="Times New Roman" w:eastAsia="Times New Roman" w:hAnsi="Times New Roman"/>
          <w:sz w:val="20"/>
          <w:szCs w:val="20"/>
        </w:rPr>
        <w:t>--</w:t>
      </w:r>
      <w:r w:rsidRPr="00081C66">
        <w:rPr>
          <w:rFonts w:ascii="Times New Roman" w:eastAsia="Times New Roman" w:hAnsi="Times New Roman"/>
          <w:sz w:val="20"/>
          <w:szCs w:val="20"/>
        </w:rPr>
        <w:t>]</w:t>
      </w:r>
      <w:r w:rsidRPr="00081C66">
        <w:rPr>
          <w:rFonts w:ascii="Times New Roman" w:eastAsia="Times New Roman" w:hAnsi="Times New Roman"/>
          <w:color w:val="000000"/>
          <w:sz w:val="20"/>
          <w:szCs w:val="20"/>
        </w:rPr>
        <w:t xml:space="preserve"> of the annex to the present decision</w:t>
      </w:r>
      <w:r w:rsidR="005C11FA" w:rsidRPr="00081C66">
        <w:rPr>
          <w:rFonts w:ascii="Times New Roman" w:eastAsia="Times New Roman" w:hAnsi="Times New Roman"/>
          <w:color w:val="000000"/>
          <w:sz w:val="20"/>
          <w:szCs w:val="20"/>
        </w:rPr>
        <w:t>;</w:t>
      </w:r>
      <w:r w:rsidRPr="00081C66">
        <w:rPr>
          <w:rFonts w:ascii="Times New Roman" w:eastAsia="Times New Roman" w:hAnsi="Times New Roman"/>
          <w:color w:val="000000"/>
          <w:sz w:val="20"/>
          <w:szCs w:val="20"/>
        </w:rPr>
        <w:t xml:space="preserve"> </w:t>
      </w:r>
    </w:p>
    <w:p w14:paraId="5385EAB4" w14:textId="075343E1" w:rsidR="007F453C" w:rsidRPr="00081C66" w:rsidRDefault="007F453C" w:rsidP="007F453C">
      <w:pPr>
        <w:tabs>
          <w:tab w:val="left" w:pos="624"/>
        </w:tabs>
        <w:spacing w:after="120" w:line="240" w:lineRule="auto"/>
        <w:ind w:left="1871" w:firstLine="624"/>
        <w:rPr>
          <w:rFonts w:ascii="Times New Roman" w:eastAsia="Times New Roman" w:hAnsi="Times New Roman"/>
          <w:color w:val="000000"/>
          <w:sz w:val="20"/>
          <w:szCs w:val="20"/>
        </w:rPr>
      </w:pPr>
      <w:r w:rsidRPr="00081C66">
        <w:rPr>
          <w:rFonts w:ascii="Times New Roman" w:eastAsia="Times New Roman" w:hAnsi="Times New Roman"/>
          <w:color w:val="000000"/>
          <w:sz w:val="20"/>
          <w:szCs w:val="20"/>
        </w:rPr>
        <w:tab/>
        <w:t>6.</w:t>
      </w:r>
      <w:r w:rsidRPr="00081C66">
        <w:rPr>
          <w:rFonts w:ascii="Times New Roman" w:eastAsia="Times New Roman" w:hAnsi="Times New Roman"/>
          <w:color w:val="000000"/>
          <w:sz w:val="20"/>
          <w:szCs w:val="20"/>
        </w:rPr>
        <w:tab/>
      </w:r>
      <w:r w:rsidR="00FD4F6C">
        <w:rPr>
          <w:rFonts w:ascii="Times New Roman" w:eastAsia="Times New Roman" w:hAnsi="Times New Roman"/>
          <w:i/>
          <w:iCs/>
          <w:color w:val="000000"/>
          <w:sz w:val="20"/>
          <w:szCs w:val="20"/>
        </w:rPr>
        <w:t>Decides that</w:t>
      </w:r>
      <w:r w:rsidRPr="00081C66">
        <w:rPr>
          <w:rFonts w:ascii="Times New Roman" w:eastAsia="Times New Roman" w:hAnsi="Times New Roman"/>
          <w:color w:val="000000"/>
          <w:sz w:val="20"/>
          <w:szCs w:val="20"/>
        </w:rPr>
        <w:t xml:space="preserve">: </w:t>
      </w:r>
    </w:p>
    <w:p w14:paraId="5389D0F5" w14:textId="573A2E4C" w:rsidR="007F453C" w:rsidRPr="00081C66" w:rsidRDefault="007F453C" w:rsidP="003E169F">
      <w:pPr>
        <w:numPr>
          <w:ilvl w:val="0"/>
          <w:numId w:val="31"/>
        </w:numPr>
        <w:tabs>
          <w:tab w:val="left" w:pos="624"/>
        </w:tabs>
        <w:spacing w:after="120" w:line="240" w:lineRule="auto"/>
        <w:ind w:left="2495" w:firstLine="624"/>
        <w:rPr>
          <w:rFonts w:ascii="Times New Roman" w:eastAsia="Times New Roman" w:hAnsi="Times New Roman"/>
          <w:color w:val="000000"/>
          <w:sz w:val="20"/>
          <w:szCs w:val="20"/>
        </w:rPr>
      </w:pPr>
      <w:r w:rsidRPr="00081C66">
        <w:rPr>
          <w:rFonts w:ascii="Times New Roman" w:eastAsia="Times New Roman" w:hAnsi="Times New Roman"/>
          <w:color w:val="000000"/>
          <w:sz w:val="20"/>
          <w:szCs w:val="20"/>
        </w:rPr>
        <w:lastRenderedPageBreak/>
        <w:t xml:space="preserve">Neither logos nor names of private-sector </w:t>
      </w:r>
      <w:r w:rsidR="00081C66" w:rsidRPr="00E806AF">
        <w:rPr>
          <w:rFonts w:ascii="Times New Roman" w:eastAsia="Times New Roman" w:hAnsi="Times New Roman"/>
          <w:color w:val="000000"/>
          <w:sz w:val="20"/>
          <w:szCs w:val="20"/>
        </w:rPr>
        <w:t>or</w:t>
      </w:r>
      <w:r w:rsidR="00081C66" w:rsidRPr="00081C66">
        <w:rPr>
          <w:rFonts w:ascii="Times New Roman" w:eastAsia="Times New Roman" w:hAnsi="Times New Roman"/>
          <w:color w:val="000000"/>
          <w:sz w:val="20"/>
          <w:szCs w:val="20"/>
        </w:rPr>
        <w:t xml:space="preserve"> </w:t>
      </w:r>
      <w:r w:rsidRPr="00081C66">
        <w:rPr>
          <w:rFonts w:ascii="Times New Roman" w:eastAsia="Times New Roman" w:hAnsi="Times New Roman"/>
          <w:color w:val="000000"/>
          <w:sz w:val="20"/>
          <w:szCs w:val="20"/>
        </w:rPr>
        <w:t xml:space="preserve">non-governmental stakeholder </w:t>
      </w:r>
      <w:r w:rsidR="00FD4F6C">
        <w:rPr>
          <w:rFonts w:ascii="Times New Roman" w:eastAsia="Times New Roman" w:hAnsi="Times New Roman"/>
          <w:color w:val="000000"/>
          <w:sz w:val="20"/>
          <w:szCs w:val="20"/>
        </w:rPr>
        <w:t xml:space="preserve">donors </w:t>
      </w:r>
      <w:r w:rsidR="000866B3" w:rsidRPr="00081C66">
        <w:rPr>
          <w:rFonts w:ascii="Times New Roman" w:eastAsia="Times New Roman" w:hAnsi="Times New Roman"/>
          <w:color w:val="000000"/>
          <w:sz w:val="20"/>
          <w:szCs w:val="20"/>
        </w:rPr>
        <w:t xml:space="preserve">may </w:t>
      </w:r>
      <w:r w:rsidR="00625D4F" w:rsidRPr="00081C66">
        <w:rPr>
          <w:rFonts w:ascii="Times New Roman" w:eastAsia="Times New Roman" w:hAnsi="Times New Roman"/>
          <w:color w:val="000000"/>
          <w:sz w:val="20"/>
          <w:szCs w:val="20"/>
        </w:rPr>
        <w:t xml:space="preserve">appear </w:t>
      </w:r>
      <w:r w:rsidRPr="00081C66">
        <w:rPr>
          <w:rFonts w:ascii="Times New Roman" w:eastAsia="Times New Roman" w:hAnsi="Times New Roman"/>
          <w:color w:val="000000"/>
          <w:sz w:val="20"/>
          <w:szCs w:val="20"/>
        </w:rPr>
        <w:t xml:space="preserve">on </w:t>
      </w:r>
      <w:r w:rsidR="00FD4F6C">
        <w:rPr>
          <w:rFonts w:ascii="Times New Roman" w:eastAsia="Times New Roman" w:hAnsi="Times New Roman"/>
          <w:color w:val="000000"/>
          <w:sz w:val="20"/>
          <w:szCs w:val="20"/>
        </w:rPr>
        <w:t>the reports</w:t>
      </w:r>
      <w:r w:rsidR="00FD4F6C">
        <w:rPr>
          <w:rStyle w:val="FootnoteReference"/>
          <w:rFonts w:eastAsia="Times New Roman"/>
        </w:rPr>
        <w:footnoteReference w:id="31"/>
      </w:r>
      <w:r w:rsidR="00FD4F6C" w:rsidRPr="00081C66">
        <w:rPr>
          <w:rFonts w:ascii="Times New Roman" w:eastAsia="Times New Roman" w:hAnsi="Times New Roman"/>
          <w:color w:val="000000"/>
          <w:sz w:val="20"/>
          <w:szCs w:val="20"/>
        </w:rPr>
        <w:t xml:space="preserve"> </w:t>
      </w:r>
      <w:r w:rsidRPr="00081C66">
        <w:rPr>
          <w:rFonts w:ascii="Times New Roman" w:eastAsia="Times New Roman" w:hAnsi="Times New Roman"/>
          <w:color w:val="000000"/>
          <w:sz w:val="20"/>
          <w:szCs w:val="20"/>
        </w:rPr>
        <w:t>of the Platform;</w:t>
      </w:r>
    </w:p>
    <w:p w14:paraId="6922317A" w14:textId="158F4711" w:rsidR="007F453C" w:rsidRPr="00081C66" w:rsidRDefault="007F453C" w:rsidP="003E169F">
      <w:pPr>
        <w:numPr>
          <w:ilvl w:val="0"/>
          <w:numId w:val="31"/>
        </w:numPr>
        <w:tabs>
          <w:tab w:val="left" w:pos="624"/>
        </w:tabs>
        <w:spacing w:after="120" w:line="240" w:lineRule="auto"/>
        <w:ind w:left="2495" w:firstLine="624"/>
        <w:rPr>
          <w:rFonts w:ascii="Times New Roman" w:eastAsia="Times New Roman" w:hAnsi="Times New Roman"/>
          <w:color w:val="000000"/>
          <w:sz w:val="20"/>
          <w:szCs w:val="20"/>
        </w:rPr>
      </w:pPr>
      <w:r w:rsidRPr="00081C66">
        <w:rPr>
          <w:rFonts w:ascii="Times New Roman" w:eastAsia="Times New Roman" w:hAnsi="Times New Roman"/>
          <w:color w:val="000000"/>
          <w:sz w:val="20"/>
          <w:szCs w:val="20"/>
        </w:rPr>
        <w:t>All donors provid</w:t>
      </w:r>
      <w:r w:rsidR="000866B3" w:rsidRPr="00081C66">
        <w:rPr>
          <w:rFonts w:ascii="Times New Roman" w:eastAsia="Times New Roman" w:hAnsi="Times New Roman"/>
          <w:color w:val="000000"/>
          <w:sz w:val="20"/>
          <w:szCs w:val="20"/>
        </w:rPr>
        <w:t>ing</w:t>
      </w:r>
      <w:r w:rsidRPr="00081C66">
        <w:rPr>
          <w:rFonts w:ascii="Times New Roman" w:eastAsia="Times New Roman" w:hAnsi="Times New Roman"/>
          <w:color w:val="000000"/>
          <w:sz w:val="20"/>
          <w:szCs w:val="20"/>
        </w:rPr>
        <w:t xml:space="preserve"> financial contributions to the trust fund, including private-sector and non-governmental stakeholders, </w:t>
      </w:r>
      <w:r w:rsidR="00A36EBD">
        <w:rPr>
          <w:rFonts w:ascii="Times New Roman" w:eastAsia="Times New Roman" w:hAnsi="Times New Roman"/>
          <w:color w:val="000000"/>
          <w:sz w:val="20"/>
          <w:szCs w:val="20"/>
        </w:rPr>
        <w:t>will</w:t>
      </w:r>
      <w:r w:rsidR="00A36EBD" w:rsidRPr="00081C66">
        <w:rPr>
          <w:rFonts w:ascii="Times New Roman" w:eastAsia="Times New Roman" w:hAnsi="Times New Roman"/>
          <w:color w:val="000000"/>
          <w:sz w:val="20"/>
          <w:szCs w:val="20"/>
        </w:rPr>
        <w:t xml:space="preserve"> </w:t>
      </w:r>
      <w:r w:rsidRPr="00081C66">
        <w:rPr>
          <w:rFonts w:ascii="Times New Roman" w:eastAsia="Times New Roman" w:hAnsi="Times New Roman"/>
          <w:color w:val="000000"/>
          <w:sz w:val="20"/>
          <w:szCs w:val="20"/>
        </w:rPr>
        <w:t>be acknowledged on the website</w:t>
      </w:r>
      <w:r w:rsidR="00A36EBD">
        <w:rPr>
          <w:rFonts w:ascii="Times New Roman" w:eastAsia="Times New Roman" w:hAnsi="Times New Roman"/>
          <w:color w:val="000000"/>
          <w:sz w:val="20"/>
          <w:szCs w:val="20"/>
        </w:rPr>
        <w:t xml:space="preserve"> of the Platform</w:t>
      </w:r>
      <w:r w:rsidRPr="00081C66">
        <w:rPr>
          <w:rFonts w:ascii="Times New Roman" w:eastAsia="Times New Roman" w:hAnsi="Times New Roman"/>
          <w:color w:val="000000"/>
          <w:sz w:val="20"/>
          <w:szCs w:val="20"/>
        </w:rPr>
        <w:t xml:space="preserve">. </w:t>
      </w:r>
    </w:p>
    <w:bookmarkEnd w:id="9"/>
    <w:p w14:paraId="5FD0F36E" w14:textId="6106C013" w:rsidR="007F453C" w:rsidRPr="005657F6" w:rsidRDefault="007F453C" w:rsidP="007F453C">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rPr>
      </w:pPr>
      <w:r w:rsidRPr="004204D7">
        <w:rPr>
          <w:rFonts w:ascii="Times New Roman" w:eastAsia="Times New Roman" w:hAnsi="Times New Roman"/>
          <w:b/>
          <w:sz w:val="28"/>
          <w:szCs w:val="28"/>
        </w:rPr>
        <w:tab/>
      </w:r>
      <w:r w:rsidR="00D5408E">
        <w:rPr>
          <w:rFonts w:ascii="Times New Roman" w:eastAsia="Times New Roman" w:hAnsi="Times New Roman"/>
          <w:b/>
          <w:sz w:val="28"/>
          <w:szCs w:val="28"/>
        </w:rPr>
        <w:t>I</w:t>
      </w:r>
      <w:r w:rsidRPr="005657F6">
        <w:rPr>
          <w:rFonts w:ascii="Times New Roman" w:eastAsia="Times New Roman" w:hAnsi="Times New Roman"/>
          <w:b/>
          <w:sz w:val="28"/>
          <w:szCs w:val="28"/>
        </w:rPr>
        <w:t>V.</w:t>
      </w:r>
      <w:r w:rsidRPr="005657F6">
        <w:rPr>
          <w:rFonts w:ascii="Times New Roman" w:eastAsia="Times New Roman" w:hAnsi="Times New Roman"/>
          <w:b/>
          <w:sz w:val="28"/>
          <w:szCs w:val="28"/>
        </w:rPr>
        <w:tab/>
        <w:t>Draft decision: Organization of the Plenary and dates and venues of future sessions of the Plenary</w:t>
      </w:r>
    </w:p>
    <w:p w14:paraId="6E17A231" w14:textId="77777777" w:rsidR="007F453C" w:rsidRPr="00404335" w:rsidRDefault="007F453C" w:rsidP="00404335">
      <w:pPr>
        <w:pStyle w:val="Normalnumber"/>
        <w:tabs>
          <w:tab w:val="clear" w:pos="1134"/>
        </w:tabs>
      </w:pPr>
      <w:r w:rsidRPr="005657F6">
        <w:t>The</w:t>
      </w:r>
      <w:r w:rsidRPr="00404335">
        <w:t xml:space="preserve"> </w:t>
      </w:r>
      <w:r w:rsidRPr="005657F6">
        <w:t>Plenary</w:t>
      </w:r>
      <w:r w:rsidRPr="00404335">
        <w:t xml:space="preserve"> may wish to consider the following draft decision on the organization of the Plenary and dates and </w:t>
      </w:r>
      <w:r w:rsidRPr="005657F6">
        <w:t>venues</w:t>
      </w:r>
      <w:r w:rsidRPr="00404335">
        <w:t xml:space="preserve"> of future sessions of the Plenary under item 10 of the provisional agenda: </w:t>
      </w:r>
    </w:p>
    <w:p w14:paraId="1BB62CD6" w14:textId="77777777" w:rsidR="007F453C" w:rsidRPr="005657F6" w:rsidRDefault="007F453C" w:rsidP="003E169F">
      <w:pPr>
        <w:pStyle w:val="Normal-pool"/>
        <w:spacing w:after="120"/>
        <w:ind w:left="1871" w:firstLine="624"/>
        <w:rPr>
          <w:i/>
        </w:rPr>
      </w:pPr>
      <w:r w:rsidRPr="005657F6">
        <w:rPr>
          <w:i/>
        </w:rPr>
        <w:t xml:space="preserve">The Plenary </w:t>
      </w:r>
    </w:p>
    <w:p w14:paraId="36E2CB1C" w14:textId="2AA11230" w:rsidR="007F453C" w:rsidRPr="005657F6" w:rsidRDefault="007F453C" w:rsidP="007F453C">
      <w:pPr>
        <w:tabs>
          <w:tab w:val="left" w:pos="624"/>
        </w:tabs>
        <w:spacing w:after="120" w:line="240" w:lineRule="auto"/>
        <w:ind w:left="2495"/>
        <w:rPr>
          <w:rFonts w:ascii="Times New Roman" w:eastAsia="Times New Roman" w:hAnsi="Times New Roman"/>
          <w:color w:val="000000"/>
          <w:sz w:val="20"/>
          <w:szCs w:val="20"/>
        </w:rPr>
      </w:pPr>
      <w:r w:rsidRPr="005657F6">
        <w:rPr>
          <w:rFonts w:ascii="Times New Roman" w:eastAsia="Times New Roman" w:hAnsi="Times New Roman"/>
          <w:color w:val="000000"/>
          <w:sz w:val="20"/>
          <w:szCs w:val="20"/>
        </w:rPr>
        <w:t>1.</w:t>
      </w:r>
      <w:r w:rsidRPr="005657F6">
        <w:rPr>
          <w:rFonts w:ascii="Times New Roman" w:eastAsia="Times New Roman" w:hAnsi="Times New Roman"/>
          <w:i/>
          <w:iCs/>
          <w:color w:val="000000"/>
          <w:sz w:val="20"/>
          <w:szCs w:val="20"/>
        </w:rPr>
        <w:tab/>
        <w:t xml:space="preserve">Decides </w:t>
      </w:r>
      <w:r w:rsidRPr="005657F6">
        <w:rPr>
          <w:rFonts w:ascii="Times New Roman" w:eastAsia="Times New Roman" w:hAnsi="Times New Roman"/>
          <w:color w:val="000000"/>
          <w:sz w:val="20"/>
          <w:szCs w:val="20"/>
        </w:rPr>
        <w:t>that the ninth session of the Plenary will be held from [</w:t>
      </w:r>
      <w:r w:rsidR="007C6F01">
        <w:rPr>
          <w:rFonts w:ascii="Times New Roman" w:eastAsia="Times New Roman" w:hAnsi="Times New Roman"/>
          <w:color w:val="000000"/>
          <w:sz w:val="20"/>
          <w:szCs w:val="20"/>
        </w:rPr>
        <w:t>--</w:t>
      </w:r>
      <w:r w:rsidRPr="005657F6">
        <w:rPr>
          <w:rFonts w:ascii="Times New Roman" w:eastAsia="Times New Roman" w:hAnsi="Times New Roman"/>
          <w:color w:val="000000"/>
          <w:sz w:val="20"/>
          <w:szCs w:val="20"/>
        </w:rPr>
        <w:t>] to [</w:t>
      </w:r>
      <w:r w:rsidR="007C6F01">
        <w:rPr>
          <w:rFonts w:ascii="Times New Roman" w:eastAsia="Times New Roman" w:hAnsi="Times New Roman"/>
          <w:color w:val="000000"/>
          <w:sz w:val="20"/>
          <w:szCs w:val="20"/>
        </w:rPr>
        <w:t>--</w:t>
      </w:r>
      <w:r w:rsidRPr="005657F6">
        <w:rPr>
          <w:rFonts w:ascii="Times New Roman" w:eastAsia="Times New Roman" w:hAnsi="Times New Roman"/>
          <w:color w:val="000000"/>
          <w:sz w:val="20"/>
          <w:szCs w:val="20"/>
        </w:rPr>
        <w:t>] 2022;</w:t>
      </w:r>
      <w:r w:rsidRPr="005657F6">
        <w:rPr>
          <w:rFonts w:ascii="Times New Roman" w:eastAsia="Times New Roman" w:hAnsi="Times New Roman"/>
          <w:sz w:val="20"/>
          <w:szCs w:val="18"/>
          <w:vertAlign w:val="superscript"/>
        </w:rPr>
        <w:footnoteReference w:id="32"/>
      </w:r>
    </w:p>
    <w:p w14:paraId="3596C1F2" w14:textId="39869034" w:rsidR="007F453C" w:rsidRPr="00046746" w:rsidRDefault="007F453C" w:rsidP="007F453C">
      <w:pPr>
        <w:tabs>
          <w:tab w:val="left" w:pos="624"/>
        </w:tabs>
        <w:spacing w:after="100" w:line="240" w:lineRule="auto"/>
        <w:ind w:left="1871" w:firstLine="624"/>
        <w:rPr>
          <w:rFonts w:ascii="Times New Roman" w:eastAsia="Times New Roman" w:hAnsi="Times New Roman"/>
          <w:sz w:val="20"/>
          <w:szCs w:val="20"/>
        </w:rPr>
      </w:pPr>
      <w:r w:rsidRPr="005657F6">
        <w:rPr>
          <w:rFonts w:ascii="Times New Roman" w:eastAsia="Times New Roman" w:hAnsi="Times New Roman"/>
          <w:i/>
          <w:iCs/>
          <w:color w:val="000000"/>
          <w:sz w:val="20"/>
          <w:szCs w:val="20"/>
        </w:rPr>
        <w:tab/>
      </w:r>
      <w:r w:rsidRPr="005657F6">
        <w:rPr>
          <w:rFonts w:ascii="Times New Roman" w:eastAsia="Times New Roman" w:hAnsi="Times New Roman"/>
          <w:iCs/>
          <w:color w:val="000000"/>
          <w:sz w:val="20"/>
          <w:szCs w:val="20"/>
        </w:rPr>
        <w:t>2</w:t>
      </w:r>
      <w:r w:rsidRPr="005657F6">
        <w:rPr>
          <w:rFonts w:ascii="Times New Roman" w:eastAsia="Times New Roman" w:hAnsi="Times New Roman"/>
          <w:i/>
          <w:iCs/>
          <w:color w:val="000000"/>
          <w:sz w:val="20"/>
          <w:szCs w:val="20"/>
        </w:rPr>
        <w:t>.</w:t>
      </w:r>
      <w:r w:rsidRPr="005657F6">
        <w:rPr>
          <w:rFonts w:ascii="Times New Roman" w:eastAsia="Times New Roman" w:hAnsi="Times New Roman"/>
          <w:i/>
          <w:iCs/>
          <w:color w:val="000000"/>
          <w:sz w:val="20"/>
          <w:szCs w:val="20"/>
        </w:rPr>
        <w:tab/>
        <w:t xml:space="preserve">Also decides </w:t>
      </w:r>
      <w:r w:rsidRPr="005657F6">
        <w:rPr>
          <w:rFonts w:ascii="Times New Roman" w:eastAsia="Times New Roman" w:hAnsi="Times New Roman"/>
          <w:color w:val="000000"/>
          <w:sz w:val="20"/>
          <w:szCs w:val="20"/>
        </w:rPr>
        <w:t>t</w:t>
      </w:r>
      <w:r w:rsidRPr="005657F6">
        <w:rPr>
          <w:rFonts w:ascii="Times New Roman" w:eastAsia="Times New Roman" w:hAnsi="Times New Roman"/>
          <w:sz w:val="20"/>
          <w:szCs w:val="20"/>
        </w:rPr>
        <w:t>o accept with appreciation the offer by the Government of [</w:t>
      </w:r>
      <w:r w:rsidR="007C6F01">
        <w:rPr>
          <w:rFonts w:ascii="Times New Roman" w:eastAsia="Times New Roman" w:hAnsi="Times New Roman"/>
          <w:sz w:val="20"/>
          <w:szCs w:val="20"/>
        </w:rPr>
        <w:t>--</w:t>
      </w:r>
      <w:r w:rsidRPr="005657F6">
        <w:rPr>
          <w:rFonts w:ascii="Times New Roman" w:eastAsia="Times New Roman" w:hAnsi="Times New Roman"/>
          <w:sz w:val="20"/>
          <w:szCs w:val="20"/>
        </w:rPr>
        <w:t xml:space="preserve">] to host the </w:t>
      </w:r>
      <w:r w:rsidRPr="00046746">
        <w:rPr>
          <w:rFonts w:ascii="Times New Roman" w:eastAsia="Times New Roman" w:hAnsi="Times New Roman"/>
          <w:sz w:val="20"/>
          <w:szCs w:val="20"/>
        </w:rPr>
        <w:t>ninth session of the Plenary in [</w:t>
      </w:r>
      <w:r w:rsidR="007C6F01">
        <w:rPr>
          <w:rFonts w:ascii="Times New Roman" w:eastAsia="Times New Roman" w:hAnsi="Times New Roman"/>
          <w:sz w:val="20"/>
          <w:szCs w:val="20"/>
        </w:rPr>
        <w:t>--</w:t>
      </w:r>
      <w:r w:rsidRPr="00046746">
        <w:rPr>
          <w:rFonts w:ascii="Times New Roman" w:eastAsia="Times New Roman" w:hAnsi="Times New Roman"/>
          <w:sz w:val="20"/>
          <w:szCs w:val="20"/>
        </w:rPr>
        <w:t>], subject to the successful conclusion of a host country agreement;</w:t>
      </w:r>
    </w:p>
    <w:p w14:paraId="739B3368" w14:textId="039741FF" w:rsidR="007F453C" w:rsidRPr="00046746" w:rsidRDefault="007F453C" w:rsidP="007F453C">
      <w:pPr>
        <w:tabs>
          <w:tab w:val="left" w:pos="624"/>
        </w:tabs>
        <w:spacing w:after="100" w:line="240" w:lineRule="auto"/>
        <w:ind w:left="1871" w:firstLine="624"/>
        <w:rPr>
          <w:rFonts w:ascii="Times New Roman" w:eastAsia="Times New Roman" w:hAnsi="Times New Roman"/>
          <w:color w:val="000000"/>
          <w:sz w:val="20"/>
          <w:szCs w:val="20"/>
        </w:rPr>
      </w:pPr>
      <w:r w:rsidRPr="00046746">
        <w:rPr>
          <w:rFonts w:ascii="Times New Roman" w:eastAsia="Times New Roman" w:hAnsi="Times New Roman"/>
          <w:color w:val="000000"/>
          <w:sz w:val="20"/>
          <w:szCs w:val="20"/>
        </w:rPr>
        <w:t>3.</w:t>
      </w:r>
      <w:r w:rsidRPr="00046746">
        <w:rPr>
          <w:rFonts w:ascii="Times New Roman" w:eastAsia="Times New Roman" w:hAnsi="Times New Roman"/>
          <w:color w:val="000000"/>
          <w:sz w:val="20"/>
          <w:szCs w:val="20"/>
        </w:rPr>
        <w:tab/>
      </w:r>
      <w:r w:rsidRPr="00046746">
        <w:rPr>
          <w:rFonts w:ascii="Times New Roman" w:eastAsia="Times New Roman" w:hAnsi="Times New Roman"/>
          <w:i/>
          <w:color w:val="000000"/>
          <w:sz w:val="20"/>
          <w:szCs w:val="20"/>
        </w:rPr>
        <w:t>Requests</w:t>
      </w:r>
      <w:r w:rsidRPr="00046746">
        <w:rPr>
          <w:rFonts w:ascii="Times New Roman" w:eastAsia="Times New Roman" w:hAnsi="Times New Roman"/>
          <w:color w:val="000000"/>
          <w:sz w:val="20"/>
          <w:szCs w:val="20"/>
        </w:rPr>
        <w:t xml:space="preserve"> the Executive Secretary to</w:t>
      </w:r>
      <w:r w:rsidR="004416CD" w:rsidRPr="00046746">
        <w:t xml:space="preserve"> </w:t>
      </w:r>
      <w:r w:rsidR="004416CD" w:rsidRPr="00046746">
        <w:rPr>
          <w:rFonts w:ascii="Times New Roman" w:eastAsia="Times New Roman" w:hAnsi="Times New Roman"/>
          <w:color w:val="000000"/>
          <w:sz w:val="20"/>
          <w:szCs w:val="20"/>
        </w:rPr>
        <w:t>hold consultations</w:t>
      </w:r>
      <w:r w:rsidRPr="00046746">
        <w:rPr>
          <w:rFonts w:ascii="Times New Roman" w:eastAsia="Times New Roman" w:hAnsi="Times New Roman"/>
          <w:color w:val="000000"/>
          <w:sz w:val="20"/>
          <w:szCs w:val="20"/>
        </w:rPr>
        <w:t xml:space="preserve"> </w:t>
      </w:r>
      <w:r w:rsidR="004416CD" w:rsidRPr="00046746">
        <w:rPr>
          <w:rFonts w:ascii="Times New Roman" w:eastAsia="Times New Roman" w:hAnsi="Times New Roman"/>
          <w:color w:val="000000"/>
          <w:sz w:val="20"/>
          <w:szCs w:val="20"/>
        </w:rPr>
        <w:t>with the Government of [</w:t>
      </w:r>
      <w:r w:rsidR="0006012C">
        <w:rPr>
          <w:rFonts w:ascii="Times New Roman" w:eastAsia="Times New Roman" w:hAnsi="Times New Roman"/>
          <w:color w:val="000000"/>
          <w:sz w:val="20"/>
          <w:szCs w:val="20"/>
        </w:rPr>
        <w:t>--</w:t>
      </w:r>
      <w:r w:rsidR="004416CD" w:rsidRPr="00046746">
        <w:rPr>
          <w:rFonts w:ascii="Times New Roman" w:eastAsia="Times New Roman" w:hAnsi="Times New Roman"/>
          <w:color w:val="000000"/>
          <w:sz w:val="20"/>
          <w:szCs w:val="20"/>
        </w:rPr>
        <w:t xml:space="preserve">] to negotiate </w:t>
      </w:r>
      <w:r w:rsidRPr="00046746">
        <w:rPr>
          <w:rFonts w:ascii="Times New Roman" w:eastAsia="Times New Roman" w:hAnsi="Times New Roman"/>
          <w:color w:val="000000"/>
          <w:sz w:val="20"/>
          <w:szCs w:val="20"/>
        </w:rPr>
        <w:t>a host country agreement</w:t>
      </w:r>
      <w:r w:rsidR="004416CD" w:rsidRPr="00046746">
        <w:rPr>
          <w:rFonts w:ascii="Times New Roman" w:eastAsia="Times New Roman" w:hAnsi="Times New Roman"/>
          <w:color w:val="000000"/>
          <w:sz w:val="20"/>
          <w:szCs w:val="20"/>
        </w:rPr>
        <w:t>,</w:t>
      </w:r>
      <w:r w:rsidRPr="00046746">
        <w:rPr>
          <w:rFonts w:ascii="Times New Roman" w:eastAsia="Times New Roman" w:hAnsi="Times New Roman"/>
          <w:color w:val="000000"/>
          <w:sz w:val="20"/>
          <w:szCs w:val="20"/>
        </w:rPr>
        <w:t xml:space="preserve"> </w:t>
      </w:r>
      <w:r w:rsidR="004416CD" w:rsidRPr="00046746">
        <w:rPr>
          <w:rFonts w:ascii="Times New Roman" w:eastAsia="Times New Roman" w:hAnsi="Times New Roman"/>
          <w:color w:val="000000"/>
          <w:sz w:val="20"/>
          <w:szCs w:val="20"/>
        </w:rPr>
        <w:t xml:space="preserve">in conformity with </w:t>
      </w:r>
      <w:r w:rsidR="00687785" w:rsidRPr="00046746">
        <w:rPr>
          <w:rFonts w:ascii="Times New Roman" w:eastAsia="Times New Roman" w:hAnsi="Times New Roman"/>
          <w:color w:val="000000"/>
          <w:sz w:val="20"/>
          <w:szCs w:val="20"/>
        </w:rPr>
        <w:t>General Assembly resolution 40/243 and in compliance with the provisions of United Nations administrative instruction ST/AI/342</w:t>
      </w:r>
      <w:r w:rsidR="004416CD" w:rsidRPr="00046746">
        <w:rPr>
          <w:rFonts w:ascii="Times New Roman" w:eastAsia="Times New Roman" w:hAnsi="Times New Roman"/>
          <w:color w:val="000000"/>
          <w:sz w:val="20"/>
          <w:szCs w:val="20"/>
        </w:rPr>
        <w:t xml:space="preserve">, </w:t>
      </w:r>
      <w:r w:rsidR="00687785" w:rsidRPr="00046746">
        <w:rPr>
          <w:rFonts w:ascii="Times New Roman" w:eastAsia="Times New Roman" w:hAnsi="Times New Roman"/>
          <w:color w:val="000000"/>
          <w:sz w:val="20"/>
          <w:szCs w:val="20"/>
        </w:rPr>
        <w:t xml:space="preserve">with a view to concluding and signing the host country agreement as soon as possible, </w:t>
      </w:r>
      <w:r w:rsidRPr="00046746">
        <w:rPr>
          <w:rFonts w:ascii="Times New Roman" w:eastAsia="Times New Roman" w:hAnsi="Times New Roman"/>
          <w:color w:val="000000"/>
          <w:sz w:val="20"/>
          <w:szCs w:val="20"/>
        </w:rPr>
        <w:t xml:space="preserve">to organize the ninth session of the Plenary in close collaboration with the host country and to invite the members and observers of the </w:t>
      </w:r>
      <w:r w:rsidRPr="00E806AF">
        <w:rPr>
          <w:rFonts w:ascii="Times New Roman" w:eastAsia="Times New Roman" w:hAnsi="Times New Roman"/>
          <w:color w:val="000000"/>
          <w:sz w:val="20"/>
          <w:szCs w:val="20"/>
        </w:rPr>
        <w:t>Intergovernmental Science-Policy Platform on Biodiversity and Ecosystem Services</w:t>
      </w:r>
      <w:r w:rsidRPr="00046746">
        <w:rPr>
          <w:rFonts w:ascii="Times New Roman" w:eastAsia="Times New Roman" w:hAnsi="Times New Roman"/>
          <w:color w:val="000000"/>
          <w:sz w:val="20"/>
          <w:szCs w:val="20"/>
        </w:rPr>
        <w:t xml:space="preserve"> to participate in the session;</w:t>
      </w:r>
    </w:p>
    <w:p w14:paraId="24101C76" w14:textId="77777777" w:rsidR="007F453C" w:rsidRPr="00046746" w:rsidRDefault="007F453C" w:rsidP="007F453C">
      <w:pPr>
        <w:tabs>
          <w:tab w:val="left" w:pos="624"/>
        </w:tabs>
        <w:spacing w:after="100" w:line="240" w:lineRule="auto"/>
        <w:ind w:left="1871" w:firstLine="624"/>
        <w:rPr>
          <w:rFonts w:ascii="Times New Roman" w:eastAsia="Times New Roman" w:hAnsi="Times New Roman"/>
          <w:color w:val="000000"/>
          <w:sz w:val="20"/>
          <w:szCs w:val="20"/>
        </w:rPr>
      </w:pPr>
      <w:r w:rsidRPr="00046746">
        <w:rPr>
          <w:rFonts w:ascii="Times New Roman" w:eastAsia="Times New Roman" w:hAnsi="Times New Roman"/>
          <w:color w:val="000000"/>
          <w:sz w:val="20"/>
          <w:szCs w:val="20"/>
        </w:rPr>
        <w:t>4.</w:t>
      </w:r>
      <w:r w:rsidRPr="00046746">
        <w:rPr>
          <w:rFonts w:ascii="Times New Roman" w:eastAsia="Times New Roman" w:hAnsi="Times New Roman"/>
          <w:color w:val="000000"/>
          <w:sz w:val="20"/>
          <w:szCs w:val="20"/>
        </w:rPr>
        <w:tab/>
      </w:r>
      <w:r w:rsidRPr="00046746">
        <w:rPr>
          <w:rFonts w:ascii="Times New Roman" w:eastAsia="Times New Roman" w:hAnsi="Times New Roman"/>
          <w:i/>
          <w:iCs/>
          <w:color w:val="000000"/>
          <w:sz w:val="20"/>
          <w:szCs w:val="20"/>
        </w:rPr>
        <w:t>Requests</w:t>
      </w:r>
      <w:r w:rsidRPr="00046746">
        <w:rPr>
          <w:rFonts w:ascii="Times New Roman" w:eastAsia="Times New Roman" w:hAnsi="Times New Roman"/>
          <w:color w:val="000000"/>
          <w:sz w:val="20"/>
          <w:szCs w:val="20"/>
        </w:rPr>
        <w:t xml:space="preserve"> the Bureau to decide on the modalities of the ninth session, including the possibility of holding the meeting online should circumstances not make an in-person meeting feasible; </w:t>
      </w:r>
    </w:p>
    <w:p w14:paraId="1920A220" w14:textId="06CED7ED" w:rsidR="007F453C" w:rsidRPr="00046746" w:rsidRDefault="007F453C" w:rsidP="007F453C">
      <w:pPr>
        <w:tabs>
          <w:tab w:val="left" w:pos="624"/>
        </w:tabs>
        <w:spacing w:after="120" w:line="240" w:lineRule="auto"/>
        <w:ind w:left="1843" w:firstLine="652"/>
        <w:rPr>
          <w:rFonts w:ascii="Times New Roman" w:eastAsia="Times New Roman" w:hAnsi="Times New Roman"/>
          <w:color w:val="000000"/>
          <w:sz w:val="20"/>
          <w:szCs w:val="20"/>
        </w:rPr>
      </w:pPr>
      <w:r w:rsidRPr="00046746">
        <w:rPr>
          <w:rFonts w:ascii="Times New Roman" w:eastAsia="Times New Roman" w:hAnsi="Times New Roman"/>
          <w:color w:val="000000"/>
          <w:sz w:val="20"/>
          <w:szCs w:val="20"/>
        </w:rPr>
        <w:t>5.</w:t>
      </w:r>
      <w:r w:rsidRPr="00046746">
        <w:rPr>
          <w:rFonts w:ascii="Times New Roman" w:eastAsia="Times New Roman" w:hAnsi="Times New Roman"/>
          <w:color w:val="000000"/>
          <w:sz w:val="20"/>
          <w:szCs w:val="20"/>
        </w:rPr>
        <w:tab/>
      </w:r>
      <w:r w:rsidRPr="00046746">
        <w:rPr>
          <w:rFonts w:ascii="Times New Roman" w:eastAsia="Times New Roman" w:hAnsi="Times New Roman"/>
          <w:i/>
          <w:iCs/>
          <w:color w:val="000000"/>
          <w:sz w:val="20"/>
          <w:szCs w:val="20"/>
        </w:rPr>
        <w:t>Decides provisionally</w:t>
      </w:r>
      <w:r w:rsidRPr="00046746">
        <w:rPr>
          <w:rFonts w:ascii="Times New Roman" w:eastAsia="Times New Roman" w:hAnsi="Times New Roman"/>
          <w:color w:val="000000"/>
          <w:sz w:val="20"/>
          <w:szCs w:val="20"/>
        </w:rPr>
        <w:t>, pending final confirmation at its ninth session,</w:t>
      </w:r>
      <w:r w:rsidRPr="00046746">
        <w:rPr>
          <w:rFonts w:ascii="Times New Roman" w:eastAsia="Times New Roman" w:hAnsi="Times New Roman"/>
          <w:i/>
          <w:iCs/>
          <w:color w:val="000000"/>
          <w:sz w:val="20"/>
          <w:szCs w:val="20"/>
        </w:rPr>
        <w:t xml:space="preserve"> </w:t>
      </w:r>
      <w:r w:rsidRPr="00046746">
        <w:rPr>
          <w:rFonts w:ascii="Times New Roman" w:eastAsia="Times New Roman" w:hAnsi="Times New Roman"/>
          <w:color w:val="000000"/>
          <w:sz w:val="20"/>
          <w:szCs w:val="20"/>
        </w:rPr>
        <w:t>that the tenth session of the Plenary will be held from [</w:t>
      </w:r>
      <w:r w:rsidR="00E57849">
        <w:rPr>
          <w:rFonts w:ascii="Times New Roman" w:eastAsia="Times New Roman" w:hAnsi="Times New Roman"/>
          <w:color w:val="000000"/>
          <w:sz w:val="20"/>
          <w:szCs w:val="20"/>
        </w:rPr>
        <w:t>--</w:t>
      </w:r>
      <w:r w:rsidRPr="00046746">
        <w:rPr>
          <w:rFonts w:ascii="Times New Roman" w:eastAsia="Times New Roman" w:hAnsi="Times New Roman"/>
          <w:color w:val="000000"/>
          <w:sz w:val="20"/>
          <w:szCs w:val="20"/>
        </w:rPr>
        <w:t>] to [</w:t>
      </w:r>
      <w:r w:rsidR="00E57849">
        <w:rPr>
          <w:rFonts w:ascii="Times New Roman" w:eastAsia="Times New Roman" w:hAnsi="Times New Roman"/>
          <w:color w:val="000000"/>
          <w:sz w:val="20"/>
          <w:szCs w:val="20"/>
        </w:rPr>
        <w:t>--</w:t>
      </w:r>
      <w:r w:rsidRPr="00046746">
        <w:rPr>
          <w:rFonts w:ascii="Times New Roman" w:eastAsia="Times New Roman" w:hAnsi="Times New Roman"/>
          <w:color w:val="000000"/>
          <w:sz w:val="20"/>
          <w:szCs w:val="20"/>
        </w:rPr>
        <w:t>] 2023;</w:t>
      </w:r>
      <w:r w:rsidRPr="00046746">
        <w:rPr>
          <w:rFonts w:ascii="Times New Roman" w:eastAsia="Times New Roman" w:hAnsi="Times New Roman"/>
          <w:sz w:val="20"/>
          <w:szCs w:val="18"/>
          <w:vertAlign w:val="superscript"/>
        </w:rPr>
        <w:footnoteReference w:id="33"/>
      </w:r>
    </w:p>
    <w:p w14:paraId="13F87580" w14:textId="1B59F2E9" w:rsidR="007F453C" w:rsidRPr="00046746" w:rsidRDefault="007F453C" w:rsidP="007F453C">
      <w:pPr>
        <w:tabs>
          <w:tab w:val="left" w:pos="624"/>
        </w:tabs>
        <w:spacing w:after="100" w:line="240" w:lineRule="auto"/>
        <w:ind w:left="1871" w:firstLine="624"/>
        <w:rPr>
          <w:rFonts w:ascii="Times New Roman" w:eastAsia="Times New Roman" w:hAnsi="Times New Roman"/>
          <w:sz w:val="20"/>
          <w:szCs w:val="20"/>
        </w:rPr>
      </w:pPr>
      <w:r w:rsidRPr="00046746">
        <w:rPr>
          <w:rFonts w:ascii="Times New Roman" w:eastAsia="Times New Roman" w:hAnsi="Times New Roman"/>
          <w:color w:val="000000"/>
          <w:sz w:val="20"/>
          <w:szCs w:val="20"/>
        </w:rPr>
        <w:t>6.</w:t>
      </w:r>
      <w:r w:rsidRPr="00046746">
        <w:rPr>
          <w:rFonts w:ascii="Times New Roman" w:eastAsia="Times New Roman" w:hAnsi="Times New Roman"/>
          <w:color w:val="000000"/>
          <w:sz w:val="20"/>
          <w:szCs w:val="20"/>
        </w:rPr>
        <w:tab/>
      </w:r>
      <w:r w:rsidRPr="00046746">
        <w:rPr>
          <w:rFonts w:ascii="Times New Roman" w:eastAsia="Times New Roman" w:hAnsi="Times New Roman"/>
          <w:i/>
          <w:iCs/>
          <w:color w:val="000000"/>
          <w:sz w:val="20"/>
          <w:szCs w:val="20"/>
        </w:rPr>
        <w:t>Also decides provisionally</w:t>
      </w:r>
      <w:r w:rsidRPr="00046746">
        <w:rPr>
          <w:rFonts w:ascii="Times New Roman" w:eastAsia="Times New Roman" w:hAnsi="Times New Roman"/>
          <w:color w:val="000000"/>
          <w:sz w:val="20"/>
          <w:szCs w:val="20"/>
        </w:rPr>
        <w:t>, pending final confirmation at its ninth session,</w:t>
      </w:r>
      <w:r w:rsidRPr="00046746">
        <w:rPr>
          <w:rFonts w:ascii="Times New Roman" w:eastAsia="Times New Roman" w:hAnsi="Times New Roman"/>
          <w:i/>
          <w:iCs/>
          <w:color w:val="000000"/>
          <w:sz w:val="20"/>
          <w:szCs w:val="20"/>
        </w:rPr>
        <w:t xml:space="preserve"> </w:t>
      </w:r>
      <w:r w:rsidRPr="00046746">
        <w:rPr>
          <w:rFonts w:ascii="Times New Roman" w:eastAsia="Times New Roman" w:hAnsi="Times New Roman"/>
          <w:color w:val="000000"/>
          <w:sz w:val="20"/>
          <w:szCs w:val="20"/>
        </w:rPr>
        <w:t>t</w:t>
      </w:r>
      <w:r w:rsidRPr="00046746">
        <w:rPr>
          <w:rFonts w:ascii="Times New Roman" w:eastAsia="Times New Roman" w:hAnsi="Times New Roman"/>
          <w:sz w:val="20"/>
          <w:szCs w:val="20"/>
        </w:rPr>
        <w:t>o accept with appreciation the offer by the Government of [</w:t>
      </w:r>
      <w:r w:rsidR="00E57849">
        <w:rPr>
          <w:rFonts w:ascii="Times New Roman" w:eastAsia="Times New Roman" w:hAnsi="Times New Roman"/>
          <w:sz w:val="20"/>
          <w:szCs w:val="20"/>
        </w:rPr>
        <w:t>--</w:t>
      </w:r>
      <w:r w:rsidRPr="00046746">
        <w:rPr>
          <w:rFonts w:ascii="Times New Roman" w:eastAsia="Times New Roman" w:hAnsi="Times New Roman"/>
          <w:sz w:val="20"/>
          <w:szCs w:val="20"/>
        </w:rPr>
        <w:t>] to host the tenth session of the Plenary in [</w:t>
      </w:r>
      <w:r w:rsidR="00E57849">
        <w:rPr>
          <w:rFonts w:ascii="Times New Roman" w:eastAsia="Times New Roman" w:hAnsi="Times New Roman"/>
          <w:sz w:val="20"/>
          <w:szCs w:val="20"/>
        </w:rPr>
        <w:t>--</w:t>
      </w:r>
      <w:r w:rsidRPr="00046746">
        <w:rPr>
          <w:rFonts w:ascii="Times New Roman" w:eastAsia="Times New Roman" w:hAnsi="Times New Roman"/>
          <w:sz w:val="20"/>
          <w:szCs w:val="20"/>
        </w:rPr>
        <w:t>], subject to the successful conclusion of a host country agreement;</w:t>
      </w:r>
    </w:p>
    <w:p w14:paraId="3DC07B1A" w14:textId="64C89D9F" w:rsidR="007F453C" w:rsidRPr="00046746" w:rsidRDefault="007F453C" w:rsidP="007F453C">
      <w:pPr>
        <w:tabs>
          <w:tab w:val="left" w:pos="624"/>
        </w:tabs>
        <w:spacing w:after="100" w:line="240" w:lineRule="auto"/>
        <w:ind w:left="1871" w:firstLine="624"/>
        <w:rPr>
          <w:rFonts w:ascii="Times New Roman" w:eastAsia="Times New Roman" w:hAnsi="Times New Roman"/>
          <w:color w:val="000000"/>
          <w:sz w:val="20"/>
          <w:szCs w:val="20"/>
        </w:rPr>
      </w:pPr>
      <w:r w:rsidRPr="00046746">
        <w:rPr>
          <w:rFonts w:ascii="Times New Roman" w:eastAsia="Times New Roman" w:hAnsi="Times New Roman"/>
          <w:color w:val="000000"/>
          <w:sz w:val="20"/>
          <w:szCs w:val="20"/>
        </w:rPr>
        <w:t>7.</w:t>
      </w:r>
      <w:r w:rsidRPr="00046746">
        <w:rPr>
          <w:rFonts w:ascii="Times New Roman" w:eastAsia="Times New Roman" w:hAnsi="Times New Roman"/>
          <w:color w:val="000000"/>
          <w:sz w:val="20"/>
          <w:szCs w:val="20"/>
        </w:rPr>
        <w:tab/>
      </w:r>
      <w:r w:rsidRPr="00046746">
        <w:rPr>
          <w:rFonts w:ascii="Times New Roman" w:eastAsia="Times New Roman" w:hAnsi="Times New Roman"/>
          <w:i/>
          <w:color w:val="000000"/>
          <w:sz w:val="20"/>
          <w:szCs w:val="20"/>
        </w:rPr>
        <w:t>Requests</w:t>
      </w:r>
      <w:r w:rsidRPr="00046746">
        <w:rPr>
          <w:rFonts w:ascii="Times New Roman" w:eastAsia="Times New Roman" w:hAnsi="Times New Roman"/>
          <w:color w:val="000000"/>
          <w:sz w:val="20"/>
          <w:szCs w:val="20"/>
        </w:rPr>
        <w:t xml:space="preserve"> the Executive Secretary to conclude and sign a host country agreement for the tenth session of the Plenary with the Government of [</w:t>
      </w:r>
      <w:r w:rsidR="00E57849">
        <w:rPr>
          <w:rFonts w:ascii="Times New Roman" w:eastAsia="Times New Roman" w:hAnsi="Times New Roman"/>
          <w:color w:val="000000"/>
          <w:sz w:val="20"/>
          <w:szCs w:val="20"/>
        </w:rPr>
        <w:t>--</w:t>
      </w:r>
      <w:r w:rsidRPr="00046746">
        <w:rPr>
          <w:rFonts w:ascii="Times New Roman" w:eastAsia="Times New Roman" w:hAnsi="Times New Roman"/>
          <w:color w:val="000000"/>
          <w:sz w:val="20"/>
          <w:szCs w:val="20"/>
        </w:rPr>
        <w:t>] as soon as possible and in conformity with applicable United Nations rules and procedures;</w:t>
      </w:r>
    </w:p>
    <w:p w14:paraId="1C3F78DA" w14:textId="0B731334" w:rsidR="007F453C" w:rsidRPr="004204D7" w:rsidRDefault="007F453C" w:rsidP="007F453C">
      <w:pPr>
        <w:tabs>
          <w:tab w:val="left" w:pos="624"/>
        </w:tabs>
        <w:spacing w:after="100" w:line="240" w:lineRule="auto"/>
        <w:ind w:left="1871" w:firstLine="624"/>
        <w:rPr>
          <w:rFonts w:ascii="Times New Roman" w:eastAsia="Times New Roman" w:hAnsi="Times New Roman"/>
          <w:color w:val="000000"/>
          <w:sz w:val="20"/>
          <w:szCs w:val="20"/>
        </w:rPr>
      </w:pPr>
      <w:r w:rsidRPr="00046746">
        <w:rPr>
          <w:rFonts w:ascii="Times New Roman" w:eastAsia="Times New Roman" w:hAnsi="Times New Roman"/>
          <w:color w:val="000000"/>
          <w:sz w:val="20"/>
          <w:szCs w:val="20"/>
        </w:rPr>
        <w:t>8.</w:t>
      </w:r>
      <w:r w:rsidRPr="00046746">
        <w:rPr>
          <w:rFonts w:ascii="Times New Roman" w:eastAsia="Times New Roman" w:hAnsi="Times New Roman"/>
          <w:color w:val="000000"/>
          <w:sz w:val="20"/>
          <w:szCs w:val="20"/>
        </w:rPr>
        <w:tab/>
      </w:r>
      <w:r w:rsidRPr="00046746">
        <w:rPr>
          <w:rFonts w:ascii="Times New Roman" w:eastAsia="Times New Roman" w:hAnsi="Times New Roman"/>
          <w:i/>
          <w:color w:val="000000"/>
          <w:sz w:val="20"/>
          <w:szCs w:val="20"/>
        </w:rPr>
        <w:t>Takes note</w:t>
      </w:r>
      <w:r w:rsidRPr="00046746">
        <w:rPr>
          <w:rFonts w:ascii="Times New Roman" w:eastAsia="Times New Roman" w:hAnsi="Times New Roman"/>
          <w:color w:val="000000"/>
          <w:sz w:val="20"/>
          <w:szCs w:val="20"/>
        </w:rPr>
        <w:t xml:space="preserve"> of the draft provisional agendas for the ninth and tenth sessions of the Plenary</w:t>
      </w:r>
      <w:r w:rsidR="002C06E9" w:rsidRPr="00046746">
        <w:rPr>
          <w:rFonts w:ascii="Times New Roman" w:eastAsia="Times New Roman" w:hAnsi="Times New Roman"/>
          <w:color w:val="000000"/>
          <w:sz w:val="20"/>
          <w:szCs w:val="20"/>
        </w:rPr>
        <w:t>, which are</w:t>
      </w:r>
      <w:r w:rsidRPr="00E806AF">
        <w:rPr>
          <w:color w:val="000000"/>
        </w:rPr>
        <w:t xml:space="preserve"> </w:t>
      </w:r>
      <w:r w:rsidRPr="00E806AF">
        <w:rPr>
          <w:rFonts w:ascii="Times New Roman" w:eastAsia="Times New Roman" w:hAnsi="Times New Roman"/>
          <w:color w:val="000000"/>
          <w:sz w:val="20"/>
          <w:szCs w:val="20"/>
        </w:rPr>
        <w:t>set out in the annex to the present decision;</w:t>
      </w:r>
      <w:r w:rsidRPr="00046746">
        <w:rPr>
          <w:rFonts w:ascii="Times New Roman" w:eastAsia="Times New Roman" w:hAnsi="Times New Roman"/>
          <w:sz w:val="20"/>
          <w:szCs w:val="18"/>
          <w:vertAlign w:val="superscript"/>
        </w:rPr>
        <w:footnoteReference w:id="34"/>
      </w:r>
      <w:r w:rsidRPr="004204D7">
        <w:rPr>
          <w:rFonts w:ascii="Times New Roman" w:eastAsia="Times New Roman" w:hAnsi="Times New Roman"/>
          <w:color w:val="000000"/>
          <w:sz w:val="20"/>
          <w:szCs w:val="20"/>
        </w:rPr>
        <w:t xml:space="preserve"> </w:t>
      </w:r>
    </w:p>
    <w:p w14:paraId="4A0C05F5" w14:textId="4ED806D5" w:rsidR="007F453C" w:rsidRPr="00046746" w:rsidRDefault="007F453C" w:rsidP="007F453C">
      <w:pPr>
        <w:keepNext/>
        <w:keepLines/>
        <w:tabs>
          <w:tab w:val="left" w:pos="624"/>
        </w:tabs>
        <w:spacing w:after="100" w:line="240" w:lineRule="auto"/>
        <w:ind w:left="1871" w:firstLine="624"/>
        <w:rPr>
          <w:rFonts w:ascii="Times New Roman" w:eastAsia="Times New Roman" w:hAnsi="Times New Roman"/>
          <w:color w:val="000000"/>
          <w:sz w:val="20"/>
          <w:szCs w:val="20"/>
        </w:rPr>
      </w:pPr>
      <w:r w:rsidRPr="00046746">
        <w:rPr>
          <w:rFonts w:ascii="Times New Roman" w:eastAsia="Times New Roman" w:hAnsi="Times New Roman"/>
          <w:color w:val="000000"/>
          <w:sz w:val="20"/>
          <w:szCs w:val="20"/>
        </w:rPr>
        <w:t>9.</w:t>
      </w:r>
      <w:r w:rsidRPr="00046746">
        <w:rPr>
          <w:rFonts w:ascii="Times New Roman" w:eastAsia="Times New Roman" w:hAnsi="Times New Roman"/>
          <w:color w:val="000000"/>
          <w:sz w:val="20"/>
          <w:szCs w:val="20"/>
        </w:rPr>
        <w:tab/>
      </w:r>
      <w:r w:rsidRPr="00046746">
        <w:rPr>
          <w:rFonts w:ascii="Times New Roman" w:eastAsia="Times New Roman" w:hAnsi="Times New Roman"/>
          <w:i/>
          <w:color w:val="000000"/>
          <w:sz w:val="20"/>
          <w:szCs w:val="20"/>
        </w:rPr>
        <w:t>Requests</w:t>
      </w:r>
      <w:r w:rsidRPr="00046746">
        <w:rPr>
          <w:rFonts w:ascii="Times New Roman" w:eastAsia="Times New Roman" w:hAnsi="Times New Roman"/>
          <w:color w:val="000000"/>
          <w:sz w:val="20"/>
          <w:szCs w:val="20"/>
        </w:rPr>
        <w:t xml:space="preserve"> the Executive Secretary to invite members and observers that are allowed enhanced participation in accordance with decision IPBES-5/4, to provide</w:t>
      </w:r>
      <w:r w:rsidR="009441A3">
        <w:rPr>
          <w:rStyle w:val="CommentReference"/>
        </w:rPr>
        <w:t xml:space="preserve"> </w:t>
      </w:r>
      <w:r w:rsidRPr="00046746">
        <w:rPr>
          <w:rFonts w:ascii="Times New Roman" w:eastAsia="Times New Roman" w:hAnsi="Times New Roman"/>
          <w:color w:val="000000"/>
          <w:sz w:val="20"/>
          <w:szCs w:val="20"/>
        </w:rPr>
        <w:t xml:space="preserve">written comments on the proposed organization of work of the ninth session of the Plenary; </w:t>
      </w:r>
    </w:p>
    <w:p w14:paraId="4A4D5BC6" w14:textId="77777777" w:rsidR="007F453C" w:rsidRPr="004204D7" w:rsidRDefault="007F453C" w:rsidP="007F453C">
      <w:pPr>
        <w:tabs>
          <w:tab w:val="left" w:pos="624"/>
        </w:tabs>
        <w:spacing w:after="100" w:line="240" w:lineRule="auto"/>
        <w:ind w:left="1871" w:firstLine="624"/>
        <w:rPr>
          <w:rFonts w:ascii="Times New Roman" w:eastAsia="Times New Roman" w:hAnsi="Times New Roman"/>
          <w:sz w:val="20"/>
          <w:szCs w:val="20"/>
        </w:rPr>
      </w:pPr>
      <w:r w:rsidRPr="00046746">
        <w:rPr>
          <w:rFonts w:ascii="Times New Roman" w:eastAsia="Times New Roman" w:hAnsi="Times New Roman"/>
          <w:color w:val="000000"/>
          <w:sz w:val="20"/>
          <w:szCs w:val="20"/>
        </w:rPr>
        <w:t>10.</w:t>
      </w:r>
      <w:r w:rsidRPr="00046746">
        <w:rPr>
          <w:rFonts w:ascii="Times New Roman" w:eastAsia="Times New Roman" w:hAnsi="Times New Roman"/>
          <w:color w:val="000000"/>
          <w:sz w:val="20"/>
          <w:szCs w:val="20"/>
        </w:rPr>
        <w:tab/>
      </w:r>
      <w:r w:rsidRPr="00046746">
        <w:rPr>
          <w:rFonts w:ascii="Times New Roman" w:eastAsia="Times New Roman" w:hAnsi="Times New Roman"/>
          <w:i/>
          <w:color w:val="000000"/>
          <w:sz w:val="20"/>
          <w:szCs w:val="20"/>
        </w:rPr>
        <w:t>Also requests</w:t>
      </w:r>
      <w:r w:rsidRPr="00046746">
        <w:rPr>
          <w:rFonts w:ascii="Times New Roman" w:eastAsia="Times New Roman" w:hAnsi="Times New Roman"/>
          <w:color w:val="000000"/>
          <w:sz w:val="20"/>
          <w:szCs w:val="20"/>
        </w:rPr>
        <w:t xml:space="preserve"> the Executive Secretary to finalize the proposed organization of work for the ninth session of the Plenary in line with comments received at the eighth session of the Plenary and written comments received in response to the invitation referred to in paragraph 9 of the present decision.</w:t>
      </w:r>
    </w:p>
    <w:bookmarkEnd w:id="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465BCA" w14:paraId="0770DEB9" w14:textId="77777777" w:rsidTr="0023517A">
        <w:tc>
          <w:tcPr>
            <w:tcW w:w="1897" w:type="dxa"/>
          </w:tcPr>
          <w:p w14:paraId="3B625ADE" w14:textId="77777777" w:rsidR="00FC1138" w:rsidRPr="004204D7" w:rsidRDefault="00FC1138" w:rsidP="00D827DF">
            <w:pPr>
              <w:pStyle w:val="Normal-pool"/>
              <w:spacing w:before="120"/>
              <w:rPr>
                <w:lang w:val="en-GB"/>
              </w:rPr>
            </w:pPr>
          </w:p>
        </w:tc>
        <w:tc>
          <w:tcPr>
            <w:tcW w:w="1897" w:type="dxa"/>
          </w:tcPr>
          <w:p w14:paraId="4744B7E9" w14:textId="77777777" w:rsidR="00FC1138" w:rsidRPr="004204D7" w:rsidRDefault="00FC1138" w:rsidP="00D827DF">
            <w:pPr>
              <w:pStyle w:val="Normal-pool"/>
              <w:spacing w:before="120"/>
              <w:rPr>
                <w:lang w:val="en-GB"/>
              </w:rPr>
            </w:pPr>
          </w:p>
        </w:tc>
        <w:tc>
          <w:tcPr>
            <w:tcW w:w="1897" w:type="dxa"/>
            <w:tcBorders>
              <w:bottom w:val="single" w:sz="4" w:space="0" w:color="auto"/>
            </w:tcBorders>
          </w:tcPr>
          <w:p w14:paraId="32504781" w14:textId="77777777" w:rsidR="00FC1138" w:rsidRPr="004204D7" w:rsidRDefault="00FC1138" w:rsidP="00D827DF">
            <w:pPr>
              <w:pStyle w:val="Normal-pool"/>
              <w:spacing w:before="120"/>
              <w:rPr>
                <w:lang w:val="en-GB"/>
              </w:rPr>
            </w:pPr>
          </w:p>
        </w:tc>
        <w:tc>
          <w:tcPr>
            <w:tcW w:w="1897" w:type="dxa"/>
          </w:tcPr>
          <w:p w14:paraId="4CD3DBE1" w14:textId="77777777" w:rsidR="00FC1138" w:rsidRPr="004204D7" w:rsidRDefault="00FC1138" w:rsidP="00D827DF">
            <w:pPr>
              <w:pStyle w:val="Normal-pool"/>
              <w:spacing w:before="120"/>
              <w:rPr>
                <w:lang w:val="en-GB"/>
              </w:rPr>
            </w:pPr>
          </w:p>
        </w:tc>
        <w:tc>
          <w:tcPr>
            <w:tcW w:w="1898" w:type="dxa"/>
          </w:tcPr>
          <w:p w14:paraId="76A73388" w14:textId="77777777" w:rsidR="00FC1138" w:rsidRPr="004204D7" w:rsidRDefault="00FC1138" w:rsidP="00D827DF">
            <w:pPr>
              <w:pStyle w:val="Normal-pool"/>
              <w:spacing w:before="120"/>
              <w:rPr>
                <w:lang w:val="en-GB"/>
              </w:rPr>
            </w:pPr>
          </w:p>
        </w:tc>
      </w:tr>
    </w:tbl>
    <w:p w14:paraId="385A29B3" w14:textId="77777777" w:rsidR="00FC1138" w:rsidRPr="00D827DF" w:rsidRDefault="00FC1138" w:rsidP="00FC1138">
      <w:pPr>
        <w:pStyle w:val="Normal-pool"/>
        <w:rPr>
          <w:sz w:val="2"/>
          <w:szCs w:val="2"/>
        </w:rPr>
      </w:pPr>
    </w:p>
    <w:sectPr w:rsidR="00FC1138" w:rsidRPr="00D827DF"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1788B" w14:textId="77777777" w:rsidR="00843759" w:rsidRDefault="00843759">
      <w:r>
        <w:separator/>
      </w:r>
    </w:p>
  </w:endnote>
  <w:endnote w:type="continuationSeparator" w:id="0">
    <w:p w14:paraId="10C14626" w14:textId="77777777" w:rsidR="00843759" w:rsidRDefault="00843759">
      <w:r>
        <w:continuationSeparator/>
      </w:r>
    </w:p>
  </w:endnote>
  <w:endnote w:type="continuationNotice" w:id="1">
    <w:p w14:paraId="4211F636" w14:textId="77777777" w:rsidR="00843759" w:rsidRDefault="0084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775AF3" w:rsidRPr="00407DBA" w:rsidRDefault="00775AF3" w:rsidP="00407DBA">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775AF3" w:rsidRPr="00407DBA" w:rsidRDefault="00775AF3" w:rsidP="00407DBA">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4CD76409" w:rsidR="00775AF3" w:rsidRPr="003E169F" w:rsidRDefault="00775AF3" w:rsidP="00404335">
    <w:pPr>
      <w:pStyle w:val="Normal-pool"/>
      <w:rPr>
        <w:b/>
      </w:rPr>
    </w:pPr>
    <w:r w:rsidRPr="003E169F">
      <w:t>K</w:t>
    </w:r>
    <w:r w:rsidRPr="003E169F">
      <w:rPr>
        <w:bCs/>
      </w:rPr>
      <w:t>2100862</w:t>
    </w:r>
    <w:r w:rsidRPr="003E169F">
      <w:tab/>
    </w:r>
    <w:r w:rsidR="00FB6327">
      <w:t>27</w:t>
    </w:r>
    <w:r w:rsidR="00404335">
      <w:t>04</w:t>
    </w:r>
    <w:r w:rsidRPr="003E169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94C4" w14:textId="77777777" w:rsidR="00843759" w:rsidRPr="008E340B" w:rsidRDefault="00843759" w:rsidP="008E340B">
      <w:pPr>
        <w:pStyle w:val="Normal-pool"/>
        <w:spacing w:before="60"/>
        <w:ind w:left="624"/>
        <w:rPr>
          <w:sz w:val="18"/>
          <w:szCs w:val="18"/>
        </w:rPr>
      </w:pPr>
      <w:r w:rsidRPr="008E340B">
        <w:rPr>
          <w:sz w:val="18"/>
          <w:szCs w:val="18"/>
        </w:rPr>
        <w:separator/>
      </w:r>
    </w:p>
  </w:footnote>
  <w:footnote w:type="continuationSeparator" w:id="0">
    <w:p w14:paraId="215B63B8" w14:textId="77777777" w:rsidR="00843759" w:rsidRDefault="00843759">
      <w:r>
        <w:continuationSeparator/>
      </w:r>
    </w:p>
  </w:footnote>
  <w:footnote w:type="continuationNotice" w:id="1">
    <w:p w14:paraId="7988DDDD" w14:textId="77777777" w:rsidR="00843759" w:rsidRDefault="00843759">
      <w:pPr>
        <w:spacing w:after="0" w:line="240" w:lineRule="auto"/>
      </w:pPr>
    </w:p>
  </w:footnote>
  <w:footnote w:id="2">
    <w:p w14:paraId="0742893A" w14:textId="77777777" w:rsidR="00775AF3" w:rsidRPr="00E806AF" w:rsidRDefault="00775AF3" w:rsidP="00336AFD">
      <w:pPr>
        <w:pStyle w:val="Normal-pool"/>
        <w:spacing w:before="20" w:after="40"/>
        <w:ind w:left="1247"/>
        <w:rPr>
          <w:sz w:val="18"/>
          <w:szCs w:val="18"/>
        </w:rPr>
      </w:pPr>
      <w:r w:rsidRPr="00682A80">
        <w:rPr>
          <w:rStyle w:val="FootnoteReference"/>
          <w:sz w:val="18"/>
          <w:vertAlign w:val="baseline"/>
        </w:rPr>
        <w:t>*</w:t>
      </w:r>
      <w:r w:rsidRPr="00682A80">
        <w:rPr>
          <w:sz w:val="18"/>
          <w:szCs w:val="18"/>
        </w:rPr>
        <w:t xml:space="preserve"> IPBES/8/1.</w:t>
      </w:r>
    </w:p>
  </w:footnote>
  <w:footnote w:id="3">
    <w:p w14:paraId="144CB6AF" w14:textId="77777777" w:rsidR="00775AF3" w:rsidRPr="00E806AF" w:rsidRDefault="00775AF3" w:rsidP="007F453C">
      <w:pPr>
        <w:pStyle w:val="FootnoteText"/>
        <w:rPr>
          <w:szCs w:val="18"/>
          <w:lang w:val="en-GB"/>
        </w:rPr>
      </w:pPr>
      <w:r w:rsidRPr="00E806AF">
        <w:rPr>
          <w:rStyle w:val="FootnoteReference"/>
          <w:sz w:val="18"/>
          <w:lang w:val="en-GB"/>
        </w:rPr>
        <w:footnoteRef/>
      </w:r>
      <w:r w:rsidRPr="00E806AF">
        <w:rPr>
          <w:szCs w:val="18"/>
          <w:lang w:val="en-GB"/>
        </w:rPr>
        <w:t xml:space="preserve"> IPBES/8/2.</w:t>
      </w:r>
    </w:p>
  </w:footnote>
  <w:footnote w:id="4">
    <w:p w14:paraId="5E091D08" w14:textId="77777777" w:rsidR="00775AF3" w:rsidRPr="00E806AF" w:rsidRDefault="00775AF3" w:rsidP="007F453C">
      <w:pPr>
        <w:pStyle w:val="FootnoteText"/>
        <w:rPr>
          <w:szCs w:val="18"/>
          <w:lang w:val="en-GB"/>
        </w:rPr>
      </w:pPr>
      <w:r w:rsidRPr="00E806AF">
        <w:rPr>
          <w:rStyle w:val="FootnoteReference"/>
          <w:sz w:val="18"/>
          <w:lang w:val="en-GB"/>
        </w:rPr>
        <w:footnoteRef/>
      </w:r>
      <w:r w:rsidRPr="00E806AF">
        <w:rPr>
          <w:szCs w:val="18"/>
          <w:lang w:val="en-GB"/>
        </w:rPr>
        <w:t xml:space="preserve"> The draft text for that decision is set out in section IV below. </w:t>
      </w:r>
    </w:p>
  </w:footnote>
  <w:footnote w:id="5">
    <w:p w14:paraId="1EABA45C" w14:textId="16F1D6F3" w:rsidR="00775AF3" w:rsidRPr="00E806AF" w:rsidRDefault="00775AF3" w:rsidP="007F453C">
      <w:pPr>
        <w:pStyle w:val="FootnoteText"/>
        <w:rPr>
          <w:szCs w:val="18"/>
          <w:lang w:val="en-GB"/>
        </w:rPr>
      </w:pPr>
      <w:r w:rsidRPr="00E806AF">
        <w:rPr>
          <w:rStyle w:val="FootnoteReference"/>
          <w:sz w:val="18"/>
          <w:lang w:val="en-GB"/>
        </w:rPr>
        <w:footnoteRef/>
      </w:r>
      <w:r w:rsidRPr="00E806AF">
        <w:rPr>
          <w:szCs w:val="18"/>
          <w:lang w:val="en-GB"/>
        </w:rPr>
        <w:t xml:space="preserve"> See decision IPBES-3/3, annex I. </w:t>
      </w:r>
    </w:p>
  </w:footnote>
  <w:footnote w:id="6">
    <w:p w14:paraId="39CD18D7" w14:textId="56CFE1D2" w:rsidR="00775AF3" w:rsidRPr="00682A80" w:rsidRDefault="00775AF3" w:rsidP="007F453C">
      <w:pPr>
        <w:pStyle w:val="FootnoteText"/>
        <w:tabs>
          <w:tab w:val="left" w:pos="624"/>
        </w:tabs>
        <w:rPr>
          <w:szCs w:val="18"/>
          <w:lang w:val="en-GB"/>
        </w:rPr>
      </w:pPr>
      <w:r w:rsidRPr="00682A80">
        <w:rPr>
          <w:rStyle w:val="FootnoteReference"/>
          <w:sz w:val="18"/>
          <w:lang w:val="en-GB"/>
        </w:rPr>
        <w:footnoteRef/>
      </w:r>
      <w:r w:rsidRPr="00682A80">
        <w:rPr>
          <w:szCs w:val="18"/>
          <w:lang w:val="en-GB"/>
        </w:rPr>
        <w:t xml:space="preserve"> The draft text of the scoping report is set out in document IPBES/8/</w:t>
      </w:r>
      <w:r w:rsidRPr="00E806AF">
        <w:rPr>
          <w:szCs w:val="18"/>
          <w:lang w:val="en-GB"/>
        </w:rPr>
        <w:t>3</w:t>
      </w:r>
      <w:r w:rsidRPr="00682A80">
        <w:rPr>
          <w:szCs w:val="18"/>
          <w:lang w:val="en-GB"/>
        </w:rPr>
        <w:t>.</w:t>
      </w:r>
    </w:p>
  </w:footnote>
  <w:footnote w:id="7">
    <w:p w14:paraId="0C3ECB85" w14:textId="00172250" w:rsidR="00775AF3" w:rsidRPr="006C59B0" w:rsidRDefault="00775AF3" w:rsidP="007F453C">
      <w:pPr>
        <w:pStyle w:val="FootnoteText"/>
        <w:rPr>
          <w:szCs w:val="18"/>
          <w:lang w:val="en-GB"/>
        </w:rPr>
      </w:pPr>
      <w:r w:rsidRPr="00E806AF">
        <w:rPr>
          <w:rStyle w:val="FootnoteReference"/>
          <w:sz w:val="18"/>
          <w:lang w:val="en-GB"/>
        </w:rPr>
        <w:footnoteRef/>
      </w:r>
      <w:r w:rsidRPr="00E806AF">
        <w:rPr>
          <w:szCs w:val="18"/>
          <w:lang w:val="en-GB"/>
        </w:rPr>
        <w:t xml:space="preserve"> See decision </w:t>
      </w:r>
      <w:r w:rsidRPr="006C59B0">
        <w:rPr>
          <w:szCs w:val="18"/>
          <w:lang w:val="en-GB"/>
        </w:rPr>
        <w:t xml:space="preserve">IPBES-3/3, annex I. </w:t>
      </w:r>
    </w:p>
  </w:footnote>
  <w:footnote w:id="8">
    <w:p w14:paraId="601277DE" w14:textId="128C158E" w:rsidR="00775AF3" w:rsidRPr="006C59B0"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The draft text of the scoping report is set out in document IPBES/8/4.</w:t>
      </w:r>
    </w:p>
  </w:footnote>
  <w:footnote w:id="9">
    <w:p w14:paraId="3F8D7596" w14:textId="77777777" w:rsidR="00775AF3" w:rsidRPr="006C59B0"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w:t>
      </w:r>
      <w:r w:rsidRPr="00404335">
        <w:rPr>
          <w:szCs w:val="18"/>
          <w:lang w:val="en-GB"/>
        </w:rPr>
        <w:t>IPBES/8/INF/5</w:t>
      </w:r>
      <w:r w:rsidRPr="006C59B0">
        <w:rPr>
          <w:szCs w:val="18"/>
          <w:lang w:val="en-GB"/>
        </w:rPr>
        <w:t>.</w:t>
      </w:r>
    </w:p>
  </w:footnote>
  <w:footnote w:id="10">
    <w:p w14:paraId="30E4D196" w14:textId="2323AECC" w:rsidR="00775AF3" w:rsidRPr="006C59B0" w:rsidRDefault="00775AF3" w:rsidP="007F453C">
      <w:pPr>
        <w:pStyle w:val="FootnoteText"/>
        <w:rPr>
          <w:szCs w:val="18"/>
          <w:lang w:val="en-GB"/>
        </w:rPr>
      </w:pPr>
      <w:r w:rsidRPr="006C59B0">
        <w:rPr>
          <w:rStyle w:val="FootnoteReference"/>
          <w:sz w:val="18"/>
          <w:lang w:val="en-GB"/>
        </w:rPr>
        <w:footnoteRef/>
      </w:r>
      <w:r w:rsidRPr="006C59B0">
        <w:rPr>
          <w:szCs w:val="18"/>
          <w:lang w:val="en-GB"/>
        </w:rPr>
        <w:t xml:space="preserve"> See decision IPBES-3/3, annex I. </w:t>
      </w:r>
    </w:p>
  </w:footnote>
  <w:footnote w:id="11">
    <w:p w14:paraId="55493604" w14:textId="77777777" w:rsidR="00775AF3" w:rsidRPr="00682A80"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w:t>
      </w:r>
      <w:r w:rsidRPr="00404335">
        <w:rPr>
          <w:szCs w:val="18"/>
          <w:lang w:val="en-GB"/>
        </w:rPr>
        <w:t>IPBES/8/INF/20</w:t>
      </w:r>
      <w:r w:rsidRPr="006C59B0">
        <w:rPr>
          <w:szCs w:val="18"/>
          <w:lang w:val="en-GB"/>
        </w:rPr>
        <w:t>.</w:t>
      </w:r>
    </w:p>
  </w:footnote>
  <w:footnote w:id="12">
    <w:p w14:paraId="74AA1F13" w14:textId="2AF590CF" w:rsidR="00775AF3" w:rsidRPr="00E806AF" w:rsidRDefault="00775AF3" w:rsidP="007F453C">
      <w:pPr>
        <w:pStyle w:val="FootnoteText"/>
        <w:rPr>
          <w:szCs w:val="18"/>
          <w:lang w:val="en-GB"/>
        </w:rPr>
      </w:pPr>
      <w:r w:rsidRPr="00E806AF">
        <w:rPr>
          <w:rStyle w:val="FootnoteReference"/>
          <w:sz w:val="18"/>
          <w:lang w:val="en-GB"/>
        </w:rPr>
        <w:footnoteRef/>
      </w:r>
      <w:r w:rsidRPr="00E806AF">
        <w:rPr>
          <w:szCs w:val="18"/>
          <w:lang w:val="en-GB"/>
        </w:rPr>
        <w:t xml:space="preserve"> See decision IPBES-3/3, annex I. </w:t>
      </w:r>
    </w:p>
  </w:footnote>
  <w:footnote w:id="13">
    <w:p w14:paraId="3D77241F" w14:textId="77777777" w:rsidR="00775AF3" w:rsidRPr="00682A80" w:rsidRDefault="00775AF3" w:rsidP="007F453C">
      <w:pPr>
        <w:pStyle w:val="FootnoteText"/>
        <w:tabs>
          <w:tab w:val="left" w:pos="624"/>
        </w:tabs>
        <w:rPr>
          <w:szCs w:val="18"/>
          <w:lang w:val="en-GB"/>
        </w:rPr>
      </w:pPr>
      <w:r w:rsidRPr="00682A80">
        <w:rPr>
          <w:rStyle w:val="FootnoteReference"/>
          <w:sz w:val="18"/>
          <w:lang w:val="en-GB"/>
        </w:rPr>
        <w:footnoteRef/>
      </w:r>
      <w:r w:rsidRPr="00682A80">
        <w:rPr>
          <w:szCs w:val="18"/>
          <w:lang w:val="en-GB"/>
        </w:rPr>
        <w:t xml:space="preserve"> IPBES/8/</w:t>
      </w:r>
      <w:r w:rsidRPr="00E806AF">
        <w:rPr>
          <w:szCs w:val="18"/>
          <w:lang w:val="en-GB"/>
        </w:rPr>
        <w:t>6</w:t>
      </w:r>
      <w:r w:rsidRPr="00682A80">
        <w:rPr>
          <w:szCs w:val="18"/>
          <w:lang w:val="en-GB"/>
        </w:rPr>
        <w:t>.</w:t>
      </w:r>
    </w:p>
  </w:footnote>
  <w:footnote w:id="14">
    <w:p w14:paraId="1EB19BCB" w14:textId="29C12E84" w:rsidR="00775AF3" w:rsidRPr="00E806AF" w:rsidRDefault="00775AF3" w:rsidP="007F453C">
      <w:pPr>
        <w:pStyle w:val="FootnoteText"/>
        <w:rPr>
          <w:szCs w:val="18"/>
          <w:lang w:val="en-GB"/>
        </w:rPr>
      </w:pPr>
      <w:r w:rsidRPr="00E806AF">
        <w:rPr>
          <w:rStyle w:val="FootnoteReference"/>
          <w:sz w:val="18"/>
          <w:lang w:val="en-GB"/>
        </w:rPr>
        <w:footnoteRef/>
      </w:r>
      <w:r w:rsidRPr="00E806AF">
        <w:rPr>
          <w:szCs w:val="18"/>
          <w:lang w:val="en-GB"/>
        </w:rPr>
        <w:t xml:space="preserve"> </w:t>
      </w:r>
      <w:r w:rsidR="00903CE9" w:rsidRPr="00E806AF">
        <w:rPr>
          <w:szCs w:val="18"/>
          <w:lang w:val="en-GB"/>
        </w:rPr>
        <w:t>See d</w:t>
      </w:r>
      <w:r w:rsidRPr="00E806AF">
        <w:rPr>
          <w:szCs w:val="18"/>
          <w:lang w:val="en-GB"/>
        </w:rPr>
        <w:t xml:space="preserve">ecision IPBES-3/3, annex I. </w:t>
      </w:r>
    </w:p>
  </w:footnote>
  <w:footnote w:id="15">
    <w:p w14:paraId="1EB28F1E" w14:textId="73224535" w:rsidR="00775AF3" w:rsidRPr="00404335" w:rsidRDefault="00775AF3" w:rsidP="007F453C">
      <w:pPr>
        <w:pStyle w:val="FootnoteText"/>
        <w:tabs>
          <w:tab w:val="left" w:pos="624"/>
        </w:tabs>
        <w:rPr>
          <w:szCs w:val="18"/>
          <w:lang w:val="en-GB"/>
        </w:rPr>
      </w:pPr>
      <w:r w:rsidRPr="00682A80">
        <w:rPr>
          <w:rStyle w:val="FootnoteReference"/>
          <w:sz w:val="18"/>
          <w:lang w:val="en-GB"/>
        </w:rPr>
        <w:footnoteRef/>
      </w:r>
      <w:r w:rsidRPr="00682A80">
        <w:rPr>
          <w:szCs w:val="18"/>
          <w:lang w:val="en-GB"/>
        </w:rPr>
        <w:t xml:space="preserve"> The draft workplan of the task force on capacity-</w:t>
      </w:r>
      <w:r w:rsidRPr="006C59B0">
        <w:rPr>
          <w:szCs w:val="18"/>
          <w:lang w:val="en-GB"/>
        </w:rPr>
        <w:t>building is set out in section II.B of document IPBES/8/7.</w:t>
      </w:r>
    </w:p>
  </w:footnote>
  <w:footnote w:id="16">
    <w:p w14:paraId="4329399B" w14:textId="77777777" w:rsidR="00775AF3" w:rsidRPr="006C59B0" w:rsidRDefault="00775AF3" w:rsidP="007F453C">
      <w:pPr>
        <w:pStyle w:val="FootnoteText"/>
        <w:rPr>
          <w:szCs w:val="18"/>
          <w:lang w:val="en-GB"/>
        </w:rPr>
      </w:pPr>
      <w:r w:rsidRPr="006C59B0">
        <w:rPr>
          <w:rStyle w:val="FootnoteReference"/>
          <w:sz w:val="18"/>
          <w:lang w:val="en-GB"/>
        </w:rPr>
        <w:footnoteRef/>
      </w:r>
      <w:r w:rsidRPr="006C59B0">
        <w:rPr>
          <w:szCs w:val="18"/>
          <w:lang w:val="en-GB"/>
        </w:rPr>
        <w:t xml:space="preserve"> The draft deliverables are set out in section II.A of document IPBES/8/7.</w:t>
      </w:r>
    </w:p>
  </w:footnote>
  <w:footnote w:id="17">
    <w:p w14:paraId="1F93C2A2" w14:textId="77777777" w:rsidR="00775AF3" w:rsidRPr="006C59B0" w:rsidRDefault="00775AF3" w:rsidP="007F453C">
      <w:pPr>
        <w:pStyle w:val="FootnoteText"/>
        <w:rPr>
          <w:szCs w:val="18"/>
          <w:lang w:val="en-GB"/>
        </w:rPr>
      </w:pPr>
      <w:r w:rsidRPr="006C59B0">
        <w:rPr>
          <w:rStyle w:val="FootnoteReference"/>
          <w:sz w:val="18"/>
          <w:lang w:val="en-GB"/>
        </w:rPr>
        <w:footnoteRef/>
      </w:r>
      <w:r w:rsidRPr="006C59B0">
        <w:rPr>
          <w:szCs w:val="18"/>
          <w:lang w:val="en-GB"/>
        </w:rPr>
        <w:t xml:space="preserve"> </w:t>
      </w:r>
      <w:r w:rsidRPr="00404335">
        <w:rPr>
          <w:szCs w:val="18"/>
          <w:lang w:val="en-GB"/>
        </w:rPr>
        <w:t>IPBES/8/INF/12</w:t>
      </w:r>
      <w:r w:rsidRPr="006C59B0">
        <w:rPr>
          <w:szCs w:val="18"/>
          <w:lang w:val="en-GB"/>
        </w:rPr>
        <w:t>.</w:t>
      </w:r>
    </w:p>
  </w:footnote>
  <w:footnote w:id="18">
    <w:p w14:paraId="029E73BB" w14:textId="18D89806" w:rsidR="00775AF3" w:rsidRPr="00A83E4D"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The draft workplan of the task force on knowledge and data is set out in section III.A</w:t>
      </w:r>
      <w:r w:rsidR="00BB415F" w:rsidRPr="006C59B0">
        <w:rPr>
          <w:szCs w:val="18"/>
          <w:lang w:val="en-GB"/>
        </w:rPr>
        <w:t>.2.</w:t>
      </w:r>
      <w:r w:rsidRPr="006C59B0">
        <w:rPr>
          <w:szCs w:val="18"/>
          <w:lang w:val="en-GB"/>
        </w:rPr>
        <w:t xml:space="preserve"> </w:t>
      </w:r>
      <w:r w:rsidR="00BB415F" w:rsidRPr="006C59B0">
        <w:rPr>
          <w:szCs w:val="18"/>
          <w:lang w:val="en-GB"/>
        </w:rPr>
        <w:t xml:space="preserve"> and III.B.2. </w:t>
      </w:r>
      <w:r w:rsidRPr="006C59B0">
        <w:rPr>
          <w:szCs w:val="18"/>
          <w:lang w:val="en-GB"/>
        </w:rPr>
        <w:t>of document IPBES/8/7.</w:t>
      </w:r>
    </w:p>
  </w:footnote>
  <w:footnote w:id="19">
    <w:p w14:paraId="13CA8D3A" w14:textId="484CD8B3" w:rsidR="00775AF3" w:rsidRPr="006C59B0"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The draft workplan of the task force on indigenous and local knowledge </w:t>
      </w:r>
      <w:r w:rsidR="004E2916" w:rsidRPr="006C59B0">
        <w:rPr>
          <w:szCs w:val="18"/>
          <w:lang w:val="en-GB"/>
        </w:rPr>
        <w:t xml:space="preserve">systems </w:t>
      </w:r>
      <w:r w:rsidRPr="006C59B0">
        <w:rPr>
          <w:szCs w:val="18"/>
          <w:lang w:val="en-GB"/>
        </w:rPr>
        <w:t>is set out in section IV.B of document IPBES/8/7.</w:t>
      </w:r>
    </w:p>
  </w:footnote>
  <w:footnote w:id="20">
    <w:p w14:paraId="5C9897B4" w14:textId="47221F8C" w:rsidR="00775AF3" w:rsidRPr="00E806AF" w:rsidRDefault="00775AF3" w:rsidP="007F453C">
      <w:pPr>
        <w:pStyle w:val="FootnoteText"/>
        <w:rPr>
          <w:lang w:val="en-GB"/>
        </w:rPr>
      </w:pPr>
      <w:r w:rsidRPr="006C59B0">
        <w:rPr>
          <w:rStyle w:val="FootnoteReference"/>
          <w:sz w:val="18"/>
          <w:lang w:val="en-GB"/>
        </w:rPr>
        <w:footnoteRef/>
      </w:r>
      <w:r w:rsidRPr="006C59B0">
        <w:rPr>
          <w:szCs w:val="18"/>
          <w:lang w:val="en-GB"/>
        </w:rPr>
        <w:t xml:space="preserve"> The draft deliverables are set out in sections III.A</w:t>
      </w:r>
      <w:r w:rsidR="00BB415F" w:rsidRPr="006C59B0">
        <w:rPr>
          <w:szCs w:val="18"/>
          <w:lang w:val="en-GB"/>
        </w:rPr>
        <w:t>.1</w:t>
      </w:r>
      <w:r w:rsidRPr="006C59B0">
        <w:rPr>
          <w:szCs w:val="18"/>
          <w:lang w:val="en-GB"/>
        </w:rPr>
        <w:t xml:space="preserve">, </w:t>
      </w:r>
      <w:bookmarkStart w:id="6" w:name="_Hlk68010372"/>
      <w:r w:rsidRPr="00404335">
        <w:rPr>
          <w:szCs w:val="18"/>
          <w:lang w:val="en-GB"/>
        </w:rPr>
        <w:t>III.</w:t>
      </w:r>
      <w:r w:rsidR="00BB415F" w:rsidRPr="00404335">
        <w:rPr>
          <w:szCs w:val="18"/>
          <w:lang w:val="en-GB"/>
        </w:rPr>
        <w:t>B.1</w:t>
      </w:r>
      <w:r w:rsidRPr="00682A80">
        <w:rPr>
          <w:szCs w:val="18"/>
          <w:lang w:val="en-GB"/>
        </w:rPr>
        <w:t xml:space="preserve"> and IV.B </w:t>
      </w:r>
      <w:bookmarkEnd w:id="6"/>
      <w:r w:rsidRPr="00682A80">
        <w:rPr>
          <w:szCs w:val="18"/>
          <w:lang w:val="en-GB"/>
        </w:rPr>
        <w:t>of document IPBES/8/</w:t>
      </w:r>
      <w:r w:rsidRPr="00E806AF">
        <w:rPr>
          <w:szCs w:val="18"/>
          <w:lang w:val="en-GB"/>
        </w:rPr>
        <w:t>7</w:t>
      </w:r>
      <w:r w:rsidR="00AE6787">
        <w:rPr>
          <w:szCs w:val="18"/>
          <w:lang w:val="en-GB"/>
        </w:rPr>
        <w:t>.</w:t>
      </w:r>
    </w:p>
  </w:footnote>
  <w:footnote w:id="21">
    <w:p w14:paraId="6500B69F" w14:textId="594EAE11" w:rsidR="00775AF3" w:rsidRPr="00682A80" w:rsidRDefault="00775AF3" w:rsidP="007F453C">
      <w:pPr>
        <w:pStyle w:val="FootnoteText"/>
        <w:tabs>
          <w:tab w:val="left" w:pos="624"/>
        </w:tabs>
        <w:rPr>
          <w:szCs w:val="18"/>
          <w:lang w:val="en-GB"/>
        </w:rPr>
      </w:pPr>
      <w:r w:rsidRPr="00682A80">
        <w:rPr>
          <w:rStyle w:val="FootnoteReference"/>
          <w:sz w:val="18"/>
          <w:lang w:val="en-GB"/>
        </w:rPr>
        <w:footnoteRef/>
      </w:r>
      <w:r w:rsidRPr="00682A80">
        <w:rPr>
          <w:szCs w:val="18"/>
          <w:lang w:val="en-GB"/>
        </w:rPr>
        <w:t xml:space="preserve"> The draft workplan of the task force on </w:t>
      </w:r>
      <w:r w:rsidRPr="00E806AF">
        <w:rPr>
          <w:color w:val="000000"/>
          <w:szCs w:val="18"/>
          <w:lang w:val="en-GB"/>
        </w:rPr>
        <w:t>policy tools and methodologies</w:t>
      </w:r>
      <w:r w:rsidRPr="00682A80">
        <w:rPr>
          <w:szCs w:val="18"/>
          <w:lang w:val="en-GB"/>
        </w:rPr>
        <w:t xml:space="preserve"> is set out in section V.B of document IPBES/8/</w:t>
      </w:r>
      <w:r w:rsidRPr="00E806AF">
        <w:rPr>
          <w:szCs w:val="18"/>
          <w:lang w:val="en-GB"/>
        </w:rPr>
        <w:t>7</w:t>
      </w:r>
      <w:r w:rsidRPr="00682A80">
        <w:rPr>
          <w:szCs w:val="18"/>
          <w:lang w:val="en-GB"/>
        </w:rPr>
        <w:t>.</w:t>
      </w:r>
    </w:p>
  </w:footnote>
  <w:footnote w:id="22">
    <w:p w14:paraId="676AD09E" w14:textId="5059929C" w:rsidR="00775AF3" w:rsidRPr="00682A80" w:rsidRDefault="00775AF3" w:rsidP="007F453C">
      <w:pPr>
        <w:pStyle w:val="FootnoteText"/>
        <w:tabs>
          <w:tab w:val="left" w:pos="624"/>
        </w:tabs>
        <w:rPr>
          <w:szCs w:val="18"/>
          <w:lang w:val="en-GB"/>
        </w:rPr>
      </w:pPr>
      <w:r w:rsidRPr="00682A80">
        <w:rPr>
          <w:rStyle w:val="FootnoteReference"/>
          <w:sz w:val="18"/>
          <w:lang w:val="en-GB"/>
        </w:rPr>
        <w:footnoteRef/>
      </w:r>
      <w:r w:rsidRPr="00682A80">
        <w:rPr>
          <w:szCs w:val="18"/>
          <w:lang w:val="en-GB"/>
        </w:rPr>
        <w:t xml:space="preserve"> The draft workplan of the task force on scenarios and models is set out in section VI.B of document IPBES/8/</w:t>
      </w:r>
      <w:r w:rsidRPr="00E806AF">
        <w:rPr>
          <w:szCs w:val="18"/>
          <w:lang w:val="en-GB"/>
        </w:rPr>
        <w:t>7</w:t>
      </w:r>
      <w:r w:rsidRPr="00682A80">
        <w:rPr>
          <w:szCs w:val="18"/>
          <w:lang w:val="en-GB"/>
        </w:rPr>
        <w:t>.</w:t>
      </w:r>
    </w:p>
  </w:footnote>
  <w:footnote w:id="23">
    <w:p w14:paraId="07D23BF5" w14:textId="77777777" w:rsidR="00775AF3" w:rsidRPr="006C59B0" w:rsidRDefault="00775AF3" w:rsidP="007F453C">
      <w:pPr>
        <w:pStyle w:val="FootnoteText"/>
        <w:rPr>
          <w:szCs w:val="18"/>
          <w:lang w:val="en-GB"/>
        </w:rPr>
      </w:pPr>
      <w:r w:rsidRPr="00E806AF">
        <w:rPr>
          <w:rStyle w:val="FootnoteReference"/>
          <w:sz w:val="18"/>
          <w:lang w:val="en-GB"/>
        </w:rPr>
        <w:footnoteRef/>
      </w:r>
      <w:r w:rsidRPr="00E806AF">
        <w:rPr>
          <w:szCs w:val="18"/>
          <w:lang w:val="en-GB"/>
        </w:rPr>
        <w:t xml:space="preserve"> The draft </w:t>
      </w:r>
      <w:r w:rsidRPr="006C59B0">
        <w:rPr>
          <w:szCs w:val="18"/>
          <w:lang w:val="en-GB"/>
        </w:rPr>
        <w:t>deliverables are set out in sections V.A and VI.A of document IPBES/8/7.</w:t>
      </w:r>
    </w:p>
  </w:footnote>
  <w:footnote w:id="24">
    <w:p w14:paraId="2752D177" w14:textId="77777777" w:rsidR="00775AF3" w:rsidRPr="006C59B0"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IPBES/8/8.</w:t>
      </w:r>
    </w:p>
  </w:footnote>
  <w:footnote w:id="25">
    <w:p w14:paraId="2F3A8332" w14:textId="77777777" w:rsidR="00775AF3" w:rsidRPr="00682A80"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w:t>
      </w:r>
      <w:r w:rsidRPr="00404335">
        <w:rPr>
          <w:szCs w:val="18"/>
          <w:lang w:val="en-GB"/>
        </w:rPr>
        <w:t>IPBES/8/INF/22</w:t>
      </w:r>
      <w:r w:rsidRPr="006C59B0">
        <w:rPr>
          <w:szCs w:val="18"/>
          <w:lang w:val="en-GB"/>
        </w:rPr>
        <w:t>.</w:t>
      </w:r>
    </w:p>
  </w:footnote>
  <w:footnote w:id="26">
    <w:p w14:paraId="72C7DB25" w14:textId="72A9CEA9" w:rsidR="00775AF3" w:rsidRPr="006C59B0" w:rsidRDefault="00775AF3" w:rsidP="007F453C">
      <w:pPr>
        <w:pStyle w:val="FootnoteText"/>
        <w:tabs>
          <w:tab w:val="left" w:pos="624"/>
        </w:tabs>
        <w:rPr>
          <w:szCs w:val="18"/>
          <w:lang w:val="en-GB"/>
        </w:rPr>
      </w:pPr>
      <w:r w:rsidRPr="00E806AF">
        <w:rPr>
          <w:rStyle w:val="FootnoteReference"/>
          <w:sz w:val="18"/>
          <w:lang w:val="en-GB"/>
        </w:rPr>
        <w:footnoteRef/>
      </w:r>
      <w:r w:rsidRPr="00E806AF">
        <w:rPr>
          <w:szCs w:val="18"/>
          <w:lang w:val="en-GB"/>
        </w:rPr>
        <w:t xml:space="preserve"> Draft versions of </w:t>
      </w:r>
      <w:r w:rsidRPr="006C59B0">
        <w:rPr>
          <w:szCs w:val="18"/>
          <w:lang w:val="en-GB"/>
        </w:rPr>
        <w:t xml:space="preserve">tables </w:t>
      </w:r>
      <w:r w:rsidRPr="00404335">
        <w:rPr>
          <w:szCs w:val="18"/>
          <w:lang w:val="en-GB"/>
        </w:rPr>
        <w:t>1</w:t>
      </w:r>
      <w:r w:rsidRPr="006C59B0">
        <w:rPr>
          <w:szCs w:val="18"/>
          <w:lang w:val="en-GB"/>
        </w:rPr>
        <w:t xml:space="preserve">, </w:t>
      </w:r>
      <w:r w:rsidRPr="00404335">
        <w:rPr>
          <w:szCs w:val="18"/>
          <w:lang w:val="en-GB"/>
        </w:rPr>
        <w:t>2</w:t>
      </w:r>
      <w:r w:rsidRPr="006C59B0">
        <w:rPr>
          <w:szCs w:val="18"/>
          <w:lang w:val="en-GB"/>
        </w:rPr>
        <w:t xml:space="preserve"> and </w:t>
      </w:r>
      <w:r w:rsidRPr="00404335">
        <w:rPr>
          <w:szCs w:val="18"/>
          <w:lang w:val="en-GB"/>
        </w:rPr>
        <w:t>3</w:t>
      </w:r>
      <w:r w:rsidRPr="006C59B0">
        <w:rPr>
          <w:szCs w:val="18"/>
          <w:lang w:val="en-GB"/>
        </w:rPr>
        <w:t xml:space="preserve"> are set out in document IPBES/8/5. </w:t>
      </w:r>
    </w:p>
  </w:footnote>
  <w:footnote w:id="27">
    <w:p w14:paraId="782F0D4E" w14:textId="52DDF96D" w:rsidR="00775AF3" w:rsidRPr="00E806AF" w:rsidRDefault="00775AF3" w:rsidP="007F453C">
      <w:pPr>
        <w:pStyle w:val="FootnoteText"/>
        <w:tabs>
          <w:tab w:val="left" w:pos="624"/>
        </w:tabs>
        <w:rPr>
          <w:szCs w:val="18"/>
          <w:lang w:val="en-GB"/>
        </w:rPr>
      </w:pPr>
      <w:r w:rsidRPr="006C59B0">
        <w:rPr>
          <w:rStyle w:val="FootnoteReference"/>
          <w:sz w:val="18"/>
          <w:lang w:val="en-GB"/>
        </w:rPr>
        <w:footnoteRef/>
      </w:r>
      <w:r w:rsidRPr="006C59B0">
        <w:rPr>
          <w:szCs w:val="18"/>
          <w:lang w:val="en-GB"/>
        </w:rPr>
        <w:t xml:space="preserve"> Draft versions of tables </w:t>
      </w:r>
      <w:r w:rsidRPr="00404335">
        <w:rPr>
          <w:szCs w:val="18"/>
          <w:lang w:val="en-GB"/>
        </w:rPr>
        <w:t>5</w:t>
      </w:r>
      <w:r w:rsidRPr="006C59B0">
        <w:rPr>
          <w:szCs w:val="18"/>
          <w:lang w:val="en-GB"/>
        </w:rPr>
        <w:t xml:space="preserve">, </w:t>
      </w:r>
      <w:r w:rsidRPr="00404335">
        <w:rPr>
          <w:szCs w:val="18"/>
          <w:lang w:val="en-GB"/>
        </w:rPr>
        <w:t>6</w:t>
      </w:r>
      <w:r w:rsidRPr="006C59B0">
        <w:rPr>
          <w:szCs w:val="18"/>
          <w:lang w:val="en-GB"/>
        </w:rPr>
        <w:t xml:space="preserve"> and </w:t>
      </w:r>
      <w:r w:rsidRPr="00404335">
        <w:rPr>
          <w:szCs w:val="18"/>
          <w:lang w:val="en-GB"/>
        </w:rPr>
        <w:t>7</w:t>
      </w:r>
      <w:r w:rsidRPr="006C59B0">
        <w:rPr>
          <w:szCs w:val="18"/>
          <w:lang w:val="en-GB"/>
        </w:rPr>
        <w:t xml:space="preserve"> </w:t>
      </w:r>
      <w:r w:rsidRPr="00E806AF">
        <w:rPr>
          <w:szCs w:val="18"/>
          <w:lang w:val="en-GB"/>
        </w:rPr>
        <w:t>are set out in document IPBES/8/5.</w:t>
      </w:r>
    </w:p>
  </w:footnote>
  <w:footnote w:id="28">
    <w:p w14:paraId="401E54B5" w14:textId="77777777" w:rsidR="00775AF3" w:rsidRPr="00E806AF" w:rsidRDefault="00775AF3" w:rsidP="007F453C">
      <w:pPr>
        <w:pStyle w:val="FootnoteText"/>
        <w:tabs>
          <w:tab w:val="left" w:pos="624"/>
        </w:tabs>
        <w:rPr>
          <w:szCs w:val="18"/>
          <w:lang w:val="en-GB"/>
        </w:rPr>
      </w:pPr>
      <w:r w:rsidRPr="00E806AF">
        <w:rPr>
          <w:rStyle w:val="FootnoteReference"/>
          <w:sz w:val="18"/>
          <w:lang w:val="en-GB"/>
        </w:rPr>
        <w:footnoteRef/>
      </w:r>
      <w:r w:rsidRPr="00E806AF">
        <w:rPr>
          <w:szCs w:val="18"/>
          <w:lang w:val="en-GB"/>
        </w:rPr>
        <w:t xml:space="preserve"> The draft revised budget for 2021 is set out in table 8 of document IPBES/8/5.</w:t>
      </w:r>
    </w:p>
  </w:footnote>
  <w:footnote w:id="29">
    <w:p w14:paraId="66A488D5" w14:textId="4E98085B" w:rsidR="00775AF3" w:rsidRPr="00E806AF" w:rsidRDefault="00775AF3" w:rsidP="007F453C">
      <w:pPr>
        <w:pStyle w:val="FootnoteText"/>
        <w:tabs>
          <w:tab w:val="left" w:pos="624"/>
        </w:tabs>
        <w:rPr>
          <w:b/>
          <w:bCs/>
          <w:szCs w:val="18"/>
          <w:lang w:val="en-GB"/>
        </w:rPr>
      </w:pPr>
      <w:r w:rsidRPr="00E806AF">
        <w:rPr>
          <w:rStyle w:val="FootnoteReference"/>
          <w:sz w:val="18"/>
          <w:lang w:val="en-GB"/>
        </w:rPr>
        <w:footnoteRef/>
      </w:r>
      <w:r w:rsidRPr="00E806AF">
        <w:rPr>
          <w:szCs w:val="18"/>
          <w:lang w:val="en-GB"/>
        </w:rPr>
        <w:t xml:space="preserve"> The draft proposed budget for 2022 is set out in table 9 of document IPBES/8/5. </w:t>
      </w:r>
    </w:p>
  </w:footnote>
  <w:footnote w:id="30">
    <w:p w14:paraId="51222E7E" w14:textId="77777777" w:rsidR="00775AF3" w:rsidRPr="00E806AF" w:rsidRDefault="00775AF3" w:rsidP="007F453C">
      <w:pPr>
        <w:pStyle w:val="FootnoteText"/>
        <w:tabs>
          <w:tab w:val="left" w:pos="624"/>
        </w:tabs>
        <w:rPr>
          <w:szCs w:val="18"/>
          <w:lang w:val="en-GB"/>
        </w:rPr>
      </w:pPr>
      <w:r w:rsidRPr="00E806AF">
        <w:rPr>
          <w:rStyle w:val="FootnoteReference"/>
          <w:sz w:val="18"/>
          <w:lang w:val="en-GB"/>
        </w:rPr>
        <w:footnoteRef/>
      </w:r>
      <w:r w:rsidRPr="00E806AF">
        <w:rPr>
          <w:szCs w:val="18"/>
          <w:lang w:val="en-GB"/>
        </w:rPr>
        <w:t xml:space="preserve"> The draft provisional budget for 2023 is set out in table 10 of document IPBES/8/5.</w:t>
      </w:r>
    </w:p>
  </w:footnote>
  <w:footnote w:id="31">
    <w:p w14:paraId="4C5C2317" w14:textId="64C2604E" w:rsidR="00FD4F6C" w:rsidRPr="00C173A1" w:rsidRDefault="00FD4F6C">
      <w:pPr>
        <w:pStyle w:val="FootnoteText"/>
        <w:rPr>
          <w:szCs w:val="18"/>
          <w:lang w:val="en-US"/>
        </w:rPr>
      </w:pPr>
      <w:r w:rsidRPr="00C173A1">
        <w:rPr>
          <w:rStyle w:val="FootnoteReference"/>
          <w:sz w:val="18"/>
        </w:rPr>
        <w:footnoteRef/>
      </w:r>
      <w:r w:rsidRPr="00C173A1">
        <w:rPr>
          <w:szCs w:val="18"/>
          <w:lang w:val="en-US"/>
        </w:rPr>
        <w:t xml:space="preserve"> “Reports”</w:t>
      </w:r>
      <w:r w:rsidR="00A36EBD" w:rsidRPr="00C173A1">
        <w:rPr>
          <w:szCs w:val="18"/>
          <w:lang w:val="en-US"/>
        </w:rPr>
        <w:t xml:space="preserve"> refers to</w:t>
      </w:r>
      <w:r w:rsidRPr="00C173A1">
        <w:rPr>
          <w:szCs w:val="18"/>
          <w:lang w:val="en-US"/>
        </w:rPr>
        <w:t xml:space="preserve"> the main deliverables of the Platform, including assessment reports and synthesis reports, their summaries for policymakers and technical summaries, technical papers and technical guidelines, in line with the procedures for the preparation of Platform deliverables </w:t>
      </w:r>
      <w:r w:rsidR="00A36EBD" w:rsidRPr="00C173A1">
        <w:rPr>
          <w:szCs w:val="18"/>
          <w:lang w:val="en-US"/>
        </w:rPr>
        <w:t xml:space="preserve">set out in </w:t>
      </w:r>
      <w:r w:rsidRPr="00C173A1">
        <w:rPr>
          <w:szCs w:val="18"/>
          <w:lang w:val="en-US"/>
        </w:rPr>
        <w:t>annex I to decision IPBES-3/3.</w:t>
      </w:r>
    </w:p>
  </w:footnote>
  <w:footnote w:id="32">
    <w:p w14:paraId="275E6CD2" w14:textId="05220815" w:rsidR="00775AF3" w:rsidRPr="00C173A1" w:rsidRDefault="00775AF3" w:rsidP="007F453C">
      <w:pPr>
        <w:pStyle w:val="FootnoteText"/>
        <w:tabs>
          <w:tab w:val="left" w:pos="624"/>
        </w:tabs>
        <w:rPr>
          <w:szCs w:val="18"/>
          <w:lang w:val="en-GB"/>
        </w:rPr>
      </w:pPr>
      <w:r w:rsidRPr="00C173A1">
        <w:rPr>
          <w:rStyle w:val="FootnoteReference"/>
          <w:sz w:val="18"/>
          <w:lang w:val="en-GB"/>
        </w:rPr>
        <w:footnoteRef/>
      </w:r>
      <w:r w:rsidRPr="00C173A1">
        <w:rPr>
          <w:szCs w:val="18"/>
          <w:lang w:val="en-GB"/>
        </w:rPr>
        <w:t xml:space="preserve"> It is proposed that the ninth session will be held in March or April 2022.</w:t>
      </w:r>
    </w:p>
  </w:footnote>
  <w:footnote w:id="33">
    <w:p w14:paraId="6C816DFB" w14:textId="4992A35C" w:rsidR="00775AF3" w:rsidRPr="00C173A1" w:rsidRDefault="00775AF3" w:rsidP="007F453C">
      <w:pPr>
        <w:pStyle w:val="FootnoteText"/>
        <w:rPr>
          <w:szCs w:val="18"/>
          <w:lang w:val="en-GB"/>
        </w:rPr>
      </w:pPr>
      <w:r w:rsidRPr="00C173A1">
        <w:rPr>
          <w:rStyle w:val="FootnoteReference"/>
          <w:sz w:val="18"/>
          <w:lang w:val="en-GB"/>
        </w:rPr>
        <w:footnoteRef/>
      </w:r>
      <w:r w:rsidRPr="00C173A1">
        <w:rPr>
          <w:szCs w:val="18"/>
          <w:lang w:val="en-GB"/>
        </w:rPr>
        <w:t xml:space="preserve"> It is proposed that the tenth session will be held in April or May 2023.</w:t>
      </w:r>
    </w:p>
  </w:footnote>
  <w:footnote w:id="34">
    <w:p w14:paraId="3C653124" w14:textId="6C074A08" w:rsidR="00775AF3" w:rsidRPr="00C173A1" w:rsidRDefault="00775AF3" w:rsidP="007F453C">
      <w:pPr>
        <w:pStyle w:val="FootnoteText"/>
        <w:tabs>
          <w:tab w:val="left" w:pos="624"/>
        </w:tabs>
        <w:rPr>
          <w:szCs w:val="18"/>
          <w:lang w:val="en-GB"/>
        </w:rPr>
      </w:pPr>
      <w:r w:rsidRPr="00C173A1">
        <w:rPr>
          <w:rStyle w:val="FootnoteReference"/>
          <w:sz w:val="18"/>
          <w:lang w:val="en-GB"/>
        </w:rPr>
        <w:footnoteRef/>
      </w:r>
      <w:r w:rsidRPr="00C173A1">
        <w:rPr>
          <w:szCs w:val="18"/>
          <w:lang w:val="en-GB"/>
        </w:rPr>
        <w:t xml:space="preserve"> The draft provisional agendas for the ninth and tenth sessions of the Plenary are also set out in annexes I and III to document IPBES/8/9.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37787921" w:rsidR="00775AF3" w:rsidRPr="008520C8" w:rsidRDefault="00775AF3" w:rsidP="00404335">
    <w:pPr>
      <w:pStyle w:val="Header-pool"/>
    </w:pPr>
    <w:r>
      <w:t>IPBES/8/</w:t>
    </w:r>
    <w:r w:rsidRPr="005D233A">
      <w:t>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23CBB1D8" w:rsidR="00775AF3" w:rsidRPr="008520C8" w:rsidRDefault="00775AF3" w:rsidP="00407DBA">
    <w:pPr>
      <w:pStyle w:val="Header-pool"/>
      <w:jc w:val="right"/>
    </w:pPr>
    <w:r>
      <w:t>IPBES/8/</w:t>
    </w:r>
    <w:r w:rsidRPr="005D233A">
      <w:t>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9E72" w14:textId="7679BDEF" w:rsidR="00C173A1" w:rsidRDefault="00C173A1" w:rsidP="00C173A1">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4F59A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FB05E87"/>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4" w15:restartNumberingAfterBreak="0">
    <w:nsid w:val="2775678F"/>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5" w15:restartNumberingAfterBreak="0">
    <w:nsid w:val="2CFE49BE"/>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5943689"/>
    <w:multiLevelType w:val="hybridMultilevel"/>
    <w:tmpl w:val="74DCA4C6"/>
    <w:lvl w:ilvl="0" w:tplc="10000015">
      <w:start w:val="1"/>
      <w:numFmt w:val="upperLetter"/>
      <w:lvlText w:val="%1."/>
      <w:lvlJc w:val="left"/>
      <w:pPr>
        <w:ind w:left="3763" w:hanging="360"/>
      </w:pPr>
      <w:rPr>
        <w:rFonts w:hint="default"/>
      </w:rPr>
    </w:lvl>
    <w:lvl w:ilvl="1" w:tplc="10000019" w:tentative="1">
      <w:start w:val="1"/>
      <w:numFmt w:val="lowerLetter"/>
      <w:lvlText w:val="%2."/>
      <w:lvlJc w:val="left"/>
      <w:pPr>
        <w:ind w:left="1704" w:hanging="360"/>
      </w:pPr>
    </w:lvl>
    <w:lvl w:ilvl="2" w:tplc="1000001B" w:tentative="1">
      <w:start w:val="1"/>
      <w:numFmt w:val="lowerRoman"/>
      <w:lvlText w:val="%3."/>
      <w:lvlJc w:val="right"/>
      <w:pPr>
        <w:ind w:left="2424" w:hanging="180"/>
      </w:pPr>
    </w:lvl>
    <w:lvl w:ilvl="3" w:tplc="1000000F" w:tentative="1">
      <w:start w:val="1"/>
      <w:numFmt w:val="decimal"/>
      <w:lvlText w:val="%4."/>
      <w:lvlJc w:val="left"/>
      <w:pPr>
        <w:ind w:left="3144" w:hanging="360"/>
      </w:pPr>
    </w:lvl>
    <w:lvl w:ilvl="4" w:tplc="10000019" w:tentative="1">
      <w:start w:val="1"/>
      <w:numFmt w:val="lowerLetter"/>
      <w:lvlText w:val="%5."/>
      <w:lvlJc w:val="left"/>
      <w:pPr>
        <w:ind w:left="3864" w:hanging="360"/>
      </w:pPr>
    </w:lvl>
    <w:lvl w:ilvl="5" w:tplc="1000001B" w:tentative="1">
      <w:start w:val="1"/>
      <w:numFmt w:val="lowerRoman"/>
      <w:lvlText w:val="%6."/>
      <w:lvlJc w:val="right"/>
      <w:pPr>
        <w:ind w:left="4584" w:hanging="180"/>
      </w:pPr>
    </w:lvl>
    <w:lvl w:ilvl="6" w:tplc="1000000F" w:tentative="1">
      <w:start w:val="1"/>
      <w:numFmt w:val="decimal"/>
      <w:lvlText w:val="%7."/>
      <w:lvlJc w:val="left"/>
      <w:pPr>
        <w:ind w:left="5304" w:hanging="360"/>
      </w:pPr>
    </w:lvl>
    <w:lvl w:ilvl="7" w:tplc="10000019" w:tentative="1">
      <w:start w:val="1"/>
      <w:numFmt w:val="lowerLetter"/>
      <w:lvlText w:val="%8."/>
      <w:lvlJc w:val="left"/>
      <w:pPr>
        <w:ind w:left="6024" w:hanging="360"/>
      </w:pPr>
    </w:lvl>
    <w:lvl w:ilvl="8" w:tplc="1000001B" w:tentative="1">
      <w:start w:val="1"/>
      <w:numFmt w:val="lowerRoman"/>
      <w:lvlText w:val="%9."/>
      <w:lvlJc w:val="right"/>
      <w:pPr>
        <w:ind w:left="6744" w:hanging="180"/>
      </w:pPr>
    </w:lvl>
  </w:abstractNum>
  <w:abstractNum w:abstractNumId="8" w15:restartNumberingAfterBreak="0">
    <w:nsid w:val="360518E4"/>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9" w15:restartNumberingAfterBreak="0">
    <w:nsid w:val="37130202"/>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0" w15:restartNumberingAfterBreak="0">
    <w:nsid w:val="37A2090E"/>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382060DD"/>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abstractNum w:abstractNumId="12"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3" w15:restartNumberingAfterBreak="0">
    <w:nsid w:val="52A66A9D"/>
    <w:multiLevelType w:val="multilevel"/>
    <w:tmpl w:val="85FA718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44D51FB"/>
    <w:multiLevelType w:val="hybridMultilevel"/>
    <w:tmpl w:val="DDF6CC6A"/>
    <w:lvl w:ilvl="0" w:tplc="10000015">
      <w:start w:val="5"/>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C766F0D"/>
    <w:multiLevelType w:val="hybridMultilevel"/>
    <w:tmpl w:val="612C4B56"/>
    <w:lvl w:ilvl="0" w:tplc="84949916">
      <w:start w:val="1"/>
      <w:numFmt w:val="upperRoman"/>
      <w:lvlText w:val="%1."/>
      <w:lvlJc w:val="left"/>
      <w:pPr>
        <w:ind w:left="1967" w:hanging="720"/>
      </w:pPr>
      <w:rPr>
        <w:rFonts w:ascii="Calibri" w:eastAsia="MS Mincho" w:hAnsi="Calibri" w:hint="default"/>
        <w:sz w:val="22"/>
      </w:rPr>
    </w:lvl>
    <w:lvl w:ilvl="1" w:tplc="10000019" w:tentative="1">
      <w:start w:val="1"/>
      <w:numFmt w:val="lowerLetter"/>
      <w:lvlText w:val="%2."/>
      <w:lvlJc w:val="left"/>
      <w:pPr>
        <w:ind w:left="2327" w:hanging="360"/>
      </w:pPr>
    </w:lvl>
    <w:lvl w:ilvl="2" w:tplc="1000001B" w:tentative="1">
      <w:start w:val="1"/>
      <w:numFmt w:val="lowerRoman"/>
      <w:lvlText w:val="%3."/>
      <w:lvlJc w:val="right"/>
      <w:pPr>
        <w:ind w:left="3047" w:hanging="180"/>
      </w:pPr>
    </w:lvl>
    <w:lvl w:ilvl="3" w:tplc="1000000F" w:tentative="1">
      <w:start w:val="1"/>
      <w:numFmt w:val="decimal"/>
      <w:lvlText w:val="%4."/>
      <w:lvlJc w:val="left"/>
      <w:pPr>
        <w:ind w:left="3767" w:hanging="360"/>
      </w:pPr>
    </w:lvl>
    <w:lvl w:ilvl="4" w:tplc="10000019" w:tentative="1">
      <w:start w:val="1"/>
      <w:numFmt w:val="lowerLetter"/>
      <w:lvlText w:val="%5."/>
      <w:lvlJc w:val="left"/>
      <w:pPr>
        <w:ind w:left="4487" w:hanging="360"/>
      </w:pPr>
    </w:lvl>
    <w:lvl w:ilvl="5" w:tplc="1000001B" w:tentative="1">
      <w:start w:val="1"/>
      <w:numFmt w:val="lowerRoman"/>
      <w:lvlText w:val="%6."/>
      <w:lvlJc w:val="right"/>
      <w:pPr>
        <w:ind w:left="5207" w:hanging="180"/>
      </w:pPr>
    </w:lvl>
    <w:lvl w:ilvl="6" w:tplc="1000000F" w:tentative="1">
      <w:start w:val="1"/>
      <w:numFmt w:val="decimal"/>
      <w:lvlText w:val="%7."/>
      <w:lvlJc w:val="left"/>
      <w:pPr>
        <w:ind w:left="5927" w:hanging="360"/>
      </w:pPr>
    </w:lvl>
    <w:lvl w:ilvl="7" w:tplc="10000019" w:tentative="1">
      <w:start w:val="1"/>
      <w:numFmt w:val="lowerLetter"/>
      <w:lvlText w:val="%8."/>
      <w:lvlJc w:val="left"/>
      <w:pPr>
        <w:ind w:left="6647" w:hanging="360"/>
      </w:pPr>
    </w:lvl>
    <w:lvl w:ilvl="8" w:tplc="1000001B" w:tentative="1">
      <w:start w:val="1"/>
      <w:numFmt w:val="lowerRoman"/>
      <w:lvlText w:val="%9."/>
      <w:lvlJc w:val="right"/>
      <w:pPr>
        <w:ind w:left="7367" w:hanging="180"/>
      </w:pPr>
    </w:lvl>
  </w:abstractNum>
  <w:abstractNum w:abstractNumId="16" w15:restartNumberingAfterBreak="0">
    <w:nsid w:val="67CF4573"/>
    <w:multiLevelType w:val="multilevel"/>
    <w:tmpl w:val="58A62A3E"/>
    <w:lvl w:ilvl="0">
      <w:start w:val="7"/>
      <w:numFmt w:val="decimal"/>
      <w:lvlText w:val="%1."/>
      <w:lvlJc w:val="left"/>
      <w:pPr>
        <w:tabs>
          <w:tab w:val="num" w:pos="567"/>
        </w:tabs>
        <w:ind w:left="1247" w:firstLine="0"/>
      </w:pPr>
      <w:rPr>
        <w:rFonts w:hint="default"/>
        <w:b w:val="0"/>
        <w:bCs w:val="0"/>
        <w:i w:val="0"/>
        <w:iCs w:val="0"/>
        <w:color w:val="auto"/>
        <w:sz w:val="20"/>
        <w:szCs w:val="20"/>
      </w:rPr>
    </w:lvl>
    <w:lvl w:ilvl="1">
      <w:start w:val="1"/>
      <w:numFmt w:val="lowerLetter"/>
      <w:lvlText w:val="(%2)"/>
      <w:lvlJc w:val="left"/>
      <w:pPr>
        <w:tabs>
          <w:tab w:val="num" w:pos="567"/>
        </w:tabs>
        <w:ind w:left="1247" w:firstLine="567"/>
      </w:pPr>
      <w:rPr>
        <w:rFonts w:hint="default"/>
        <w:i w:val="0"/>
        <w:iCs w:val="0"/>
      </w:rPr>
    </w:lvl>
    <w:lvl w:ilvl="2">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7"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8" w15:restartNumberingAfterBreak="0">
    <w:nsid w:val="7CBC139B"/>
    <w:multiLevelType w:val="hybridMultilevel"/>
    <w:tmpl w:val="FD28A4CA"/>
    <w:lvl w:ilvl="0" w:tplc="5E1A6A2A">
      <w:start w:val="1"/>
      <w:numFmt w:val="upperLetter"/>
      <w:lvlText w:val="%1."/>
      <w:lvlJc w:val="left"/>
      <w:pPr>
        <w:ind w:left="1254" w:hanging="630"/>
      </w:pPr>
      <w:rPr>
        <w:rFonts w:hint="default"/>
      </w:rPr>
    </w:lvl>
    <w:lvl w:ilvl="1" w:tplc="20000019">
      <w:start w:val="1"/>
      <w:numFmt w:val="lowerLetter"/>
      <w:lvlText w:val="%2."/>
      <w:lvlJc w:val="left"/>
      <w:pPr>
        <w:ind w:left="1704" w:hanging="360"/>
      </w:pPr>
    </w:lvl>
    <w:lvl w:ilvl="2" w:tplc="2000001B" w:tentative="1">
      <w:start w:val="1"/>
      <w:numFmt w:val="lowerRoman"/>
      <w:lvlText w:val="%3."/>
      <w:lvlJc w:val="right"/>
      <w:pPr>
        <w:ind w:left="2424" w:hanging="180"/>
      </w:pPr>
    </w:lvl>
    <w:lvl w:ilvl="3" w:tplc="2000000F" w:tentative="1">
      <w:start w:val="1"/>
      <w:numFmt w:val="decimal"/>
      <w:lvlText w:val="%4."/>
      <w:lvlJc w:val="left"/>
      <w:pPr>
        <w:ind w:left="3144" w:hanging="360"/>
      </w:pPr>
    </w:lvl>
    <w:lvl w:ilvl="4" w:tplc="20000019" w:tentative="1">
      <w:start w:val="1"/>
      <w:numFmt w:val="lowerLetter"/>
      <w:lvlText w:val="%5."/>
      <w:lvlJc w:val="left"/>
      <w:pPr>
        <w:ind w:left="3864" w:hanging="360"/>
      </w:pPr>
    </w:lvl>
    <w:lvl w:ilvl="5" w:tplc="2000001B" w:tentative="1">
      <w:start w:val="1"/>
      <w:numFmt w:val="lowerRoman"/>
      <w:lvlText w:val="%6."/>
      <w:lvlJc w:val="right"/>
      <w:pPr>
        <w:ind w:left="4584" w:hanging="180"/>
      </w:pPr>
    </w:lvl>
    <w:lvl w:ilvl="6" w:tplc="2000000F" w:tentative="1">
      <w:start w:val="1"/>
      <w:numFmt w:val="decimal"/>
      <w:lvlText w:val="%7."/>
      <w:lvlJc w:val="left"/>
      <w:pPr>
        <w:ind w:left="5304" w:hanging="360"/>
      </w:pPr>
    </w:lvl>
    <w:lvl w:ilvl="7" w:tplc="20000019" w:tentative="1">
      <w:start w:val="1"/>
      <w:numFmt w:val="lowerLetter"/>
      <w:lvlText w:val="%8."/>
      <w:lvlJc w:val="left"/>
      <w:pPr>
        <w:ind w:left="6024" w:hanging="360"/>
      </w:pPr>
    </w:lvl>
    <w:lvl w:ilvl="8" w:tplc="2000001B" w:tentative="1">
      <w:start w:val="1"/>
      <w:numFmt w:val="lowerRoman"/>
      <w:lvlText w:val="%9."/>
      <w:lvlJc w:val="right"/>
      <w:pPr>
        <w:ind w:left="6744" w:hanging="180"/>
      </w:pPr>
    </w:lvl>
  </w:abstractNum>
  <w:num w:numId="1">
    <w:abstractNumId w:val="13"/>
  </w:num>
  <w:num w:numId="2">
    <w:abstractNumId w:val="2"/>
  </w:num>
  <w:num w:numId="3">
    <w:abstractNumId w:val="6"/>
  </w:num>
  <w:num w:numId="4">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5"/>
  </w:num>
  <w:num w:numId="6">
    <w:abstractNumId w:val="0"/>
    <w:lvlOverride w:ilvl="0">
      <w:lvl w:ilvl="0">
        <w:start w:val="1"/>
        <w:numFmt w:val="decimal"/>
        <w:lvlText w:val="%1."/>
        <w:lvlJc w:val="left"/>
        <w:pPr>
          <w:tabs>
            <w:tab w:val="num" w:pos="568"/>
          </w:tabs>
          <w:ind w:left="1248" w:firstLine="0"/>
        </w:pPr>
        <w:rPr>
          <w:rFonts w:ascii="Times New Roman" w:hAnsi="Times New Roman" w:cs="Times New Roman" w:hint="default"/>
          <w:b w:val="0"/>
          <w:bCs w:val="0"/>
          <w:i w:val="0"/>
          <w:iCs w:val="0"/>
          <w:sz w:val="20"/>
          <w:szCs w:val="20"/>
        </w:rPr>
      </w:lvl>
    </w:lvlOverride>
    <w:lvlOverride w:ilvl="1">
      <w:lvl w:ilvl="1">
        <w:start w:val="1"/>
        <w:numFmt w:val="lowerLetter"/>
        <w:lvlText w:val="(%2)"/>
        <w:lvlJc w:val="left"/>
        <w:pPr>
          <w:tabs>
            <w:tab w:val="num" w:pos="568"/>
          </w:tabs>
          <w:ind w:left="1248" w:firstLine="567"/>
        </w:pPr>
        <w:rPr>
          <w:rFonts w:hint="default"/>
          <w:b w:val="0"/>
          <w:bCs w:val="0"/>
        </w:rPr>
      </w:lvl>
    </w:lvlOverride>
    <w:lvlOverride w:ilvl="2">
      <w:lvl w:ilvl="2">
        <w:start w:val="1"/>
        <w:numFmt w:val="lowerRoman"/>
        <w:lvlText w:val="(%3)"/>
        <w:lvlJc w:val="left"/>
        <w:pPr>
          <w:tabs>
            <w:tab w:val="num" w:pos="568"/>
          </w:tabs>
          <w:ind w:left="2949" w:hanging="567"/>
        </w:pPr>
        <w:rPr>
          <w:rFonts w:hint="default"/>
        </w:rPr>
      </w:lvl>
    </w:lvlOverride>
    <w:lvlOverride w:ilvl="3">
      <w:lvl w:ilvl="3">
        <w:start w:val="1"/>
        <w:numFmt w:val="lowerLetter"/>
        <w:lvlText w:val="%4."/>
        <w:lvlJc w:val="left"/>
        <w:pPr>
          <w:tabs>
            <w:tab w:val="num" w:pos="568"/>
          </w:tabs>
          <w:ind w:left="3516" w:hanging="567"/>
        </w:pPr>
        <w:rPr>
          <w:rFonts w:hint="default"/>
        </w:rPr>
      </w:lvl>
    </w:lvlOverride>
    <w:lvlOverride w:ilvl="4">
      <w:lvl w:ilvl="4">
        <w:start w:val="1"/>
        <w:numFmt w:val="lowerLetter"/>
        <w:lvlText w:val="%5."/>
        <w:lvlJc w:val="left"/>
        <w:pPr>
          <w:tabs>
            <w:tab w:val="num" w:pos="6549"/>
          </w:tabs>
          <w:ind w:left="6549" w:hanging="360"/>
        </w:pPr>
        <w:rPr>
          <w:rFonts w:hint="default"/>
        </w:rPr>
      </w:lvl>
    </w:lvlOverride>
    <w:lvlOverride w:ilvl="5">
      <w:lvl w:ilvl="5">
        <w:start w:val="1"/>
        <w:numFmt w:val="lowerRoman"/>
        <w:lvlText w:val="%6."/>
        <w:lvlJc w:val="right"/>
        <w:pPr>
          <w:tabs>
            <w:tab w:val="num" w:pos="7269"/>
          </w:tabs>
          <w:ind w:left="7269" w:hanging="180"/>
        </w:pPr>
        <w:rPr>
          <w:rFonts w:hint="default"/>
        </w:rPr>
      </w:lvl>
    </w:lvlOverride>
    <w:lvlOverride w:ilvl="6">
      <w:lvl w:ilvl="6">
        <w:start w:val="1"/>
        <w:numFmt w:val="decimal"/>
        <w:lvlText w:val="%7."/>
        <w:lvlJc w:val="left"/>
        <w:pPr>
          <w:tabs>
            <w:tab w:val="num" w:pos="7989"/>
          </w:tabs>
          <w:ind w:left="7989" w:hanging="360"/>
        </w:pPr>
        <w:rPr>
          <w:rFonts w:hint="default"/>
        </w:rPr>
      </w:lvl>
    </w:lvlOverride>
    <w:lvlOverride w:ilvl="7">
      <w:lvl w:ilvl="7">
        <w:start w:val="1"/>
        <w:numFmt w:val="lowerLetter"/>
        <w:lvlText w:val="%8."/>
        <w:lvlJc w:val="left"/>
        <w:pPr>
          <w:tabs>
            <w:tab w:val="num" w:pos="8709"/>
          </w:tabs>
          <w:ind w:left="8709" w:hanging="360"/>
        </w:pPr>
        <w:rPr>
          <w:rFonts w:hint="default"/>
        </w:rPr>
      </w:lvl>
    </w:lvlOverride>
    <w:lvlOverride w:ilvl="8">
      <w:lvl w:ilvl="8">
        <w:start w:val="1"/>
        <w:numFmt w:val="lowerRoman"/>
        <w:lvlText w:val="%9."/>
        <w:lvlJc w:val="right"/>
        <w:pPr>
          <w:tabs>
            <w:tab w:val="num" w:pos="9429"/>
          </w:tabs>
          <w:ind w:left="9429" w:hanging="180"/>
        </w:pPr>
        <w:rPr>
          <w:rFonts w:hint="default"/>
        </w:rPr>
      </w:lvl>
    </w:lvlOverride>
  </w:num>
  <w:num w:numId="7">
    <w:abstractNumId w:val="3"/>
  </w:num>
  <w:num w:numId="8">
    <w:abstractNumId w:val="4"/>
  </w:num>
  <w:num w:numId="9">
    <w:abstractNumId w:val="17"/>
  </w:num>
  <w:num w:numId="10">
    <w:abstractNumId w:val="1"/>
  </w:num>
  <w:num w:numId="11">
    <w:abstractNumId w:val="10"/>
  </w:num>
  <w:num w:numId="12">
    <w:abstractNumId w:val="9"/>
  </w:num>
  <w:num w:numId="13">
    <w:abstractNumId w:val="18"/>
  </w:num>
  <w:num w:numId="14">
    <w:abstractNumId w:val="11"/>
  </w:num>
  <w:num w:numId="15">
    <w:abstractNumId w:val="8"/>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14"/>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0">
    <w:abstractNumId w:val="13"/>
    <w:lvlOverride w:ilvl="0">
      <w:lvl w:ilvl="0">
        <w:start w:val="1"/>
        <w:numFmt w:val="decimal"/>
        <w:pStyle w:val="Normalnumber"/>
        <w:lvlText w:val="%1."/>
        <w:lvlJc w:val="left"/>
        <w:pPr>
          <w:tabs>
            <w:tab w:val="num" w:pos="1134"/>
          </w:tabs>
          <w:ind w:left="1247" w:firstLine="0"/>
        </w:pPr>
        <w:rPr>
          <w:rFonts w:hint="default"/>
          <w:i w:val="0"/>
          <w:iCs w:val="0"/>
        </w:rPr>
      </w:lvl>
    </w:lvlOverride>
    <w:lvlOverride w:ilvl="1">
      <w:lvl w:ilvl="1">
        <w:start w:val="1"/>
        <w:numFmt w:val="lowerLetter"/>
        <w:lvlText w:val="(%2)"/>
        <w:lvlJc w:val="left"/>
        <w:pPr>
          <w:tabs>
            <w:tab w:val="num" w:pos="1134"/>
          </w:tabs>
          <w:ind w:left="1247" w:firstLine="567"/>
        </w:pPr>
        <w:rPr>
          <w:rFonts w:hint="default"/>
        </w:rPr>
      </w:lvl>
    </w:lvlOverride>
  </w:num>
  <w:num w:numId="31">
    <w:abstractNumId w:val="12"/>
  </w:num>
  <w:num w:numId="32">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3">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4">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5">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6">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7">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8">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9">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0">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1">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2">
    <w:abstractNumId w:val="13"/>
    <w:lvlOverride w:ilvl="0">
      <w:lvl w:ilvl="0">
        <w:start w:val="1"/>
        <w:numFmt w:val="decimal"/>
        <w:pStyle w:val="Normalnumber"/>
        <w:lvlText w:val="%1."/>
        <w:lvlJc w:val="left"/>
        <w:pPr>
          <w:tabs>
            <w:tab w:val="num" w:pos="1134"/>
          </w:tabs>
          <w:ind w:left="124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3CA9"/>
    <w:rsid w:val="00033E0B"/>
    <w:rsid w:val="00035E6B"/>
    <w:rsid w:val="00035EDE"/>
    <w:rsid w:val="00040D48"/>
    <w:rsid w:val="0004530B"/>
    <w:rsid w:val="00046746"/>
    <w:rsid w:val="0004771A"/>
    <w:rsid w:val="000509B4"/>
    <w:rsid w:val="00051364"/>
    <w:rsid w:val="00051A9C"/>
    <w:rsid w:val="00053992"/>
    <w:rsid w:val="00054115"/>
    <w:rsid w:val="0005530D"/>
    <w:rsid w:val="00055D0F"/>
    <w:rsid w:val="0006012C"/>
    <w:rsid w:val="0006035B"/>
    <w:rsid w:val="00065148"/>
    <w:rsid w:val="000710F0"/>
    <w:rsid w:val="0007118B"/>
    <w:rsid w:val="00071886"/>
    <w:rsid w:val="00073928"/>
    <w:rsid w:val="000742BC"/>
    <w:rsid w:val="00081C66"/>
    <w:rsid w:val="00081FB3"/>
    <w:rsid w:val="00082A0C"/>
    <w:rsid w:val="00083504"/>
    <w:rsid w:val="000866B3"/>
    <w:rsid w:val="00086A10"/>
    <w:rsid w:val="000875DA"/>
    <w:rsid w:val="00094243"/>
    <w:rsid w:val="000956A3"/>
    <w:rsid w:val="0009640C"/>
    <w:rsid w:val="000A146D"/>
    <w:rsid w:val="000A332B"/>
    <w:rsid w:val="000A4150"/>
    <w:rsid w:val="000A4CFF"/>
    <w:rsid w:val="000A4D97"/>
    <w:rsid w:val="000B0942"/>
    <w:rsid w:val="000B0A34"/>
    <w:rsid w:val="000B22A2"/>
    <w:rsid w:val="000B233F"/>
    <w:rsid w:val="000B32AD"/>
    <w:rsid w:val="000B77D5"/>
    <w:rsid w:val="000B7C23"/>
    <w:rsid w:val="000C22B3"/>
    <w:rsid w:val="000C24A7"/>
    <w:rsid w:val="000C2809"/>
    <w:rsid w:val="000C2A52"/>
    <w:rsid w:val="000D33C0"/>
    <w:rsid w:val="000D6941"/>
    <w:rsid w:val="000E1F3D"/>
    <w:rsid w:val="000F3AB7"/>
    <w:rsid w:val="000F45BD"/>
    <w:rsid w:val="000F484C"/>
    <w:rsid w:val="000F53CB"/>
    <w:rsid w:val="000F6E8E"/>
    <w:rsid w:val="00101D6B"/>
    <w:rsid w:val="001036A6"/>
    <w:rsid w:val="00105686"/>
    <w:rsid w:val="0010728A"/>
    <w:rsid w:val="0010748A"/>
    <w:rsid w:val="0011071F"/>
    <w:rsid w:val="001124F6"/>
    <w:rsid w:val="00115A54"/>
    <w:rsid w:val="001165C8"/>
    <w:rsid w:val="0011664B"/>
    <w:rsid w:val="001202E3"/>
    <w:rsid w:val="001207A8"/>
    <w:rsid w:val="00120C90"/>
    <w:rsid w:val="00121C5E"/>
    <w:rsid w:val="00122051"/>
    <w:rsid w:val="00122CE8"/>
    <w:rsid w:val="00123699"/>
    <w:rsid w:val="00126FF9"/>
    <w:rsid w:val="0013059D"/>
    <w:rsid w:val="00133272"/>
    <w:rsid w:val="001339D1"/>
    <w:rsid w:val="00137C36"/>
    <w:rsid w:val="001401E8"/>
    <w:rsid w:val="00140369"/>
    <w:rsid w:val="00141910"/>
    <w:rsid w:val="00141A55"/>
    <w:rsid w:val="00144138"/>
    <w:rsid w:val="001446A3"/>
    <w:rsid w:val="00144A8F"/>
    <w:rsid w:val="00144E6E"/>
    <w:rsid w:val="00154CA8"/>
    <w:rsid w:val="00155395"/>
    <w:rsid w:val="00155A46"/>
    <w:rsid w:val="0015635E"/>
    <w:rsid w:val="0015720A"/>
    <w:rsid w:val="0016008C"/>
    <w:rsid w:val="00160D74"/>
    <w:rsid w:val="00162265"/>
    <w:rsid w:val="00165BA4"/>
    <w:rsid w:val="00167D02"/>
    <w:rsid w:val="00172CC1"/>
    <w:rsid w:val="00176752"/>
    <w:rsid w:val="00181EC8"/>
    <w:rsid w:val="00184349"/>
    <w:rsid w:val="00186746"/>
    <w:rsid w:val="00195F33"/>
    <w:rsid w:val="001A1536"/>
    <w:rsid w:val="001A1668"/>
    <w:rsid w:val="001B1617"/>
    <w:rsid w:val="001B504B"/>
    <w:rsid w:val="001B62D5"/>
    <w:rsid w:val="001B7586"/>
    <w:rsid w:val="001B7AFE"/>
    <w:rsid w:val="001C0DFB"/>
    <w:rsid w:val="001C41F6"/>
    <w:rsid w:val="001C462A"/>
    <w:rsid w:val="001C477B"/>
    <w:rsid w:val="001D1BB2"/>
    <w:rsid w:val="001D265E"/>
    <w:rsid w:val="001D3874"/>
    <w:rsid w:val="001D7E75"/>
    <w:rsid w:val="001E1F18"/>
    <w:rsid w:val="001E22AF"/>
    <w:rsid w:val="001E40DE"/>
    <w:rsid w:val="001E56D2"/>
    <w:rsid w:val="001E7C76"/>
    <w:rsid w:val="001E7D56"/>
    <w:rsid w:val="001F5AE3"/>
    <w:rsid w:val="001F75DE"/>
    <w:rsid w:val="00200D58"/>
    <w:rsid w:val="002013BE"/>
    <w:rsid w:val="002030D2"/>
    <w:rsid w:val="00205B4A"/>
    <w:rsid w:val="002063A4"/>
    <w:rsid w:val="002069EA"/>
    <w:rsid w:val="00207C67"/>
    <w:rsid w:val="0021145B"/>
    <w:rsid w:val="0021458E"/>
    <w:rsid w:val="002146B9"/>
    <w:rsid w:val="00217178"/>
    <w:rsid w:val="002255A8"/>
    <w:rsid w:val="00227347"/>
    <w:rsid w:val="002279A3"/>
    <w:rsid w:val="0023247B"/>
    <w:rsid w:val="00233E65"/>
    <w:rsid w:val="00234B05"/>
    <w:rsid w:val="0023517A"/>
    <w:rsid w:val="002369A9"/>
    <w:rsid w:val="00237E55"/>
    <w:rsid w:val="0024324B"/>
    <w:rsid w:val="00243D36"/>
    <w:rsid w:val="00244357"/>
    <w:rsid w:val="00246854"/>
    <w:rsid w:val="00247707"/>
    <w:rsid w:val="00247AA6"/>
    <w:rsid w:val="00250606"/>
    <w:rsid w:val="00250E6E"/>
    <w:rsid w:val="002534F8"/>
    <w:rsid w:val="00253A77"/>
    <w:rsid w:val="00254044"/>
    <w:rsid w:val="00255F1B"/>
    <w:rsid w:val="0026018E"/>
    <w:rsid w:val="00262E3D"/>
    <w:rsid w:val="00263AB5"/>
    <w:rsid w:val="00264E7C"/>
    <w:rsid w:val="00265D2A"/>
    <w:rsid w:val="0026656F"/>
    <w:rsid w:val="002761A9"/>
    <w:rsid w:val="00280581"/>
    <w:rsid w:val="002837D2"/>
    <w:rsid w:val="00284B08"/>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B69F1"/>
    <w:rsid w:val="002C06E9"/>
    <w:rsid w:val="002C1316"/>
    <w:rsid w:val="002C145D"/>
    <w:rsid w:val="002C2C3E"/>
    <w:rsid w:val="002C533E"/>
    <w:rsid w:val="002C7D1D"/>
    <w:rsid w:val="002D027F"/>
    <w:rsid w:val="002D0937"/>
    <w:rsid w:val="002D225F"/>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0731"/>
    <w:rsid w:val="0032445A"/>
    <w:rsid w:val="00333853"/>
    <w:rsid w:val="00335D88"/>
    <w:rsid w:val="003367C8"/>
    <w:rsid w:val="00336AFD"/>
    <w:rsid w:val="00340280"/>
    <w:rsid w:val="003404B2"/>
    <w:rsid w:val="0034080D"/>
    <w:rsid w:val="003409EF"/>
    <w:rsid w:val="00342444"/>
    <w:rsid w:val="00342DFE"/>
    <w:rsid w:val="003442DB"/>
    <w:rsid w:val="00345569"/>
    <w:rsid w:val="00355EA9"/>
    <w:rsid w:val="003578DE"/>
    <w:rsid w:val="00360464"/>
    <w:rsid w:val="00366EBE"/>
    <w:rsid w:val="003672F2"/>
    <w:rsid w:val="003732D8"/>
    <w:rsid w:val="003734E0"/>
    <w:rsid w:val="0037782F"/>
    <w:rsid w:val="003805DB"/>
    <w:rsid w:val="00380F5E"/>
    <w:rsid w:val="0038333E"/>
    <w:rsid w:val="00385969"/>
    <w:rsid w:val="003872A4"/>
    <w:rsid w:val="0038742A"/>
    <w:rsid w:val="003924A7"/>
    <w:rsid w:val="00394A52"/>
    <w:rsid w:val="00396257"/>
    <w:rsid w:val="00396929"/>
    <w:rsid w:val="00397EB8"/>
    <w:rsid w:val="003A0940"/>
    <w:rsid w:val="003A4FD0"/>
    <w:rsid w:val="003A5245"/>
    <w:rsid w:val="003A66BF"/>
    <w:rsid w:val="003A69D1"/>
    <w:rsid w:val="003A7705"/>
    <w:rsid w:val="003A77F1"/>
    <w:rsid w:val="003B1545"/>
    <w:rsid w:val="003B52B8"/>
    <w:rsid w:val="003C409D"/>
    <w:rsid w:val="003C5A14"/>
    <w:rsid w:val="003C5BA6"/>
    <w:rsid w:val="003C65E1"/>
    <w:rsid w:val="003C6ABD"/>
    <w:rsid w:val="003D2432"/>
    <w:rsid w:val="003D459D"/>
    <w:rsid w:val="003E04E3"/>
    <w:rsid w:val="003E169F"/>
    <w:rsid w:val="003E21A3"/>
    <w:rsid w:val="003E51E1"/>
    <w:rsid w:val="003E53C3"/>
    <w:rsid w:val="003E57FD"/>
    <w:rsid w:val="003E7042"/>
    <w:rsid w:val="003F0C27"/>
    <w:rsid w:val="003F0E85"/>
    <w:rsid w:val="003F2A25"/>
    <w:rsid w:val="003F561B"/>
    <w:rsid w:val="003F6047"/>
    <w:rsid w:val="00400471"/>
    <w:rsid w:val="00404335"/>
    <w:rsid w:val="00405D77"/>
    <w:rsid w:val="0040625A"/>
    <w:rsid w:val="00407DBA"/>
    <w:rsid w:val="00410098"/>
    <w:rsid w:val="004100EA"/>
    <w:rsid w:val="00410C55"/>
    <w:rsid w:val="00413ADD"/>
    <w:rsid w:val="00415145"/>
    <w:rsid w:val="00416854"/>
    <w:rsid w:val="00417725"/>
    <w:rsid w:val="004204D7"/>
    <w:rsid w:val="00424992"/>
    <w:rsid w:val="00424A9E"/>
    <w:rsid w:val="00431621"/>
    <w:rsid w:val="004335EC"/>
    <w:rsid w:val="00433BDB"/>
    <w:rsid w:val="00435662"/>
    <w:rsid w:val="00437B82"/>
    <w:rsid w:val="00437F26"/>
    <w:rsid w:val="004416CD"/>
    <w:rsid w:val="004432F8"/>
    <w:rsid w:val="00444097"/>
    <w:rsid w:val="004442C4"/>
    <w:rsid w:val="00445487"/>
    <w:rsid w:val="00446553"/>
    <w:rsid w:val="004509A1"/>
    <w:rsid w:val="004511D1"/>
    <w:rsid w:val="00454769"/>
    <w:rsid w:val="00465BCA"/>
    <w:rsid w:val="00466991"/>
    <w:rsid w:val="0047064C"/>
    <w:rsid w:val="00471270"/>
    <w:rsid w:val="00473F1F"/>
    <w:rsid w:val="004774FF"/>
    <w:rsid w:val="004868B8"/>
    <w:rsid w:val="00487521"/>
    <w:rsid w:val="00491D1C"/>
    <w:rsid w:val="00492E98"/>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4D9"/>
    <w:rsid w:val="004D06A4"/>
    <w:rsid w:val="004E2916"/>
    <w:rsid w:val="004E2A30"/>
    <w:rsid w:val="004F09AC"/>
    <w:rsid w:val="004F1A81"/>
    <w:rsid w:val="004F5670"/>
    <w:rsid w:val="004F5678"/>
    <w:rsid w:val="004F5D44"/>
    <w:rsid w:val="00500143"/>
    <w:rsid w:val="00500494"/>
    <w:rsid w:val="00500AAE"/>
    <w:rsid w:val="0050337B"/>
    <w:rsid w:val="00503F35"/>
    <w:rsid w:val="0050438D"/>
    <w:rsid w:val="0050550B"/>
    <w:rsid w:val="005102AE"/>
    <w:rsid w:val="0051220F"/>
    <w:rsid w:val="00512249"/>
    <w:rsid w:val="00512B6E"/>
    <w:rsid w:val="0051306C"/>
    <w:rsid w:val="00513654"/>
    <w:rsid w:val="005140C4"/>
    <w:rsid w:val="00517857"/>
    <w:rsid w:val="005218D9"/>
    <w:rsid w:val="00522A80"/>
    <w:rsid w:val="005240EF"/>
    <w:rsid w:val="00527B09"/>
    <w:rsid w:val="00527F80"/>
    <w:rsid w:val="00531443"/>
    <w:rsid w:val="0053281F"/>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558C"/>
    <w:rsid w:val="005563CC"/>
    <w:rsid w:val="005569BC"/>
    <w:rsid w:val="0056012A"/>
    <w:rsid w:val="0056312E"/>
    <w:rsid w:val="005657F6"/>
    <w:rsid w:val="00566C86"/>
    <w:rsid w:val="00567A02"/>
    <w:rsid w:val="0057021E"/>
    <w:rsid w:val="00572FF5"/>
    <w:rsid w:val="0057315F"/>
    <w:rsid w:val="00576104"/>
    <w:rsid w:val="005761D5"/>
    <w:rsid w:val="0057745C"/>
    <w:rsid w:val="00577605"/>
    <w:rsid w:val="00581457"/>
    <w:rsid w:val="0058489B"/>
    <w:rsid w:val="005856D2"/>
    <w:rsid w:val="005871D4"/>
    <w:rsid w:val="005928D1"/>
    <w:rsid w:val="00592D62"/>
    <w:rsid w:val="0059329B"/>
    <w:rsid w:val="005A0AD1"/>
    <w:rsid w:val="005A1727"/>
    <w:rsid w:val="005A1B89"/>
    <w:rsid w:val="005B0DEE"/>
    <w:rsid w:val="005B253A"/>
    <w:rsid w:val="005B5A0D"/>
    <w:rsid w:val="005C0AFC"/>
    <w:rsid w:val="005C11FA"/>
    <w:rsid w:val="005C67C8"/>
    <w:rsid w:val="005D0249"/>
    <w:rsid w:val="005D233A"/>
    <w:rsid w:val="005D5D96"/>
    <w:rsid w:val="005D6E8C"/>
    <w:rsid w:val="005E1FE2"/>
    <w:rsid w:val="005E20B2"/>
    <w:rsid w:val="005E33E1"/>
    <w:rsid w:val="005E775D"/>
    <w:rsid w:val="005F04BD"/>
    <w:rsid w:val="005F066E"/>
    <w:rsid w:val="005F06C5"/>
    <w:rsid w:val="005F100C"/>
    <w:rsid w:val="005F59A4"/>
    <w:rsid w:val="005F68DA"/>
    <w:rsid w:val="00600686"/>
    <w:rsid w:val="0060281F"/>
    <w:rsid w:val="006039BC"/>
    <w:rsid w:val="0060773B"/>
    <w:rsid w:val="006103AC"/>
    <w:rsid w:val="00614465"/>
    <w:rsid w:val="006157B5"/>
    <w:rsid w:val="0061664A"/>
    <w:rsid w:val="006169C8"/>
    <w:rsid w:val="00616EBB"/>
    <w:rsid w:val="00620592"/>
    <w:rsid w:val="00622DF5"/>
    <w:rsid w:val="00623423"/>
    <w:rsid w:val="0062430E"/>
    <w:rsid w:val="00625D4F"/>
    <w:rsid w:val="00626024"/>
    <w:rsid w:val="006263AE"/>
    <w:rsid w:val="00626FC6"/>
    <w:rsid w:val="00627A39"/>
    <w:rsid w:val="006303B4"/>
    <w:rsid w:val="00631B5D"/>
    <w:rsid w:val="0063309C"/>
    <w:rsid w:val="00633CF7"/>
    <w:rsid w:val="00633D3D"/>
    <w:rsid w:val="006348A6"/>
    <w:rsid w:val="00634A53"/>
    <w:rsid w:val="00636A8C"/>
    <w:rsid w:val="00636AB9"/>
    <w:rsid w:val="00641703"/>
    <w:rsid w:val="006431A6"/>
    <w:rsid w:val="006451EE"/>
    <w:rsid w:val="006459F6"/>
    <w:rsid w:val="006501AD"/>
    <w:rsid w:val="00650361"/>
    <w:rsid w:val="00651BFA"/>
    <w:rsid w:val="00651EF8"/>
    <w:rsid w:val="00652A56"/>
    <w:rsid w:val="00654475"/>
    <w:rsid w:val="006552A2"/>
    <w:rsid w:val="00657A61"/>
    <w:rsid w:val="0066093D"/>
    <w:rsid w:val="00661A50"/>
    <w:rsid w:val="006625CF"/>
    <w:rsid w:val="00663561"/>
    <w:rsid w:val="00664C28"/>
    <w:rsid w:val="00665A4B"/>
    <w:rsid w:val="00665D0A"/>
    <w:rsid w:val="00665F93"/>
    <w:rsid w:val="00671200"/>
    <w:rsid w:val="006744B2"/>
    <w:rsid w:val="00674D0B"/>
    <w:rsid w:val="00676210"/>
    <w:rsid w:val="006767D3"/>
    <w:rsid w:val="00682A80"/>
    <w:rsid w:val="0068303F"/>
    <w:rsid w:val="00684BC4"/>
    <w:rsid w:val="00687785"/>
    <w:rsid w:val="00692E2A"/>
    <w:rsid w:val="006943A8"/>
    <w:rsid w:val="0069482B"/>
    <w:rsid w:val="006A0FBD"/>
    <w:rsid w:val="006A17DB"/>
    <w:rsid w:val="006A3340"/>
    <w:rsid w:val="006A5370"/>
    <w:rsid w:val="006A5DEE"/>
    <w:rsid w:val="006A72E4"/>
    <w:rsid w:val="006A76F2"/>
    <w:rsid w:val="006B164F"/>
    <w:rsid w:val="006B316D"/>
    <w:rsid w:val="006C10B1"/>
    <w:rsid w:val="006C21EC"/>
    <w:rsid w:val="006C2FDC"/>
    <w:rsid w:val="006C3EAE"/>
    <w:rsid w:val="006C441F"/>
    <w:rsid w:val="006C5665"/>
    <w:rsid w:val="006C59B0"/>
    <w:rsid w:val="006C5BAF"/>
    <w:rsid w:val="006D34FC"/>
    <w:rsid w:val="006D7EFB"/>
    <w:rsid w:val="006E2544"/>
    <w:rsid w:val="006E54C2"/>
    <w:rsid w:val="006E6672"/>
    <w:rsid w:val="006E6722"/>
    <w:rsid w:val="006F0854"/>
    <w:rsid w:val="006F188E"/>
    <w:rsid w:val="006F2773"/>
    <w:rsid w:val="006F7CEF"/>
    <w:rsid w:val="00700BDF"/>
    <w:rsid w:val="00701DB8"/>
    <w:rsid w:val="007027B9"/>
    <w:rsid w:val="007114EE"/>
    <w:rsid w:val="00713E6C"/>
    <w:rsid w:val="00715E88"/>
    <w:rsid w:val="0072037D"/>
    <w:rsid w:val="00721848"/>
    <w:rsid w:val="0072413C"/>
    <w:rsid w:val="00725E8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265E"/>
    <w:rsid w:val="00774907"/>
    <w:rsid w:val="007756D9"/>
    <w:rsid w:val="00775AF3"/>
    <w:rsid w:val="0077696A"/>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2FF"/>
    <w:rsid w:val="007B3A07"/>
    <w:rsid w:val="007B48FD"/>
    <w:rsid w:val="007B68A3"/>
    <w:rsid w:val="007C055E"/>
    <w:rsid w:val="007C2541"/>
    <w:rsid w:val="007C5215"/>
    <w:rsid w:val="007C6F01"/>
    <w:rsid w:val="007C7D99"/>
    <w:rsid w:val="007D6383"/>
    <w:rsid w:val="007D66A8"/>
    <w:rsid w:val="007D7891"/>
    <w:rsid w:val="007E003F"/>
    <w:rsid w:val="007E0B2C"/>
    <w:rsid w:val="007E26D6"/>
    <w:rsid w:val="007E31B4"/>
    <w:rsid w:val="007E5C26"/>
    <w:rsid w:val="007E718A"/>
    <w:rsid w:val="007F1B53"/>
    <w:rsid w:val="007F2AC9"/>
    <w:rsid w:val="007F453C"/>
    <w:rsid w:val="007F4F77"/>
    <w:rsid w:val="0080032C"/>
    <w:rsid w:val="00802756"/>
    <w:rsid w:val="0080712E"/>
    <w:rsid w:val="0081058C"/>
    <w:rsid w:val="00811C68"/>
    <w:rsid w:val="00812F59"/>
    <w:rsid w:val="0081404F"/>
    <w:rsid w:val="008164F2"/>
    <w:rsid w:val="00821395"/>
    <w:rsid w:val="008230CB"/>
    <w:rsid w:val="00824D98"/>
    <w:rsid w:val="00827A66"/>
    <w:rsid w:val="00830E26"/>
    <w:rsid w:val="00833730"/>
    <w:rsid w:val="00835E00"/>
    <w:rsid w:val="00843576"/>
    <w:rsid w:val="00843759"/>
    <w:rsid w:val="00843ACD"/>
    <w:rsid w:val="00843B64"/>
    <w:rsid w:val="008445D8"/>
    <w:rsid w:val="00845065"/>
    <w:rsid w:val="008455A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75EE9"/>
    <w:rsid w:val="00882A2C"/>
    <w:rsid w:val="0088480A"/>
    <w:rsid w:val="00886752"/>
    <w:rsid w:val="008874CB"/>
    <w:rsid w:val="0088757A"/>
    <w:rsid w:val="00887878"/>
    <w:rsid w:val="00890C57"/>
    <w:rsid w:val="008918FF"/>
    <w:rsid w:val="008925F2"/>
    <w:rsid w:val="00893CF2"/>
    <w:rsid w:val="00893E23"/>
    <w:rsid w:val="008957DD"/>
    <w:rsid w:val="00895C25"/>
    <w:rsid w:val="00897D98"/>
    <w:rsid w:val="00897DAA"/>
    <w:rsid w:val="008A6DF2"/>
    <w:rsid w:val="008A7807"/>
    <w:rsid w:val="008B159C"/>
    <w:rsid w:val="008B199F"/>
    <w:rsid w:val="008B2F5A"/>
    <w:rsid w:val="008B37DC"/>
    <w:rsid w:val="008B4CC9"/>
    <w:rsid w:val="008B700F"/>
    <w:rsid w:val="008C5393"/>
    <w:rsid w:val="008C6742"/>
    <w:rsid w:val="008D0B06"/>
    <w:rsid w:val="008D4216"/>
    <w:rsid w:val="008D5BCC"/>
    <w:rsid w:val="008D7C99"/>
    <w:rsid w:val="008D7F72"/>
    <w:rsid w:val="008E0FCB"/>
    <w:rsid w:val="008E340B"/>
    <w:rsid w:val="008E6C7B"/>
    <w:rsid w:val="008F0079"/>
    <w:rsid w:val="008F42BA"/>
    <w:rsid w:val="008F5905"/>
    <w:rsid w:val="008F68CE"/>
    <w:rsid w:val="009021BD"/>
    <w:rsid w:val="00903512"/>
    <w:rsid w:val="00903CE9"/>
    <w:rsid w:val="00905369"/>
    <w:rsid w:val="0092178C"/>
    <w:rsid w:val="0092574B"/>
    <w:rsid w:val="00925D83"/>
    <w:rsid w:val="00930B88"/>
    <w:rsid w:val="00933AC1"/>
    <w:rsid w:val="00934F7F"/>
    <w:rsid w:val="00936099"/>
    <w:rsid w:val="00936309"/>
    <w:rsid w:val="009369C6"/>
    <w:rsid w:val="00940DCC"/>
    <w:rsid w:val="0094179A"/>
    <w:rsid w:val="00941EDB"/>
    <w:rsid w:val="009434DF"/>
    <w:rsid w:val="009441A3"/>
    <w:rsid w:val="0094459E"/>
    <w:rsid w:val="00944DBC"/>
    <w:rsid w:val="00945A6B"/>
    <w:rsid w:val="0094649C"/>
    <w:rsid w:val="00947E03"/>
    <w:rsid w:val="00950908"/>
    <w:rsid w:val="00950977"/>
    <w:rsid w:val="00951A7B"/>
    <w:rsid w:val="009564A6"/>
    <w:rsid w:val="009642B5"/>
    <w:rsid w:val="00967621"/>
    <w:rsid w:val="00967E6A"/>
    <w:rsid w:val="00971A42"/>
    <w:rsid w:val="00971CFA"/>
    <w:rsid w:val="009761A8"/>
    <w:rsid w:val="009761E0"/>
    <w:rsid w:val="00981B0B"/>
    <w:rsid w:val="009821A7"/>
    <w:rsid w:val="00983D1E"/>
    <w:rsid w:val="00990F34"/>
    <w:rsid w:val="00993832"/>
    <w:rsid w:val="00994ADE"/>
    <w:rsid w:val="00995578"/>
    <w:rsid w:val="009A48FF"/>
    <w:rsid w:val="009B0B83"/>
    <w:rsid w:val="009B423E"/>
    <w:rsid w:val="009B4293"/>
    <w:rsid w:val="009B4A0F"/>
    <w:rsid w:val="009B5900"/>
    <w:rsid w:val="009C0596"/>
    <w:rsid w:val="009C0F5B"/>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5052"/>
    <w:rsid w:val="00A36EBD"/>
    <w:rsid w:val="00A40FC9"/>
    <w:rsid w:val="00A4175F"/>
    <w:rsid w:val="00A42E0B"/>
    <w:rsid w:val="00A44411"/>
    <w:rsid w:val="00A4527C"/>
    <w:rsid w:val="00A45E17"/>
    <w:rsid w:val="00A469FA"/>
    <w:rsid w:val="00A47813"/>
    <w:rsid w:val="00A51290"/>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3E4D"/>
    <w:rsid w:val="00A843FD"/>
    <w:rsid w:val="00A922DA"/>
    <w:rsid w:val="00A92CD0"/>
    <w:rsid w:val="00A95824"/>
    <w:rsid w:val="00A97E27"/>
    <w:rsid w:val="00AA06E3"/>
    <w:rsid w:val="00AA20D6"/>
    <w:rsid w:val="00AA4688"/>
    <w:rsid w:val="00AA76AB"/>
    <w:rsid w:val="00AB3735"/>
    <w:rsid w:val="00AB5340"/>
    <w:rsid w:val="00AB646F"/>
    <w:rsid w:val="00AB7EC7"/>
    <w:rsid w:val="00AC0A89"/>
    <w:rsid w:val="00AC1073"/>
    <w:rsid w:val="00AC29AD"/>
    <w:rsid w:val="00AC6CAA"/>
    <w:rsid w:val="00AC6F57"/>
    <w:rsid w:val="00AC7C96"/>
    <w:rsid w:val="00AD04F9"/>
    <w:rsid w:val="00AD0D47"/>
    <w:rsid w:val="00AD28D1"/>
    <w:rsid w:val="00AD3426"/>
    <w:rsid w:val="00AD798E"/>
    <w:rsid w:val="00AE237D"/>
    <w:rsid w:val="00AE3288"/>
    <w:rsid w:val="00AE502A"/>
    <w:rsid w:val="00AE6787"/>
    <w:rsid w:val="00AE7AE1"/>
    <w:rsid w:val="00AF127B"/>
    <w:rsid w:val="00AF1B79"/>
    <w:rsid w:val="00AF2335"/>
    <w:rsid w:val="00AF3FBC"/>
    <w:rsid w:val="00AF6281"/>
    <w:rsid w:val="00AF7C07"/>
    <w:rsid w:val="00B05D7B"/>
    <w:rsid w:val="00B10467"/>
    <w:rsid w:val="00B1099A"/>
    <w:rsid w:val="00B10E49"/>
    <w:rsid w:val="00B11447"/>
    <w:rsid w:val="00B1147B"/>
    <w:rsid w:val="00B115BB"/>
    <w:rsid w:val="00B120B5"/>
    <w:rsid w:val="00B123B9"/>
    <w:rsid w:val="00B133F1"/>
    <w:rsid w:val="00B1711F"/>
    <w:rsid w:val="00B20F08"/>
    <w:rsid w:val="00B2156E"/>
    <w:rsid w:val="00B224F9"/>
    <w:rsid w:val="00B22C93"/>
    <w:rsid w:val="00B23C7E"/>
    <w:rsid w:val="00B242C7"/>
    <w:rsid w:val="00B26538"/>
    <w:rsid w:val="00B27589"/>
    <w:rsid w:val="00B277B8"/>
    <w:rsid w:val="00B3195F"/>
    <w:rsid w:val="00B3349B"/>
    <w:rsid w:val="00B35B44"/>
    <w:rsid w:val="00B40282"/>
    <w:rsid w:val="00B405B7"/>
    <w:rsid w:val="00B50329"/>
    <w:rsid w:val="00B52222"/>
    <w:rsid w:val="00B54FE7"/>
    <w:rsid w:val="00B55A5E"/>
    <w:rsid w:val="00B56632"/>
    <w:rsid w:val="00B61D82"/>
    <w:rsid w:val="00B66901"/>
    <w:rsid w:val="00B67B52"/>
    <w:rsid w:val="00B704F7"/>
    <w:rsid w:val="00B70C1E"/>
    <w:rsid w:val="00B71E6D"/>
    <w:rsid w:val="00B72070"/>
    <w:rsid w:val="00B779E1"/>
    <w:rsid w:val="00B81D1A"/>
    <w:rsid w:val="00B820D7"/>
    <w:rsid w:val="00B82AFB"/>
    <w:rsid w:val="00B82C30"/>
    <w:rsid w:val="00B83543"/>
    <w:rsid w:val="00B83A74"/>
    <w:rsid w:val="00B91EE1"/>
    <w:rsid w:val="00B94BE0"/>
    <w:rsid w:val="00B953A0"/>
    <w:rsid w:val="00B95829"/>
    <w:rsid w:val="00B95FB0"/>
    <w:rsid w:val="00BA0090"/>
    <w:rsid w:val="00BA043B"/>
    <w:rsid w:val="00BA04E5"/>
    <w:rsid w:val="00BA1317"/>
    <w:rsid w:val="00BA1A67"/>
    <w:rsid w:val="00BA47FE"/>
    <w:rsid w:val="00BA69E8"/>
    <w:rsid w:val="00BB415F"/>
    <w:rsid w:val="00BB72D2"/>
    <w:rsid w:val="00BB7EA0"/>
    <w:rsid w:val="00BC2E15"/>
    <w:rsid w:val="00BE0C02"/>
    <w:rsid w:val="00BE1EBD"/>
    <w:rsid w:val="00BE22C7"/>
    <w:rsid w:val="00BE2AC5"/>
    <w:rsid w:val="00BE530B"/>
    <w:rsid w:val="00BE547E"/>
    <w:rsid w:val="00BE5B5F"/>
    <w:rsid w:val="00BE6E6A"/>
    <w:rsid w:val="00BE7789"/>
    <w:rsid w:val="00BF064C"/>
    <w:rsid w:val="00BF0679"/>
    <w:rsid w:val="00BF152D"/>
    <w:rsid w:val="00BF1F2E"/>
    <w:rsid w:val="00BF40DF"/>
    <w:rsid w:val="00BF5322"/>
    <w:rsid w:val="00BF662C"/>
    <w:rsid w:val="00BF6B8F"/>
    <w:rsid w:val="00C00DE2"/>
    <w:rsid w:val="00C10C4D"/>
    <w:rsid w:val="00C114CD"/>
    <w:rsid w:val="00C1159F"/>
    <w:rsid w:val="00C1404C"/>
    <w:rsid w:val="00C173A1"/>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3E0"/>
    <w:rsid w:val="00C9545E"/>
    <w:rsid w:val="00C95EBA"/>
    <w:rsid w:val="00C96821"/>
    <w:rsid w:val="00C978AF"/>
    <w:rsid w:val="00C979A3"/>
    <w:rsid w:val="00CA1CBD"/>
    <w:rsid w:val="00CA22CD"/>
    <w:rsid w:val="00CA6C7F"/>
    <w:rsid w:val="00CB0A97"/>
    <w:rsid w:val="00CB27E0"/>
    <w:rsid w:val="00CB30A6"/>
    <w:rsid w:val="00CB7857"/>
    <w:rsid w:val="00CC10A6"/>
    <w:rsid w:val="00CC1142"/>
    <w:rsid w:val="00CC1797"/>
    <w:rsid w:val="00CC201A"/>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3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408E"/>
    <w:rsid w:val="00D55D38"/>
    <w:rsid w:val="00D604A0"/>
    <w:rsid w:val="00D6134D"/>
    <w:rsid w:val="00D61672"/>
    <w:rsid w:val="00D63B8C"/>
    <w:rsid w:val="00D63C48"/>
    <w:rsid w:val="00D665E7"/>
    <w:rsid w:val="00D739CC"/>
    <w:rsid w:val="00D75221"/>
    <w:rsid w:val="00D773EA"/>
    <w:rsid w:val="00D8093D"/>
    <w:rsid w:val="00D8108C"/>
    <w:rsid w:val="00D827DF"/>
    <w:rsid w:val="00D83B2C"/>
    <w:rsid w:val="00D842AE"/>
    <w:rsid w:val="00D86EFF"/>
    <w:rsid w:val="00D9211C"/>
    <w:rsid w:val="00D92DE0"/>
    <w:rsid w:val="00D92FEF"/>
    <w:rsid w:val="00D93A0F"/>
    <w:rsid w:val="00D93BFF"/>
    <w:rsid w:val="00D94D33"/>
    <w:rsid w:val="00D9695E"/>
    <w:rsid w:val="00D97247"/>
    <w:rsid w:val="00DA045D"/>
    <w:rsid w:val="00DA1BCA"/>
    <w:rsid w:val="00DA3279"/>
    <w:rsid w:val="00DA3752"/>
    <w:rsid w:val="00DA3EA9"/>
    <w:rsid w:val="00DA60D8"/>
    <w:rsid w:val="00DB3D5F"/>
    <w:rsid w:val="00DB58FE"/>
    <w:rsid w:val="00DC0B02"/>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324F"/>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5C89"/>
    <w:rsid w:val="00E565FF"/>
    <w:rsid w:val="00E57344"/>
    <w:rsid w:val="00E57849"/>
    <w:rsid w:val="00E6090D"/>
    <w:rsid w:val="00E62F83"/>
    <w:rsid w:val="00E6359E"/>
    <w:rsid w:val="00E65388"/>
    <w:rsid w:val="00E7169D"/>
    <w:rsid w:val="00E7205C"/>
    <w:rsid w:val="00E72DE1"/>
    <w:rsid w:val="00E75472"/>
    <w:rsid w:val="00E77342"/>
    <w:rsid w:val="00E77C84"/>
    <w:rsid w:val="00E806AF"/>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049A"/>
    <w:rsid w:val="00EB2090"/>
    <w:rsid w:val="00EB2848"/>
    <w:rsid w:val="00EB2F85"/>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1F6"/>
    <w:rsid w:val="00F51020"/>
    <w:rsid w:val="00F52737"/>
    <w:rsid w:val="00F53503"/>
    <w:rsid w:val="00F56735"/>
    <w:rsid w:val="00F56B98"/>
    <w:rsid w:val="00F61341"/>
    <w:rsid w:val="00F615F9"/>
    <w:rsid w:val="00F6296B"/>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205D"/>
    <w:rsid w:val="00FA500A"/>
    <w:rsid w:val="00FA6BB0"/>
    <w:rsid w:val="00FB1585"/>
    <w:rsid w:val="00FB23D0"/>
    <w:rsid w:val="00FB6327"/>
    <w:rsid w:val="00FB6D04"/>
    <w:rsid w:val="00FB7826"/>
    <w:rsid w:val="00FB7982"/>
    <w:rsid w:val="00FC0D95"/>
    <w:rsid w:val="00FC1138"/>
    <w:rsid w:val="00FC1C3D"/>
    <w:rsid w:val="00FC29F3"/>
    <w:rsid w:val="00FC55FC"/>
    <w:rsid w:val="00FC7391"/>
    <w:rsid w:val="00FD0889"/>
    <w:rsid w:val="00FD456E"/>
    <w:rsid w:val="00FD4F6C"/>
    <w:rsid w:val="00FD556C"/>
    <w:rsid w:val="00FD563C"/>
    <w:rsid w:val="00FD5860"/>
    <w:rsid w:val="00FD6E8D"/>
    <w:rsid w:val="00FD7A9F"/>
    <w:rsid w:val="00FE186C"/>
    <w:rsid w:val="00FE352D"/>
    <w:rsid w:val="00FE40EB"/>
    <w:rsid w:val="00FE4D02"/>
    <w:rsid w:val="00FE64CF"/>
    <w:rsid w:val="00FE7D62"/>
    <w:rsid w:val="00FF0249"/>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next w:val="NormalNonumber"/>
    <w:rsid w:val="001B7586"/>
    <w:rPr>
      <w:b/>
      <w:lang w:eastAsia="en-US"/>
    </w:rPr>
  </w:style>
  <w:style w:type="paragraph" w:styleId="TableofFigures">
    <w:name w:val="table of figures"/>
    <w:basedOn w:val="Normal"/>
    <w:next w:val="Normal"/>
    <w:autoRedefine/>
    <w:semiHidden/>
    <w:rsid w:val="000D6941"/>
    <w:pPr>
      <w:ind w:left="1814" w:hanging="567"/>
    </w:pPr>
  </w:style>
  <w:style w:type="paragraph" w:customStyle="1" w:styleId="CH1">
    <w:name w:val="CH1"/>
    <w:next w:val="CH2"/>
    <w:rsid w:val="00A04ABF"/>
    <w:pPr>
      <w:keepNext/>
      <w:keepLines/>
      <w:tabs>
        <w:tab w:val="right" w:pos="851"/>
      </w:tabs>
      <w:suppressAutoHyphens/>
      <w:spacing w:before="240" w:after="120"/>
      <w:ind w:left="1247" w:right="284" w:hanging="1247"/>
    </w:pPr>
    <w:rPr>
      <w:b/>
      <w:sz w:val="28"/>
      <w:szCs w:val="28"/>
      <w:lang w:eastAsia="en-US"/>
    </w:rPr>
  </w:style>
  <w:style w:type="paragraph" w:customStyle="1" w:styleId="CH2">
    <w:name w:val="CH2"/>
    <w:next w:val="Normalnumber"/>
    <w:link w:val="CH2Char"/>
    <w:rsid w:val="001B7586"/>
    <w:pPr>
      <w:keepNext/>
      <w:keepLines/>
      <w:tabs>
        <w:tab w:val="right" w:pos="851"/>
      </w:tabs>
      <w:suppressAutoHyphens/>
      <w:spacing w:before="80" w:after="120"/>
      <w:ind w:left="1247" w:right="284" w:hanging="1247"/>
    </w:pPr>
    <w:rPr>
      <w:b/>
      <w:sz w:val="24"/>
      <w:szCs w:val="24"/>
      <w:lang w:eastAsia="en-US"/>
    </w:rPr>
  </w:style>
  <w:style w:type="paragraph" w:customStyle="1" w:styleId="CH3">
    <w:name w:val="CH3"/>
    <w:next w:val="Normalnumber"/>
    <w:rsid w:val="00FC1138"/>
    <w:pPr>
      <w:keepNext/>
      <w:keepLines/>
      <w:tabs>
        <w:tab w:val="right" w:pos="851"/>
      </w:tabs>
      <w:suppressAutoHyphens/>
      <w:spacing w:after="120"/>
      <w:ind w:left="1247" w:right="284" w:hanging="1247"/>
    </w:pPr>
    <w:rPr>
      <w:b/>
      <w:lang w:eastAsia="en-US"/>
    </w:rPr>
  </w:style>
  <w:style w:type="paragraph" w:customStyle="1" w:styleId="CH4">
    <w:name w:val="CH4"/>
    <w:next w:val="Normalnumber"/>
    <w:rsid w:val="001B7586"/>
    <w:pPr>
      <w:keepNext/>
      <w:keepLines/>
      <w:tabs>
        <w:tab w:val="right" w:pos="851"/>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B7586"/>
    <w:pPr>
      <w:keepNext/>
      <w:keepLines/>
      <w:tabs>
        <w:tab w:val="right" w:pos="851"/>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1B7586"/>
    <w:pPr>
      <w:spacing w:before="60" w:after="120"/>
    </w:pPr>
    <w:rPr>
      <w:b/>
      <w:sz w:val="18"/>
      <w:lang w:eastAsia="en-US"/>
    </w:rPr>
  </w:style>
  <w:style w:type="paragraph" w:customStyle="1" w:styleId="Header-pool">
    <w:name w:val="Header-pool"/>
    <w:next w:val="Normal-pool"/>
    <w:rsid w:val="001B7586"/>
    <w:pPr>
      <w:pBdr>
        <w:bottom w:val="single" w:sz="4" w:space="1" w:color="auto"/>
      </w:pBdr>
      <w:spacing w:after="120"/>
    </w:pPr>
    <w:rPr>
      <w:b/>
      <w:sz w:val="18"/>
      <w:lang w:eastAsia="en-US"/>
    </w:rPr>
  </w:style>
  <w:style w:type="paragraph" w:customStyle="1" w:styleId="Normal-pool">
    <w:name w:val="Normal-pool"/>
    <w:link w:val="Normal-poolChar"/>
    <w:rsid w:val="0054571A"/>
    <w:pPr>
      <w:tabs>
        <w:tab w:val="left" w:pos="624"/>
      </w:tabs>
    </w:pPr>
    <w:rPr>
      <w:lang w:eastAsia="en-US"/>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qFormat/>
    <w:rsid w:val="000D6941"/>
    <w:pPr>
      <w:spacing w:before="20" w:after="40"/>
      <w:ind w:left="1247"/>
    </w:pPr>
    <w:rPr>
      <w:sz w:val="18"/>
    </w:rPr>
  </w:style>
  <w:style w:type="character" w:customStyle="1" w:styleId="Normal-poolChar">
    <w:name w:val="Normal-pool Char"/>
    <w:link w:val="Normal-pool"/>
    <w:rsid w:val="0054571A"/>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A04ABF"/>
    <w:pPr>
      <w:keepNext/>
      <w:keepLines/>
      <w:suppressAutoHyphens/>
      <w:ind w:right="5103"/>
    </w:pPr>
    <w:rPr>
      <w:b/>
      <w:lang w:eastAsia="en-US"/>
    </w:rPr>
  </w:style>
  <w:style w:type="paragraph" w:customStyle="1" w:styleId="AATitle2">
    <w:name w:val="AA_Title2"/>
    <w:rsid w:val="00A04ABF"/>
    <w:pPr>
      <w:keepNext/>
      <w:keepLines/>
      <w:spacing w:before="60"/>
      <w:ind w:right="5103"/>
    </w:pPr>
    <w:rPr>
      <w:b/>
      <w:lang w:eastAsia="en-US"/>
    </w:rPr>
  </w:style>
  <w:style w:type="paragraph" w:customStyle="1" w:styleId="BBTitle">
    <w:name w:val="BB_Title"/>
    <w:rsid w:val="001B7586"/>
    <w:pPr>
      <w:keepNext/>
      <w:keepLine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rsid w:val="001B7586"/>
    <w:pPr>
      <w:tabs>
        <w:tab w:val="left" w:pos="624"/>
      </w:tabs>
      <w:spacing w:after="120"/>
      <w:ind w:left="1247"/>
    </w:pPr>
    <w:rPr>
      <w:lang w:eastAsia="en-US"/>
    </w:rPr>
  </w:style>
  <w:style w:type="paragraph" w:customStyle="1" w:styleId="Normalnumber">
    <w:name w:val="Normal_number"/>
    <w:link w:val="NormalnumberChar"/>
    <w:rsid w:val="00855D9C"/>
    <w:pPr>
      <w:numPr>
        <w:numId w:val="4"/>
      </w:numPr>
      <w:tabs>
        <w:tab w:val="left" w:pos="624"/>
      </w:tabs>
      <w:spacing w:after="120"/>
    </w:pPr>
    <w:rPr>
      <w:lang w:eastAsia="en-US"/>
    </w:rPr>
  </w:style>
  <w:style w:type="paragraph" w:customStyle="1" w:styleId="Titletable">
    <w:name w:val="Title_table"/>
    <w:rsid w:val="001B7586"/>
    <w:pPr>
      <w:keepNext/>
      <w:keepLine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rsid w:val="001B7586"/>
    <w:rPr>
      <w:b/>
      <w:bCs/>
      <w:sz w:val="28"/>
      <w:szCs w:val="22"/>
      <w:lang w:eastAsia="en-US"/>
    </w:rPr>
  </w:style>
  <w:style w:type="paragraph" w:customStyle="1" w:styleId="ZZAnxtitle">
    <w:name w:val="ZZ_Anx_title"/>
    <w:rsid w:val="001B7586"/>
    <w:pPr>
      <w:spacing w:before="360" w:after="120"/>
      <w:ind w:left="1247"/>
    </w:pPr>
    <w:rPr>
      <w:b/>
      <w:bCs/>
      <w:sz w:val="28"/>
      <w:szCs w:val="26"/>
      <w:lang w:eastAsia="en-US"/>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855D9C"/>
    <w:rPr>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B61D82"/>
    <w:rPr>
      <w:sz w:val="18"/>
      <w:lang w:val="fr-FR" w:eastAsia="en-US"/>
    </w:rPr>
  </w:style>
  <w:style w:type="character" w:customStyle="1" w:styleId="CH2Char">
    <w:name w:val="CH2 Char"/>
    <w:link w:val="CH2"/>
    <w:locked/>
    <w:rsid w:val="001B7586"/>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07DBA"/>
    <w:rPr>
      <w:rFonts w:ascii="Calibri" w:eastAsia="MS Mincho" w:hAnsi="Calibri"/>
      <w:sz w:val="18"/>
      <w:szCs w:val="22"/>
      <w:lang w:val="en-US" w:eastAsia="en-US"/>
    </w:rPr>
  </w:style>
  <w:style w:type="paragraph" w:styleId="Subtitle">
    <w:name w:val="Subtitle"/>
    <w:basedOn w:val="Normal"/>
    <w:next w:val="Normal"/>
    <w:link w:val="SubtitleChar"/>
    <w:qFormat/>
    <w:rsid w:val="004442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4442C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2021-05-06T10:58:08+00:00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4420EB85-39D7-4A3F-BC44-C712C9F1AC93}"/>
</file>

<file path=customXml/itemProps4.xml><?xml version="1.0" encoding="utf-8"?>
<ds:datastoreItem xmlns:ds="http://schemas.openxmlformats.org/officeDocument/2006/customXml" ds:itemID="{FAA08FC7-2910-4B20-8395-8151E6CB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13606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2021-04-27T06:41:00Z</cp:lastPrinted>
  <dcterms:created xsi:type="dcterms:W3CDTF">2021-05-06T10:58:00Z</dcterms:created>
  <dcterms:modified xsi:type="dcterms:W3CDTF">2021-05-06T10:58:00Z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