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7F6F0C" w:rsidRPr="00C5575D" w14:paraId="652C87D7" w14:textId="77777777" w:rsidTr="00F11F1A">
        <w:trPr>
          <w:cantSplit/>
          <w:trHeight w:val="57"/>
          <w:jc w:val="right"/>
        </w:trPr>
        <w:tc>
          <w:tcPr>
            <w:tcW w:w="1489" w:type="dxa"/>
          </w:tcPr>
          <w:p w14:paraId="0136CA20" w14:textId="77777777" w:rsidR="007F6F0C" w:rsidRPr="003854ED" w:rsidRDefault="007F6F0C" w:rsidP="00281E7E">
            <w:pPr>
              <w:pStyle w:val="Normal-pool"/>
            </w:pPr>
            <w:r w:rsidRPr="00C5575D">
              <w:rPr>
                <w:rFonts w:ascii="Arial" w:hAnsi="Arial" w:cs="Arial"/>
                <w:b/>
                <w:sz w:val="27"/>
                <w:szCs w:val="27"/>
              </w:rPr>
              <w:t xml:space="preserve">UNITED </w:t>
            </w:r>
            <w:r w:rsidRPr="00C5575D">
              <w:rPr>
                <w:rFonts w:ascii="Arial" w:hAnsi="Arial" w:cs="Arial"/>
                <w:b/>
                <w:sz w:val="27"/>
                <w:szCs w:val="27"/>
              </w:rPr>
              <w:br/>
              <w:t>NATIONS</w:t>
            </w:r>
          </w:p>
        </w:tc>
        <w:tc>
          <w:tcPr>
            <w:tcW w:w="6449" w:type="dxa"/>
            <w:gridSpan w:val="3"/>
          </w:tcPr>
          <w:p w14:paraId="2DF4D09E" w14:textId="77777777" w:rsidR="007F6F0C" w:rsidRPr="003854ED" w:rsidRDefault="007F6F0C" w:rsidP="00281E7E">
            <w:pPr>
              <w:pStyle w:val="Normal-pool"/>
              <w:spacing w:before="20"/>
              <w:ind w:left="-113"/>
            </w:pPr>
            <w:r w:rsidRPr="003854ED">
              <w:rPr>
                <w:noProof/>
              </w:rPr>
              <w:drawing>
                <wp:inline distT="0" distB="0" distL="0" distR="0" wp14:anchorId="18022549" wp14:editId="255D2781">
                  <wp:extent cx="3559810" cy="4425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3F41092" w14:textId="77777777" w:rsidR="007F6F0C" w:rsidRPr="003854ED" w:rsidRDefault="007F6F0C" w:rsidP="00281E7E">
            <w:pPr>
              <w:pStyle w:val="Normal-pool"/>
              <w:spacing w:after="120"/>
              <w:jc w:val="right"/>
            </w:pPr>
            <w:r w:rsidRPr="00C5575D">
              <w:rPr>
                <w:rFonts w:ascii="Arial" w:hAnsi="Arial" w:cs="Arial"/>
                <w:b/>
                <w:sz w:val="64"/>
                <w:szCs w:val="64"/>
              </w:rPr>
              <w:t>BES</w:t>
            </w:r>
          </w:p>
        </w:tc>
      </w:tr>
      <w:tr w:rsidR="007F6F0C" w:rsidRPr="00C5575D" w14:paraId="469CF000" w14:textId="77777777" w:rsidTr="00F11F1A">
        <w:trPr>
          <w:cantSplit/>
          <w:trHeight w:val="57"/>
          <w:jc w:val="right"/>
        </w:trPr>
        <w:tc>
          <w:tcPr>
            <w:tcW w:w="1489" w:type="dxa"/>
            <w:tcBorders>
              <w:bottom w:val="single" w:sz="4" w:space="0" w:color="auto"/>
            </w:tcBorders>
          </w:tcPr>
          <w:p w14:paraId="786440A5" w14:textId="77777777" w:rsidR="007F6F0C" w:rsidRPr="00B24A20" w:rsidRDefault="007F6F0C" w:rsidP="00281E7E">
            <w:pPr>
              <w:pStyle w:val="Normal-pool"/>
            </w:pPr>
          </w:p>
        </w:tc>
        <w:tc>
          <w:tcPr>
            <w:tcW w:w="5822" w:type="dxa"/>
            <w:gridSpan w:val="2"/>
            <w:tcBorders>
              <w:bottom w:val="single" w:sz="4" w:space="0" w:color="auto"/>
            </w:tcBorders>
          </w:tcPr>
          <w:p w14:paraId="3910F3ED" w14:textId="77777777" w:rsidR="007F6F0C" w:rsidRPr="00B24A20" w:rsidRDefault="007F6F0C" w:rsidP="00281E7E">
            <w:pPr>
              <w:pStyle w:val="Normal-pool"/>
            </w:pPr>
          </w:p>
        </w:tc>
        <w:tc>
          <w:tcPr>
            <w:tcW w:w="2185" w:type="dxa"/>
            <w:gridSpan w:val="2"/>
            <w:tcBorders>
              <w:bottom w:val="single" w:sz="4" w:space="0" w:color="auto"/>
            </w:tcBorders>
          </w:tcPr>
          <w:p w14:paraId="5A6A99D9" w14:textId="77777777" w:rsidR="007F6F0C" w:rsidRPr="00C5575D" w:rsidRDefault="007F6F0C" w:rsidP="00281E7E">
            <w:pPr>
              <w:pStyle w:val="Normal-pool"/>
              <w:rPr>
                <w:sz w:val="24"/>
                <w:szCs w:val="24"/>
              </w:rPr>
            </w:pPr>
            <w:r w:rsidRPr="00C5575D">
              <w:rPr>
                <w:b/>
                <w:sz w:val="24"/>
                <w:szCs w:val="24"/>
              </w:rPr>
              <w:t>IPBES</w:t>
            </w:r>
            <w:r w:rsidRPr="00C5575D">
              <w:t>/8/</w:t>
            </w:r>
            <w:r>
              <w:t>6</w:t>
            </w:r>
          </w:p>
        </w:tc>
      </w:tr>
      <w:tr w:rsidR="007F6F0C" w:rsidRPr="00C5575D" w14:paraId="6EF10CD2" w14:textId="77777777" w:rsidTr="00F11F1A">
        <w:trPr>
          <w:cantSplit/>
          <w:trHeight w:val="57"/>
          <w:jc w:val="right"/>
        </w:trPr>
        <w:tc>
          <w:tcPr>
            <w:tcW w:w="1963" w:type="dxa"/>
            <w:gridSpan w:val="2"/>
            <w:tcBorders>
              <w:top w:val="single" w:sz="4" w:space="0" w:color="auto"/>
              <w:bottom w:val="single" w:sz="24" w:space="0" w:color="auto"/>
            </w:tcBorders>
          </w:tcPr>
          <w:p w14:paraId="0DB0057F" w14:textId="77777777" w:rsidR="007F6F0C" w:rsidRPr="00C5575D" w:rsidRDefault="007F6F0C" w:rsidP="00281E7E">
            <w:pPr>
              <w:pStyle w:val="Normal-pool"/>
              <w:spacing w:before="160" w:after="240"/>
              <w:rPr>
                <w:sz w:val="28"/>
                <w:szCs w:val="28"/>
              </w:rPr>
            </w:pPr>
            <w:r w:rsidRPr="00C5575D">
              <w:rPr>
                <w:noProof/>
                <w:sz w:val="28"/>
                <w:szCs w:val="28"/>
                <w:lang w:eastAsia="en-GB"/>
              </w:rPr>
              <w:drawing>
                <wp:inline distT="0" distB="0" distL="0" distR="0" wp14:anchorId="01C14C5F" wp14:editId="6F9B7714">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4" w:space="0" w:color="auto"/>
              <w:bottom w:val="single" w:sz="24" w:space="0" w:color="auto"/>
            </w:tcBorders>
          </w:tcPr>
          <w:p w14:paraId="34CF9647" w14:textId="77777777" w:rsidR="007F6F0C" w:rsidRPr="00C5575D" w:rsidRDefault="007F6F0C" w:rsidP="00281E7E">
            <w:pPr>
              <w:pStyle w:val="Normal-pool"/>
              <w:spacing w:before="120" w:after="360"/>
              <w:rPr>
                <w:rFonts w:ascii="Arial" w:hAnsi="Arial" w:cs="Arial"/>
                <w:b/>
              </w:rPr>
            </w:pPr>
            <w:r w:rsidRPr="00C5575D">
              <w:rPr>
                <w:rFonts w:ascii="Arial" w:hAnsi="Arial" w:cs="Arial"/>
                <w:b/>
                <w:sz w:val="28"/>
                <w:szCs w:val="28"/>
              </w:rPr>
              <w:t>Intergovernmental Science-Policy Platform on Biodiversity and Ecosystem Services</w:t>
            </w:r>
          </w:p>
        </w:tc>
        <w:tc>
          <w:tcPr>
            <w:tcW w:w="2185" w:type="dxa"/>
            <w:gridSpan w:val="2"/>
            <w:tcBorders>
              <w:top w:val="single" w:sz="4" w:space="0" w:color="auto"/>
              <w:bottom w:val="single" w:sz="24" w:space="0" w:color="auto"/>
            </w:tcBorders>
          </w:tcPr>
          <w:p w14:paraId="1AC50407" w14:textId="77777777" w:rsidR="007F6F0C" w:rsidRPr="00C5575D" w:rsidRDefault="007F6F0C" w:rsidP="00281E7E">
            <w:pPr>
              <w:pStyle w:val="Normal-pool"/>
              <w:spacing w:before="120"/>
            </w:pPr>
            <w:r w:rsidRPr="00C5575D">
              <w:t xml:space="preserve">Distr.: General </w:t>
            </w:r>
            <w:r w:rsidRPr="00C5575D">
              <w:br/>
            </w:r>
            <w:r>
              <w:t>17 March</w:t>
            </w:r>
            <w:r w:rsidRPr="008E340B">
              <w:t xml:space="preserve"> 2021</w:t>
            </w:r>
          </w:p>
          <w:p w14:paraId="1338390B" w14:textId="77777777" w:rsidR="007F6F0C" w:rsidRPr="00C5575D" w:rsidRDefault="007F6F0C" w:rsidP="00281E7E">
            <w:pPr>
              <w:pStyle w:val="Normal-pool"/>
              <w:spacing w:before="120" w:after="240"/>
            </w:pPr>
            <w:r w:rsidRPr="00C5575D">
              <w:t>Original: English</w:t>
            </w:r>
          </w:p>
        </w:tc>
      </w:tr>
    </w:tbl>
    <w:p w14:paraId="7EAAF775" w14:textId="12041BC2" w:rsidR="007741FD" w:rsidRPr="00C5575D" w:rsidRDefault="007741FD" w:rsidP="007741FD">
      <w:pPr>
        <w:pStyle w:val="AATitle"/>
      </w:pPr>
      <w:r w:rsidRPr="00C5575D">
        <w:t xml:space="preserve">Plenary of the Intergovernmental Science-Policy </w:t>
      </w:r>
      <w:r w:rsidRPr="00C5575D">
        <w:br/>
        <w:t>Platform on Biodiversity and Ecosystem Services</w:t>
      </w:r>
    </w:p>
    <w:p w14:paraId="7FE44F8B" w14:textId="77777777" w:rsidR="007741FD" w:rsidRPr="00C5575D" w:rsidRDefault="007741FD" w:rsidP="007741FD">
      <w:pPr>
        <w:pStyle w:val="AATitle"/>
      </w:pPr>
      <w:r w:rsidRPr="00C5575D">
        <w:t>Eighth session</w:t>
      </w:r>
    </w:p>
    <w:p w14:paraId="74CC7410" w14:textId="77777777" w:rsidR="007741FD" w:rsidRPr="00C5575D" w:rsidRDefault="007741FD" w:rsidP="007741FD">
      <w:pPr>
        <w:pStyle w:val="AATitle"/>
        <w:rPr>
          <w:b w:val="0"/>
        </w:rPr>
      </w:pPr>
      <w:r w:rsidRPr="00C5575D">
        <w:rPr>
          <w:b w:val="0"/>
          <w:lang w:eastAsia="ja-JP"/>
        </w:rPr>
        <w:t>Online, 14–24 June 2021</w:t>
      </w:r>
    </w:p>
    <w:p w14:paraId="00344F7B" w14:textId="1D047BA7" w:rsidR="00DC5E14" w:rsidRPr="00876189" w:rsidRDefault="00DC5E14" w:rsidP="00DC5E14">
      <w:pPr>
        <w:pStyle w:val="AATitle"/>
        <w:rPr>
          <w:b w:val="0"/>
          <w:bCs/>
        </w:rPr>
      </w:pPr>
      <w:r w:rsidRPr="00876189">
        <w:rPr>
          <w:b w:val="0"/>
          <w:bCs/>
        </w:rPr>
        <w:t>Item 7 (</w:t>
      </w:r>
      <w:r w:rsidR="0017509A" w:rsidRPr="00876189">
        <w:rPr>
          <w:b w:val="0"/>
          <w:bCs/>
        </w:rPr>
        <w:t>c</w:t>
      </w:r>
      <w:r w:rsidRPr="00876189">
        <w:rPr>
          <w:b w:val="0"/>
          <w:bCs/>
        </w:rPr>
        <w:t>) of the provisional agenda</w:t>
      </w:r>
      <w:r w:rsidR="00714F6B" w:rsidRPr="00876189">
        <w:rPr>
          <w:b w:val="0"/>
          <w:bCs/>
        </w:rPr>
        <w:footnoteReference w:customMarkFollows="1" w:id="1"/>
        <w:t>*</w:t>
      </w:r>
    </w:p>
    <w:p w14:paraId="71D9E3FE" w14:textId="035BE796" w:rsidR="00DC5E14" w:rsidRPr="00876189" w:rsidRDefault="00D80DBF" w:rsidP="00DC5E14">
      <w:pPr>
        <w:pStyle w:val="AATitle2"/>
      </w:pPr>
      <w:r>
        <w:t xml:space="preserve">Assessing knowledge: </w:t>
      </w:r>
      <w:r w:rsidR="009B1383">
        <w:t>w</w:t>
      </w:r>
      <w:r w:rsidR="00CA7CBD" w:rsidRPr="00876189">
        <w:t>ork related to the interlinkages between biodiversity and climate change and collaboration with the Intergovernmental Panel on Climate Change</w:t>
      </w:r>
    </w:p>
    <w:p w14:paraId="2709A5F4" w14:textId="77777777" w:rsidR="00333364" w:rsidRPr="00876189" w:rsidRDefault="00333364" w:rsidP="00333364">
      <w:pPr>
        <w:pStyle w:val="BBTitle"/>
      </w:pPr>
      <w:r w:rsidRPr="00876189">
        <w:t>Work on biodiversity and climate change and collaboration with the Intergovernmental Panel on Climate Change</w:t>
      </w:r>
    </w:p>
    <w:p w14:paraId="3830381D" w14:textId="4134ECBB" w:rsidR="00333364" w:rsidRPr="00866BAB" w:rsidRDefault="00333364" w:rsidP="00866BAB">
      <w:pPr>
        <w:pStyle w:val="CH2"/>
      </w:pPr>
      <w:r w:rsidRPr="00866BAB">
        <w:tab/>
      </w:r>
      <w:r w:rsidRPr="00866BAB">
        <w:tab/>
        <w:t xml:space="preserve">Note by the secretariat </w:t>
      </w:r>
    </w:p>
    <w:p w14:paraId="266A8FDC" w14:textId="489D2718" w:rsidR="009A44DB" w:rsidRPr="008633D6" w:rsidRDefault="00866BAB" w:rsidP="00866BAB">
      <w:pPr>
        <w:pStyle w:val="CH1"/>
      </w:pPr>
      <w:r>
        <w:tab/>
      </w:r>
      <w:r>
        <w:tab/>
      </w:r>
      <w:r w:rsidR="009A44DB" w:rsidRPr="008633D6">
        <w:t>Introduction</w:t>
      </w:r>
    </w:p>
    <w:p w14:paraId="2CE58C66" w14:textId="26F495EE" w:rsidR="00333364" w:rsidRPr="00397BC4" w:rsidRDefault="00333364" w:rsidP="00397BC4">
      <w:pPr>
        <w:pStyle w:val="Normalnumber"/>
      </w:pPr>
      <w:r w:rsidRPr="008633D6">
        <w:t>In</w:t>
      </w:r>
      <w:r w:rsidR="00060448" w:rsidRPr="008633D6">
        <w:t xml:space="preserve"> its</w:t>
      </w:r>
      <w:r w:rsidRPr="008633D6">
        <w:t xml:space="preserve"> decision IPBES-7/1, the Plenary of the Intergovernmental Science-Policy Platform on Biodiversity and</w:t>
      </w:r>
      <w:r w:rsidRPr="00F93BF9">
        <w:t xml:space="preserve"> Ecosystem Services (IPBES) adopted the rolling work programme of IPBES </w:t>
      </w:r>
      <w:r w:rsidR="00723C1C" w:rsidRPr="00F93BF9">
        <w:t xml:space="preserve">for the period </w:t>
      </w:r>
      <w:r w:rsidRPr="00F93BF9">
        <w:t>up to 2030. Under</w:t>
      </w:r>
      <w:r w:rsidRPr="00397BC4">
        <w:t xml:space="preserve"> objective </w:t>
      </w:r>
      <w:r w:rsidR="0018399A">
        <w:t>1</w:t>
      </w:r>
      <w:r w:rsidRPr="00397BC4">
        <w:t xml:space="preserve"> of the </w:t>
      </w:r>
      <w:r w:rsidR="005F6EC0">
        <w:t>rolling</w:t>
      </w:r>
      <w:r w:rsidR="005F6EC0" w:rsidRPr="00397BC4">
        <w:t xml:space="preserve"> </w:t>
      </w:r>
      <w:r w:rsidRPr="00397BC4">
        <w:t>work programme</w:t>
      </w:r>
      <w:r w:rsidR="005F6EC0">
        <w:t xml:space="preserve"> up to 2030</w:t>
      </w:r>
      <w:r w:rsidRPr="00397BC4">
        <w:t>, assessing knowledge, the Plenary included four deliverables, including a technical paper on the interlinkage</w:t>
      </w:r>
      <w:r w:rsidR="00B57193">
        <w:t>s</w:t>
      </w:r>
      <w:r w:rsidRPr="00397BC4">
        <w:t xml:space="preserve"> between biodiversity and climate change. </w:t>
      </w:r>
    </w:p>
    <w:p w14:paraId="7D47F30D" w14:textId="073DA3CF" w:rsidR="00333364" w:rsidRPr="00397BC4" w:rsidRDefault="00333364" w:rsidP="00397BC4">
      <w:pPr>
        <w:pStyle w:val="Normalnumber"/>
        <w:rPr>
          <w:rFonts w:eastAsiaTheme="minorEastAsia"/>
        </w:rPr>
      </w:pPr>
      <w:r w:rsidRPr="00397BC4">
        <w:rPr>
          <w:rFonts w:eastAsiaTheme="minorEastAsia"/>
        </w:rPr>
        <w:t>In the same decision, the Plenary agreed to the preparation of a technical paper on biodiversity and climate change based on the material refer</w:t>
      </w:r>
      <w:r w:rsidR="004E3C36">
        <w:rPr>
          <w:rFonts w:eastAsiaTheme="minorEastAsia"/>
        </w:rPr>
        <w:t>red to</w:t>
      </w:r>
      <w:r w:rsidRPr="00397BC4">
        <w:rPr>
          <w:rFonts w:eastAsiaTheme="minorEastAsia"/>
        </w:rPr>
        <w:t xml:space="preserve"> or </w:t>
      </w:r>
      <w:r w:rsidRPr="00183973">
        <w:rPr>
          <w:rFonts w:eastAsiaTheme="minorEastAsia"/>
        </w:rPr>
        <w:t xml:space="preserve">contained in the assessment reports of IPBES and, on an exceptional basis, </w:t>
      </w:r>
      <w:r w:rsidR="0055096A" w:rsidRPr="00183973">
        <w:rPr>
          <w:rFonts w:eastAsiaTheme="minorEastAsia"/>
        </w:rPr>
        <w:t xml:space="preserve">the </w:t>
      </w:r>
      <w:r w:rsidRPr="00183973">
        <w:rPr>
          <w:rFonts w:eastAsiaTheme="minorEastAsia"/>
        </w:rPr>
        <w:t>assessment reports of the Intergovernmental Panel on Climate Change (IPCC)</w:t>
      </w:r>
      <w:r w:rsidR="00183973" w:rsidRPr="00183973">
        <w:rPr>
          <w:rFonts w:eastAsiaTheme="minorEastAsia"/>
        </w:rPr>
        <w:t>. The paper would</w:t>
      </w:r>
      <w:r w:rsidRPr="006710F8">
        <w:rPr>
          <w:rFonts w:eastAsiaTheme="minorEastAsia"/>
        </w:rPr>
        <w:t xml:space="preserve"> inform</w:t>
      </w:r>
      <w:r w:rsidRPr="00183973">
        <w:rPr>
          <w:rFonts w:eastAsiaTheme="minorEastAsia"/>
        </w:rPr>
        <w:t xml:space="preserve"> the Conference of the Parties to the Convention on Biological Diversity at its </w:t>
      </w:r>
      <w:r w:rsidR="00B72891" w:rsidRPr="00EA2897">
        <w:rPr>
          <w:rFonts w:eastAsiaTheme="minorEastAsia"/>
        </w:rPr>
        <w:t>fifteen</w:t>
      </w:r>
      <w:r w:rsidRPr="00EA2897">
        <w:rPr>
          <w:rFonts w:eastAsiaTheme="minorEastAsia"/>
        </w:rPr>
        <w:t xml:space="preserve">th meeting and the Conference of the Parties to the United Nations Framework Convention on Climate Change at its </w:t>
      </w:r>
      <w:r w:rsidR="00B72891" w:rsidRPr="00EA2897">
        <w:rPr>
          <w:rFonts w:eastAsiaTheme="minorEastAsia"/>
        </w:rPr>
        <w:t>twenty</w:t>
      </w:r>
      <w:r w:rsidR="00B72891">
        <w:rPr>
          <w:rFonts w:eastAsiaTheme="minorEastAsia"/>
        </w:rPr>
        <w:t>-six</w:t>
      </w:r>
      <w:r w:rsidRPr="00397BC4">
        <w:rPr>
          <w:rFonts w:eastAsiaTheme="minorEastAsia"/>
        </w:rPr>
        <w:t xml:space="preserve">th session, </w:t>
      </w:r>
      <w:r w:rsidR="00183973">
        <w:rPr>
          <w:rFonts w:eastAsiaTheme="minorEastAsia"/>
        </w:rPr>
        <w:t xml:space="preserve">among others, </w:t>
      </w:r>
      <w:r w:rsidRPr="00397BC4">
        <w:rPr>
          <w:rFonts w:eastAsiaTheme="minorEastAsia"/>
        </w:rPr>
        <w:t>with the technical paper to be produced in accordance with the clearance processes for technical papers set out in the procedures for the preparation of Platform deliverables</w:t>
      </w:r>
      <w:r w:rsidRPr="0013637E">
        <w:rPr>
          <w:rFonts w:eastAsiaTheme="minorEastAsia"/>
          <w:vertAlign w:val="superscript"/>
        </w:rPr>
        <w:footnoteReference w:id="2"/>
      </w:r>
      <w:r w:rsidRPr="0013637E">
        <w:rPr>
          <w:rFonts w:eastAsiaTheme="minorEastAsia"/>
          <w:vertAlign w:val="superscript"/>
        </w:rPr>
        <w:t xml:space="preserve"> </w:t>
      </w:r>
      <w:r w:rsidRPr="00397BC4">
        <w:rPr>
          <w:rFonts w:eastAsiaTheme="minorEastAsia"/>
        </w:rPr>
        <w:t>and based on the concept note for the technical paper.</w:t>
      </w:r>
      <w:r w:rsidRPr="0013637E">
        <w:rPr>
          <w:rFonts w:eastAsiaTheme="minorEastAsia"/>
          <w:vertAlign w:val="superscript"/>
        </w:rPr>
        <w:footnoteReference w:id="3"/>
      </w:r>
      <w:r w:rsidRPr="00397BC4">
        <w:rPr>
          <w:rFonts w:eastAsiaTheme="minorEastAsia"/>
        </w:rPr>
        <w:t xml:space="preserve"> </w:t>
      </w:r>
    </w:p>
    <w:p w14:paraId="4C443D4C" w14:textId="68444107" w:rsidR="00333364" w:rsidRPr="00397BC4" w:rsidRDefault="00333364" w:rsidP="00397BC4">
      <w:pPr>
        <w:pStyle w:val="Normalnumber"/>
        <w:rPr>
          <w:rFonts w:eastAsiaTheme="minorEastAsia"/>
        </w:rPr>
      </w:pPr>
      <w:r w:rsidRPr="00397BC4">
        <w:rPr>
          <w:rFonts w:eastAsiaTheme="minorEastAsia"/>
        </w:rPr>
        <w:t>To th</w:t>
      </w:r>
      <w:r w:rsidR="00DF67E8">
        <w:rPr>
          <w:rFonts w:eastAsiaTheme="minorEastAsia"/>
        </w:rPr>
        <w:t>at</w:t>
      </w:r>
      <w:r w:rsidRPr="00397BC4">
        <w:rPr>
          <w:rFonts w:eastAsiaTheme="minorEastAsia"/>
        </w:rPr>
        <w:t xml:space="preserve"> end, the Plenary requested the Executive Secretary to explore with the secretariat of IPCC possible joint activities </w:t>
      </w:r>
      <w:r w:rsidR="004E3C36">
        <w:rPr>
          <w:rFonts w:eastAsiaTheme="minorEastAsia"/>
        </w:rPr>
        <w:t>relating to</w:t>
      </w:r>
      <w:r w:rsidRPr="00397BC4">
        <w:rPr>
          <w:rFonts w:eastAsiaTheme="minorEastAsia"/>
        </w:rPr>
        <w:t xml:space="preserve"> biodiversity and climate change, including the possibility of jointly preparing the technical paper mentioned above, and to report on the discussions on further options for potential joint activities and deliverables related to biodiversity and ecosystem services and climate change, with reference to the</w:t>
      </w:r>
      <w:r w:rsidR="004E3C36">
        <w:rPr>
          <w:rFonts w:eastAsiaTheme="minorEastAsia"/>
        </w:rPr>
        <w:t>ir</w:t>
      </w:r>
      <w:r w:rsidRPr="00397BC4">
        <w:rPr>
          <w:rFonts w:eastAsiaTheme="minorEastAsia"/>
        </w:rPr>
        <w:t xml:space="preserve"> time and resource implications, to the Plenary at its eighth session</w:t>
      </w:r>
      <w:r w:rsidR="004E3C36">
        <w:rPr>
          <w:rFonts w:eastAsiaTheme="minorEastAsia"/>
        </w:rPr>
        <w:t>. The Plenar</w:t>
      </w:r>
      <w:r w:rsidR="0013637E">
        <w:rPr>
          <w:rFonts w:eastAsiaTheme="minorEastAsia"/>
        </w:rPr>
        <w:t>y</w:t>
      </w:r>
      <w:r w:rsidRPr="00397BC4">
        <w:rPr>
          <w:rFonts w:eastAsiaTheme="minorEastAsia"/>
        </w:rPr>
        <w:t xml:space="preserve"> also requested the Executive Secretary to transmit the decision to the secretariat of the Panel in a timely manner. </w:t>
      </w:r>
    </w:p>
    <w:p w14:paraId="70F064F2" w14:textId="5E862CC4" w:rsidR="00333364" w:rsidRPr="00397BC4" w:rsidRDefault="005D7D51" w:rsidP="00397BC4">
      <w:pPr>
        <w:pStyle w:val="Normalnumber"/>
        <w:rPr>
          <w:rFonts w:eastAsiaTheme="minorEastAsia"/>
        </w:rPr>
      </w:pPr>
      <w:r>
        <w:rPr>
          <w:rFonts w:eastAsiaTheme="minorEastAsia"/>
        </w:rPr>
        <w:t>S</w:t>
      </w:r>
      <w:r w:rsidR="00333364" w:rsidRPr="00397BC4">
        <w:rPr>
          <w:rFonts w:eastAsiaTheme="minorEastAsia"/>
        </w:rPr>
        <w:t>ection</w:t>
      </w:r>
      <w:r>
        <w:rPr>
          <w:rFonts w:eastAsiaTheme="minorEastAsia"/>
        </w:rPr>
        <w:t xml:space="preserve"> I </w:t>
      </w:r>
      <w:r w:rsidR="00E672AE">
        <w:rPr>
          <w:rFonts w:eastAsiaTheme="minorEastAsia"/>
        </w:rPr>
        <w:t>of the present note</w:t>
      </w:r>
      <w:r w:rsidR="00333364" w:rsidRPr="00397BC4">
        <w:rPr>
          <w:rFonts w:eastAsiaTheme="minorEastAsia"/>
        </w:rPr>
        <w:t xml:space="preserve"> set</w:t>
      </w:r>
      <w:r>
        <w:rPr>
          <w:rFonts w:eastAsiaTheme="minorEastAsia"/>
        </w:rPr>
        <w:t>s</w:t>
      </w:r>
      <w:r w:rsidR="00333364" w:rsidRPr="00397BC4">
        <w:rPr>
          <w:rFonts w:eastAsiaTheme="minorEastAsia"/>
        </w:rPr>
        <w:t xml:space="preserve"> out information on the workshop on biodiversity and climate change </w:t>
      </w:r>
      <w:r w:rsidR="00333364" w:rsidRPr="00183973">
        <w:rPr>
          <w:rFonts w:eastAsiaTheme="minorEastAsia"/>
        </w:rPr>
        <w:t>co-sponsored by IPBES and IPCC</w:t>
      </w:r>
      <w:r w:rsidRPr="00183973">
        <w:rPr>
          <w:rFonts w:eastAsiaTheme="minorEastAsia"/>
        </w:rPr>
        <w:t xml:space="preserve">, </w:t>
      </w:r>
      <w:r w:rsidR="00E672AE" w:rsidRPr="006710F8">
        <w:rPr>
          <w:rFonts w:eastAsiaTheme="minorEastAsia"/>
        </w:rPr>
        <w:t>while</w:t>
      </w:r>
      <w:r w:rsidRPr="006710F8">
        <w:rPr>
          <w:rFonts w:eastAsiaTheme="minorEastAsia"/>
        </w:rPr>
        <w:t xml:space="preserve"> section II </w:t>
      </w:r>
      <w:r w:rsidR="00E672AE" w:rsidRPr="006710F8">
        <w:rPr>
          <w:rFonts w:eastAsiaTheme="minorEastAsia"/>
        </w:rPr>
        <w:t>describes</w:t>
      </w:r>
      <w:r w:rsidR="00333364" w:rsidRPr="00EA2897">
        <w:rPr>
          <w:rFonts w:eastAsiaTheme="minorEastAsia"/>
        </w:rPr>
        <w:t xml:space="preserve"> potential forms of collaboration with IPCC. </w:t>
      </w:r>
      <w:r w:rsidR="00333364" w:rsidRPr="00EA2897">
        <w:t>A draft decision on th</w:t>
      </w:r>
      <w:r w:rsidR="00406675" w:rsidRPr="00EA2897">
        <w:t>o</w:t>
      </w:r>
      <w:r w:rsidR="00333364" w:rsidRPr="00EA2897">
        <w:t>se matters is set out in the note by the secretariat on draft decisions for the eighth session of the Plenary (</w:t>
      </w:r>
      <w:r w:rsidR="00333364" w:rsidRPr="002F4324">
        <w:t>IPBES/8/1/Add.2</w:t>
      </w:r>
      <w:r w:rsidR="00333364" w:rsidRPr="00183973">
        <w:t>).</w:t>
      </w:r>
    </w:p>
    <w:p w14:paraId="515D9E09" w14:textId="6893D87B" w:rsidR="00333364" w:rsidRPr="00FA748A" w:rsidRDefault="007A4E26" w:rsidP="00FA748A">
      <w:pPr>
        <w:pStyle w:val="CH1"/>
      </w:pPr>
      <w:bookmarkStart w:id="0" w:name="_Toc515963418"/>
      <w:r w:rsidRPr="00FA748A">
        <w:lastRenderedPageBreak/>
        <w:tab/>
        <w:t>I.</w:t>
      </w:r>
      <w:r w:rsidRPr="00FA748A">
        <w:tab/>
      </w:r>
      <w:r w:rsidR="00333364" w:rsidRPr="00FA748A">
        <w:t>Co-sponsored workshop on biodiversity and climate change</w:t>
      </w:r>
    </w:p>
    <w:p w14:paraId="0F849E82" w14:textId="4F32A84B" w:rsidR="00333364" w:rsidRPr="00876189" w:rsidRDefault="00333364" w:rsidP="00397BC4">
      <w:pPr>
        <w:pStyle w:val="Normalnumber"/>
        <w:rPr>
          <w:rFonts w:eastAsia="MS Mincho"/>
        </w:rPr>
      </w:pPr>
      <w:bookmarkStart w:id="1" w:name="_Toc29492201"/>
      <w:r w:rsidRPr="00876189">
        <w:rPr>
          <w:rFonts w:eastAsia="MS Mincho"/>
        </w:rPr>
        <w:t>The Executive Secretary of IPBES transmitted the</w:t>
      </w:r>
      <w:r w:rsidR="003C1153">
        <w:rPr>
          <w:rFonts w:eastAsia="MS Mincho"/>
        </w:rPr>
        <w:t xml:space="preserve"> relevant elements of</w:t>
      </w:r>
      <w:r w:rsidR="00582AA3">
        <w:rPr>
          <w:rFonts w:eastAsia="MS Mincho"/>
        </w:rPr>
        <w:t xml:space="preserve"> </w:t>
      </w:r>
      <w:r w:rsidRPr="00876189">
        <w:rPr>
          <w:rFonts w:eastAsia="MS Mincho"/>
        </w:rPr>
        <w:t>decision</w:t>
      </w:r>
      <w:r w:rsidR="003C1153">
        <w:rPr>
          <w:rFonts w:eastAsia="MS Mincho"/>
        </w:rPr>
        <w:t xml:space="preserve"> IPBES-7/1</w:t>
      </w:r>
      <w:r w:rsidR="005D7D51">
        <w:rPr>
          <w:rFonts w:eastAsia="MS Mincho"/>
        </w:rPr>
        <w:t xml:space="preserve"> </w:t>
      </w:r>
      <w:r w:rsidRPr="00876189">
        <w:rPr>
          <w:rFonts w:eastAsia="MS Mincho"/>
        </w:rPr>
        <w:t xml:space="preserve">to the IPCC Secretary on 5 May 2019, </w:t>
      </w:r>
      <w:r w:rsidR="003E258C">
        <w:rPr>
          <w:rFonts w:eastAsia="MS Mincho"/>
        </w:rPr>
        <w:t>prior to</w:t>
      </w:r>
      <w:r w:rsidRPr="00876189">
        <w:rPr>
          <w:rFonts w:eastAsia="MS Mincho"/>
        </w:rPr>
        <w:t xml:space="preserve"> the </w:t>
      </w:r>
      <w:r w:rsidR="006E509F">
        <w:rPr>
          <w:rFonts w:eastAsia="MS Mincho"/>
        </w:rPr>
        <w:t>forty-nin</w:t>
      </w:r>
      <w:r w:rsidRPr="00876189">
        <w:rPr>
          <w:rFonts w:eastAsia="MS Mincho"/>
        </w:rPr>
        <w:t xml:space="preserve">th </w:t>
      </w:r>
      <w:r w:rsidR="007667E1">
        <w:rPr>
          <w:rFonts w:eastAsia="MS Mincho"/>
        </w:rPr>
        <w:t>s</w:t>
      </w:r>
      <w:r w:rsidRPr="00876189">
        <w:rPr>
          <w:rFonts w:eastAsia="MS Mincho"/>
        </w:rPr>
        <w:t xml:space="preserve">ession of IPCC, held </w:t>
      </w:r>
      <w:r w:rsidR="008826DE">
        <w:rPr>
          <w:rFonts w:eastAsia="MS Mincho"/>
        </w:rPr>
        <w:t xml:space="preserve">in Kyoto, Japan, </w:t>
      </w:r>
      <w:r w:rsidRPr="00876189">
        <w:rPr>
          <w:rFonts w:eastAsia="MS Mincho"/>
        </w:rPr>
        <w:t xml:space="preserve">from 8 to 12 May 2019. </w:t>
      </w:r>
    </w:p>
    <w:p w14:paraId="6DC18F88" w14:textId="7D890A58" w:rsidR="00333364" w:rsidRPr="00876189" w:rsidRDefault="00333364" w:rsidP="00397BC4">
      <w:pPr>
        <w:pStyle w:val="Normalnumber"/>
        <w:rPr>
          <w:rFonts w:eastAsia="MS Mincho"/>
        </w:rPr>
      </w:pPr>
      <w:r w:rsidRPr="00876189">
        <w:rPr>
          <w:rFonts w:eastAsia="MS Mincho"/>
        </w:rPr>
        <w:t>During th</w:t>
      </w:r>
      <w:r w:rsidR="002C320D">
        <w:rPr>
          <w:rFonts w:eastAsia="MS Mincho"/>
        </w:rPr>
        <w:t>e forty-ninth</w:t>
      </w:r>
      <w:r w:rsidRPr="00876189">
        <w:rPr>
          <w:rFonts w:eastAsia="MS Mincho"/>
        </w:rPr>
        <w:t xml:space="preserve"> session of IPCC, some Governments raised the issue of collaboration between IPCC and IPBES, but no decision </w:t>
      </w:r>
      <w:r w:rsidR="0084583C">
        <w:rPr>
          <w:rFonts w:eastAsia="MS Mincho"/>
        </w:rPr>
        <w:t xml:space="preserve">was taken by the Panel </w:t>
      </w:r>
      <w:r w:rsidRPr="00876189">
        <w:rPr>
          <w:rFonts w:eastAsia="MS Mincho"/>
        </w:rPr>
        <w:t xml:space="preserve">on the matter. </w:t>
      </w:r>
    </w:p>
    <w:p w14:paraId="35AC37FD" w14:textId="1A29744D" w:rsidR="00333364" w:rsidRPr="00876189" w:rsidRDefault="00333364" w:rsidP="00397BC4">
      <w:pPr>
        <w:pStyle w:val="Normalnumber"/>
        <w:rPr>
          <w:rFonts w:eastAsia="MS Mincho"/>
        </w:rPr>
      </w:pPr>
      <w:r w:rsidRPr="00876189">
        <w:rPr>
          <w:rFonts w:eastAsia="MS Mincho"/>
        </w:rPr>
        <w:t xml:space="preserve">At its </w:t>
      </w:r>
      <w:r w:rsidR="002C320D">
        <w:rPr>
          <w:rFonts w:eastAsia="MS Mincho"/>
        </w:rPr>
        <w:t>fiftie</w:t>
      </w:r>
      <w:r w:rsidRPr="00876189">
        <w:rPr>
          <w:rFonts w:eastAsia="MS Mincho"/>
        </w:rPr>
        <w:t xml:space="preserve">th </w:t>
      </w:r>
      <w:r w:rsidR="002C320D">
        <w:rPr>
          <w:rFonts w:eastAsia="MS Mincho"/>
        </w:rPr>
        <w:t>s</w:t>
      </w:r>
      <w:r w:rsidRPr="00876189">
        <w:rPr>
          <w:rFonts w:eastAsia="MS Mincho"/>
        </w:rPr>
        <w:t>ession</w:t>
      </w:r>
      <w:r w:rsidR="002C320D">
        <w:rPr>
          <w:rFonts w:eastAsia="MS Mincho"/>
        </w:rPr>
        <w:t xml:space="preserve">, held </w:t>
      </w:r>
      <w:r w:rsidR="00EE61C4">
        <w:rPr>
          <w:rFonts w:eastAsia="MS Mincho"/>
        </w:rPr>
        <w:t xml:space="preserve">in Geneva </w:t>
      </w:r>
      <w:r w:rsidR="002C320D">
        <w:rPr>
          <w:rFonts w:eastAsia="MS Mincho"/>
        </w:rPr>
        <w:t xml:space="preserve">from </w:t>
      </w:r>
      <w:r w:rsidRPr="00876189">
        <w:rPr>
          <w:rFonts w:eastAsia="MS Mincho"/>
        </w:rPr>
        <w:t>2</w:t>
      </w:r>
      <w:r w:rsidR="002C320D">
        <w:rPr>
          <w:rFonts w:eastAsia="MS Mincho"/>
        </w:rPr>
        <w:t xml:space="preserve"> to </w:t>
      </w:r>
      <w:r w:rsidRPr="00876189">
        <w:rPr>
          <w:rFonts w:eastAsia="MS Mincho"/>
        </w:rPr>
        <w:t xml:space="preserve">6 August 2019, IPCC considered </w:t>
      </w:r>
      <w:r w:rsidR="00A82840">
        <w:rPr>
          <w:rFonts w:eastAsia="MS Mincho"/>
        </w:rPr>
        <w:t xml:space="preserve">the matter of </w:t>
      </w:r>
      <w:r w:rsidRPr="00876189">
        <w:rPr>
          <w:rFonts w:eastAsia="MS Mincho"/>
        </w:rPr>
        <w:t xml:space="preserve">collaboration between the </w:t>
      </w:r>
      <w:r w:rsidRPr="002C320D">
        <w:rPr>
          <w:rFonts w:eastAsia="MS Mincho"/>
        </w:rPr>
        <w:t>Panel</w:t>
      </w:r>
      <w:r w:rsidRPr="00876189">
        <w:rPr>
          <w:rFonts w:eastAsia="MS Mincho"/>
        </w:rPr>
        <w:t xml:space="preserve"> and IPBES under item </w:t>
      </w:r>
      <w:r w:rsidR="0099256F">
        <w:rPr>
          <w:rFonts w:eastAsia="MS Mincho"/>
        </w:rPr>
        <w:t>5</w:t>
      </w:r>
      <w:r w:rsidRPr="00876189">
        <w:rPr>
          <w:rFonts w:eastAsia="MS Mincho"/>
        </w:rPr>
        <w:t xml:space="preserve"> of its agenda, </w:t>
      </w:r>
      <w:r w:rsidR="00EB3EDA">
        <w:rPr>
          <w:rFonts w:eastAsia="MS Mincho"/>
        </w:rPr>
        <w:t>“A</w:t>
      </w:r>
      <w:r w:rsidRPr="00876189">
        <w:rPr>
          <w:rFonts w:eastAsia="MS Mincho"/>
        </w:rPr>
        <w:t>ny other business</w:t>
      </w:r>
      <w:r w:rsidR="00EB3EDA">
        <w:rPr>
          <w:rFonts w:eastAsia="MS Mincho"/>
        </w:rPr>
        <w:t>”</w:t>
      </w:r>
      <w:r w:rsidRPr="00876189">
        <w:rPr>
          <w:rFonts w:eastAsia="MS Mincho"/>
        </w:rPr>
        <w:t>. The Deputy Secretary of IPCC recalled the decision by the IPBES Plenary and noted that</w:t>
      </w:r>
      <w:r w:rsidR="006C7D58">
        <w:rPr>
          <w:rFonts w:eastAsia="MS Mincho"/>
        </w:rPr>
        <w:t>,</w:t>
      </w:r>
      <w:r w:rsidRPr="00876189">
        <w:rPr>
          <w:rFonts w:eastAsia="MS Mincho"/>
        </w:rPr>
        <w:t xml:space="preserve"> while there was much</w:t>
      </w:r>
      <w:r w:rsidR="000A1D5A">
        <w:rPr>
          <w:rFonts w:eastAsia="MS Mincho"/>
        </w:rPr>
        <w:t xml:space="preserve"> scope for and</w:t>
      </w:r>
      <w:r w:rsidRPr="00876189">
        <w:rPr>
          <w:rFonts w:eastAsia="MS Mincho"/>
        </w:rPr>
        <w:t xml:space="preserve"> interest </w:t>
      </w:r>
      <w:r w:rsidR="006C7D58">
        <w:rPr>
          <w:rFonts w:eastAsia="MS Mincho"/>
        </w:rPr>
        <w:t xml:space="preserve">in </w:t>
      </w:r>
      <w:r w:rsidRPr="00876189">
        <w:rPr>
          <w:rFonts w:eastAsia="MS Mincho"/>
        </w:rPr>
        <w:t>increas</w:t>
      </w:r>
      <w:r w:rsidR="006C7D58">
        <w:rPr>
          <w:rFonts w:eastAsia="MS Mincho"/>
        </w:rPr>
        <w:t>ing</w:t>
      </w:r>
      <w:r w:rsidRPr="00876189">
        <w:rPr>
          <w:rFonts w:eastAsia="MS Mincho"/>
        </w:rPr>
        <w:t xml:space="preserve"> </w:t>
      </w:r>
      <w:r w:rsidRPr="00397BC4">
        <w:t>collaboration</w:t>
      </w:r>
      <w:r w:rsidRPr="00876189">
        <w:rPr>
          <w:rFonts w:eastAsia="MS Mincho"/>
        </w:rPr>
        <w:t xml:space="preserve"> between IPBES and the Panel in line with the decision by the Plenary, the timeline of the work made it extremely challenging for the Panel. The Chair of IPCC concluded by referring the matter </w:t>
      </w:r>
      <w:r w:rsidR="000A1D5A">
        <w:rPr>
          <w:rFonts w:eastAsia="MS Mincho"/>
        </w:rPr>
        <w:t>to</w:t>
      </w:r>
      <w:r w:rsidR="000A1D5A" w:rsidRPr="00876189">
        <w:rPr>
          <w:rFonts w:eastAsia="MS Mincho"/>
        </w:rPr>
        <w:t xml:space="preserve"> </w:t>
      </w:r>
      <w:r w:rsidRPr="00876189">
        <w:rPr>
          <w:rFonts w:eastAsia="MS Mincho"/>
        </w:rPr>
        <w:t xml:space="preserve">the </w:t>
      </w:r>
      <w:r w:rsidR="009E53A1">
        <w:rPr>
          <w:rFonts w:eastAsia="MS Mincho"/>
        </w:rPr>
        <w:t>s</w:t>
      </w:r>
      <w:r w:rsidRPr="00876189">
        <w:rPr>
          <w:rFonts w:eastAsia="MS Mincho"/>
        </w:rPr>
        <w:t xml:space="preserve">ecretariat of the Panel </w:t>
      </w:r>
      <w:r w:rsidR="000A1D5A" w:rsidRPr="00876189">
        <w:rPr>
          <w:rFonts w:eastAsia="MS Mincho"/>
        </w:rPr>
        <w:t>for further preparation</w:t>
      </w:r>
      <w:r w:rsidR="00C5289F">
        <w:rPr>
          <w:rFonts w:eastAsia="MS Mincho"/>
        </w:rPr>
        <w:t>,</w:t>
      </w:r>
      <w:r w:rsidR="000A1D5A" w:rsidRPr="00876189">
        <w:rPr>
          <w:rFonts w:eastAsia="MS Mincho"/>
        </w:rPr>
        <w:t xml:space="preserve"> </w:t>
      </w:r>
      <w:r w:rsidRPr="00876189">
        <w:rPr>
          <w:rFonts w:eastAsia="MS Mincho"/>
        </w:rPr>
        <w:t>in consultation with the IPBES secretariat</w:t>
      </w:r>
      <w:r w:rsidR="00A30C83">
        <w:rPr>
          <w:rFonts w:eastAsia="MS Mincho"/>
        </w:rPr>
        <w:t>, with the results</w:t>
      </w:r>
      <w:r w:rsidRPr="00876189">
        <w:rPr>
          <w:rFonts w:eastAsia="MS Mincho"/>
        </w:rPr>
        <w:t xml:space="preserve"> </w:t>
      </w:r>
      <w:r w:rsidR="000A1D5A">
        <w:rPr>
          <w:rFonts w:eastAsia="MS Mincho"/>
        </w:rPr>
        <w:t>to be presented to</w:t>
      </w:r>
      <w:r w:rsidRPr="00876189">
        <w:rPr>
          <w:rFonts w:eastAsia="MS Mincho"/>
        </w:rPr>
        <w:t xml:space="preserve"> </w:t>
      </w:r>
      <w:r w:rsidR="00607E7A">
        <w:rPr>
          <w:rFonts w:eastAsia="MS Mincho"/>
        </w:rPr>
        <w:t xml:space="preserve">the </w:t>
      </w:r>
      <w:r w:rsidR="00E14745">
        <w:rPr>
          <w:rFonts w:eastAsia="MS Mincho"/>
        </w:rPr>
        <w:t xml:space="preserve">IPCC Bureau </w:t>
      </w:r>
      <w:r w:rsidR="00607E7A">
        <w:rPr>
          <w:rFonts w:eastAsia="MS Mincho"/>
        </w:rPr>
        <w:t xml:space="preserve">for its consideration </w:t>
      </w:r>
      <w:r w:rsidR="00E14745">
        <w:rPr>
          <w:rFonts w:eastAsia="MS Mincho"/>
        </w:rPr>
        <w:t xml:space="preserve">at its </w:t>
      </w:r>
      <w:r w:rsidR="00B275E7">
        <w:rPr>
          <w:rFonts w:eastAsia="MS Mincho"/>
        </w:rPr>
        <w:t>fifty-seven</w:t>
      </w:r>
      <w:r w:rsidRPr="00876189">
        <w:rPr>
          <w:rFonts w:eastAsia="MS Mincho"/>
        </w:rPr>
        <w:t xml:space="preserve">th </w:t>
      </w:r>
      <w:r w:rsidR="00B275E7">
        <w:rPr>
          <w:rFonts w:eastAsia="MS Mincho"/>
        </w:rPr>
        <w:t>s</w:t>
      </w:r>
      <w:r w:rsidRPr="00876189">
        <w:rPr>
          <w:rFonts w:eastAsia="MS Mincho"/>
        </w:rPr>
        <w:t>ession</w:t>
      </w:r>
      <w:r w:rsidR="003A6664">
        <w:rPr>
          <w:rFonts w:eastAsia="MS Mincho"/>
        </w:rPr>
        <w:t>,</w:t>
      </w:r>
      <w:r w:rsidR="00A30C83">
        <w:rPr>
          <w:rFonts w:eastAsia="MS Mincho"/>
        </w:rPr>
        <w:t xml:space="preserve"> </w:t>
      </w:r>
      <w:r w:rsidR="00607E7A">
        <w:rPr>
          <w:rFonts w:eastAsia="MS Mincho"/>
        </w:rPr>
        <w:t xml:space="preserve">held in Singapore </w:t>
      </w:r>
      <w:r w:rsidR="003A6664">
        <w:rPr>
          <w:rFonts w:eastAsia="MS Mincho"/>
        </w:rPr>
        <w:t xml:space="preserve">on </w:t>
      </w:r>
      <w:r w:rsidR="003A6664" w:rsidRPr="00876189">
        <w:rPr>
          <w:rFonts w:eastAsia="MS Mincho"/>
        </w:rPr>
        <w:t>24</w:t>
      </w:r>
      <w:r w:rsidR="003A6664">
        <w:rPr>
          <w:rFonts w:eastAsia="MS Mincho"/>
        </w:rPr>
        <w:t xml:space="preserve"> and </w:t>
      </w:r>
      <w:r w:rsidR="003A6664" w:rsidRPr="00876189">
        <w:rPr>
          <w:rFonts w:eastAsia="MS Mincho"/>
        </w:rPr>
        <w:t>25 October 2019</w:t>
      </w:r>
      <w:r w:rsidRPr="00876189">
        <w:rPr>
          <w:rFonts w:eastAsia="MS Mincho"/>
        </w:rPr>
        <w:t xml:space="preserve">. </w:t>
      </w:r>
    </w:p>
    <w:p w14:paraId="2AECA7D3" w14:textId="334E8DED" w:rsidR="00333364" w:rsidRPr="00397BC4" w:rsidRDefault="00427227" w:rsidP="00397BC4">
      <w:pPr>
        <w:pStyle w:val="Normalnumber"/>
      </w:pPr>
      <w:r>
        <w:t>After</w:t>
      </w:r>
      <w:r w:rsidR="00333364" w:rsidRPr="00397BC4">
        <w:t xml:space="preserve"> informal consultations, in which the option of a co-sponsored workshop emerged as a possible compromise, the IPBES Bureau considered the matter. The IPBES Bureau concluded that</w:t>
      </w:r>
      <w:r w:rsidR="00A24C27">
        <w:t xml:space="preserve"> </w:t>
      </w:r>
      <w:r w:rsidR="00333364" w:rsidRPr="00397BC4">
        <w:t>the option of a joint technical paper was not feasible</w:t>
      </w:r>
      <w:r w:rsidR="00A24C27">
        <w:t>,</w:t>
      </w:r>
      <w:r w:rsidR="00333364" w:rsidRPr="00397BC4">
        <w:t xml:space="preserve"> </w:t>
      </w:r>
      <w:r w:rsidR="00A24C27">
        <w:t>owing to the</w:t>
      </w:r>
      <w:r w:rsidR="00333364" w:rsidRPr="00397BC4">
        <w:t xml:space="preserve"> workload of the Panel and considering that the IPBES Plenary decision required the </w:t>
      </w:r>
      <w:r w:rsidR="003A6664">
        <w:t xml:space="preserve">technical </w:t>
      </w:r>
      <w:r w:rsidR="00333364" w:rsidRPr="00397BC4">
        <w:t xml:space="preserve">paper to be available in time for the </w:t>
      </w:r>
      <w:r w:rsidR="00B01955">
        <w:t>fifteen</w:t>
      </w:r>
      <w:r w:rsidR="00333364" w:rsidRPr="00397BC4">
        <w:t>th meeting of the Conference of the Parties to the Convention on Biological Diversity</w:t>
      </w:r>
      <w:r w:rsidR="009B4192">
        <w:t>,</w:t>
      </w:r>
      <w:r w:rsidR="00333364" w:rsidRPr="00397BC4">
        <w:t xml:space="preserve"> which was scheduled to be held in October 2020, while the next opportunity for IPCC to approve the preparation of a joint technical paper would have been at its </w:t>
      </w:r>
      <w:r w:rsidR="00B01955">
        <w:t>fifty-seco</w:t>
      </w:r>
      <w:r w:rsidR="00333364" w:rsidRPr="00397BC4">
        <w:t xml:space="preserve">nd </w:t>
      </w:r>
      <w:r w:rsidR="007667E1">
        <w:t>s</w:t>
      </w:r>
      <w:r w:rsidR="00333364" w:rsidRPr="00397BC4">
        <w:t xml:space="preserve">ession, scheduled for February 2020. </w:t>
      </w:r>
    </w:p>
    <w:p w14:paraId="53EF04FF" w14:textId="5A419E73" w:rsidR="00333364" w:rsidRPr="00397BC4" w:rsidRDefault="00333364" w:rsidP="0078134B">
      <w:pPr>
        <w:pStyle w:val="Normalnumber"/>
      </w:pPr>
      <w:r w:rsidRPr="00397BC4">
        <w:t xml:space="preserve">The IPBES Bureau also concluded that the preparation of a technical paper by IPBES alone between October 2019 and September 2020 and  </w:t>
      </w:r>
      <w:r w:rsidR="00A62940">
        <w:t xml:space="preserve">the organization of a </w:t>
      </w:r>
      <w:r w:rsidR="00A74174" w:rsidRPr="00397BC4">
        <w:t>co-sponsored</w:t>
      </w:r>
      <w:r w:rsidR="00A74174">
        <w:t xml:space="preserve"> </w:t>
      </w:r>
      <w:r w:rsidR="00B01955">
        <w:t>workshop</w:t>
      </w:r>
      <w:r w:rsidRPr="00397BC4">
        <w:t xml:space="preserve"> </w:t>
      </w:r>
      <w:r w:rsidR="00A62940" w:rsidRPr="00397BC4">
        <w:t>in early 2020</w:t>
      </w:r>
      <w:r w:rsidR="00A62940">
        <w:t xml:space="preserve"> </w:t>
      </w:r>
      <w:r w:rsidR="00B01955">
        <w:t>could</w:t>
      </w:r>
      <w:r w:rsidRPr="00397BC4">
        <w:t xml:space="preserve"> </w:t>
      </w:r>
      <w:r w:rsidR="00A74174">
        <w:t>lead</w:t>
      </w:r>
      <w:r w:rsidRPr="00397BC4">
        <w:t xml:space="preserve"> to duplication of effort. The IPBES Bureau therefore agreed to the organization of a workshop </w:t>
      </w:r>
      <w:r w:rsidR="00031A82" w:rsidRPr="00397BC4">
        <w:t xml:space="preserve">co-sponsored </w:t>
      </w:r>
      <w:r w:rsidRPr="00397BC4">
        <w:t>with IPCC, in line with section 6.2 of the procedures for the preparation of Platform deliverables</w:t>
      </w:r>
      <w:r w:rsidR="00DA7BED">
        <w:t>,</w:t>
      </w:r>
      <w:r w:rsidR="00FA3C70">
        <w:t xml:space="preserve"> on co-sponsored workshops</w:t>
      </w:r>
      <w:r w:rsidRPr="00397BC4">
        <w:t xml:space="preserve">. </w:t>
      </w:r>
      <w:r w:rsidR="00031A82">
        <w:t>The Bureau</w:t>
      </w:r>
      <w:r w:rsidRPr="00397BC4">
        <w:t xml:space="preserve"> noted that the workshop report would contribute to the scoping </w:t>
      </w:r>
      <w:r w:rsidR="00C5289F">
        <w:t xml:space="preserve">process </w:t>
      </w:r>
      <w:r w:rsidR="00315379">
        <w:t>for</w:t>
      </w:r>
      <w:r w:rsidRPr="00397BC4">
        <w:t xml:space="preserve"> </w:t>
      </w:r>
      <w:r w:rsidR="003C1153">
        <w:t xml:space="preserve">and feed into </w:t>
      </w:r>
      <w:r w:rsidRPr="00397BC4">
        <w:t xml:space="preserve">the IPBES assessment of the interlinkages among biodiversity, water, food and health that </w:t>
      </w:r>
      <w:r w:rsidR="002C57BE">
        <w:t>wa</w:t>
      </w:r>
      <w:r w:rsidRPr="00397BC4">
        <w:t>s part of the IPBES rolling work programme up to 2030, approved in decision IPBES-7/1.</w:t>
      </w:r>
      <w:r w:rsidR="00A74174">
        <w:t xml:space="preserve"> </w:t>
      </w:r>
    </w:p>
    <w:p w14:paraId="139F7F15" w14:textId="380D5752" w:rsidR="00333364" w:rsidRPr="00876189" w:rsidRDefault="00333364" w:rsidP="00397BC4">
      <w:pPr>
        <w:pStyle w:val="Normalnumber"/>
        <w:rPr>
          <w:rFonts w:eastAsia="MS Mincho"/>
        </w:rPr>
      </w:pPr>
      <w:r w:rsidRPr="00397BC4">
        <w:t xml:space="preserve">The Bureau of IPCC, at its </w:t>
      </w:r>
      <w:r w:rsidR="00DA7BED">
        <w:t>fifty-seven</w:t>
      </w:r>
      <w:r w:rsidRPr="00397BC4">
        <w:t xml:space="preserve">th </w:t>
      </w:r>
      <w:r w:rsidR="00DA7BED">
        <w:t>s</w:t>
      </w:r>
      <w:r w:rsidRPr="00397BC4">
        <w:t xml:space="preserve">ession, agreed in principle to a co-sponsored workshop on biodiversity and climate change and </w:t>
      </w:r>
      <w:r w:rsidR="00DA7BED" w:rsidRPr="00397BC4">
        <w:t>mandated</w:t>
      </w:r>
      <w:r w:rsidR="00DA7BED">
        <w:t xml:space="preserve"> the </w:t>
      </w:r>
      <w:r w:rsidR="00C417FB">
        <w:rPr>
          <w:rFonts w:eastAsia="MS Mincho"/>
        </w:rPr>
        <w:t>c</w:t>
      </w:r>
      <w:r w:rsidR="00DA7BED" w:rsidRPr="00876189">
        <w:rPr>
          <w:rFonts w:eastAsia="MS Mincho"/>
        </w:rPr>
        <w:t>o-</w:t>
      </w:r>
      <w:r w:rsidR="008E5F02">
        <w:rPr>
          <w:rFonts w:eastAsia="MS Mincho"/>
        </w:rPr>
        <w:t>c</w:t>
      </w:r>
      <w:r w:rsidR="00DA7BED" w:rsidRPr="00876189">
        <w:rPr>
          <w:rFonts w:eastAsia="MS Mincho"/>
        </w:rPr>
        <w:t>hairs</w:t>
      </w:r>
      <w:r w:rsidR="00DA7BED">
        <w:rPr>
          <w:rFonts w:eastAsia="MS Mincho"/>
        </w:rPr>
        <w:t xml:space="preserve"> of</w:t>
      </w:r>
      <w:r w:rsidR="00DA7BED" w:rsidRPr="00397BC4">
        <w:t xml:space="preserve"> </w:t>
      </w:r>
      <w:r w:rsidRPr="00876189">
        <w:rPr>
          <w:rFonts w:eastAsia="MS Mincho"/>
        </w:rPr>
        <w:t xml:space="preserve">IPCC </w:t>
      </w:r>
      <w:r w:rsidR="0094426A">
        <w:rPr>
          <w:rFonts w:eastAsia="MS Mincho"/>
        </w:rPr>
        <w:t>w</w:t>
      </w:r>
      <w:r w:rsidRPr="00876189">
        <w:rPr>
          <w:rFonts w:eastAsia="MS Mincho"/>
        </w:rPr>
        <w:t xml:space="preserve">orking </w:t>
      </w:r>
      <w:r w:rsidR="0094426A">
        <w:rPr>
          <w:rFonts w:eastAsia="MS Mincho"/>
        </w:rPr>
        <w:t>g</w:t>
      </w:r>
      <w:r w:rsidRPr="00876189">
        <w:rPr>
          <w:rFonts w:eastAsia="MS Mincho"/>
        </w:rPr>
        <w:t xml:space="preserve">roup II, in close collaboration with </w:t>
      </w:r>
      <w:r w:rsidR="0094426A">
        <w:rPr>
          <w:rFonts w:eastAsia="MS Mincho"/>
        </w:rPr>
        <w:t xml:space="preserve">the </w:t>
      </w:r>
      <w:r w:rsidR="00C417FB">
        <w:rPr>
          <w:rFonts w:eastAsia="MS Mincho"/>
        </w:rPr>
        <w:t>c</w:t>
      </w:r>
      <w:r w:rsidR="0094426A" w:rsidRPr="00876189">
        <w:rPr>
          <w:rFonts w:eastAsia="MS Mincho"/>
        </w:rPr>
        <w:t>o-</w:t>
      </w:r>
      <w:r w:rsidR="008E5F02">
        <w:rPr>
          <w:rFonts w:eastAsia="MS Mincho"/>
        </w:rPr>
        <w:t>c</w:t>
      </w:r>
      <w:r w:rsidR="0094426A" w:rsidRPr="00876189">
        <w:rPr>
          <w:rFonts w:eastAsia="MS Mincho"/>
        </w:rPr>
        <w:t>hairs</w:t>
      </w:r>
      <w:r w:rsidR="0094426A">
        <w:rPr>
          <w:rFonts w:eastAsia="MS Mincho"/>
        </w:rPr>
        <w:t xml:space="preserve"> of</w:t>
      </w:r>
      <w:r w:rsidR="0094426A" w:rsidRPr="00876189">
        <w:rPr>
          <w:rFonts w:eastAsia="MS Mincho"/>
        </w:rPr>
        <w:t xml:space="preserve"> </w:t>
      </w:r>
      <w:r w:rsidR="0094426A">
        <w:rPr>
          <w:rFonts w:eastAsia="MS Mincho"/>
        </w:rPr>
        <w:t>w</w:t>
      </w:r>
      <w:r w:rsidRPr="00876189">
        <w:rPr>
          <w:rFonts w:eastAsia="MS Mincho"/>
        </w:rPr>
        <w:t xml:space="preserve">orking </w:t>
      </w:r>
      <w:r w:rsidR="0094426A">
        <w:rPr>
          <w:rFonts w:eastAsia="MS Mincho"/>
        </w:rPr>
        <w:t>g</w:t>
      </w:r>
      <w:r w:rsidRPr="00876189">
        <w:rPr>
          <w:rFonts w:eastAsia="MS Mincho"/>
        </w:rPr>
        <w:t>roup</w:t>
      </w:r>
      <w:r w:rsidR="0094426A">
        <w:rPr>
          <w:rFonts w:eastAsia="MS Mincho"/>
        </w:rPr>
        <w:t>s</w:t>
      </w:r>
      <w:r w:rsidRPr="00876189">
        <w:rPr>
          <w:rFonts w:eastAsia="MS Mincho"/>
        </w:rPr>
        <w:t xml:space="preserve"> I and III, to explore the modalities for a </w:t>
      </w:r>
      <w:r w:rsidR="0078134B">
        <w:rPr>
          <w:rFonts w:eastAsia="MS Mincho"/>
        </w:rPr>
        <w:t>co</w:t>
      </w:r>
      <w:r w:rsidR="0078134B">
        <w:rPr>
          <w:rFonts w:eastAsia="MS Mincho"/>
        </w:rPr>
        <w:noBreakHyphen/>
        <w:t>sponsored</w:t>
      </w:r>
      <w:r w:rsidRPr="00876189">
        <w:rPr>
          <w:rFonts w:eastAsia="MS Mincho"/>
        </w:rPr>
        <w:t xml:space="preserve"> workshop together with the secretariat of IPBES</w:t>
      </w:r>
      <w:r w:rsidR="0013637E">
        <w:rPr>
          <w:rFonts w:eastAsia="MS Mincho"/>
        </w:rPr>
        <w:t>. It</w:t>
      </w:r>
      <w:r w:rsidRPr="00876189">
        <w:rPr>
          <w:rFonts w:eastAsia="MS Mincho"/>
        </w:rPr>
        <w:t xml:space="preserve"> </w:t>
      </w:r>
      <w:r w:rsidR="00DF67E8">
        <w:rPr>
          <w:rFonts w:eastAsia="MS Mincho"/>
        </w:rPr>
        <w:t>also mandat</w:t>
      </w:r>
      <w:r w:rsidR="0013637E">
        <w:rPr>
          <w:rFonts w:eastAsia="MS Mincho"/>
        </w:rPr>
        <w:t>ed</w:t>
      </w:r>
      <w:r w:rsidRPr="00876189">
        <w:rPr>
          <w:rFonts w:eastAsia="MS Mincho"/>
        </w:rPr>
        <w:t xml:space="preserve"> the Executive Committee of the Panel to approve th</w:t>
      </w:r>
      <w:r w:rsidR="00170A2C">
        <w:rPr>
          <w:rFonts w:eastAsia="MS Mincho"/>
        </w:rPr>
        <w:t>os</w:t>
      </w:r>
      <w:r w:rsidRPr="00876189">
        <w:rPr>
          <w:rFonts w:eastAsia="MS Mincho"/>
        </w:rPr>
        <w:t>e modalities. The concept note for the co-sponsored workshop</w:t>
      </w:r>
      <w:r w:rsidR="00707C25">
        <w:rPr>
          <w:rFonts w:eastAsia="MS Mincho"/>
        </w:rPr>
        <w:t>, set out in the note</w:t>
      </w:r>
      <w:r w:rsidR="000C2CAF">
        <w:rPr>
          <w:rFonts w:eastAsia="MS Mincho"/>
        </w:rPr>
        <w:t xml:space="preserve"> on joint activities between IPCC and IPBES</w:t>
      </w:r>
      <w:r w:rsidR="008F0150">
        <w:rPr>
          <w:rFonts w:eastAsia="MS Mincho"/>
        </w:rPr>
        <w:t xml:space="preserve"> </w:t>
      </w:r>
      <w:r w:rsidR="008F0150" w:rsidRPr="00876189">
        <w:rPr>
          <w:rFonts w:eastAsia="MS Mincho"/>
        </w:rPr>
        <w:t>(IPCC-LII/INF.7</w:t>
      </w:r>
      <w:r w:rsidR="008F0150">
        <w:rPr>
          <w:rFonts w:eastAsia="MS Mincho"/>
        </w:rPr>
        <w:t>)</w:t>
      </w:r>
      <w:r w:rsidR="006710F8">
        <w:rPr>
          <w:rFonts w:eastAsia="MS Mincho"/>
        </w:rPr>
        <w:t>,</w:t>
      </w:r>
      <w:r w:rsidRPr="00876189">
        <w:rPr>
          <w:rFonts w:eastAsia="MS Mincho"/>
        </w:rPr>
        <w:t xml:space="preserve"> was presented </w:t>
      </w:r>
      <w:r w:rsidR="000C2CAF" w:rsidRPr="00876189">
        <w:rPr>
          <w:rFonts w:eastAsia="MS Mincho"/>
        </w:rPr>
        <w:t xml:space="preserve">by </w:t>
      </w:r>
      <w:r w:rsidR="000C2CAF">
        <w:rPr>
          <w:rFonts w:eastAsia="MS Mincho"/>
        </w:rPr>
        <w:t>one of the</w:t>
      </w:r>
      <w:r w:rsidR="000C2CAF" w:rsidRPr="00876189">
        <w:rPr>
          <w:rFonts w:eastAsia="MS Mincho"/>
        </w:rPr>
        <w:t xml:space="preserve"> </w:t>
      </w:r>
      <w:r w:rsidR="008F0150">
        <w:rPr>
          <w:rFonts w:eastAsia="MS Mincho"/>
        </w:rPr>
        <w:t>C</w:t>
      </w:r>
      <w:r w:rsidR="000C2CAF" w:rsidRPr="00876189">
        <w:rPr>
          <w:rFonts w:eastAsia="MS Mincho"/>
        </w:rPr>
        <w:t>o-</w:t>
      </w:r>
      <w:r w:rsidR="008F0150">
        <w:rPr>
          <w:rFonts w:eastAsia="MS Mincho"/>
        </w:rPr>
        <w:t>C</w:t>
      </w:r>
      <w:r w:rsidR="000C2CAF" w:rsidRPr="00876189">
        <w:rPr>
          <w:rFonts w:eastAsia="MS Mincho"/>
        </w:rPr>
        <w:t>hair</w:t>
      </w:r>
      <w:r w:rsidR="000C2CAF">
        <w:rPr>
          <w:rFonts w:eastAsia="MS Mincho"/>
        </w:rPr>
        <w:t>s</w:t>
      </w:r>
      <w:r w:rsidR="000C2CAF" w:rsidRPr="00876189">
        <w:rPr>
          <w:rFonts w:eastAsia="MS Mincho"/>
        </w:rPr>
        <w:t xml:space="preserve"> of </w:t>
      </w:r>
      <w:r w:rsidR="000C2CAF">
        <w:rPr>
          <w:rFonts w:eastAsia="MS Mincho"/>
        </w:rPr>
        <w:t>w</w:t>
      </w:r>
      <w:r w:rsidR="000C2CAF" w:rsidRPr="00876189">
        <w:rPr>
          <w:rFonts w:eastAsia="MS Mincho"/>
        </w:rPr>
        <w:t xml:space="preserve">orking </w:t>
      </w:r>
      <w:r w:rsidR="000C2CAF">
        <w:rPr>
          <w:rFonts w:eastAsia="MS Mincho"/>
        </w:rPr>
        <w:t>g</w:t>
      </w:r>
      <w:r w:rsidR="000C2CAF" w:rsidRPr="00876189">
        <w:rPr>
          <w:rFonts w:eastAsia="MS Mincho"/>
        </w:rPr>
        <w:t xml:space="preserve">roup II </w:t>
      </w:r>
      <w:r w:rsidRPr="00876189">
        <w:rPr>
          <w:rFonts w:eastAsia="MS Mincho"/>
        </w:rPr>
        <w:t xml:space="preserve">to IPCC at its </w:t>
      </w:r>
      <w:r w:rsidR="00961015">
        <w:rPr>
          <w:rFonts w:eastAsia="MS Mincho"/>
        </w:rPr>
        <w:t>fifty-seco</w:t>
      </w:r>
      <w:r w:rsidRPr="00876189">
        <w:rPr>
          <w:rFonts w:eastAsia="MS Mincho"/>
        </w:rPr>
        <w:t>nd session</w:t>
      </w:r>
      <w:r w:rsidR="00FB2367">
        <w:rPr>
          <w:rFonts w:eastAsia="MS Mincho"/>
        </w:rPr>
        <w:t xml:space="preserve">, held in </w:t>
      </w:r>
      <w:r w:rsidR="00FB2367" w:rsidRPr="00876189">
        <w:rPr>
          <w:rFonts w:eastAsia="MS Mincho"/>
        </w:rPr>
        <w:t>Paris</w:t>
      </w:r>
      <w:r w:rsidR="00FB2367">
        <w:rPr>
          <w:rFonts w:eastAsia="MS Mincho"/>
        </w:rPr>
        <w:t xml:space="preserve"> in </w:t>
      </w:r>
      <w:r w:rsidRPr="00876189">
        <w:rPr>
          <w:rFonts w:eastAsia="MS Mincho"/>
        </w:rPr>
        <w:t xml:space="preserve">February 2020. IPCC took note of the </w:t>
      </w:r>
      <w:r w:rsidR="00E37044">
        <w:rPr>
          <w:rFonts w:eastAsia="MS Mincho"/>
        </w:rPr>
        <w:t>information provided</w:t>
      </w:r>
      <w:r w:rsidRPr="00876189">
        <w:rPr>
          <w:rFonts w:eastAsia="MS Mincho"/>
        </w:rPr>
        <w:t xml:space="preserve">. </w:t>
      </w:r>
    </w:p>
    <w:p w14:paraId="68DB174D" w14:textId="0B5A2E46" w:rsidR="00333364" w:rsidRPr="00397BC4" w:rsidRDefault="007C527A" w:rsidP="00397BC4">
      <w:pPr>
        <w:pStyle w:val="Normalnumber"/>
      </w:pPr>
      <w:r>
        <w:t>T</w:t>
      </w:r>
      <w:r w:rsidRPr="00397BC4">
        <w:t xml:space="preserve">he workshop </w:t>
      </w:r>
      <w:r w:rsidR="000C2CAF" w:rsidRPr="00397BC4">
        <w:t>was initially</w:t>
      </w:r>
      <w:r w:rsidR="000C2CAF">
        <w:t xml:space="preserve"> scheduled to be held from</w:t>
      </w:r>
      <w:r w:rsidR="000C2CAF" w:rsidRPr="00397BC4">
        <w:t xml:space="preserve"> </w:t>
      </w:r>
      <w:r w:rsidR="00333364" w:rsidRPr="00397BC4">
        <w:t>12</w:t>
      </w:r>
      <w:r w:rsidR="000C2CAF">
        <w:t xml:space="preserve"> to </w:t>
      </w:r>
      <w:r w:rsidR="00333364" w:rsidRPr="00397BC4">
        <w:t>14 May 2020</w:t>
      </w:r>
      <w:r w:rsidR="0013637E">
        <w:t>,</w:t>
      </w:r>
      <w:r w:rsidR="003C1153">
        <w:t xml:space="preserve"> hosted by the Government of the United Kingdom </w:t>
      </w:r>
      <w:r w:rsidR="003C1153">
        <w:rPr>
          <w:rFonts w:eastAsia="MS Mincho"/>
        </w:rPr>
        <w:t xml:space="preserve">of Great Britain and Northern Ireland with additional </w:t>
      </w:r>
      <w:r w:rsidR="00836880">
        <w:rPr>
          <w:rFonts w:eastAsia="MS Mincho"/>
        </w:rPr>
        <w:t>support provided by Norway</w:t>
      </w:r>
      <w:r w:rsidR="00333364" w:rsidRPr="00397BC4">
        <w:t xml:space="preserve"> and preparations proceeded accordingly. </w:t>
      </w:r>
    </w:p>
    <w:p w14:paraId="3819DA89" w14:textId="4A8190BB" w:rsidR="00333364" w:rsidRPr="00397BC4" w:rsidRDefault="00836880" w:rsidP="00397BC4">
      <w:pPr>
        <w:pStyle w:val="Normalnumber"/>
      </w:pPr>
      <w:r>
        <w:t>T</w:t>
      </w:r>
      <w:r w:rsidR="00333364" w:rsidRPr="00397BC4">
        <w:t xml:space="preserve">he workshop was led by a scientific steering committee consisting of </w:t>
      </w:r>
      <w:r w:rsidR="00C24730">
        <w:t>12</w:t>
      </w:r>
      <w:r w:rsidR="0013637E">
        <w:t xml:space="preserve"> members</w:t>
      </w:r>
      <w:r w:rsidR="00333364" w:rsidRPr="00397BC4">
        <w:t xml:space="preserve">, </w:t>
      </w:r>
      <w:r w:rsidR="0013637E">
        <w:t>six</w:t>
      </w:r>
      <w:r w:rsidR="00333364" w:rsidRPr="00397BC4">
        <w:t xml:space="preserve"> selected by IPCC and </w:t>
      </w:r>
      <w:r w:rsidR="0013637E">
        <w:t>six</w:t>
      </w:r>
      <w:r w:rsidR="00333364" w:rsidRPr="00397BC4">
        <w:t xml:space="preserve"> by the Multidisciplinary Expert Panel of IPBES. At its </w:t>
      </w:r>
      <w:r w:rsidR="00A82840">
        <w:t>fourteenth</w:t>
      </w:r>
      <w:r w:rsidR="00A82840" w:rsidRPr="00397BC4">
        <w:t xml:space="preserve"> </w:t>
      </w:r>
      <w:r w:rsidR="00333364" w:rsidRPr="00397BC4">
        <w:t>meeting</w:t>
      </w:r>
      <w:r w:rsidR="005437AC">
        <w:t xml:space="preserve">, held in </w:t>
      </w:r>
      <w:r w:rsidR="00333364" w:rsidRPr="00397BC4">
        <w:t xml:space="preserve">January 2020, the Multidisciplinary Expert Panel nominated the following experts to represent IPBES </w:t>
      </w:r>
      <w:r w:rsidR="005437AC">
        <w:t>on</w:t>
      </w:r>
      <w:r w:rsidR="00333364" w:rsidRPr="00397BC4">
        <w:t xml:space="preserve"> the scientific steering committee, with Robert Scholes serving as one of its two </w:t>
      </w:r>
      <w:r w:rsidR="0074310F">
        <w:t>c</w:t>
      </w:r>
      <w:r w:rsidR="00333364" w:rsidRPr="00397BC4">
        <w:t>o-</w:t>
      </w:r>
      <w:r w:rsidR="00C818E3">
        <w:t>c</w:t>
      </w:r>
      <w:r w:rsidR="00333364" w:rsidRPr="00397BC4">
        <w:t xml:space="preserve">hairs: </w:t>
      </w:r>
    </w:p>
    <w:p w14:paraId="52E19362" w14:textId="0A7F416C" w:rsidR="00333364" w:rsidRPr="00876189" w:rsidRDefault="00333364" w:rsidP="004968FE">
      <w:pPr>
        <w:pStyle w:val="Normalnumber"/>
        <w:numPr>
          <w:ilvl w:val="1"/>
          <w:numId w:val="6"/>
        </w:numPr>
        <w:tabs>
          <w:tab w:val="clear" w:pos="567"/>
        </w:tabs>
        <w:ind w:firstLine="624"/>
        <w:rPr>
          <w:rFonts w:eastAsia="MS Mincho"/>
        </w:rPr>
      </w:pPr>
      <w:r w:rsidRPr="00876189">
        <w:rPr>
          <w:rFonts w:eastAsia="MS Mincho"/>
        </w:rPr>
        <w:t>Robert Scholes, University of the Witwatersrand, Johannesburg, South Africa (</w:t>
      </w:r>
      <w:r w:rsidR="0078134B">
        <w:rPr>
          <w:rFonts w:eastAsia="MS Mincho"/>
        </w:rPr>
        <w:t>co</w:t>
      </w:r>
      <w:r w:rsidR="0078134B">
        <w:rPr>
          <w:rFonts w:eastAsia="MS Mincho"/>
        </w:rPr>
        <w:noBreakHyphen/>
        <w:t>chair</w:t>
      </w:r>
      <w:r w:rsidR="005437AC">
        <w:rPr>
          <w:rFonts w:eastAsia="MS Mincho"/>
        </w:rPr>
        <w:t>,</w:t>
      </w:r>
      <w:r w:rsidRPr="00876189">
        <w:rPr>
          <w:rFonts w:eastAsia="MS Mincho"/>
        </w:rPr>
        <w:t xml:space="preserve"> IPBES </w:t>
      </w:r>
      <w:r w:rsidR="00836880">
        <w:rPr>
          <w:rFonts w:eastAsia="MS Mincho"/>
        </w:rPr>
        <w:t>A</w:t>
      </w:r>
      <w:r w:rsidRPr="00876189">
        <w:rPr>
          <w:rFonts w:eastAsia="MS Mincho"/>
        </w:rPr>
        <w:t xml:space="preserve">ssessment of </w:t>
      </w:r>
      <w:r w:rsidR="00836880">
        <w:rPr>
          <w:rFonts w:eastAsia="MS Mincho"/>
        </w:rPr>
        <w:t>L</w:t>
      </w:r>
      <w:r w:rsidRPr="00876189">
        <w:rPr>
          <w:rFonts w:eastAsia="MS Mincho"/>
        </w:rPr>
        <w:t xml:space="preserve">and </w:t>
      </w:r>
      <w:r w:rsidR="00836880">
        <w:rPr>
          <w:rFonts w:eastAsia="MS Mincho"/>
        </w:rPr>
        <w:t>D</w:t>
      </w:r>
      <w:r w:rsidRPr="00876189">
        <w:rPr>
          <w:rFonts w:eastAsia="MS Mincho"/>
        </w:rPr>
        <w:t xml:space="preserve">egradation and </w:t>
      </w:r>
      <w:r w:rsidR="00836880">
        <w:rPr>
          <w:rFonts w:eastAsia="MS Mincho"/>
        </w:rPr>
        <w:t>R</w:t>
      </w:r>
      <w:r w:rsidRPr="00876189">
        <w:rPr>
          <w:rFonts w:eastAsia="MS Mincho"/>
        </w:rPr>
        <w:t>estoration);</w:t>
      </w:r>
    </w:p>
    <w:p w14:paraId="32DFF9BC" w14:textId="25A014F9" w:rsidR="00333364" w:rsidRPr="00876189" w:rsidRDefault="00333364" w:rsidP="004968FE">
      <w:pPr>
        <w:pStyle w:val="Normalnumber"/>
        <w:numPr>
          <w:ilvl w:val="1"/>
          <w:numId w:val="6"/>
        </w:numPr>
        <w:tabs>
          <w:tab w:val="clear" w:pos="567"/>
        </w:tabs>
        <w:ind w:firstLine="624"/>
        <w:rPr>
          <w:rFonts w:eastAsia="MS Mincho"/>
        </w:rPr>
      </w:pPr>
      <w:r w:rsidRPr="00876189">
        <w:rPr>
          <w:rFonts w:eastAsia="MS Mincho"/>
        </w:rPr>
        <w:t>Sandra D</w:t>
      </w:r>
      <w:r w:rsidR="001C246C" w:rsidRPr="0013637E">
        <w:rPr>
          <w:rFonts w:eastAsia="MS Mincho"/>
          <w:lang w:val="en-US"/>
        </w:rPr>
        <w:t>í</w:t>
      </w:r>
      <w:r w:rsidRPr="00876189">
        <w:rPr>
          <w:rFonts w:eastAsia="MS Mincho"/>
        </w:rPr>
        <w:t xml:space="preserve">az, National University of Córdoba, Argentina (former member of the IPBES Multidisciplinary Expert Panel; </w:t>
      </w:r>
      <w:r w:rsidRPr="00C417FB">
        <w:rPr>
          <w:rFonts w:eastAsia="MS Mincho"/>
        </w:rPr>
        <w:t>c</w:t>
      </w:r>
      <w:r w:rsidRPr="00BE5E52">
        <w:rPr>
          <w:rFonts w:eastAsia="MS Mincho"/>
        </w:rPr>
        <w:t>o-</w:t>
      </w:r>
      <w:r w:rsidR="00E37044">
        <w:rPr>
          <w:rFonts w:eastAsia="MS Mincho"/>
        </w:rPr>
        <w:t>c</w:t>
      </w:r>
      <w:r w:rsidRPr="00BE5E52">
        <w:rPr>
          <w:rFonts w:eastAsia="MS Mincho"/>
        </w:rPr>
        <w:t>hair</w:t>
      </w:r>
      <w:r w:rsidR="00142D29">
        <w:rPr>
          <w:rFonts w:eastAsia="MS Mincho"/>
        </w:rPr>
        <w:t>,</w:t>
      </w:r>
      <w:r w:rsidRPr="00BE5E52">
        <w:rPr>
          <w:rFonts w:eastAsia="MS Mincho"/>
        </w:rPr>
        <w:t xml:space="preserve"> IPBES </w:t>
      </w:r>
      <w:r w:rsidR="00836880">
        <w:rPr>
          <w:rFonts w:eastAsia="MS Mincho"/>
        </w:rPr>
        <w:t>G</w:t>
      </w:r>
      <w:r w:rsidRPr="00BE5E52">
        <w:rPr>
          <w:rFonts w:eastAsia="MS Mincho"/>
        </w:rPr>
        <w:t xml:space="preserve">lobal </w:t>
      </w:r>
      <w:r w:rsidR="00836880">
        <w:rPr>
          <w:rFonts w:eastAsia="MS Mincho"/>
        </w:rPr>
        <w:t>A</w:t>
      </w:r>
      <w:r w:rsidRPr="00BE5E52">
        <w:rPr>
          <w:rFonts w:eastAsia="MS Mincho"/>
        </w:rPr>
        <w:t xml:space="preserve">ssessment of </w:t>
      </w:r>
      <w:r w:rsidR="00836880">
        <w:rPr>
          <w:rFonts w:eastAsia="MS Mincho"/>
        </w:rPr>
        <w:t>B</w:t>
      </w:r>
      <w:r w:rsidRPr="00BE5E52">
        <w:rPr>
          <w:rFonts w:eastAsia="MS Mincho"/>
        </w:rPr>
        <w:t xml:space="preserve">iodiversity and </w:t>
      </w:r>
      <w:r w:rsidR="00836880">
        <w:rPr>
          <w:rFonts w:eastAsia="MS Mincho"/>
        </w:rPr>
        <w:t>E</w:t>
      </w:r>
      <w:r w:rsidRPr="00BE5E52">
        <w:rPr>
          <w:rFonts w:eastAsia="MS Mincho"/>
        </w:rPr>
        <w:t xml:space="preserve">cosystem </w:t>
      </w:r>
      <w:r w:rsidR="00836880">
        <w:rPr>
          <w:rFonts w:eastAsia="MS Mincho"/>
        </w:rPr>
        <w:t>S</w:t>
      </w:r>
      <w:r w:rsidRPr="00BE5E52">
        <w:rPr>
          <w:rFonts w:eastAsia="MS Mincho"/>
        </w:rPr>
        <w:t>ervices);</w:t>
      </w:r>
    </w:p>
    <w:p w14:paraId="557C60AF" w14:textId="177D8088" w:rsidR="00333364" w:rsidRPr="00876189" w:rsidRDefault="00333364" w:rsidP="004968FE">
      <w:pPr>
        <w:pStyle w:val="Normalnumber"/>
        <w:numPr>
          <w:ilvl w:val="1"/>
          <w:numId w:val="6"/>
        </w:numPr>
        <w:tabs>
          <w:tab w:val="clear" w:pos="567"/>
        </w:tabs>
        <w:ind w:firstLine="624"/>
        <w:rPr>
          <w:rFonts w:eastAsia="MS Mincho"/>
        </w:rPr>
      </w:pPr>
      <w:r w:rsidRPr="00876189">
        <w:rPr>
          <w:rFonts w:eastAsia="MS Mincho"/>
        </w:rPr>
        <w:t>Markus Fischer, University of Bern, Switzerland (member of the IPBES Multidisciplinary Expert Panel; co-</w:t>
      </w:r>
      <w:r w:rsidR="00E37044">
        <w:rPr>
          <w:rFonts w:eastAsia="MS Mincho"/>
        </w:rPr>
        <w:t>c</w:t>
      </w:r>
      <w:r w:rsidRPr="00876189">
        <w:rPr>
          <w:rFonts w:eastAsia="MS Mincho"/>
        </w:rPr>
        <w:t>hair</w:t>
      </w:r>
      <w:r w:rsidR="00142D29">
        <w:rPr>
          <w:rFonts w:eastAsia="MS Mincho"/>
        </w:rPr>
        <w:t>,</w:t>
      </w:r>
      <w:r w:rsidRPr="00876189">
        <w:rPr>
          <w:rFonts w:eastAsia="MS Mincho"/>
        </w:rPr>
        <w:t xml:space="preserve"> IPBES </w:t>
      </w:r>
      <w:r w:rsidR="00836880">
        <w:rPr>
          <w:rFonts w:eastAsia="MS Mincho"/>
        </w:rPr>
        <w:t>R</w:t>
      </w:r>
      <w:r w:rsidRPr="00876189">
        <w:rPr>
          <w:rFonts w:eastAsia="MS Mincho"/>
        </w:rPr>
        <w:t xml:space="preserve">egional </w:t>
      </w:r>
      <w:r w:rsidR="00836880">
        <w:rPr>
          <w:rFonts w:eastAsia="MS Mincho"/>
        </w:rPr>
        <w:t>A</w:t>
      </w:r>
      <w:r w:rsidRPr="00876189">
        <w:rPr>
          <w:rFonts w:eastAsia="MS Mincho"/>
        </w:rPr>
        <w:t xml:space="preserve">ssessment of </w:t>
      </w:r>
      <w:r w:rsidR="00836880">
        <w:rPr>
          <w:rFonts w:eastAsia="MS Mincho"/>
        </w:rPr>
        <w:t>B</w:t>
      </w:r>
      <w:r w:rsidRPr="00876189">
        <w:rPr>
          <w:rFonts w:eastAsia="MS Mincho"/>
        </w:rPr>
        <w:t xml:space="preserve">iodiversity and </w:t>
      </w:r>
      <w:r w:rsidR="00836880">
        <w:rPr>
          <w:rFonts w:eastAsia="MS Mincho"/>
        </w:rPr>
        <w:t>E</w:t>
      </w:r>
      <w:r w:rsidRPr="00876189">
        <w:rPr>
          <w:rFonts w:eastAsia="MS Mincho"/>
        </w:rPr>
        <w:t xml:space="preserve">cosystem </w:t>
      </w:r>
      <w:r w:rsidR="00836880">
        <w:rPr>
          <w:rFonts w:eastAsia="MS Mincho"/>
        </w:rPr>
        <w:t>S</w:t>
      </w:r>
      <w:r w:rsidRPr="00876189">
        <w:rPr>
          <w:rFonts w:eastAsia="MS Mincho"/>
        </w:rPr>
        <w:t>ervices for Europe and Central Asia);</w:t>
      </w:r>
    </w:p>
    <w:p w14:paraId="1F960D0B" w14:textId="77777777" w:rsidR="00333364" w:rsidRPr="00876189" w:rsidRDefault="00333364" w:rsidP="004968FE">
      <w:pPr>
        <w:pStyle w:val="Normalnumber"/>
        <w:numPr>
          <w:ilvl w:val="1"/>
          <w:numId w:val="6"/>
        </w:numPr>
        <w:tabs>
          <w:tab w:val="clear" w:pos="567"/>
        </w:tabs>
        <w:ind w:firstLine="624"/>
        <w:rPr>
          <w:rFonts w:eastAsia="MS Mincho"/>
        </w:rPr>
      </w:pPr>
      <w:r w:rsidRPr="00876189">
        <w:rPr>
          <w:rFonts w:eastAsia="MS Mincho"/>
        </w:rPr>
        <w:t>Shizuka Hashimoto, University of Tokyo, Japan (member of the IPBES Multidisciplinary Expert Panel);</w:t>
      </w:r>
    </w:p>
    <w:p w14:paraId="5A7F0EF3" w14:textId="44B89B67" w:rsidR="00333364" w:rsidRPr="00876189" w:rsidRDefault="00333364" w:rsidP="004968FE">
      <w:pPr>
        <w:pStyle w:val="Normalnumber"/>
        <w:numPr>
          <w:ilvl w:val="1"/>
          <w:numId w:val="6"/>
        </w:numPr>
        <w:tabs>
          <w:tab w:val="clear" w:pos="567"/>
        </w:tabs>
        <w:ind w:firstLine="624"/>
        <w:rPr>
          <w:rFonts w:eastAsia="MS Mincho"/>
        </w:rPr>
      </w:pPr>
      <w:r w:rsidRPr="00876189">
        <w:rPr>
          <w:rFonts w:eastAsia="MS Mincho"/>
        </w:rPr>
        <w:lastRenderedPageBreak/>
        <w:t>Sandra Lavorel, National Centre for Scientific Research, France (member of the IPBES Multidisciplinary Expert Panel);</w:t>
      </w:r>
    </w:p>
    <w:p w14:paraId="576D63B5" w14:textId="77777777" w:rsidR="00333364" w:rsidRPr="00876189" w:rsidRDefault="00333364" w:rsidP="004968FE">
      <w:pPr>
        <w:pStyle w:val="Normalnumber"/>
        <w:numPr>
          <w:ilvl w:val="1"/>
          <w:numId w:val="6"/>
        </w:numPr>
        <w:tabs>
          <w:tab w:val="clear" w:pos="567"/>
        </w:tabs>
        <w:ind w:firstLine="624"/>
        <w:rPr>
          <w:rFonts w:eastAsia="MS Mincho"/>
        </w:rPr>
      </w:pPr>
      <w:r w:rsidRPr="00876189">
        <w:rPr>
          <w:rFonts w:eastAsia="MS Mincho"/>
        </w:rPr>
        <w:t>Ning Wu, Chinese Academy of Sciences, China (member of the IPBES Multidisciplinary Expert Panel).</w:t>
      </w:r>
    </w:p>
    <w:p w14:paraId="1A96F205" w14:textId="60FECF89" w:rsidR="00333364" w:rsidRPr="00876189" w:rsidRDefault="00333364" w:rsidP="00397BC4">
      <w:pPr>
        <w:pStyle w:val="Normalnumber"/>
        <w:rPr>
          <w:rFonts w:eastAsia="MS Mincho"/>
        </w:rPr>
      </w:pPr>
      <w:r w:rsidRPr="00876189">
        <w:rPr>
          <w:rFonts w:eastAsia="MS Mincho"/>
        </w:rPr>
        <w:t xml:space="preserve">IPCC nominated the following experts to the scientific steering committee, with Hans-Otto Pörtner serving as one of its </w:t>
      </w:r>
      <w:r w:rsidRPr="00C417FB">
        <w:rPr>
          <w:rFonts w:eastAsia="MS Mincho"/>
        </w:rPr>
        <w:t>two co-chairs:</w:t>
      </w:r>
      <w:r w:rsidRPr="00876189">
        <w:rPr>
          <w:rFonts w:eastAsia="MS Mincho"/>
        </w:rPr>
        <w:t xml:space="preserve"> </w:t>
      </w:r>
    </w:p>
    <w:p w14:paraId="2BCF666F" w14:textId="185CC621" w:rsidR="00333364" w:rsidRPr="00876189" w:rsidRDefault="00333364" w:rsidP="004968FE">
      <w:pPr>
        <w:pStyle w:val="Normalnumber"/>
        <w:numPr>
          <w:ilvl w:val="1"/>
          <w:numId w:val="5"/>
        </w:numPr>
        <w:tabs>
          <w:tab w:val="clear" w:pos="567"/>
        </w:tabs>
        <w:ind w:firstLine="624"/>
        <w:rPr>
          <w:rFonts w:eastAsia="MS Mincho"/>
        </w:rPr>
      </w:pPr>
      <w:r w:rsidRPr="00876189">
        <w:rPr>
          <w:rFonts w:eastAsia="MS Mincho"/>
        </w:rPr>
        <w:t>Hans-Otto Pörtner, Alfred</w:t>
      </w:r>
      <w:r w:rsidR="00A769A6">
        <w:rPr>
          <w:rFonts w:eastAsia="MS Mincho"/>
        </w:rPr>
        <w:t xml:space="preserve"> </w:t>
      </w:r>
      <w:r w:rsidRPr="00876189">
        <w:rPr>
          <w:rFonts w:eastAsia="MS Mincho"/>
        </w:rPr>
        <w:t>Wegener</w:t>
      </w:r>
      <w:r w:rsidR="00A769A6">
        <w:rPr>
          <w:rFonts w:eastAsia="MS Mincho"/>
        </w:rPr>
        <w:t xml:space="preserve"> </w:t>
      </w:r>
      <w:r w:rsidRPr="00876189">
        <w:rPr>
          <w:rFonts w:eastAsia="MS Mincho"/>
        </w:rPr>
        <w:t>Institut</w:t>
      </w:r>
      <w:r w:rsidR="00A769A6">
        <w:rPr>
          <w:rFonts w:eastAsia="MS Mincho"/>
        </w:rPr>
        <w:t>e</w:t>
      </w:r>
      <w:r w:rsidRPr="00876189">
        <w:rPr>
          <w:rFonts w:eastAsia="MS Mincho"/>
        </w:rPr>
        <w:t>, Germany (co-</w:t>
      </w:r>
      <w:r w:rsidR="00E37044">
        <w:rPr>
          <w:rFonts w:eastAsia="MS Mincho"/>
        </w:rPr>
        <w:t>c</w:t>
      </w:r>
      <w:r w:rsidRPr="00876189">
        <w:rPr>
          <w:rFonts w:eastAsia="MS Mincho"/>
        </w:rPr>
        <w:t>hair</w:t>
      </w:r>
      <w:r w:rsidR="00142D29">
        <w:rPr>
          <w:rFonts w:eastAsia="MS Mincho"/>
        </w:rPr>
        <w:t>,</w:t>
      </w:r>
      <w:r w:rsidRPr="00876189">
        <w:rPr>
          <w:rFonts w:eastAsia="MS Mincho"/>
        </w:rPr>
        <w:t xml:space="preserve"> IPCC </w:t>
      </w:r>
      <w:r w:rsidR="00836880">
        <w:rPr>
          <w:rFonts w:eastAsia="MS Mincho"/>
        </w:rPr>
        <w:t>W</w:t>
      </w:r>
      <w:r w:rsidRPr="00876189">
        <w:rPr>
          <w:rFonts w:eastAsia="MS Mincho"/>
        </w:rPr>
        <w:t xml:space="preserve">orking </w:t>
      </w:r>
      <w:r w:rsidR="00836880">
        <w:rPr>
          <w:rFonts w:eastAsia="MS Mincho"/>
        </w:rPr>
        <w:t>G</w:t>
      </w:r>
      <w:r w:rsidRPr="00876189">
        <w:rPr>
          <w:rFonts w:eastAsia="MS Mincho"/>
        </w:rPr>
        <w:t>roup II);</w:t>
      </w:r>
    </w:p>
    <w:p w14:paraId="4E998824" w14:textId="58917065" w:rsidR="00333364" w:rsidRPr="00876189" w:rsidRDefault="00333364" w:rsidP="004968FE">
      <w:pPr>
        <w:pStyle w:val="Normalnumber"/>
        <w:numPr>
          <w:ilvl w:val="1"/>
          <w:numId w:val="5"/>
        </w:numPr>
        <w:tabs>
          <w:tab w:val="clear" w:pos="567"/>
        </w:tabs>
        <w:ind w:firstLine="624"/>
        <w:rPr>
          <w:rFonts w:eastAsia="MS Mincho"/>
        </w:rPr>
      </w:pPr>
      <w:r w:rsidRPr="00876189">
        <w:rPr>
          <w:rFonts w:eastAsia="MS Mincho"/>
        </w:rPr>
        <w:t>Edvin Aldrian, Agency for Assessment and Application of Technology, Indonesia (</w:t>
      </w:r>
      <w:r w:rsidR="0078134B">
        <w:rPr>
          <w:rFonts w:eastAsia="MS Mincho"/>
        </w:rPr>
        <w:t>co</w:t>
      </w:r>
      <w:r w:rsidR="0078134B">
        <w:rPr>
          <w:rFonts w:eastAsia="MS Mincho"/>
        </w:rPr>
        <w:noBreakHyphen/>
        <w:t>chair</w:t>
      </w:r>
      <w:r w:rsidR="00142D29">
        <w:rPr>
          <w:rFonts w:eastAsia="MS Mincho"/>
        </w:rPr>
        <w:t>,</w:t>
      </w:r>
      <w:r w:rsidRPr="00876189">
        <w:rPr>
          <w:rFonts w:eastAsia="MS Mincho"/>
        </w:rPr>
        <w:t xml:space="preserve"> IPCC </w:t>
      </w:r>
      <w:r w:rsidR="00836880">
        <w:rPr>
          <w:rFonts w:eastAsia="MS Mincho"/>
        </w:rPr>
        <w:t>W</w:t>
      </w:r>
      <w:r w:rsidRPr="00876189">
        <w:rPr>
          <w:rFonts w:eastAsia="MS Mincho"/>
        </w:rPr>
        <w:t xml:space="preserve">orking </w:t>
      </w:r>
      <w:r w:rsidR="00836880">
        <w:rPr>
          <w:rFonts w:eastAsia="MS Mincho"/>
        </w:rPr>
        <w:t>G</w:t>
      </w:r>
      <w:r w:rsidRPr="00876189">
        <w:rPr>
          <w:rFonts w:eastAsia="MS Mincho"/>
        </w:rPr>
        <w:t>roup I);</w:t>
      </w:r>
    </w:p>
    <w:p w14:paraId="7308A26B" w14:textId="211AF0B6" w:rsidR="00333364" w:rsidRPr="00876189" w:rsidRDefault="00333364" w:rsidP="004968FE">
      <w:pPr>
        <w:pStyle w:val="Normalnumber"/>
        <w:numPr>
          <w:ilvl w:val="1"/>
          <w:numId w:val="5"/>
        </w:numPr>
        <w:tabs>
          <w:tab w:val="clear" w:pos="567"/>
        </w:tabs>
        <w:ind w:firstLine="624"/>
        <w:rPr>
          <w:rFonts w:eastAsia="MS Mincho"/>
        </w:rPr>
      </w:pPr>
      <w:r w:rsidRPr="00876189">
        <w:rPr>
          <w:rFonts w:eastAsia="MS Mincho"/>
        </w:rPr>
        <w:t>Ramon Pichs Madruga, Centre for World Economy Studies, Cuba (co-</w:t>
      </w:r>
      <w:r w:rsidR="00E37044">
        <w:rPr>
          <w:rFonts w:eastAsia="MS Mincho"/>
        </w:rPr>
        <w:t>c</w:t>
      </w:r>
      <w:r w:rsidRPr="00876189">
        <w:rPr>
          <w:rFonts w:eastAsia="MS Mincho"/>
        </w:rPr>
        <w:t>hair</w:t>
      </w:r>
      <w:r w:rsidR="00142D29">
        <w:rPr>
          <w:rFonts w:eastAsia="MS Mincho"/>
        </w:rPr>
        <w:t>,</w:t>
      </w:r>
      <w:r w:rsidRPr="00876189">
        <w:rPr>
          <w:rFonts w:eastAsia="MS Mincho"/>
        </w:rPr>
        <w:t xml:space="preserve"> IPCC </w:t>
      </w:r>
      <w:r w:rsidR="00836880">
        <w:rPr>
          <w:rFonts w:eastAsia="MS Mincho"/>
        </w:rPr>
        <w:t>W</w:t>
      </w:r>
      <w:r w:rsidRPr="00876189">
        <w:rPr>
          <w:rFonts w:eastAsia="MS Mincho"/>
        </w:rPr>
        <w:t xml:space="preserve">orking </w:t>
      </w:r>
      <w:r w:rsidR="00836880">
        <w:rPr>
          <w:rFonts w:eastAsia="MS Mincho"/>
        </w:rPr>
        <w:t>G</w:t>
      </w:r>
      <w:r w:rsidRPr="00876189">
        <w:rPr>
          <w:rFonts w:eastAsia="MS Mincho"/>
        </w:rPr>
        <w:t>roup III; member of the IPBES task force on scenarios and models);</w:t>
      </w:r>
    </w:p>
    <w:p w14:paraId="2D4BDECE" w14:textId="03804F48" w:rsidR="00333364" w:rsidRPr="00C818E3" w:rsidRDefault="00333364" w:rsidP="004968FE">
      <w:pPr>
        <w:pStyle w:val="Normalnumber"/>
        <w:numPr>
          <w:ilvl w:val="1"/>
          <w:numId w:val="5"/>
        </w:numPr>
        <w:tabs>
          <w:tab w:val="clear" w:pos="567"/>
        </w:tabs>
        <w:ind w:firstLine="624"/>
        <w:rPr>
          <w:rFonts w:eastAsia="MS Mincho"/>
        </w:rPr>
      </w:pPr>
      <w:r w:rsidRPr="00876189">
        <w:rPr>
          <w:rFonts w:eastAsia="MS Mincho"/>
        </w:rPr>
        <w:t>Camille Parmesan, University of Plymouth, United Kingdom</w:t>
      </w:r>
      <w:r w:rsidR="00282131">
        <w:rPr>
          <w:rFonts w:eastAsia="MS Mincho"/>
        </w:rPr>
        <w:t xml:space="preserve"> of Great Britain and Northern Ireland</w:t>
      </w:r>
      <w:r w:rsidRPr="00876189">
        <w:rPr>
          <w:rFonts w:eastAsia="MS Mincho"/>
        </w:rPr>
        <w:t xml:space="preserve"> (</w:t>
      </w:r>
      <w:r w:rsidR="00C417FB">
        <w:rPr>
          <w:rFonts w:eastAsia="MS Mincho"/>
        </w:rPr>
        <w:t>c</w:t>
      </w:r>
      <w:r w:rsidRPr="00876189">
        <w:rPr>
          <w:rFonts w:eastAsia="MS Mincho"/>
        </w:rPr>
        <w:t xml:space="preserve">oordinating lead </w:t>
      </w:r>
      <w:r w:rsidRPr="00683F14">
        <w:rPr>
          <w:rFonts w:eastAsia="MS Mincho"/>
        </w:rPr>
        <w:t xml:space="preserve">author, </w:t>
      </w:r>
      <w:r w:rsidR="00836880" w:rsidRPr="0082259E">
        <w:rPr>
          <w:rFonts w:eastAsia="MS Mincho"/>
        </w:rPr>
        <w:t>S</w:t>
      </w:r>
      <w:r w:rsidRPr="0082259E">
        <w:rPr>
          <w:rFonts w:eastAsia="MS Mincho"/>
        </w:rPr>
        <w:t xml:space="preserve">ixth </w:t>
      </w:r>
      <w:r w:rsidR="00836880" w:rsidRPr="0082259E">
        <w:rPr>
          <w:rFonts w:eastAsia="MS Mincho"/>
        </w:rPr>
        <w:t>A</w:t>
      </w:r>
      <w:r w:rsidRPr="0082259E">
        <w:rPr>
          <w:rFonts w:eastAsia="MS Mincho"/>
        </w:rPr>
        <w:t xml:space="preserve">ssessment </w:t>
      </w:r>
      <w:r w:rsidR="00836880" w:rsidRPr="0082259E">
        <w:rPr>
          <w:rFonts w:eastAsia="MS Mincho"/>
        </w:rPr>
        <w:t>R</w:t>
      </w:r>
      <w:r w:rsidRPr="0082259E">
        <w:rPr>
          <w:rFonts w:eastAsia="MS Mincho"/>
        </w:rPr>
        <w:t>eport</w:t>
      </w:r>
      <w:r w:rsidR="00683F14" w:rsidRPr="0082259E">
        <w:rPr>
          <w:rFonts w:eastAsia="MS Mincho"/>
        </w:rPr>
        <w:t xml:space="preserve"> of IPCC</w:t>
      </w:r>
      <w:r w:rsidR="00142D29" w:rsidRPr="0082259E">
        <w:rPr>
          <w:rFonts w:eastAsia="MS Mincho"/>
        </w:rPr>
        <w:t>;</w:t>
      </w:r>
      <w:r w:rsidR="00142D29" w:rsidRPr="00C818E3">
        <w:rPr>
          <w:rFonts w:eastAsia="MS Mincho"/>
        </w:rPr>
        <w:t xml:space="preserve"> member of</w:t>
      </w:r>
      <w:r w:rsidRPr="00C818E3">
        <w:rPr>
          <w:rFonts w:eastAsia="MS Mincho"/>
        </w:rPr>
        <w:t xml:space="preserve"> IPCC </w:t>
      </w:r>
      <w:r w:rsidR="00836880">
        <w:rPr>
          <w:rFonts w:eastAsia="MS Mincho"/>
        </w:rPr>
        <w:t>W</w:t>
      </w:r>
      <w:r w:rsidRPr="00C818E3">
        <w:rPr>
          <w:rFonts w:eastAsia="MS Mincho"/>
        </w:rPr>
        <w:t xml:space="preserve">orking </w:t>
      </w:r>
      <w:r w:rsidR="00836880">
        <w:rPr>
          <w:rFonts w:eastAsia="MS Mincho"/>
        </w:rPr>
        <w:t>G</w:t>
      </w:r>
      <w:r w:rsidRPr="00C818E3">
        <w:rPr>
          <w:rFonts w:eastAsia="MS Mincho"/>
        </w:rPr>
        <w:t>roup II);</w:t>
      </w:r>
    </w:p>
    <w:p w14:paraId="52AF4918" w14:textId="22247AB3" w:rsidR="00333364" w:rsidRPr="00876189" w:rsidRDefault="00333364" w:rsidP="004968FE">
      <w:pPr>
        <w:pStyle w:val="Normalnumber"/>
        <w:numPr>
          <w:ilvl w:val="1"/>
          <w:numId w:val="5"/>
        </w:numPr>
        <w:tabs>
          <w:tab w:val="clear" w:pos="567"/>
        </w:tabs>
        <w:ind w:firstLine="624"/>
        <w:rPr>
          <w:rFonts w:eastAsia="MS Mincho"/>
        </w:rPr>
      </w:pPr>
      <w:r w:rsidRPr="00C818E3">
        <w:rPr>
          <w:rFonts w:eastAsia="MS Mincho"/>
        </w:rPr>
        <w:t>Debra Roberts, Sustainable and Resilient City</w:t>
      </w:r>
      <w:r w:rsidRPr="00876189">
        <w:rPr>
          <w:rFonts w:eastAsia="MS Mincho"/>
        </w:rPr>
        <w:t xml:space="preserve"> Initiatives Unit</w:t>
      </w:r>
      <w:r w:rsidR="00A769A6">
        <w:rPr>
          <w:rFonts w:eastAsia="MS Mincho"/>
        </w:rPr>
        <w:t>,</w:t>
      </w:r>
      <w:r w:rsidRPr="00876189">
        <w:rPr>
          <w:rFonts w:eastAsia="MS Mincho"/>
        </w:rPr>
        <w:t xml:space="preserve"> eThekwini Municipality, Durban, South Africa (co-</w:t>
      </w:r>
      <w:r w:rsidR="00A424DA">
        <w:rPr>
          <w:rFonts w:eastAsia="MS Mincho"/>
        </w:rPr>
        <w:t>c</w:t>
      </w:r>
      <w:r w:rsidRPr="00876189">
        <w:rPr>
          <w:rFonts w:eastAsia="MS Mincho"/>
        </w:rPr>
        <w:t>hair</w:t>
      </w:r>
      <w:r w:rsidR="00142D29">
        <w:rPr>
          <w:rFonts w:eastAsia="MS Mincho"/>
        </w:rPr>
        <w:t>,</w:t>
      </w:r>
      <w:r w:rsidRPr="00876189">
        <w:rPr>
          <w:rFonts w:eastAsia="MS Mincho"/>
        </w:rPr>
        <w:t xml:space="preserve"> IPCC </w:t>
      </w:r>
      <w:r w:rsidR="00836880">
        <w:rPr>
          <w:rFonts w:eastAsia="MS Mincho"/>
        </w:rPr>
        <w:t>W</w:t>
      </w:r>
      <w:r w:rsidRPr="00876189">
        <w:rPr>
          <w:rFonts w:eastAsia="MS Mincho"/>
        </w:rPr>
        <w:t xml:space="preserve">orking </w:t>
      </w:r>
      <w:r w:rsidR="00836880">
        <w:rPr>
          <w:rFonts w:eastAsia="MS Mincho"/>
        </w:rPr>
        <w:t>G</w:t>
      </w:r>
      <w:r w:rsidRPr="00876189">
        <w:rPr>
          <w:rFonts w:eastAsia="MS Mincho"/>
        </w:rPr>
        <w:t>roup II);</w:t>
      </w:r>
    </w:p>
    <w:p w14:paraId="299409C4" w14:textId="77777777" w:rsidR="00333364" w:rsidRPr="00876189" w:rsidRDefault="00333364" w:rsidP="004968FE">
      <w:pPr>
        <w:pStyle w:val="Normalnumber"/>
        <w:numPr>
          <w:ilvl w:val="1"/>
          <w:numId w:val="5"/>
        </w:numPr>
        <w:tabs>
          <w:tab w:val="clear" w:pos="567"/>
        </w:tabs>
        <w:ind w:firstLine="624"/>
        <w:rPr>
          <w:rFonts w:eastAsia="MS Mincho"/>
        </w:rPr>
      </w:pPr>
      <w:r w:rsidRPr="00876189">
        <w:rPr>
          <w:rFonts w:eastAsia="MS Mincho"/>
        </w:rPr>
        <w:t>Alex Rogers, University of Oxford, United Kingdom.</w:t>
      </w:r>
    </w:p>
    <w:p w14:paraId="2F477B32" w14:textId="14EDF695" w:rsidR="00333364" w:rsidRPr="00876189" w:rsidRDefault="008F1F0A" w:rsidP="00397BC4">
      <w:pPr>
        <w:pStyle w:val="Normalnumber"/>
        <w:rPr>
          <w:rFonts w:eastAsiaTheme="minorEastAsia"/>
        </w:rPr>
      </w:pPr>
      <w:r>
        <w:rPr>
          <w:rFonts w:eastAsiaTheme="minorEastAsia"/>
        </w:rPr>
        <w:t>A</w:t>
      </w:r>
      <w:r w:rsidR="00333364" w:rsidRPr="00876189">
        <w:rPr>
          <w:rFonts w:eastAsiaTheme="minorEastAsia"/>
        </w:rPr>
        <w:t>pproximately 50 experts</w:t>
      </w:r>
      <w:r w:rsidR="003C7D20" w:rsidRPr="00876189">
        <w:rPr>
          <w:rFonts w:eastAsiaTheme="minorEastAsia"/>
        </w:rPr>
        <w:t xml:space="preserve">, </w:t>
      </w:r>
      <w:r w:rsidR="003C7D20">
        <w:rPr>
          <w:rFonts w:eastAsiaTheme="minorEastAsia"/>
        </w:rPr>
        <w:t xml:space="preserve">selected by the </w:t>
      </w:r>
      <w:r w:rsidR="003C7D20" w:rsidRPr="00876189">
        <w:rPr>
          <w:rFonts w:eastAsiaTheme="minorEastAsia"/>
        </w:rPr>
        <w:t xml:space="preserve">scientific </w:t>
      </w:r>
      <w:r w:rsidR="003C7D20" w:rsidRPr="00876189">
        <w:rPr>
          <w:rFonts w:eastAsia="MS Mincho"/>
        </w:rPr>
        <w:t>steering</w:t>
      </w:r>
      <w:r w:rsidR="003C7D20" w:rsidRPr="00876189">
        <w:rPr>
          <w:rFonts w:eastAsiaTheme="minorEastAsia"/>
        </w:rPr>
        <w:t xml:space="preserve"> committee with equal representation from the IPCC and IPBES communities</w:t>
      </w:r>
      <w:r w:rsidR="003C7D20">
        <w:rPr>
          <w:rFonts w:eastAsiaTheme="minorEastAsia"/>
        </w:rPr>
        <w:t>,</w:t>
      </w:r>
      <w:r w:rsidRPr="008F1F0A">
        <w:rPr>
          <w:rFonts w:eastAsiaTheme="minorEastAsia"/>
        </w:rPr>
        <w:t xml:space="preserve"> </w:t>
      </w:r>
      <w:r>
        <w:rPr>
          <w:rFonts w:eastAsiaTheme="minorEastAsia"/>
        </w:rPr>
        <w:t>participated in</w:t>
      </w:r>
      <w:r w:rsidRPr="00876189">
        <w:rPr>
          <w:rFonts w:eastAsiaTheme="minorEastAsia"/>
        </w:rPr>
        <w:t xml:space="preserve"> the workshop</w:t>
      </w:r>
      <w:r w:rsidR="009D6D5C">
        <w:rPr>
          <w:rFonts w:eastAsiaTheme="minorEastAsia"/>
        </w:rPr>
        <w:t>.</w:t>
      </w:r>
      <w:r w:rsidR="00333364" w:rsidRPr="00876189">
        <w:rPr>
          <w:rFonts w:eastAsiaTheme="minorEastAsia"/>
        </w:rPr>
        <w:t xml:space="preserve"> </w:t>
      </w:r>
      <w:r w:rsidR="002C72B4" w:rsidRPr="002C72B4">
        <w:rPr>
          <w:rFonts w:eastAsiaTheme="minorEastAsia"/>
        </w:rPr>
        <w:t xml:space="preserve">In addition, </w:t>
      </w:r>
      <w:r w:rsidR="00094CA8">
        <w:rPr>
          <w:rFonts w:eastAsiaTheme="minorEastAsia"/>
        </w:rPr>
        <w:t>two</w:t>
      </w:r>
      <w:r w:rsidR="002C72B4" w:rsidRPr="002C72B4">
        <w:rPr>
          <w:rFonts w:eastAsiaTheme="minorEastAsia"/>
        </w:rPr>
        <w:t xml:space="preserve"> members </w:t>
      </w:r>
      <w:r w:rsidR="00094CA8">
        <w:rPr>
          <w:rFonts w:eastAsiaTheme="minorEastAsia"/>
        </w:rPr>
        <w:t>each from</w:t>
      </w:r>
      <w:r w:rsidR="002C72B4" w:rsidRPr="002C72B4">
        <w:rPr>
          <w:rFonts w:eastAsiaTheme="minorEastAsia"/>
        </w:rPr>
        <w:t xml:space="preserve"> the IPCC and IPBES Bureaux attended the workshop as observers.</w:t>
      </w:r>
      <w:r w:rsidR="00B74B94" w:rsidRPr="00B74B94">
        <w:rPr>
          <w:rFonts w:eastAsiaTheme="minorEastAsia"/>
        </w:rPr>
        <w:t xml:space="preserve"> </w:t>
      </w:r>
      <w:r w:rsidR="00333364" w:rsidRPr="00876189">
        <w:rPr>
          <w:rFonts w:eastAsiaTheme="minorEastAsia"/>
        </w:rPr>
        <w:t xml:space="preserve">The participants identified through IPBES were selected from the list of IPBES experts who had indicated in their IPBES </w:t>
      </w:r>
      <w:r w:rsidR="00333364" w:rsidRPr="00331094">
        <w:rPr>
          <w:rFonts w:eastAsiaTheme="minorEastAsia"/>
        </w:rPr>
        <w:t xml:space="preserve">profiles </w:t>
      </w:r>
      <w:r w:rsidRPr="00331094">
        <w:rPr>
          <w:rFonts w:eastAsia="MS Mincho"/>
        </w:rPr>
        <w:t>that they had</w:t>
      </w:r>
      <w:r w:rsidR="00333364" w:rsidRPr="00A873B9">
        <w:rPr>
          <w:rFonts w:eastAsiaTheme="minorEastAsia"/>
        </w:rPr>
        <w:t xml:space="preserve"> expertise in biodiversity and climate change. The scientific steering committee held a teleconference on 6</w:t>
      </w:r>
      <w:r w:rsidR="00333364" w:rsidRPr="0045117B">
        <w:rPr>
          <w:rFonts w:eastAsiaTheme="minorEastAsia"/>
        </w:rPr>
        <w:t xml:space="preserve"> March 2020 and finalized the selection of experts on 16</w:t>
      </w:r>
      <w:r w:rsidR="0078134B">
        <w:rPr>
          <w:rFonts w:eastAsiaTheme="minorEastAsia"/>
        </w:rPr>
        <w:t> </w:t>
      </w:r>
      <w:r w:rsidR="00333364" w:rsidRPr="0045117B">
        <w:rPr>
          <w:rFonts w:eastAsiaTheme="minorEastAsia"/>
        </w:rPr>
        <w:t>April 2020. The list of participants in the workshop is set out on the IPBES website at</w:t>
      </w:r>
      <w:r w:rsidR="00333364" w:rsidRPr="00C430AA">
        <w:rPr>
          <w:rFonts w:eastAsiaTheme="minorEastAsia"/>
        </w:rPr>
        <w:t xml:space="preserve"> </w:t>
      </w:r>
      <w:hyperlink r:id="rId13" w:history="1">
        <w:r w:rsidR="00333364" w:rsidRPr="003E5592">
          <w:rPr>
            <w:rFonts w:eastAsiaTheme="minorEastAsia"/>
            <w:color w:val="5B9BD5" w:themeColor="accent5"/>
          </w:rPr>
          <w:t>https://ipbes.net/biodiversity-climatechange/participants</w:t>
        </w:r>
      </w:hyperlink>
      <w:r w:rsidR="00333364" w:rsidRPr="00331094">
        <w:rPr>
          <w:rFonts w:eastAsiaTheme="minorEastAsia"/>
        </w:rPr>
        <w:t xml:space="preserve"> and in an annex to the workshop report.</w:t>
      </w:r>
    </w:p>
    <w:p w14:paraId="644E0295" w14:textId="63042160" w:rsidR="00333364" w:rsidRPr="003627A9" w:rsidRDefault="00333364" w:rsidP="00397BC4">
      <w:pPr>
        <w:pStyle w:val="Normalnumber"/>
      </w:pPr>
      <w:bookmarkStart w:id="2" w:name="_Hlk67395170"/>
      <w:r w:rsidRPr="003627A9">
        <w:t>In April 2020,</w:t>
      </w:r>
      <w:r w:rsidR="00890D48" w:rsidRPr="003627A9">
        <w:t xml:space="preserve"> </w:t>
      </w:r>
      <w:r w:rsidRPr="003627A9">
        <w:t xml:space="preserve">the scientific steering committee, in consultation with the IPBES Bureau and the Governments providing support for the workshop, </w:t>
      </w:r>
      <w:r w:rsidR="00890D48" w:rsidRPr="003627A9">
        <w:t>decided</w:t>
      </w:r>
      <w:r w:rsidR="008D6B2D" w:rsidRPr="003627A9">
        <w:t xml:space="preserve">, in the light of </w:t>
      </w:r>
      <w:r w:rsidR="00E36D5E" w:rsidRPr="003627A9">
        <w:t>the</w:t>
      </w:r>
      <w:r w:rsidR="00890D48" w:rsidRPr="003627A9">
        <w:t xml:space="preserve"> </w:t>
      </w:r>
      <w:r w:rsidR="00E36D5E" w:rsidRPr="003627A9">
        <w:t>coronavirus disease (COVID-19) pandemic</w:t>
      </w:r>
      <w:r w:rsidR="00056FD5" w:rsidRPr="003627A9">
        <w:t>,</w:t>
      </w:r>
      <w:r w:rsidR="009C3C79" w:rsidRPr="003627A9">
        <w:t xml:space="preserve"> </w:t>
      </w:r>
      <w:r w:rsidR="008D6B2D" w:rsidRPr="003627A9">
        <w:t xml:space="preserve">to </w:t>
      </w:r>
      <w:r w:rsidR="0013637E">
        <w:t>postpone</w:t>
      </w:r>
      <w:r w:rsidR="008D6B2D" w:rsidRPr="003627A9">
        <w:t xml:space="preserve"> the workshop </w:t>
      </w:r>
      <w:r w:rsidR="0013637E">
        <w:t>scheduled for</w:t>
      </w:r>
      <w:r w:rsidR="008D6B2D" w:rsidRPr="003627A9">
        <w:t xml:space="preserve"> 12 to 14 May 2020</w:t>
      </w:r>
      <w:r w:rsidR="00D961A0" w:rsidRPr="0013637E">
        <w:t>. Accordingly, it was decided that the workshop would</w:t>
      </w:r>
      <w:r w:rsidR="00E36D5E" w:rsidRPr="003627A9">
        <w:t xml:space="preserve"> be held online from</w:t>
      </w:r>
      <w:r w:rsidRPr="003627A9">
        <w:t xml:space="preserve"> 14</w:t>
      </w:r>
      <w:r w:rsidR="00E36D5E" w:rsidRPr="003627A9">
        <w:t xml:space="preserve"> to </w:t>
      </w:r>
      <w:r w:rsidRPr="003627A9">
        <w:t xml:space="preserve">17 December 2020. </w:t>
      </w:r>
      <w:r w:rsidR="007E6282" w:rsidRPr="003627A9">
        <w:t xml:space="preserve">Owing </w:t>
      </w:r>
      <w:r w:rsidRPr="003627A9">
        <w:t xml:space="preserve">to the online nature of the </w:t>
      </w:r>
      <w:r w:rsidR="006456D6" w:rsidRPr="003627A9">
        <w:t>workshop</w:t>
      </w:r>
      <w:r w:rsidRPr="003627A9">
        <w:t xml:space="preserve">, extensive preparations were conducted under the guidance of the scientific steering committee. </w:t>
      </w:r>
      <w:bookmarkEnd w:id="2"/>
    </w:p>
    <w:p w14:paraId="1FC5EAAB" w14:textId="529DAE7F" w:rsidR="00333364" w:rsidRPr="00876189" w:rsidRDefault="00D516BC" w:rsidP="00397BC4">
      <w:pPr>
        <w:pStyle w:val="Normalnumber"/>
        <w:rPr>
          <w:rFonts w:eastAsia="MS Mincho"/>
        </w:rPr>
      </w:pPr>
      <w:r>
        <w:t>At</w:t>
      </w:r>
      <w:r w:rsidR="00333364" w:rsidRPr="00397BC4">
        <w:t xml:space="preserve"> the </w:t>
      </w:r>
      <w:r w:rsidR="00C7404E">
        <w:t xml:space="preserve">opening of the </w:t>
      </w:r>
      <w:r w:rsidR="00333364" w:rsidRPr="00397BC4">
        <w:t>workshop</w:t>
      </w:r>
      <w:r w:rsidR="00C7404E">
        <w:t>,</w:t>
      </w:r>
      <w:r w:rsidR="00333364" w:rsidRPr="00397BC4">
        <w:t xml:space="preserve"> on 14 December 2020</w:t>
      </w:r>
      <w:r>
        <w:t xml:space="preserve">, </w:t>
      </w:r>
      <w:r w:rsidR="00C7404E">
        <w:t>statements</w:t>
      </w:r>
      <w:r>
        <w:t xml:space="preserve"> were delivered</w:t>
      </w:r>
      <w:r w:rsidR="00333364" w:rsidRPr="00397BC4">
        <w:t xml:space="preserve"> by </w:t>
      </w:r>
      <w:r w:rsidR="00161BCA">
        <w:t>Zac</w:t>
      </w:r>
      <w:r w:rsidR="0078134B">
        <w:t> </w:t>
      </w:r>
      <w:r w:rsidR="00333364" w:rsidRPr="00397BC4">
        <w:t>Goldsmith</w:t>
      </w:r>
      <w:r w:rsidR="008A4965">
        <w:t xml:space="preserve">, </w:t>
      </w:r>
      <w:r w:rsidR="00333364" w:rsidRPr="00397BC4">
        <w:t>Minister of State for Pacific and the Environment</w:t>
      </w:r>
      <w:r w:rsidR="00DD1FB0">
        <w:t xml:space="preserve"> and the</w:t>
      </w:r>
      <w:r w:rsidR="00333364" w:rsidRPr="00397BC4">
        <w:t xml:space="preserve"> Department for Environment, Food and Rural Affairs, U</w:t>
      </w:r>
      <w:r w:rsidR="00DD1FB0">
        <w:t xml:space="preserve">nited </w:t>
      </w:r>
      <w:r w:rsidR="00333364" w:rsidRPr="00397BC4">
        <w:t>K</w:t>
      </w:r>
      <w:r w:rsidR="00DD1FB0">
        <w:t>ingdom</w:t>
      </w:r>
      <w:r w:rsidR="003627A9">
        <w:t>;</w:t>
      </w:r>
      <w:r w:rsidR="00333364" w:rsidRPr="00397BC4">
        <w:t xml:space="preserve"> Maren Hersleth Holsen</w:t>
      </w:r>
      <w:r w:rsidR="00D314CC">
        <w:t>,</w:t>
      </w:r>
      <w:r w:rsidR="00D314CC" w:rsidRPr="00397BC4" w:rsidDel="00D314CC">
        <w:t xml:space="preserve"> </w:t>
      </w:r>
      <w:r w:rsidR="00333364" w:rsidRPr="00397BC4">
        <w:t xml:space="preserve">State Secretary, Ministry </w:t>
      </w:r>
      <w:r w:rsidR="00DD1FB0">
        <w:t>of</w:t>
      </w:r>
      <w:r w:rsidR="00333364" w:rsidRPr="00397BC4">
        <w:t xml:space="preserve"> Climate and Environment, Norway</w:t>
      </w:r>
      <w:r w:rsidR="003627A9">
        <w:t>;</w:t>
      </w:r>
      <w:r w:rsidR="00333364" w:rsidRPr="00397BC4">
        <w:t xml:space="preserve"> Ana María Hernández Salgar</w:t>
      </w:r>
      <w:r w:rsidR="00D314CC">
        <w:t>,</w:t>
      </w:r>
      <w:r w:rsidR="00D314CC" w:rsidRPr="00397BC4" w:rsidDel="00D314CC">
        <w:t xml:space="preserve"> </w:t>
      </w:r>
      <w:r w:rsidR="00333364" w:rsidRPr="00397BC4">
        <w:t>Chair of IPBES</w:t>
      </w:r>
      <w:r w:rsidR="0013637E">
        <w:t>;</w:t>
      </w:r>
      <w:r w:rsidR="00333364" w:rsidRPr="00397BC4">
        <w:t xml:space="preserve"> and Hoesung Lee</w:t>
      </w:r>
      <w:r w:rsidR="00D314CC">
        <w:t xml:space="preserve">, </w:t>
      </w:r>
      <w:r w:rsidR="00333364" w:rsidRPr="00397BC4">
        <w:t>Chair of IPCC. During the workshop, participants considered the topics set out in the concept note for the workshop</w:t>
      </w:r>
      <w:r w:rsidR="001D1F3B">
        <w:t>, including</w:t>
      </w:r>
      <w:r w:rsidR="00333364" w:rsidRPr="00397BC4">
        <w:t xml:space="preserve"> the impacts and risks </w:t>
      </w:r>
      <w:r w:rsidR="001D1F3B" w:rsidRPr="00876189">
        <w:rPr>
          <w:rFonts w:eastAsia="MS Mincho"/>
        </w:rPr>
        <w:t>for biodiversity</w:t>
      </w:r>
      <w:r w:rsidR="00836880">
        <w:rPr>
          <w:rFonts w:eastAsia="MS Mincho"/>
        </w:rPr>
        <w:t>,</w:t>
      </w:r>
      <w:r w:rsidR="001D1F3B" w:rsidRPr="00397BC4">
        <w:t xml:space="preserve"> </w:t>
      </w:r>
      <w:r w:rsidR="00836880" w:rsidRPr="00876189">
        <w:rPr>
          <w:rFonts w:eastAsia="MS Mincho"/>
        </w:rPr>
        <w:t>nature’s contributions to people and quality of life</w:t>
      </w:r>
      <w:r w:rsidR="00836880" w:rsidRPr="00397BC4">
        <w:t xml:space="preserve"> </w:t>
      </w:r>
      <w:r w:rsidR="00333364" w:rsidRPr="00397BC4">
        <w:t>of plausible future</w:t>
      </w:r>
      <w:r w:rsidR="00333364" w:rsidRPr="00876189">
        <w:rPr>
          <w:rFonts w:eastAsia="MS Mincho"/>
        </w:rPr>
        <w:t xml:space="preserve"> changes in climate; feedback</w:t>
      </w:r>
      <w:r w:rsidR="001D1F3B">
        <w:rPr>
          <w:rFonts w:eastAsia="MS Mincho"/>
        </w:rPr>
        <w:t xml:space="preserve"> between</w:t>
      </w:r>
      <w:r w:rsidR="00333364" w:rsidRPr="00876189">
        <w:rPr>
          <w:rFonts w:eastAsia="MS Mincho"/>
        </w:rPr>
        <w:t xml:space="preserve"> plausible changes in biodiversity </w:t>
      </w:r>
      <w:r w:rsidR="001D1F3B">
        <w:rPr>
          <w:rFonts w:eastAsia="MS Mincho"/>
        </w:rPr>
        <w:t>and</w:t>
      </w:r>
      <w:r w:rsidR="00333364" w:rsidRPr="00876189">
        <w:rPr>
          <w:rFonts w:eastAsia="MS Mincho"/>
        </w:rPr>
        <w:t xml:space="preserve"> climate characteristics and change; opportunities to </w:t>
      </w:r>
      <w:r w:rsidR="001D1F3B">
        <w:rPr>
          <w:rFonts w:eastAsia="MS Mincho"/>
        </w:rPr>
        <w:t>achieve</w:t>
      </w:r>
      <w:r w:rsidR="00333364" w:rsidRPr="00876189">
        <w:rPr>
          <w:rFonts w:eastAsia="MS Mincho"/>
        </w:rPr>
        <w:t xml:space="preserve"> </w:t>
      </w:r>
      <w:r w:rsidR="001D1F3B" w:rsidRPr="006532F6">
        <w:rPr>
          <w:rFonts w:eastAsia="MS Mincho"/>
        </w:rPr>
        <w:t xml:space="preserve">objectives related to </w:t>
      </w:r>
      <w:r w:rsidR="00333364" w:rsidRPr="006532F6">
        <w:rPr>
          <w:rFonts w:eastAsia="MS Mincho"/>
        </w:rPr>
        <w:t xml:space="preserve">both climate change and </w:t>
      </w:r>
      <w:r w:rsidR="00333364" w:rsidRPr="008633D6">
        <w:rPr>
          <w:rFonts w:eastAsia="MS Mincho"/>
        </w:rPr>
        <w:t>biodiversity</w:t>
      </w:r>
      <w:r w:rsidR="00836880" w:rsidRPr="008633D6">
        <w:rPr>
          <w:rFonts w:eastAsia="MS Mincho"/>
        </w:rPr>
        <w:t xml:space="preserve"> </w:t>
      </w:r>
      <w:r w:rsidR="00333364" w:rsidRPr="008633D6">
        <w:rPr>
          <w:rFonts w:eastAsia="MS Mincho"/>
        </w:rPr>
        <w:t>and</w:t>
      </w:r>
      <w:r w:rsidR="001D1F3B" w:rsidRPr="008633D6">
        <w:rPr>
          <w:rFonts w:eastAsia="MS Mincho"/>
        </w:rPr>
        <w:t xml:space="preserve"> the</w:t>
      </w:r>
      <w:r w:rsidR="00333364" w:rsidRPr="008633D6">
        <w:rPr>
          <w:rFonts w:eastAsia="MS Mincho"/>
        </w:rPr>
        <w:t xml:space="preserve"> risks of considering th</w:t>
      </w:r>
      <w:r w:rsidR="00D314CC" w:rsidRPr="008633D6">
        <w:rPr>
          <w:rFonts w:eastAsia="MS Mincho"/>
        </w:rPr>
        <w:t>o</w:t>
      </w:r>
      <w:r w:rsidR="00333364" w:rsidRPr="008633D6">
        <w:rPr>
          <w:rFonts w:eastAsia="MS Mincho"/>
        </w:rPr>
        <w:t>se issues separately</w:t>
      </w:r>
      <w:r w:rsidR="00D314CC" w:rsidRPr="008633D6">
        <w:rPr>
          <w:rFonts w:eastAsia="MS Mincho"/>
        </w:rPr>
        <w:t>,</w:t>
      </w:r>
      <w:r w:rsidR="00333364" w:rsidRPr="008633D6">
        <w:rPr>
          <w:rFonts w:eastAsia="MS Mincho"/>
        </w:rPr>
        <w:t xml:space="preserve"> including opportunities, challenges and risks </w:t>
      </w:r>
      <w:r w:rsidR="0013637E" w:rsidRPr="008633D6">
        <w:rPr>
          <w:rFonts w:eastAsia="MS Mincho"/>
        </w:rPr>
        <w:t>posed by</w:t>
      </w:r>
      <w:r w:rsidR="00333364" w:rsidRPr="008633D6">
        <w:rPr>
          <w:rFonts w:eastAsia="MS Mincho"/>
        </w:rPr>
        <w:t xml:space="preserve"> climate change mitigation and adaptation options for biodiversity, nature’s contribution</w:t>
      </w:r>
      <w:r w:rsidR="009871EF" w:rsidRPr="008633D6">
        <w:rPr>
          <w:rFonts w:eastAsia="MS Mincho"/>
        </w:rPr>
        <w:t>s</w:t>
      </w:r>
      <w:r w:rsidR="00333364" w:rsidRPr="008633D6">
        <w:rPr>
          <w:rFonts w:eastAsia="MS Mincho"/>
        </w:rPr>
        <w:t xml:space="preserve"> to people and quality of life; </w:t>
      </w:r>
      <w:r w:rsidR="00F83DA6" w:rsidRPr="008633D6">
        <w:rPr>
          <w:rFonts w:eastAsia="MS Mincho"/>
        </w:rPr>
        <w:t>the</w:t>
      </w:r>
      <w:r w:rsidR="00F83DA6" w:rsidRPr="006532F6">
        <w:rPr>
          <w:rFonts w:eastAsia="MS Mincho"/>
        </w:rPr>
        <w:t xml:space="preserve"> </w:t>
      </w:r>
      <w:r w:rsidR="00333364" w:rsidRPr="006532F6">
        <w:rPr>
          <w:rFonts w:eastAsia="MS Mincho"/>
        </w:rPr>
        <w:t xml:space="preserve">impact of biodiversity conservation and sustainable-use practices on greenhouse gas emissions; </w:t>
      </w:r>
      <w:r w:rsidR="00333364" w:rsidRPr="008633D6">
        <w:rPr>
          <w:rFonts w:eastAsia="MS Mincho"/>
        </w:rPr>
        <w:t xml:space="preserve">synergies, trade-offs and </w:t>
      </w:r>
      <w:r w:rsidR="00F83DA6" w:rsidRPr="008633D6">
        <w:rPr>
          <w:rFonts w:eastAsia="MS Mincho"/>
        </w:rPr>
        <w:t xml:space="preserve">the </w:t>
      </w:r>
      <w:r w:rsidR="00333364" w:rsidRPr="008633D6">
        <w:rPr>
          <w:rFonts w:eastAsia="MS Mincho"/>
        </w:rPr>
        <w:t>effectiveness of policies and governance structures that simultaneously</w:t>
      </w:r>
      <w:r w:rsidR="00333364" w:rsidRPr="00F93BF9">
        <w:rPr>
          <w:rFonts w:eastAsia="MS Mincho"/>
        </w:rPr>
        <w:t xml:space="preserve"> address</w:t>
      </w:r>
      <w:r w:rsidR="005468A6" w:rsidRPr="00F93BF9">
        <w:rPr>
          <w:rFonts w:eastAsia="MS Mincho"/>
        </w:rPr>
        <w:t>ed</w:t>
      </w:r>
      <w:r w:rsidR="00333364" w:rsidRPr="00F93BF9">
        <w:rPr>
          <w:rFonts w:eastAsia="MS Mincho"/>
        </w:rPr>
        <w:t xml:space="preserve"> climate change and biodiversity loss</w:t>
      </w:r>
      <w:r w:rsidR="007F0760">
        <w:rPr>
          <w:rFonts w:eastAsia="MS Mincho"/>
        </w:rPr>
        <w:t>; and key scientific uncertainties</w:t>
      </w:r>
      <w:r w:rsidR="00333364" w:rsidRPr="00F93BF9">
        <w:rPr>
          <w:rFonts w:eastAsia="MS Mincho"/>
        </w:rPr>
        <w:t>.</w:t>
      </w:r>
      <w:r w:rsidR="00333364" w:rsidRPr="005468A6">
        <w:rPr>
          <w:rFonts w:eastAsia="MS Mincho"/>
        </w:rPr>
        <w:t xml:space="preserve"> The workshop concluded</w:t>
      </w:r>
      <w:r w:rsidR="00333364" w:rsidRPr="00876189">
        <w:rPr>
          <w:rFonts w:eastAsia="MS Mincho"/>
        </w:rPr>
        <w:t xml:space="preserve"> on 17 December 2020. </w:t>
      </w:r>
    </w:p>
    <w:p w14:paraId="06C8621D" w14:textId="3C6A67A8" w:rsidR="00333364" w:rsidRPr="008633D6" w:rsidRDefault="00333364" w:rsidP="00397BC4">
      <w:pPr>
        <w:pStyle w:val="Normalnumber"/>
        <w:rPr>
          <w:rFonts w:eastAsia="MS Mincho"/>
        </w:rPr>
      </w:pPr>
      <w:r w:rsidRPr="00397BC4">
        <w:t>The</w:t>
      </w:r>
      <w:r w:rsidRPr="00876189">
        <w:rPr>
          <w:rFonts w:eastAsia="MS Mincho"/>
        </w:rPr>
        <w:t xml:space="preserve"> </w:t>
      </w:r>
      <w:r w:rsidRPr="008633D6">
        <w:rPr>
          <w:rFonts w:eastAsia="MS Mincho"/>
        </w:rPr>
        <w:t xml:space="preserve">workshop proceedings </w:t>
      </w:r>
      <w:r w:rsidR="003627A9" w:rsidRPr="008633D6">
        <w:rPr>
          <w:rFonts w:eastAsia="MS Mincho"/>
        </w:rPr>
        <w:t>are set out</w:t>
      </w:r>
      <w:r w:rsidRPr="008633D6">
        <w:rPr>
          <w:rFonts w:eastAsia="MS Mincho"/>
        </w:rPr>
        <w:t xml:space="preserve"> in </w:t>
      </w:r>
      <w:r w:rsidR="003627A9" w:rsidRPr="008633D6">
        <w:rPr>
          <w:rFonts w:eastAsia="MS Mincho"/>
        </w:rPr>
        <w:t xml:space="preserve">document </w:t>
      </w:r>
      <w:r w:rsidRPr="008633D6">
        <w:rPr>
          <w:rFonts w:eastAsia="MS Mincho"/>
        </w:rPr>
        <w:t xml:space="preserve">IPBES/8/INF/20. </w:t>
      </w:r>
    </w:p>
    <w:p w14:paraId="5068AAA8" w14:textId="372E4CE5" w:rsidR="00333364" w:rsidRPr="00876189" w:rsidRDefault="007A4E26" w:rsidP="007A4E26">
      <w:pPr>
        <w:pStyle w:val="CH1"/>
      </w:pPr>
      <w:r w:rsidRPr="00876189">
        <w:tab/>
        <w:t>II.</w:t>
      </w:r>
      <w:r w:rsidRPr="00876189">
        <w:tab/>
      </w:r>
      <w:r w:rsidR="00333364" w:rsidRPr="00876189">
        <w:t>Potential forms of collaboration with IPCC</w:t>
      </w:r>
      <w:bookmarkEnd w:id="1"/>
    </w:p>
    <w:p w14:paraId="5A67CABE" w14:textId="371B7622" w:rsidR="00333364" w:rsidRPr="00397BC4" w:rsidRDefault="00EA4704" w:rsidP="00397BC4">
      <w:pPr>
        <w:pStyle w:val="Normalnumber"/>
      </w:pPr>
      <w:bookmarkStart w:id="3" w:name="_Toc514081856"/>
      <w:bookmarkStart w:id="4" w:name="_Toc515453099"/>
      <w:r>
        <w:t>In its decision IPBES-7/1, t</w:t>
      </w:r>
      <w:r w:rsidR="00333364" w:rsidRPr="00397BC4">
        <w:t>he Plenary requested the Executive Secretary to explore</w:t>
      </w:r>
      <w:r>
        <w:t>,</w:t>
      </w:r>
      <w:r w:rsidR="00333364" w:rsidRPr="00397BC4">
        <w:t xml:space="preserve"> with the secretariat of IPCC</w:t>
      </w:r>
      <w:r>
        <w:t>,</w:t>
      </w:r>
      <w:r w:rsidR="00333364" w:rsidRPr="00397BC4">
        <w:t xml:space="preserve"> possible joint activities </w:t>
      </w:r>
      <w:r w:rsidR="004E182C">
        <w:t>relating to</w:t>
      </w:r>
      <w:r w:rsidR="00333364" w:rsidRPr="00397BC4">
        <w:t xml:space="preserve"> biodiversity and climate change. </w:t>
      </w:r>
      <w:r w:rsidR="005E0E4D">
        <w:t>Owing to</w:t>
      </w:r>
      <w:r w:rsidR="00333364" w:rsidRPr="00397BC4">
        <w:t xml:space="preserve"> the difficult situation caused by the COVID-19 pandemic and </w:t>
      </w:r>
      <w:r w:rsidR="005E0E4D">
        <w:t>the</w:t>
      </w:r>
      <w:r w:rsidR="00333364" w:rsidRPr="00397BC4">
        <w:t xml:space="preserve"> focus on organizi</w:t>
      </w:r>
      <w:r w:rsidR="005E0E4D">
        <w:t>ng</w:t>
      </w:r>
      <w:r w:rsidR="00333364" w:rsidRPr="00397BC4">
        <w:t xml:space="preserve"> the co-sponsored workshop, </w:t>
      </w:r>
      <w:r w:rsidR="005E0E4D">
        <w:t xml:space="preserve">it has not </w:t>
      </w:r>
      <w:r w:rsidR="004E182C">
        <w:t xml:space="preserve">yet </w:t>
      </w:r>
      <w:r w:rsidR="005E0E4D">
        <w:t>been possible to address</w:t>
      </w:r>
      <w:r w:rsidR="00333364" w:rsidRPr="00397BC4">
        <w:t xml:space="preserve"> future collaborat</w:t>
      </w:r>
      <w:r w:rsidR="005E0E4D">
        <w:t>ion</w:t>
      </w:r>
      <w:r w:rsidR="00333364" w:rsidRPr="00397BC4">
        <w:t xml:space="preserve">. </w:t>
      </w:r>
    </w:p>
    <w:p w14:paraId="5AD9C173" w14:textId="19E5F2D6" w:rsidR="00333364" w:rsidRPr="00876189" w:rsidRDefault="006C6064" w:rsidP="00B40337">
      <w:pPr>
        <w:pStyle w:val="Normalnumber"/>
        <w:keepNext/>
        <w:keepLines/>
        <w:rPr>
          <w:rFonts w:eastAsia="MS Mincho"/>
        </w:rPr>
      </w:pPr>
      <w:r>
        <w:lastRenderedPageBreak/>
        <w:t>It is</w:t>
      </w:r>
      <w:r w:rsidR="00B30A96">
        <w:t xml:space="preserve"> </w:t>
      </w:r>
      <w:r w:rsidR="00333364" w:rsidRPr="00397BC4">
        <w:t>increasing</w:t>
      </w:r>
      <w:r>
        <w:t>ly</w:t>
      </w:r>
      <w:r w:rsidR="00333364" w:rsidRPr="00397BC4">
        <w:t xml:space="preserve"> recogni</w:t>
      </w:r>
      <w:r>
        <w:t>zed</w:t>
      </w:r>
      <w:r w:rsidR="00333364" w:rsidRPr="00397BC4">
        <w:t xml:space="preserve"> that biodiversity loss and climate change need to be addressed together to ensure sustainable solutions</w:t>
      </w:r>
      <w:r w:rsidR="00333364" w:rsidRPr="00876189">
        <w:rPr>
          <w:rFonts w:eastAsia="MS Mincho"/>
        </w:rPr>
        <w:t xml:space="preserve">. </w:t>
      </w:r>
      <w:r w:rsidR="00B30A96">
        <w:rPr>
          <w:rFonts w:eastAsia="MS Mincho"/>
        </w:rPr>
        <w:t>For example, it was reported in t</w:t>
      </w:r>
      <w:r w:rsidR="00333364" w:rsidRPr="00876189">
        <w:rPr>
          <w:rFonts w:eastAsia="MS Mincho"/>
        </w:rPr>
        <w:t xml:space="preserve">he </w:t>
      </w:r>
      <w:r w:rsidR="00333364" w:rsidRPr="002F4324">
        <w:rPr>
          <w:rFonts w:eastAsia="MS Mincho"/>
        </w:rPr>
        <w:t>IPBES</w:t>
      </w:r>
      <w:r w:rsidR="00333364" w:rsidRPr="0013637E">
        <w:rPr>
          <w:rFonts w:eastAsia="MS Mincho"/>
          <w:i/>
          <w:iCs/>
        </w:rPr>
        <w:t xml:space="preserve"> Global Assessment</w:t>
      </w:r>
      <w:r w:rsidR="00196A1E">
        <w:rPr>
          <w:rFonts w:eastAsia="MS Mincho"/>
          <w:i/>
          <w:iCs/>
        </w:rPr>
        <w:t xml:space="preserve"> Report on</w:t>
      </w:r>
      <w:r w:rsidR="00333364" w:rsidRPr="0013637E">
        <w:rPr>
          <w:rFonts w:eastAsia="MS Mincho"/>
          <w:i/>
          <w:iCs/>
        </w:rPr>
        <w:t xml:space="preserve"> Biodiversity and Ecosystem</w:t>
      </w:r>
      <w:r w:rsidR="00333364" w:rsidRPr="0013637E">
        <w:rPr>
          <w:rFonts w:eastAsiaTheme="minorEastAsia"/>
          <w:i/>
          <w:iCs/>
        </w:rPr>
        <w:t xml:space="preserve"> Services</w:t>
      </w:r>
      <w:r w:rsidR="00333364" w:rsidRPr="00876189">
        <w:rPr>
          <w:rFonts w:eastAsiaTheme="minorEastAsia"/>
        </w:rPr>
        <w:t xml:space="preserve"> </w:t>
      </w:r>
      <w:r w:rsidR="00333364" w:rsidRPr="00876189">
        <w:rPr>
          <w:rFonts w:eastAsia="MS Mincho"/>
        </w:rPr>
        <w:t xml:space="preserve">that forests, other ecosystem </w:t>
      </w:r>
      <w:r w:rsidR="0039180B">
        <w:rPr>
          <w:rFonts w:eastAsia="MS Mincho"/>
        </w:rPr>
        <w:t xml:space="preserve">types </w:t>
      </w:r>
      <w:r w:rsidR="00333364" w:rsidRPr="00876189">
        <w:rPr>
          <w:rFonts w:eastAsia="MS Mincho"/>
        </w:rPr>
        <w:t>and soils, if properly protected and better managed, c</w:t>
      </w:r>
      <w:r w:rsidR="00B30A96">
        <w:rPr>
          <w:rFonts w:eastAsia="MS Mincho"/>
        </w:rPr>
        <w:t>ould</w:t>
      </w:r>
      <w:r w:rsidR="00333364" w:rsidRPr="00876189">
        <w:rPr>
          <w:rFonts w:eastAsia="MS Mincho"/>
        </w:rPr>
        <w:t xml:space="preserve"> help mitigate climate change</w:t>
      </w:r>
      <w:r w:rsidR="00B30A96">
        <w:rPr>
          <w:rFonts w:eastAsia="MS Mincho"/>
        </w:rPr>
        <w:t>,</w:t>
      </w:r>
      <w:r w:rsidR="00333364" w:rsidRPr="00876189">
        <w:rPr>
          <w:rFonts w:eastAsia="MS Mincho"/>
        </w:rPr>
        <w:t xml:space="preserve"> but also that</w:t>
      </w:r>
      <w:r w:rsidR="004E182C">
        <w:rPr>
          <w:rFonts w:eastAsia="MS Mincho"/>
        </w:rPr>
        <w:t>,</w:t>
      </w:r>
      <w:r w:rsidR="00333364" w:rsidRPr="00876189">
        <w:rPr>
          <w:rFonts w:eastAsia="MS Mincho"/>
        </w:rPr>
        <w:t xml:space="preserve"> </w:t>
      </w:r>
      <w:r w:rsidR="004E182C">
        <w:rPr>
          <w:rFonts w:eastAsia="MS Mincho"/>
        </w:rPr>
        <w:t>owing to</w:t>
      </w:r>
      <w:r w:rsidR="004E182C" w:rsidRPr="00876189">
        <w:rPr>
          <w:rFonts w:eastAsia="MS Mincho"/>
        </w:rPr>
        <w:t xml:space="preserve"> habitat conversion</w:t>
      </w:r>
      <w:r w:rsidR="004E182C">
        <w:rPr>
          <w:rFonts w:eastAsia="MS Mincho"/>
        </w:rPr>
        <w:t>,</w:t>
      </w:r>
      <w:r w:rsidR="004E182C" w:rsidRPr="00876189">
        <w:rPr>
          <w:rFonts w:eastAsia="MS Mincho"/>
        </w:rPr>
        <w:t xml:space="preserve"> </w:t>
      </w:r>
      <w:r w:rsidR="00333364" w:rsidRPr="00876189">
        <w:rPr>
          <w:rFonts w:eastAsia="MS Mincho"/>
        </w:rPr>
        <w:t>the large-scale land-based mitigation measures necessary to keep global warming below 2</w:t>
      </w:r>
      <w:r w:rsidR="005468A6">
        <w:rPr>
          <w:rFonts w:eastAsia="MS Mincho"/>
        </w:rPr>
        <w:t>°</w:t>
      </w:r>
      <w:r w:rsidR="00333364" w:rsidRPr="00876189">
        <w:rPr>
          <w:rFonts w:eastAsia="MS Mincho"/>
        </w:rPr>
        <w:t>C could represent a major threat to plants and animals.</w:t>
      </w:r>
    </w:p>
    <w:p w14:paraId="6EDF3E3A" w14:textId="051EC6F9" w:rsidR="00333364" w:rsidRPr="00397BC4" w:rsidRDefault="00333364" w:rsidP="00397BC4">
      <w:pPr>
        <w:pStyle w:val="Normalnumber"/>
      </w:pPr>
      <w:r w:rsidRPr="00397BC4">
        <w:t xml:space="preserve">Collaborative activities would enable IPCC and IPBES to learn from each other. While IPCC </w:t>
      </w:r>
      <w:r w:rsidR="00C144A9">
        <w:t>has</w:t>
      </w:r>
      <w:r w:rsidRPr="00397BC4">
        <w:t xml:space="preserve"> more than 30 years of experience, IPBES has </w:t>
      </w:r>
      <w:r w:rsidR="00C144A9">
        <w:t>implemented</w:t>
      </w:r>
      <w:r w:rsidRPr="00397BC4">
        <w:t xml:space="preserve"> novel approaches, such as its work on recognizing and working with indigenous and local knowledge. </w:t>
      </w:r>
    </w:p>
    <w:p w14:paraId="05633507" w14:textId="1A872AA1" w:rsidR="00333364" w:rsidRPr="00397BC4" w:rsidRDefault="00333364" w:rsidP="00397BC4">
      <w:pPr>
        <w:pStyle w:val="Normalnumber"/>
      </w:pPr>
      <w:r w:rsidRPr="00397BC4">
        <w:t>The IPBES secretariat has identified several theoretical options</w:t>
      </w:r>
      <w:r w:rsidR="00B67026">
        <w:t xml:space="preserve"> to explore</w:t>
      </w:r>
      <w:r w:rsidRPr="00397BC4">
        <w:t xml:space="preserve"> </w:t>
      </w:r>
      <w:r w:rsidR="00B67026" w:rsidRPr="00397BC4">
        <w:t xml:space="preserve">with IPCC </w:t>
      </w:r>
      <w:r w:rsidRPr="00397BC4">
        <w:t xml:space="preserve">for further collaboration. </w:t>
      </w:r>
      <w:r w:rsidR="003D686F">
        <w:t>T</w:t>
      </w:r>
      <w:r w:rsidRPr="00397BC4">
        <w:t xml:space="preserve">he </w:t>
      </w:r>
      <w:r w:rsidR="0078538D">
        <w:t>products generated by</w:t>
      </w:r>
      <w:r w:rsidRPr="00397BC4">
        <w:t xml:space="preserve"> IPBES and the Panel and the procedures for their preparation are </w:t>
      </w:r>
      <w:r w:rsidR="003D686F">
        <w:t>often</w:t>
      </w:r>
      <w:r w:rsidRPr="00397BC4">
        <w:t xml:space="preserve"> similar</w:t>
      </w:r>
      <w:r w:rsidR="003D686F">
        <w:t>.</w:t>
      </w:r>
      <w:r w:rsidRPr="00397BC4">
        <w:t xml:space="preserve"> </w:t>
      </w:r>
      <w:r w:rsidR="00DB6420">
        <w:t>Potential forms of collaboration</w:t>
      </w:r>
      <w:r w:rsidRPr="00397BC4">
        <w:t xml:space="preserve"> with different procedural, financial and time requirements</w:t>
      </w:r>
      <w:r w:rsidR="00F02F19">
        <w:t xml:space="preserve"> </w:t>
      </w:r>
      <w:r w:rsidR="00717E15">
        <w:t>are</w:t>
      </w:r>
      <w:r w:rsidRPr="00397BC4">
        <w:t xml:space="preserve"> </w:t>
      </w:r>
      <w:r w:rsidR="0045117B">
        <w:t>discussed</w:t>
      </w:r>
      <w:r w:rsidRPr="00397BC4">
        <w:t xml:space="preserve"> in the following sections. All </w:t>
      </w:r>
      <w:r w:rsidR="0045776F">
        <w:t xml:space="preserve">the </w:t>
      </w:r>
      <w:r w:rsidRPr="00397BC4">
        <w:t>activities could be accompanied by joint communication and outreach efforts to foster the use of any resulting products.</w:t>
      </w:r>
    </w:p>
    <w:p w14:paraId="49F60E0E" w14:textId="77777777" w:rsidR="00333364" w:rsidRPr="00876189" w:rsidRDefault="00333364" w:rsidP="007A4E26">
      <w:pPr>
        <w:pStyle w:val="CH2"/>
      </w:pPr>
      <w:r w:rsidRPr="00876189">
        <w:tab/>
        <w:t>A.</w:t>
      </w:r>
      <w:r w:rsidRPr="00876189">
        <w:tab/>
        <w:t>Joint assessment</w:t>
      </w:r>
    </w:p>
    <w:p w14:paraId="7F8617FB" w14:textId="638AB074" w:rsidR="00333364" w:rsidRPr="00397BC4" w:rsidRDefault="00333364" w:rsidP="00397BC4">
      <w:pPr>
        <w:pStyle w:val="Normalnumber"/>
      </w:pPr>
      <w:r w:rsidRPr="00397BC4">
        <w:t>The procedures for the preparation of assessments by IPCC and IPBES are very similar. From a procedural point of view, it m</w:t>
      </w:r>
      <w:r w:rsidR="00F85FEA">
        <w:t>ight</w:t>
      </w:r>
      <w:r w:rsidRPr="00397BC4">
        <w:t xml:space="preserve"> therefore be possible for IPCC and IPBES to jointly prepare an assessment. A joint assessment report would need to be approved (summary for policymakers) and accepted (chapters) by both IPCC and the IPBES Plenary. </w:t>
      </w:r>
    </w:p>
    <w:p w14:paraId="565303C6" w14:textId="5AA02DC7" w:rsidR="00333364" w:rsidRPr="00397BC4" w:rsidRDefault="00BB651B" w:rsidP="00397BC4">
      <w:pPr>
        <w:pStyle w:val="Normalnumber"/>
      </w:pPr>
      <w:r>
        <w:t>The p</w:t>
      </w:r>
      <w:r w:rsidR="00333364" w:rsidRPr="00397BC4">
        <w:t xml:space="preserve">rocedural requirements for a joint assessment would include the following </w:t>
      </w:r>
      <w:r>
        <w:t xml:space="preserve">substantially </w:t>
      </w:r>
      <w:r w:rsidR="00333364" w:rsidRPr="00397BC4">
        <w:t xml:space="preserve">identical decisions by both IPCC and the IPBES Plenary: </w:t>
      </w:r>
    </w:p>
    <w:p w14:paraId="49C4AC0E" w14:textId="17DD97FE" w:rsidR="00333364" w:rsidRPr="0088683E" w:rsidRDefault="00333364" w:rsidP="004968FE">
      <w:pPr>
        <w:pStyle w:val="Normalnumber"/>
        <w:numPr>
          <w:ilvl w:val="1"/>
          <w:numId w:val="4"/>
        </w:numPr>
        <w:tabs>
          <w:tab w:val="clear" w:pos="1134"/>
        </w:tabs>
        <w:ind w:firstLine="624"/>
      </w:pPr>
      <w:r w:rsidRPr="0088683E">
        <w:t>Decisions approving a joint scoping process for the assessment;</w:t>
      </w:r>
    </w:p>
    <w:p w14:paraId="190968DC" w14:textId="4E090AC0" w:rsidR="00333364" w:rsidRPr="0088683E" w:rsidRDefault="00333364" w:rsidP="004968FE">
      <w:pPr>
        <w:pStyle w:val="Normalnumber"/>
        <w:numPr>
          <w:ilvl w:val="1"/>
          <w:numId w:val="4"/>
        </w:numPr>
        <w:tabs>
          <w:tab w:val="clear" w:pos="1134"/>
        </w:tabs>
        <w:ind w:firstLine="624"/>
      </w:pPr>
      <w:r w:rsidRPr="0088683E">
        <w:t xml:space="preserve">Decisions approving </w:t>
      </w:r>
      <w:r w:rsidR="004256DE">
        <w:t xml:space="preserve">the </w:t>
      </w:r>
      <w:r w:rsidRPr="0088683E">
        <w:t xml:space="preserve">modalities for the joint selection of experts to assist with the scoping, the joint organization of the scoping process </w:t>
      </w:r>
      <w:r w:rsidR="004256DE">
        <w:t>and</w:t>
      </w:r>
      <w:r w:rsidRPr="0088683E">
        <w:t xml:space="preserve"> the joint consideration and approval of the scoping report by IPCC and the IPBES Plenary; </w:t>
      </w:r>
    </w:p>
    <w:p w14:paraId="1908763F" w14:textId="77777777" w:rsidR="00333364" w:rsidRPr="0088683E" w:rsidRDefault="00333364" w:rsidP="004968FE">
      <w:pPr>
        <w:pStyle w:val="Normalnumber"/>
        <w:numPr>
          <w:ilvl w:val="1"/>
          <w:numId w:val="4"/>
        </w:numPr>
        <w:tabs>
          <w:tab w:val="clear" w:pos="1134"/>
        </w:tabs>
        <w:ind w:firstLine="624"/>
      </w:pPr>
      <w:r w:rsidRPr="0088683E">
        <w:t>Decisions approving the scoping report;</w:t>
      </w:r>
    </w:p>
    <w:p w14:paraId="74AD1CCF" w14:textId="77777777" w:rsidR="00333364" w:rsidRPr="0088683E" w:rsidRDefault="00333364" w:rsidP="004968FE">
      <w:pPr>
        <w:pStyle w:val="Normalnumber"/>
        <w:numPr>
          <w:ilvl w:val="1"/>
          <w:numId w:val="4"/>
        </w:numPr>
        <w:tabs>
          <w:tab w:val="clear" w:pos="1134"/>
        </w:tabs>
        <w:ind w:firstLine="624"/>
      </w:pPr>
      <w:r w:rsidRPr="0088683E">
        <w:t>Decisions to undertake the assessment;</w:t>
      </w:r>
    </w:p>
    <w:p w14:paraId="30372DCE" w14:textId="4BEE5153" w:rsidR="00333364" w:rsidRPr="0088683E" w:rsidRDefault="00333364" w:rsidP="004968FE">
      <w:pPr>
        <w:pStyle w:val="Normalnumber"/>
        <w:numPr>
          <w:ilvl w:val="1"/>
          <w:numId w:val="4"/>
        </w:numPr>
        <w:tabs>
          <w:tab w:val="clear" w:pos="1134"/>
        </w:tabs>
        <w:ind w:firstLine="624"/>
      </w:pPr>
      <w:r w:rsidRPr="0088683E">
        <w:t xml:space="preserve">Decisions approving </w:t>
      </w:r>
      <w:r w:rsidR="004256DE">
        <w:t xml:space="preserve">the </w:t>
      </w:r>
      <w:r w:rsidRPr="0088683E">
        <w:t xml:space="preserve">modalities for the joint selection of assessment experts, the joint organization of the assessment process, including review periods, </w:t>
      </w:r>
      <w:r w:rsidR="004256DE">
        <w:t>and</w:t>
      </w:r>
      <w:r w:rsidRPr="0088683E">
        <w:t xml:space="preserve"> the joint consideration and approval of the summary for policymakers and </w:t>
      </w:r>
      <w:r w:rsidR="00576521">
        <w:t xml:space="preserve">the </w:t>
      </w:r>
      <w:r w:rsidRPr="0088683E">
        <w:t xml:space="preserve">acceptance of </w:t>
      </w:r>
      <w:r w:rsidR="00576521">
        <w:t xml:space="preserve">the </w:t>
      </w:r>
      <w:r w:rsidRPr="0088683E">
        <w:t xml:space="preserve">chapters by IPCC and the IPBES Plenary; </w:t>
      </w:r>
    </w:p>
    <w:p w14:paraId="4FE5145F" w14:textId="10B2B45F" w:rsidR="00333364" w:rsidRPr="0088683E" w:rsidRDefault="00576521" w:rsidP="004968FE">
      <w:pPr>
        <w:pStyle w:val="Normalnumber"/>
        <w:numPr>
          <w:ilvl w:val="1"/>
          <w:numId w:val="4"/>
        </w:numPr>
        <w:tabs>
          <w:tab w:val="clear" w:pos="1134"/>
        </w:tabs>
        <w:ind w:firstLine="624"/>
      </w:pPr>
      <w:r>
        <w:t>A d</w:t>
      </w:r>
      <w:r w:rsidR="00333364" w:rsidRPr="0088683E">
        <w:t xml:space="preserve">ecision approving the summary for policymakers and accepting the chapters. </w:t>
      </w:r>
    </w:p>
    <w:p w14:paraId="224B66DE" w14:textId="108C4778" w:rsidR="00333364" w:rsidRPr="00876189" w:rsidRDefault="00097664" w:rsidP="00397BC4">
      <w:pPr>
        <w:pStyle w:val="Normalnumber"/>
        <w:rPr>
          <w:rFonts w:eastAsiaTheme="minorEastAsia"/>
        </w:rPr>
      </w:pPr>
      <w:r>
        <w:rPr>
          <w:rFonts w:eastAsiaTheme="minorEastAsia"/>
        </w:rPr>
        <w:t>Producing a</w:t>
      </w:r>
      <w:r w:rsidR="00333364" w:rsidRPr="00876189">
        <w:rPr>
          <w:rFonts w:eastAsiaTheme="minorEastAsia"/>
        </w:rPr>
        <w:t xml:space="preserve"> </w:t>
      </w:r>
      <w:r w:rsidR="00333364" w:rsidRPr="00876189">
        <w:rPr>
          <w:rFonts w:eastAsia="MS Mincho"/>
        </w:rPr>
        <w:t>joint</w:t>
      </w:r>
      <w:r w:rsidR="00333364" w:rsidRPr="00876189">
        <w:rPr>
          <w:rFonts w:eastAsiaTheme="minorEastAsia"/>
        </w:rPr>
        <w:t xml:space="preserve"> </w:t>
      </w:r>
      <w:r w:rsidR="00333364" w:rsidRPr="00397BC4">
        <w:t>assessment</w:t>
      </w:r>
      <w:r w:rsidR="00333364" w:rsidRPr="00876189">
        <w:rPr>
          <w:rFonts w:eastAsiaTheme="minorEastAsia"/>
        </w:rPr>
        <w:t xml:space="preserve"> would </w:t>
      </w:r>
      <w:r w:rsidR="00711C06">
        <w:rPr>
          <w:rFonts w:eastAsiaTheme="minorEastAsia"/>
        </w:rPr>
        <w:t>take</w:t>
      </w:r>
      <w:r w:rsidR="00711C06" w:rsidRPr="00876189">
        <w:rPr>
          <w:rFonts w:eastAsiaTheme="minorEastAsia"/>
        </w:rPr>
        <w:t xml:space="preserve"> </w:t>
      </w:r>
      <w:r w:rsidR="00333364" w:rsidRPr="00876189">
        <w:rPr>
          <w:rFonts w:eastAsiaTheme="minorEastAsia"/>
        </w:rPr>
        <w:t xml:space="preserve">a minimum of five years, </w:t>
      </w:r>
      <w:r w:rsidR="00333364" w:rsidRPr="00876189">
        <w:rPr>
          <w:rFonts w:eastAsia="MS Mincho"/>
        </w:rPr>
        <w:t>including</w:t>
      </w:r>
      <w:r w:rsidR="00333364" w:rsidRPr="00876189">
        <w:rPr>
          <w:rFonts w:eastAsiaTheme="minorEastAsia"/>
        </w:rPr>
        <w:t xml:space="preserve">: </w:t>
      </w:r>
    </w:p>
    <w:p w14:paraId="41B60AC5" w14:textId="709E7426" w:rsidR="00333364" w:rsidRPr="00876189" w:rsidRDefault="00333364" w:rsidP="004968FE">
      <w:pPr>
        <w:pStyle w:val="Normalnumber"/>
        <w:numPr>
          <w:ilvl w:val="1"/>
          <w:numId w:val="4"/>
        </w:numPr>
        <w:tabs>
          <w:tab w:val="clear" w:pos="1134"/>
        </w:tabs>
        <w:ind w:firstLine="624"/>
        <w:rPr>
          <w:rFonts w:eastAsiaTheme="minorEastAsia"/>
        </w:rPr>
      </w:pPr>
      <w:r w:rsidRPr="00876189">
        <w:rPr>
          <w:rFonts w:eastAsia="MS Mincho"/>
        </w:rPr>
        <w:t>Year</w:t>
      </w:r>
      <w:r w:rsidRPr="00876189">
        <w:rPr>
          <w:rFonts w:eastAsiaTheme="minorEastAsia"/>
        </w:rPr>
        <w:t xml:space="preserve"> 1: </w:t>
      </w:r>
      <w:r w:rsidR="00493FBD">
        <w:rPr>
          <w:rFonts w:eastAsiaTheme="minorEastAsia"/>
        </w:rPr>
        <w:t>Substantially i</w:t>
      </w:r>
      <w:r w:rsidRPr="00876189">
        <w:rPr>
          <w:rFonts w:eastAsiaTheme="minorEastAsia"/>
        </w:rPr>
        <w:t>dentical decisions by IPCC and the IPBES Plenary at their respective sessions</w:t>
      </w:r>
      <w:r w:rsidR="00576521">
        <w:rPr>
          <w:rFonts w:eastAsiaTheme="minorEastAsia"/>
        </w:rPr>
        <w:t>,</w:t>
      </w:r>
      <w:r w:rsidRPr="00876189">
        <w:rPr>
          <w:rFonts w:eastAsiaTheme="minorEastAsia"/>
        </w:rPr>
        <w:t xml:space="preserve"> held separately: </w:t>
      </w:r>
    </w:p>
    <w:p w14:paraId="7FC80346" w14:textId="29D0A25D" w:rsidR="00333364" w:rsidRPr="00770706" w:rsidRDefault="00333364" w:rsidP="004968FE">
      <w:pPr>
        <w:pStyle w:val="Normalnumber"/>
        <w:numPr>
          <w:ilvl w:val="2"/>
          <w:numId w:val="4"/>
        </w:numPr>
        <w:tabs>
          <w:tab w:val="clear" w:pos="1134"/>
        </w:tabs>
        <w:ind w:left="3119" w:hanging="624"/>
        <w:rPr>
          <w:rFonts w:eastAsia="MS Mincho"/>
        </w:rPr>
      </w:pPr>
      <w:r w:rsidRPr="00770706">
        <w:rPr>
          <w:rFonts w:eastAsia="MS Mincho"/>
        </w:rPr>
        <w:t xml:space="preserve">Decisions to hold </w:t>
      </w:r>
      <w:r w:rsidR="00576521" w:rsidRPr="00770706">
        <w:rPr>
          <w:rFonts w:eastAsia="MS Mincho"/>
        </w:rPr>
        <w:t xml:space="preserve">joint </w:t>
      </w:r>
      <w:r w:rsidRPr="00770706">
        <w:rPr>
          <w:rFonts w:eastAsia="MS Mincho"/>
        </w:rPr>
        <w:t xml:space="preserve">extraordinary sessions of IPCC and the IPBES Plenary </w:t>
      </w:r>
      <w:r w:rsidR="00576521">
        <w:rPr>
          <w:rFonts w:eastAsia="MS Mincho"/>
        </w:rPr>
        <w:t>approximately</w:t>
      </w:r>
      <w:r w:rsidRPr="00770706">
        <w:rPr>
          <w:rFonts w:eastAsia="MS Mincho"/>
        </w:rPr>
        <w:t xml:space="preserve"> 14 months </w:t>
      </w:r>
      <w:r w:rsidR="00576521">
        <w:rPr>
          <w:rFonts w:eastAsia="MS Mincho"/>
        </w:rPr>
        <w:t>later,</w:t>
      </w:r>
      <w:r w:rsidRPr="00770706">
        <w:rPr>
          <w:rFonts w:eastAsia="MS Mincho"/>
        </w:rPr>
        <w:t xml:space="preserve"> or to schedule ordinary sessions of IPCC and the IPBES Plenary </w:t>
      </w:r>
      <w:r w:rsidR="00576521">
        <w:rPr>
          <w:rFonts w:eastAsia="MS Mincho"/>
        </w:rPr>
        <w:t xml:space="preserve">approximately </w:t>
      </w:r>
      <w:r w:rsidRPr="00770706">
        <w:rPr>
          <w:rFonts w:eastAsia="MS Mincho"/>
        </w:rPr>
        <w:t xml:space="preserve">14 months </w:t>
      </w:r>
      <w:r w:rsidR="00576521">
        <w:rPr>
          <w:rFonts w:eastAsia="MS Mincho"/>
        </w:rPr>
        <w:t>later</w:t>
      </w:r>
      <w:r w:rsidR="001D02B1">
        <w:rPr>
          <w:rFonts w:eastAsia="MS Mincho"/>
        </w:rPr>
        <w:t>,</w:t>
      </w:r>
      <w:r w:rsidRPr="00770706">
        <w:rPr>
          <w:rFonts w:eastAsia="MS Mincho"/>
        </w:rPr>
        <w:t xml:space="preserve"> in parallel or back</w:t>
      </w:r>
      <w:r w:rsidR="00711C06">
        <w:rPr>
          <w:rFonts w:eastAsia="MS Mincho"/>
        </w:rPr>
        <w:t xml:space="preserve"> </w:t>
      </w:r>
      <w:r w:rsidRPr="00770706">
        <w:rPr>
          <w:rFonts w:eastAsia="MS Mincho"/>
        </w:rPr>
        <w:t>to</w:t>
      </w:r>
      <w:r w:rsidR="00711C06">
        <w:rPr>
          <w:rFonts w:eastAsia="MS Mincho"/>
        </w:rPr>
        <w:t xml:space="preserve"> </w:t>
      </w:r>
      <w:r w:rsidRPr="00770706">
        <w:rPr>
          <w:rFonts w:eastAsia="MS Mincho"/>
        </w:rPr>
        <w:t>back</w:t>
      </w:r>
      <w:r w:rsidR="001D02B1">
        <w:rPr>
          <w:rFonts w:eastAsia="MS Mincho"/>
        </w:rPr>
        <w:t>,</w:t>
      </w:r>
      <w:r w:rsidRPr="00770706">
        <w:rPr>
          <w:rFonts w:eastAsia="MS Mincho"/>
        </w:rPr>
        <w:t xml:space="preserve"> and </w:t>
      </w:r>
      <w:r w:rsidR="00576521">
        <w:rPr>
          <w:rFonts w:eastAsia="MS Mincho"/>
        </w:rPr>
        <w:t xml:space="preserve">to </w:t>
      </w:r>
      <w:r w:rsidRPr="00770706">
        <w:rPr>
          <w:rFonts w:eastAsia="MS Mincho"/>
        </w:rPr>
        <w:t xml:space="preserve">organize them in </w:t>
      </w:r>
      <w:r w:rsidR="00711C06">
        <w:rPr>
          <w:rFonts w:eastAsia="MS Mincho"/>
        </w:rPr>
        <w:t xml:space="preserve">such </w:t>
      </w:r>
      <w:r w:rsidRPr="00770706">
        <w:rPr>
          <w:rFonts w:eastAsia="MS Mincho"/>
        </w:rPr>
        <w:t xml:space="preserve">a way </w:t>
      </w:r>
      <w:r w:rsidR="00711C06">
        <w:rPr>
          <w:rFonts w:eastAsia="MS Mincho"/>
        </w:rPr>
        <w:t xml:space="preserve">as </w:t>
      </w:r>
      <w:r w:rsidRPr="00770706">
        <w:rPr>
          <w:rFonts w:eastAsia="MS Mincho"/>
        </w:rPr>
        <w:t>to allow for joint meetings within th</w:t>
      </w:r>
      <w:r w:rsidR="00576521">
        <w:rPr>
          <w:rFonts w:eastAsia="MS Mincho"/>
        </w:rPr>
        <w:t>o</w:t>
      </w:r>
      <w:r w:rsidRPr="00770706">
        <w:rPr>
          <w:rFonts w:eastAsia="MS Mincho"/>
        </w:rPr>
        <w:t xml:space="preserve">se sessions; </w:t>
      </w:r>
    </w:p>
    <w:p w14:paraId="3732A139" w14:textId="285E3FF4" w:rsidR="00333364" w:rsidRPr="00770706" w:rsidRDefault="00333364" w:rsidP="004968FE">
      <w:pPr>
        <w:pStyle w:val="Normalnumber"/>
        <w:numPr>
          <w:ilvl w:val="2"/>
          <w:numId w:val="4"/>
        </w:numPr>
        <w:tabs>
          <w:tab w:val="clear" w:pos="1134"/>
        </w:tabs>
        <w:ind w:left="3119" w:hanging="624"/>
        <w:rPr>
          <w:rFonts w:eastAsia="MS Mincho"/>
        </w:rPr>
      </w:pPr>
      <w:r w:rsidRPr="00770706">
        <w:rPr>
          <w:rFonts w:eastAsia="MS Mincho"/>
        </w:rPr>
        <w:t xml:space="preserve">Decisions to establish a joint group with the mandate to prepare an initial scoping report, a set of modalities for a joint scoping process and a set of modalities for a joint assessment process, based on </w:t>
      </w:r>
      <w:r w:rsidR="001D02B1">
        <w:rPr>
          <w:rFonts w:eastAsia="MS Mincho"/>
        </w:rPr>
        <w:t xml:space="preserve">the </w:t>
      </w:r>
      <w:r w:rsidRPr="00770706">
        <w:rPr>
          <w:rFonts w:eastAsia="MS Mincho"/>
        </w:rPr>
        <w:t xml:space="preserve">procedures of IPCC and IPBES, for consideration by IPCC and the IPBES Plenary at the joint extraordinary session or </w:t>
      </w:r>
      <w:r w:rsidR="001D02B1">
        <w:rPr>
          <w:rFonts w:eastAsia="MS Mincho"/>
        </w:rPr>
        <w:t xml:space="preserve">at </w:t>
      </w:r>
      <w:r w:rsidRPr="00770706">
        <w:rPr>
          <w:rFonts w:eastAsia="MS Mincho"/>
        </w:rPr>
        <w:t xml:space="preserve">joint meetings of ordinary sessions; </w:t>
      </w:r>
    </w:p>
    <w:p w14:paraId="2C5FC6E0" w14:textId="6199D5D6" w:rsidR="00333364" w:rsidRPr="00876189" w:rsidRDefault="00333364" w:rsidP="004968FE">
      <w:pPr>
        <w:pStyle w:val="Normalnumber"/>
        <w:numPr>
          <w:ilvl w:val="1"/>
          <w:numId w:val="4"/>
        </w:numPr>
        <w:tabs>
          <w:tab w:val="clear" w:pos="1134"/>
        </w:tabs>
        <w:ind w:firstLine="624"/>
        <w:rPr>
          <w:rFonts w:eastAsiaTheme="minorEastAsia"/>
        </w:rPr>
      </w:pPr>
      <w:r w:rsidRPr="00770706">
        <w:rPr>
          <w:rFonts w:eastAsia="MS Mincho"/>
        </w:rPr>
        <w:t>Year</w:t>
      </w:r>
      <w:r w:rsidRPr="00876189">
        <w:rPr>
          <w:rFonts w:eastAsiaTheme="minorEastAsia"/>
        </w:rPr>
        <w:t xml:space="preserve"> 2: Joint extraordinary sessions of IPCC and the IPBES Plenary, or IPCC and IPBES </w:t>
      </w:r>
      <w:r w:rsidRPr="00876189">
        <w:rPr>
          <w:rFonts w:eastAsia="MS Mincho"/>
        </w:rPr>
        <w:t>Plenary</w:t>
      </w:r>
      <w:r w:rsidRPr="00876189">
        <w:rPr>
          <w:rFonts w:eastAsiaTheme="minorEastAsia"/>
        </w:rPr>
        <w:t xml:space="preserve"> sessions organized in parallel</w:t>
      </w:r>
      <w:r w:rsidR="001D02B1">
        <w:rPr>
          <w:rFonts w:eastAsiaTheme="minorEastAsia"/>
        </w:rPr>
        <w:t xml:space="preserve"> or </w:t>
      </w:r>
      <w:r w:rsidRPr="00876189">
        <w:rPr>
          <w:rFonts w:eastAsiaTheme="minorEastAsia"/>
        </w:rPr>
        <w:t>back</w:t>
      </w:r>
      <w:r w:rsidR="000B3C16">
        <w:rPr>
          <w:rFonts w:eastAsiaTheme="minorEastAsia"/>
        </w:rPr>
        <w:t xml:space="preserve"> </w:t>
      </w:r>
      <w:r w:rsidRPr="00876189">
        <w:rPr>
          <w:rFonts w:eastAsiaTheme="minorEastAsia"/>
        </w:rPr>
        <w:t>to</w:t>
      </w:r>
      <w:r w:rsidR="000B3C16">
        <w:rPr>
          <w:rFonts w:eastAsiaTheme="minorEastAsia"/>
        </w:rPr>
        <w:t xml:space="preserve"> </w:t>
      </w:r>
      <w:r w:rsidRPr="00876189">
        <w:rPr>
          <w:rFonts w:eastAsiaTheme="minorEastAsia"/>
        </w:rPr>
        <w:t xml:space="preserve">back, allowing for joint meetings: </w:t>
      </w:r>
    </w:p>
    <w:p w14:paraId="715D3792" w14:textId="77777777" w:rsidR="00333364" w:rsidRPr="0092070B" w:rsidRDefault="00333364" w:rsidP="004968FE">
      <w:pPr>
        <w:pStyle w:val="Normalnumber"/>
        <w:numPr>
          <w:ilvl w:val="2"/>
          <w:numId w:val="4"/>
        </w:numPr>
        <w:tabs>
          <w:tab w:val="clear" w:pos="1134"/>
        </w:tabs>
        <w:ind w:left="3119" w:hanging="624"/>
        <w:rPr>
          <w:rFonts w:eastAsia="MS Mincho"/>
        </w:rPr>
      </w:pPr>
      <w:r w:rsidRPr="0092070B">
        <w:rPr>
          <w:rFonts w:eastAsia="MS Mincho"/>
        </w:rPr>
        <w:t xml:space="preserve">To approve the scoping of the assessment based on the initial scoping report prepared by the joint group;  </w:t>
      </w:r>
    </w:p>
    <w:p w14:paraId="2029BEB9" w14:textId="77777777" w:rsidR="00333364" w:rsidRPr="0092070B" w:rsidRDefault="00333364" w:rsidP="004968FE">
      <w:pPr>
        <w:pStyle w:val="Normalnumber"/>
        <w:numPr>
          <w:ilvl w:val="2"/>
          <w:numId w:val="4"/>
        </w:numPr>
        <w:tabs>
          <w:tab w:val="clear" w:pos="1134"/>
        </w:tabs>
        <w:ind w:left="3119" w:hanging="624"/>
        <w:rPr>
          <w:rFonts w:eastAsia="MS Mincho"/>
        </w:rPr>
      </w:pPr>
      <w:r w:rsidRPr="0092070B">
        <w:rPr>
          <w:rFonts w:eastAsia="MS Mincho"/>
        </w:rPr>
        <w:t xml:space="preserve">To approve the modalities for a joint scoping process and a joint assessment process prepared by the joint group; </w:t>
      </w:r>
    </w:p>
    <w:p w14:paraId="7C867B39" w14:textId="7E79ED98" w:rsidR="00333364" w:rsidRPr="00876189" w:rsidRDefault="00333364" w:rsidP="004968FE">
      <w:pPr>
        <w:pStyle w:val="Normalnumber"/>
        <w:numPr>
          <w:ilvl w:val="1"/>
          <w:numId w:val="4"/>
        </w:numPr>
        <w:tabs>
          <w:tab w:val="clear" w:pos="1134"/>
        </w:tabs>
        <w:ind w:firstLine="624"/>
        <w:rPr>
          <w:rFonts w:eastAsia="MS Mincho"/>
        </w:rPr>
      </w:pPr>
      <w:r w:rsidRPr="00876189">
        <w:rPr>
          <w:rFonts w:eastAsia="MS Mincho"/>
        </w:rPr>
        <w:lastRenderedPageBreak/>
        <w:t>Year 3: Joint extraordinary sessions of IPCC and the IPBES Plenary, or ordinary Panel and IPBES Plenary sessions</w:t>
      </w:r>
      <w:r w:rsidR="001D02B1">
        <w:rPr>
          <w:rFonts w:eastAsia="MS Mincho"/>
        </w:rPr>
        <w:t>,</w:t>
      </w:r>
      <w:r w:rsidRPr="00876189">
        <w:rPr>
          <w:rFonts w:eastAsia="MS Mincho"/>
        </w:rPr>
        <w:t xml:space="preserve"> organized in parallel or back</w:t>
      </w:r>
      <w:r w:rsidR="00FF363C">
        <w:rPr>
          <w:rFonts w:eastAsia="MS Mincho"/>
        </w:rPr>
        <w:t xml:space="preserve"> </w:t>
      </w:r>
      <w:r w:rsidRPr="00876189">
        <w:rPr>
          <w:rFonts w:eastAsia="MS Mincho"/>
        </w:rPr>
        <w:t>to</w:t>
      </w:r>
      <w:r w:rsidR="00FF363C">
        <w:rPr>
          <w:rFonts w:eastAsia="MS Mincho"/>
        </w:rPr>
        <w:t xml:space="preserve"> </w:t>
      </w:r>
      <w:r w:rsidRPr="00876189">
        <w:rPr>
          <w:rFonts w:eastAsia="MS Mincho"/>
        </w:rPr>
        <w:t xml:space="preserve">back, allowing for joint meetings to approve the scoping report and approve </w:t>
      </w:r>
      <w:r w:rsidR="00FF363C">
        <w:rPr>
          <w:rFonts w:eastAsia="MS Mincho"/>
        </w:rPr>
        <w:t xml:space="preserve">the </w:t>
      </w:r>
      <w:r w:rsidRPr="00876189">
        <w:rPr>
          <w:rFonts w:eastAsia="MS Mincho"/>
        </w:rPr>
        <w:t xml:space="preserve">undertaking of the assessment; </w:t>
      </w:r>
    </w:p>
    <w:p w14:paraId="4E322681" w14:textId="557D2686" w:rsidR="00333364" w:rsidRPr="00876189" w:rsidRDefault="00333364" w:rsidP="004968FE">
      <w:pPr>
        <w:pStyle w:val="Normalnumber"/>
        <w:numPr>
          <w:ilvl w:val="1"/>
          <w:numId w:val="4"/>
        </w:numPr>
        <w:tabs>
          <w:tab w:val="clear" w:pos="1134"/>
        </w:tabs>
        <w:ind w:firstLine="624"/>
        <w:rPr>
          <w:rFonts w:eastAsia="MS Mincho"/>
        </w:rPr>
      </w:pPr>
      <w:r w:rsidRPr="00876189">
        <w:rPr>
          <w:rFonts w:eastAsia="MS Mincho"/>
        </w:rPr>
        <w:t>Year 6: Joint extraordinary sessions of IPCC and the IPBES Plenary, or Panel and IPBES Plenary sessions organized in parallel or back</w:t>
      </w:r>
      <w:r w:rsidR="00FF363C">
        <w:rPr>
          <w:rFonts w:eastAsia="MS Mincho"/>
        </w:rPr>
        <w:t xml:space="preserve"> </w:t>
      </w:r>
      <w:r w:rsidRPr="00876189">
        <w:rPr>
          <w:rFonts w:eastAsia="MS Mincho"/>
        </w:rPr>
        <w:t>to</w:t>
      </w:r>
      <w:r w:rsidR="00FF363C">
        <w:rPr>
          <w:rFonts w:eastAsia="MS Mincho"/>
        </w:rPr>
        <w:t xml:space="preserve"> </w:t>
      </w:r>
      <w:r w:rsidRPr="00876189">
        <w:rPr>
          <w:rFonts w:eastAsia="MS Mincho"/>
        </w:rPr>
        <w:t>back, allowing for joint meetings, to approve</w:t>
      </w:r>
      <w:r w:rsidR="00D91A10">
        <w:rPr>
          <w:rFonts w:eastAsia="MS Mincho"/>
        </w:rPr>
        <w:t xml:space="preserve"> the</w:t>
      </w:r>
      <w:r w:rsidRPr="00876189">
        <w:rPr>
          <w:rFonts w:eastAsia="MS Mincho"/>
        </w:rPr>
        <w:t xml:space="preserve"> summary for policymakers and accept </w:t>
      </w:r>
      <w:r w:rsidR="00D91A10">
        <w:rPr>
          <w:rFonts w:eastAsia="MS Mincho"/>
        </w:rPr>
        <w:t xml:space="preserve">the </w:t>
      </w:r>
      <w:r w:rsidRPr="00876189">
        <w:rPr>
          <w:rFonts w:eastAsia="MS Mincho"/>
        </w:rPr>
        <w:t xml:space="preserve">chapters of the assessment. </w:t>
      </w:r>
    </w:p>
    <w:p w14:paraId="74FBF2CF" w14:textId="1B76FF15" w:rsidR="00333364" w:rsidRPr="00397BC4" w:rsidRDefault="00333364" w:rsidP="00397BC4">
      <w:pPr>
        <w:pStyle w:val="Normalnumber"/>
      </w:pPr>
      <w:r w:rsidRPr="00397BC4">
        <w:t xml:space="preserve">In terms of possible timing, an assessment could be finalized as part of the IPBES rolling work programme up to 2030 and the </w:t>
      </w:r>
      <w:r w:rsidR="00DD0F1F">
        <w:t>s</w:t>
      </w:r>
      <w:r w:rsidRPr="00397BC4">
        <w:t xml:space="preserve">eventh </w:t>
      </w:r>
      <w:r w:rsidR="00DD0F1F">
        <w:t>a</w:t>
      </w:r>
      <w:r w:rsidRPr="00C818E3">
        <w:t>ssessment</w:t>
      </w:r>
      <w:r w:rsidRPr="00397BC4">
        <w:t xml:space="preserve"> </w:t>
      </w:r>
      <w:r w:rsidR="00DD0F1F">
        <w:t>c</w:t>
      </w:r>
      <w:r w:rsidRPr="00397BC4">
        <w:t>ycle of IPCC, in time for the preparation of any post-2030 goals and targets. For example, if the scoping report w</w:t>
      </w:r>
      <w:r w:rsidR="00D91A10">
        <w:t>ere</w:t>
      </w:r>
      <w:r w:rsidRPr="00397BC4">
        <w:t xml:space="preserve"> considered in 2026, the assessment report could be considered in 2029.</w:t>
      </w:r>
    </w:p>
    <w:p w14:paraId="009EE823" w14:textId="5914C3B0" w:rsidR="00333364" w:rsidRPr="00876189" w:rsidRDefault="00132671" w:rsidP="00397BC4">
      <w:pPr>
        <w:pStyle w:val="Normalnumber"/>
        <w:rPr>
          <w:rFonts w:eastAsiaTheme="minorEastAsia"/>
        </w:rPr>
      </w:pPr>
      <w:r>
        <w:t>The cost of preparing a</w:t>
      </w:r>
      <w:r w:rsidR="00333364" w:rsidRPr="00397BC4">
        <w:t xml:space="preserve"> joint </w:t>
      </w:r>
      <w:r w:rsidR="00333364" w:rsidRPr="00132671">
        <w:t>assessment would include</w:t>
      </w:r>
      <w:r w:rsidR="00333364" w:rsidRPr="00397BC4">
        <w:t xml:space="preserve"> the resource</w:t>
      </w:r>
      <w:r w:rsidR="00AD54E5">
        <w:t>s</w:t>
      </w:r>
      <w:r w:rsidR="00333364" w:rsidRPr="00397BC4">
        <w:t xml:space="preserve"> require</w:t>
      </w:r>
      <w:r w:rsidR="00AD54E5">
        <w:t>d</w:t>
      </w:r>
      <w:r w:rsidR="00333364" w:rsidRPr="00397BC4">
        <w:t xml:space="preserve"> for a </w:t>
      </w:r>
      <w:r w:rsidR="00D91A10">
        <w:t>three</w:t>
      </w:r>
      <w:r w:rsidR="00333364" w:rsidRPr="00397BC4">
        <w:t xml:space="preserve">-year assessment, </w:t>
      </w:r>
      <w:r w:rsidR="00D91A10">
        <w:t>three</w:t>
      </w:r>
      <w:r w:rsidR="00333364" w:rsidRPr="00397BC4">
        <w:t xml:space="preserve"> extraordinary sessions of IPCC and the IPBES Plenary or additional meetings of ordinary sessions of IPCC or </w:t>
      </w:r>
      <w:r w:rsidR="00D91A10">
        <w:t xml:space="preserve">the </w:t>
      </w:r>
      <w:r w:rsidR="00333364" w:rsidRPr="00397BC4">
        <w:t>IPBES Plenary organized back</w:t>
      </w:r>
      <w:r w:rsidR="00C222EB">
        <w:t xml:space="preserve"> </w:t>
      </w:r>
      <w:r w:rsidR="00333364" w:rsidRPr="00397BC4">
        <w:t>to</w:t>
      </w:r>
      <w:r w:rsidR="00C222EB">
        <w:t xml:space="preserve"> </w:t>
      </w:r>
      <w:r w:rsidR="00333364" w:rsidRPr="00397BC4">
        <w:t xml:space="preserve">back, </w:t>
      </w:r>
      <w:r w:rsidR="00D91A10">
        <w:t>and</w:t>
      </w:r>
      <w:r w:rsidR="00333364" w:rsidRPr="00397BC4">
        <w:t xml:space="preserve"> additional meetings</w:t>
      </w:r>
      <w:r w:rsidR="00D91A10">
        <w:t>,</w:t>
      </w:r>
      <w:r w:rsidR="00333364" w:rsidRPr="00397BC4">
        <w:t xml:space="preserve"> such as joint meetings of the Bureau of IPCC and the IPBES Multidisciplinary Expert Panel and Bureau, to coordinate the assessment, if they were to</w:t>
      </w:r>
      <w:r w:rsidR="00333364" w:rsidRPr="00876189">
        <w:rPr>
          <w:rFonts w:eastAsiaTheme="minorEastAsia"/>
        </w:rPr>
        <w:t xml:space="preserve"> be held in</w:t>
      </w:r>
      <w:r w:rsidR="00E13700">
        <w:rPr>
          <w:rFonts w:eastAsiaTheme="minorEastAsia"/>
        </w:rPr>
        <w:t xml:space="preserve"> </w:t>
      </w:r>
      <w:r w:rsidR="00333364" w:rsidRPr="00876189">
        <w:rPr>
          <w:rFonts w:eastAsiaTheme="minorEastAsia"/>
        </w:rPr>
        <w:t xml:space="preserve">person. </w:t>
      </w:r>
    </w:p>
    <w:p w14:paraId="6B3C40C8" w14:textId="77777777" w:rsidR="00333364" w:rsidRPr="00876189" w:rsidRDefault="00333364" w:rsidP="006E07F8">
      <w:pPr>
        <w:pStyle w:val="CH2"/>
      </w:pPr>
      <w:r w:rsidRPr="00876189">
        <w:tab/>
        <w:t>B.</w:t>
      </w:r>
      <w:r w:rsidRPr="00876189">
        <w:tab/>
        <w:t>Joint technical paper</w:t>
      </w:r>
    </w:p>
    <w:p w14:paraId="018E3019" w14:textId="2900C2AE" w:rsidR="00333364" w:rsidRPr="00876189" w:rsidRDefault="00333364" w:rsidP="00397BC4">
      <w:pPr>
        <w:pStyle w:val="Normalnumber"/>
        <w:rPr>
          <w:rFonts w:eastAsia="MS Mincho"/>
        </w:rPr>
      </w:pPr>
      <w:r w:rsidRPr="00876189">
        <w:rPr>
          <w:rFonts w:eastAsia="MS Mincho"/>
        </w:rPr>
        <w:t xml:space="preserve">The procedures for the preparation of technical papers are almost identical under IPCC and </w:t>
      </w:r>
      <w:r w:rsidRPr="00397BC4">
        <w:t>IPBES</w:t>
      </w:r>
      <w:r w:rsidRPr="00876189">
        <w:rPr>
          <w:rFonts w:eastAsia="MS Mincho"/>
        </w:rPr>
        <w:t xml:space="preserve">. From a procedural point of view, it </w:t>
      </w:r>
      <w:r w:rsidR="00210B8E">
        <w:rPr>
          <w:rFonts w:eastAsia="MS Mincho"/>
        </w:rPr>
        <w:t>might</w:t>
      </w:r>
      <w:r w:rsidRPr="00876189">
        <w:rPr>
          <w:rFonts w:eastAsia="MS Mincho"/>
        </w:rPr>
        <w:t xml:space="preserve"> therefore be possible for IPCC and IPBES to jointly prepare a technical paper. A joint technical paper would be finalized by the report co-</w:t>
      </w:r>
      <w:r w:rsidR="00254006">
        <w:rPr>
          <w:rFonts w:eastAsia="MS Mincho"/>
        </w:rPr>
        <w:t>c</w:t>
      </w:r>
      <w:r w:rsidRPr="00876189">
        <w:rPr>
          <w:rFonts w:eastAsia="MS Mincho"/>
        </w:rPr>
        <w:t>hairs and lead authors, in consultation with the Multidisciplinary Expert Panel of IPBES and the relevant body of IPCC functioning as an editorial board, without consideration by IPCC and</w:t>
      </w:r>
      <w:r w:rsidR="004330FE">
        <w:rPr>
          <w:rFonts w:eastAsia="MS Mincho"/>
        </w:rPr>
        <w:t xml:space="preserve"> the</w:t>
      </w:r>
      <w:r w:rsidRPr="00876189">
        <w:rPr>
          <w:rFonts w:eastAsia="MS Mincho"/>
        </w:rPr>
        <w:t xml:space="preserve"> IPBES Plenary. </w:t>
      </w:r>
    </w:p>
    <w:p w14:paraId="46D7DC44" w14:textId="1D3943C3" w:rsidR="00333364" w:rsidRPr="00876189" w:rsidRDefault="00254006" w:rsidP="00397BC4">
      <w:pPr>
        <w:pStyle w:val="Normalnumber"/>
        <w:rPr>
          <w:rFonts w:eastAsiaTheme="minorEastAsia"/>
        </w:rPr>
      </w:pPr>
      <w:r>
        <w:rPr>
          <w:rFonts w:eastAsia="MS Mincho"/>
        </w:rPr>
        <w:t>The p</w:t>
      </w:r>
      <w:r w:rsidR="00333364" w:rsidRPr="00876189">
        <w:rPr>
          <w:rFonts w:eastAsia="MS Mincho"/>
        </w:rPr>
        <w:t>rocedural requirements</w:t>
      </w:r>
      <w:r w:rsidR="00333364" w:rsidRPr="00876189">
        <w:rPr>
          <w:rFonts w:eastAsiaTheme="minorEastAsia"/>
        </w:rPr>
        <w:t xml:space="preserve"> for a joint technical paper </w:t>
      </w:r>
      <w:r>
        <w:rPr>
          <w:rFonts w:eastAsiaTheme="minorEastAsia"/>
        </w:rPr>
        <w:t xml:space="preserve">would </w:t>
      </w:r>
      <w:r w:rsidR="00333364" w:rsidRPr="00876189">
        <w:rPr>
          <w:rFonts w:eastAsiaTheme="minorEastAsia"/>
        </w:rPr>
        <w:t xml:space="preserve">include the following </w:t>
      </w:r>
      <w:r>
        <w:rPr>
          <w:rFonts w:eastAsiaTheme="minorEastAsia"/>
        </w:rPr>
        <w:t xml:space="preserve">substantially </w:t>
      </w:r>
      <w:r w:rsidR="00333364" w:rsidRPr="00876189">
        <w:rPr>
          <w:rFonts w:eastAsiaTheme="minorEastAsia"/>
        </w:rPr>
        <w:t xml:space="preserve">identical decisions by </w:t>
      </w:r>
      <w:r w:rsidR="00333364" w:rsidRPr="00397BC4">
        <w:t>IPCC</w:t>
      </w:r>
      <w:r w:rsidR="00333364" w:rsidRPr="00876189">
        <w:rPr>
          <w:rFonts w:eastAsiaTheme="minorEastAsia"/>
        </w:rPr>
        <w:t xml:space="preserve"> and the IPBES Plenary, at their respective sessions</w:t>
      </w:r>
      <w:r w:rsidR="004330FE">
        <w:rPr>
          <w:rFonts w:eastAsiaTheme="minorEastAsia"/>
        </w:rPr>
        <w:t>,</w:t>
      </w:r>
      <w:r w:rsidR="00333364" w:rsidRPr="00876189">
        <w:rPr>
          <w:rFonts w:eastAsiaTheme="minorEastAsia"/>
        </w:rPr>
        <w:t xml:space="preserve"> held separately: </w:t>
      </w:r>
    </w:p>
    <w:p w14:paraId="6229E47C" w14:textId="77777777" w:rsidR="00333364" w:rsidRPr="0092070B" w:rsidRDefault="00333364" w:rsidP="004968FE">
      <w:pPr>
        <w:pStyle w:val="Normalnumber"/>
        <w:numPr>
          <w:ilvl w:val="1"/>
          <w:numId w:val="4"/>
        </w:numPr>
        <w:tabs>
          <w:tab w:val="clear" w:pos="1134"/>
        </w:tabs>
        <w:ind w:firstLine="624"/>
        <w:rPr>
          <w:rFonts w:eastAsia="MS Mincho"/>
        </w:rPr>
      </w:pPr>
      <w:r w:rsidRPr="00876189">
        <w:rPr>
          <w:rFonts w:eastAsiaTheme="minorEastAsia"/>
        </w:rPr>
        <w:t>Decisions appr</w:t>
      </w:r>
      <w:r w:rsidRPr="0092070B">
        <w:rPr>
          <w:rFonts w:eastAsia="MS Mincho"/>
        </w:rPr>
        <w:t>oving the development of a joint technical paper on a specific topic;</w:t>
      </w:r>
    </w:p>
    <w:p w14:paraId="7C2F4ECC" w14:textId="1D8EC0BC" w:rsidR="00333364" w:rsidRPr="00876189" w:rsidRDefault="00333364" w:rsidP="004968FE">
      <w:pPr>
        <w:pStyle w:val="Normalnumber"/>
        <w:numPr>
          <w:ilvl w:val="1"/>
          <w:numId w:val="4"/>
        </w:numPr>
        <w:tabs>
          <w:tab w:val="clear" w:pos="1134"/>
        </w:tabs>
        <w:ind w:firstLine="624"/>
        <w:rPr>
          <w:rFonts w:eastAsiaTheme="minorEastAsia"/>
        </w:rPr>
      </w:pPr>
      <w:r w:rsidRPr="0092070B">
        <w:rPr>
          <w:rFonts w:eastAsia="MS Mincho"/>
        </w:rPr>
        <w:t>Decisions providing</w:t>
      </w:r>
      <w:r w:rsidRPr="00876189">
        <w:rPr>
          <w:rFonts w:eastAsiaTheme="minorEastAsia"/>
        </w:rPr>
        <w:t xml:space="preserve"> for </w:t>
      </w:r>
      <w:r w:rsidR="004330FE">
        <w:rPr>
          <w:rFonts w:eastAsiaTheme="minorEastAsia"/>
        </w:rPr>
        <w:t xml:space="preserve">the </w:t>
      </w:r>
      <w:r w:rsidRPr="00876189">
        <w:rPr>
          <w:rFonts w:eastAsiaTheme="minorEastAsia"/>
        </w:rPr>
        <w:t xml:space="preserve">modalities for the joint selection of experts and the preparation and finalization of the paper. </w:t>
      </w:r>
    </w:p>
    <w:p w14:paraId="3DEEDB93" w14:textId="3B1DD75A" w:rsidR="00333364" w:rsidRPr="00876189" w:rsidRDefault="00097664" w:rsidP="0050150C">
      <w:pPr>
        <w:pStyle w:val="Normalnumber"/>
        <w:rPr>
          <w:rFonts w:eastAsiaTheme="minorEastAsia"/>
        </w:rPr>
      </w:pPr>
      <w:r>
        <w:rPr>
          <w:rFonts w:eastAsiaTheme="minorEastAsia"/>
        </w:rPr>
        <w:t>Producing a</w:t>
      </w:r>
      <w:r w:rsidR="00333364" w:rsidRPr="00876189">
        <w:rPr>
          <w:rFonts w:eastAsiaTheme="minorEastAsia"/>
        </w:rPr>
        <w:t xml:space="preserve"> </w:t>
      </w:r>
      <w:r w:rsidR="00333364" w:rsidRPr="00876189">
        <w:rPr>
          <w:rFonts w:eastAsia="MS Mincho"/>
        </w:rPr>
        <w:t>technical</w:t>
      </w:r>
      <w:r w:rsidR="00333364" w:rsidRPr="00876189">
        <w:rPr>
          <w:rFonts w:eastAsiaTheme="minorEastAsia"/>
        </w:rPr>
        <w:t xml:space="preserve"> paper would </w:t>
      </w:r>
      <w:r w:rsidR="003D1E71">
        <w:rPr>
          <w:rFonts w:eastAsiaTheme="minorEastAsia"/>
        </w:rPr>
        <w:t>take</w:t>
      </w:r>
      <w:r w:rsidR="00333364" w:rsidRPr="00876189">
        <w:rPr>
          <w:rFonts w:eastAsiaTheme="minorEastAsia"/>
        </w:rPr>
        <w:t xml:space="preserve"> a minimum of </w:t>
      </w:r>
      <w:r w:rsidR="006F6E42">
        <w:rPr>
          <w:rFonts w:eastAsiaTheme="minorEastAsia"/>
        </w:rPr>
        <w:t>three</w:t>
      </w:r>
      <w:r w:rsidR="00333364" w:rsidRPr="00876189">
        <w:rPr>
          <w:rFonts w:eastAsiaTheme="minorEastAsia"/>
        </w:rPr>
        <w:t xml:space="preserve"> years, including: </w:t>
      </w:r>
    </w:p>
    <w:p w14:paraId="0F6A6CCC" w14:textId="02DB6C85" w:rsidR="00333364" w:rsidRPr="00876189" w:rsidRDefault="00333364" w:rsidP="0078134B">
      <w:pPr>
        <w:pStyle w:val="Normalnumber"/>
        <w:numPr>
          <w:ilvl w:val="1"/>
          <w:numId w:val="4"/>
        </w:numPr>
        <w:tabs>
          <w:tab w:val="clear" w:pos="1134"/>
        </w:tabs>
        <w:ind w:firstLine="624"/>
        <w:rPr>
          <w:rFonts w:eastAsiaTheme="minorEastAsia"/>
        </w:rPr>
      </w:pPr>
      <w:r w:rsidRPr="00876189">
        <w:rPr>
          <w:rFonts w:eastAsiaTheme="minorEastAsia"/>
        </w:rPr>
        <w:t xml:space="preserve">Year 1: </w:t>
      </w:r>
      <w:r w:rsidR="00210B8E">
        <w:rPr>
          <w:rFonts w:eastAsiaTheme="minorEastAsia"/>
        </w:rPr>
        <w:t xml:space="preserve">The following </w:t>
      </w:r>
      <w:r w:rsidR="00210B8E">
        <w:t>s</w:t>
      </w:r>
      <w:r w:rsidR="00493FBD">
        <w:t>ubstantially i</w:t>
      </w:r>
      <w:r w:rsidRPr="00397BC4">
        <w:t>dentical</w:t>
      </w:r>
      <w:r w:rsidRPr="00876189">
        <w:rPr>
          <w:rFonts w:eastAsiaTheme="minorEastAsia"/>
        </w:rPr>
        <w:t xml:space="preserve"> decisions by IPCC and the IPBES Plenary, at their respective sessions</w:t>
      </w:r>
      <w:r w:rsidR="00097664">
        <w:rPr>
          <w:rFonts w:eastAsiaTheme="minorEastAsia"/>
        </w:rPr>
        <w:t>,</w:t>
      </w:r>
      <w:r w:rsidRPr="00876189">
        <w:rPr>
          <w:rFonts w:eastAsiaTheme="minorEastAsia"/>
        </w:rPr>
        <w:t xml:space="preserve"> held separately: </w:t>
      </w:r>
    </w:p>
    <w:p w14:paraId="00DC9226" w14:textId="77777777" w:rsidR="00333364" w:rsidRPr="00876189" w:rsidRDefault="00333364" w:rsidP="0078134B">
      <w:pPr>
        <w:pStyle w:val="Normalnumber"/>
        <w:numPr>
          <w:ilvl w:val="2"/>
          <w:numId w:val="4"/>
        </w:numPr>
        <w:tabs>
          <w:tab w:val="clear" w:pos="1134"/>
        </w:tabs>
        <w:ind w:left="3119" w:hanging="624"/>
        <w:rPr>
          <w:rFonts w:eastAsiaTheme="minorEastAsia"/>
        </w:rPr>
      </w:pPr>
      <w:r w:rsidRPr="00876189">
        <w:rPr>
          <w:rFonts w:eastAsiaTheme="minorEastAsia"/>
        </w:rPr>
        <w:t xml:space="preserve">Decisions approving the development of a joint technical paper on a specific topic; </w:t>
      </w:r>
    </w:p>
    <w:p w14:paraId="28DF6C96" w14:textId="118A9238" w:rsidR="00333364" w:rsidRPr="00876189" w:rsidRDefault="00333364" w:rsidP="0078134B">
      <w:pPr>
        <w:pStyle w:val="Normalnumber"/>
        <w:numPr>
          <w:ilvl w:val="2"/>
          <w:numId w:val="4"/>
        </w:numPr>
        <w:tabs>
          <w:tab w:val="clear" w:pos="1134"/>
        </w:tabs>
        <w:ind w:left="3119" w:hanging="624"/>
        <w:rPr>
          <w:rFonts w:eastAsiaTheme="minorEastAsia"/>
        </w:rPr>
      </w:pPr>
      <w:r w:rsidRPr="00876189">
        <w:rPr>
          <w:rFonts w:eastAsiaTheme="minorEastAsia"/>
        </w:rPr>
        <w:t xml:space="preserve">Decisions mandating their respective subsidiary bodies to reach agreement on </w:t>
      </w:r>
      <w:r w:rsidR="007F348C">
        <w:rPr>
          <w:rFonts w:eastAsiaTheme="minorEastAsia"/>
        </w:rPr>
        <w:t xml:space="preserve">the </w:t>
      </w:r>
      <w:r w:rsidRPr="00876189">
        <w:rPr>
          <w:rFonts w:eastAsiaTheme="minorEastAsia"/>
        </w:rPr>
        <w:t xml:space="preserve">modalities for the joint selection of experts and the preparation and finalization of the paper; </w:t>
      </w:r>
    </w:p>
    <w:p w14:paraId="1E55737D" w14:textId="31FBDCA6" w:rsidR="00333364" w:rsidRPr="00876189" w:rsidRDefault="00333364" w:rsidP="0078134B">
      <w:pPr>
        <w:pStyle w:val="Normalnumber"/>
        <w:numPr>
          <w:ilvl w:val="1"/>
          <w:numId w:val="4"/>
        </w:numPr>
        <w:tabs>
          <w:tab w:val="clear" w:pos="1134"/>
        </w:tabs>
        <w:ind w:firstLine="624"/>
        <w:rPr>
          <w:rFonts w:eastAsiaTheme="minorEastAsia"/>
        </w:rPr>
      </w:pPr>
      <w:r w:rsidRPr="00876189">
        <w:rPr>
          <w:rFonts w:eastAsiaTheme="minorEastAsia"/>
        </w:rPr>
        <w:t xml:space="preserve">Year 2: Selection of experts, establishment of </w:t>
      </w:r>
      <w:r w:rsidR="007F348C">
        <w:rPr>
          <w:rFonts w:eastAsiaTheme="minorEastAsia"/>
        </w:rPr>
        <w:t xml:space="preserve">an </w:t>
      </w:r>
      <w:r w:rsidRPr="00876189">
        <w:rPr>
          <w:rFonts w:eastAsiaTheme="minorEastAsia"/>
        </w:rPr>
        <w:t xml:space="preserve">editorial board, agreement on </w:t>
      </w:r>
      <w:r w:rsidR="007F348C">
        <w:rPr>
          <w:rFonts w:eastAsiaTheme="minorEastAsia"/>
        </w:rPr>
        <w:t xml:space="preserve">the </w:t>
      </w:r>
      <w:r w:rsidRPr="00876189">
        <w:rPr>
          <w:rFonts w:eastAsiaTheme="minorEastAsia"/>
        </w:rPr>
        <w:t>scope of the technical paper by subsidiary bodies and start of the preparation of the paper;</w:t>
      </w:r>
    </w:p>
    <w:p w14:paraId="4F3C3BD8" w14:textId="6325145D" w:rsidR="00333364" w:rsidRPr="00876189" w:rsidRDefault="00333364" w:rsidP="0078134B">
      <w:pPr>
        <w:pStyle w:val="Normalnumber"/>
        <w:numPr>
          <w:ilvl w:val="1"/>
          <w:numId w:val="4"/>
        </w:numPr>
        <w:tabs>
          <w:tab w:val="clear" w:pos="1134"/>
        </w:tabs>
        <w:ind w:firstLine="624"/>
        <w:rPr>
          <w:rFonts w:eastAsiaTheme="minorEastAsia"/>
        </w:rPr>
      </w:pPr>
      <w:r w:rsidRPr="00876189">
        <w:rPr>
          <w:rFonts w:eastAsiaTheme="minorEastAsia"/>
        </w:rPr>
        <w:t>Year 3: External review and finalization of the paper by experts in consultation with the editorial board.</w:t>
      </w:r>
    </w:p>
    <w:p w14:paraId="54D09CDB" w14:textId="25C63266" w:rsidR="00333364" w:rsidRPr="00CD603B" w:rsidRDefault="00333364" w:rsidP="00CD603B">
      <w:pPr>
        <w:pStyle w:val="Normalnumber"/>
        <w:rPr>
          <w:rFonts w:eastAsiaTheme="minorEastAsia"/>
        </w:rPr>
      </w:pPr>
      <w:r w:rsidRPr="00876189">
        <w:rPr>
          <w:rFonts w:eastAsiaTheme="minorEastAsia"/>
        </w:rPr>
        <w:t xml:space="preserve">In </w:t>
      </w:r>
      <w:r w:rsidRPr="00876189">
        <w:rPr>
          <w:rFonts w:eastAsia="MS Mincho"/>
        </w:rPr>
        <w:t xml:space="preserve">terms </w:t>
      </w:r>
      <w:r w:rsidRPr="00CD603B">
        <w:rPr>
          <w:rFonts w:eastAsiaTheme="minorEastAsia"/>
        </w:rPr>
        <w:t xml:space="preserve">of possible timing, a technical paper could be prepared following the completion of parts of </w:t>
      </w:r>
      <w:r w:rsidRPr="001C67B8">
        <w:rPr>
          <w:rFonts w:eastAsiaTheme="minorEastAsia"/>
        </w:rPr>
        <w:t xml:space="preserve">the </w:t>
      </w:r>
      <w:r w:rsidR="00237416">
        <w:rPr>
          <w:rFonts w:eastAsiaTheme="minorEastAsia"/>
        </w:rPr>
        <w:t>S</w:t>
      </w:r>
      <w:r w:rsidRPr="001C67B8">
        <w:rPr>
          <w:rFonts w:eastAsiaTheme="minorEastAsia"/>
        </w:rPr>
        <w:t xml:space="preserve">eventh </w:t>
      </w:r>
      <w:r w:rsidR="00237416">
        <w:rPr>
          <w:rFonts w:eastAsiaTheme="minorEastAsia"/>
        </w:rPr>
        <w:t>A</w:t>
      </w:r>
      <w:r w:rsidRPr="001C67B8">
        <w:rPr>
          <w:rFonts w:eastAsiaTheme="minorEastAsia"/>
        </w:rPr>
        <w:t xml:space="preserve">ssessment </w:t>
      </w:r>
      <w:r w:rsidR="00237416">
        <w:rPr>
          <w:rFonts w:eastAsiaTheme="minorEastAsia"/>
        </w:rPr>
        <w:t>R</w:t>
      </w:r>
      <w:r w:rsidRPr="001C67B8">
        <w:rPr>
          <w:rFonts w:eastAsiaTheme="minorEastAsia"/>
        </w:rPr>
        <w:t>eport of IPCC and the IPBES</w:t>
      </w:r>
      <w:r w:rsidRPr="00CD603B">
        <w:rPr>
          <w:rFonts w:eastAsiaTheme="minorEastAsia"/>
        </w:rPr>
        <w:t xml:space="preserve"> nexus and transformative change assessments, for example between 2025 and 2028. </w:t>
      </w:r>
    </w:p>
    <w:p w14:paraId="621E555F" w14:textId="37843DEB" w:rsidR="00333364" w:rsidRPr="00876189" w:rsidRDefault="00132671" w:rsidP="00CD603B">
      <w:pPr>
        <w:pStyle w:val="Normalnumber"/>
        <w:rPr>
          <w:rFonts w:eastAsiaTheme="minorEastAsia"/>
        </w:rPr>
      </w:pPr>
      <w:r w:rsidRPr="0013637E">
        <w:rPr>
          <w:rFonts w:eastAsiaTheme="minorEastAsia"/>
        </w:rPr>
        <w:t>The cost of preparing a</w:t>
      </w:r>
      <w:r w:rsidR="00333364" w:rsidRPr="00132671">
        <w:rPr>
          <w:rFonts w:eastAsiaTheme="minorEastAsia"/>
        </w:rPr>
        <w:t xml:space="preserve"> joint technical paper would include the</w:t>
      </w:r>
      <w:r w:rsidR="00333364" w:rsidRPr="00CD603B">
        <w:rPr>
          <w:rFonts w:eastAsiaTheme="minorEastAsia"/>
        </w:rPr>
        <w:t xml:space="preserve"> resource</w:t>
      </w:r>
      <w:r w:rsidR="00AD54E5">
        <w:rPr>
          <w:rFonts w:eastAsiaTheme="minorEastAsia"/>
        </w:rPr>
        <w:t>s</w:t>
      </w:r>
      <w:r w:rsidR="00333364" w:rsidRPr="00CD603B">
        <w:rPr>
          <w:rFonts w:eastAsiaTheme="minorEastAsia"/>
        </w:rPr>
        <w:t xml:space="preserve"> require</w:t>
      </w:r>
      <w:r w:rsidR="00AD54E5">
        <w:rPr>
          <w:rFonts w:eastAsiaTheme="minorEastAsia"/>
        </w:rPr>
        <w:t>d</w:t>
      </w:r>
      <w:r w:rsidR="00333364" w:rsidRPr="00CD603B">
        <w:rPr>
          <w:rFonts w:eastAsiaTheme="minorEastAsia"/>
        </w:rPr>
        <w:t xml:space="preserve"> for </w:t>
      </w:r>
      <w:r w:rsidR="00927BAE">
        <w:rPr>
          <w:rFonts w:eastAsiaTheme="minorEastAsia"/>
        </w:rPr>
        <w:t>three</w:t>
      </w:r>
      <w:r w:rsidR="00333364" w:rsidRPr="00CD603B">
        <w:rPr>
          <w:rFonts w:eastAsiaTheme="minorEastAsia"/>
        </w:rPr>
        <w:t xml:space="preserve"> expert meetings, if they were</w:t>
      </w:r>
      <w:r w:rsidR="00333364" w:rsidRPr="00876189">
        <w:rPr>
          <w:rFonts w:eastAsia="MS Mincho"/>
        </w:rPr>
        <w:t xml:space="preserve"> to be held in</w:t>
      </w:r>
      <w:r w:rsidR="00E13700">
        <w:rPr>
          <w:rFonts w:eastAsia="MS Mincho"/>
        </w:rPr>
        <w:t xml:space="preserve"> </w:t>
      </w:r>
      <w:r w:rsidR="00333364" w:rsidRPr="00876189">
        <w:rPr>
          <w:rFonts w:eastAsia="MS Mincho"/>
        </w:rPr>
        <w:t>person</w:t>
      </w:r>
      <w:r w:rsidR="00333364" w:rsidRPr="00876189">
        <w:rPr>
          <w:rFonts w:eastAsiaTheme="minorEastAsia"/>
        </w:rPr>
        <w:t xml:space="preserve">. </w:t>
      </w:r>
    </w:p>
    <w:p w14:paraId="40BE1938" w14:textId="77777777" w:rsidR="00333364" w:rsidRPr="00876189" w:rsidRDefault="00333364" w:rsidP="006E07F8">
      <w:pPr>
        <w:pStyle w:val="CH2"/>
      </w:pPr>
      <w:r w:rsidRPr="00876189">
        <w:tab/>
        <w:t>C.</w:t>
      </w:r>
      <w:r w:rsidRPr="00876189">
        <w:tab/>
        <w:t>Co-sponsored workshop</w:t>
      </w:r>
    </w:p>
    <w:p w14:paraId="57DA4EE9" w14:textId="4C296FCC" w:rsidR="00333364" w:rsidRPr="00CD603B" w:rsidRDefault="00333364" w:rsidP="00397BC4">
      <w:pPr>
        <w:pStyle w:val="Normalnumber"/>
        <w:rPr>
          <w:rFonts w:eastAsiaTheme="minorEastAsia"/>
        </w:rPr>
      </w:pPr>
      <w:r w:rsidRPr="00397BC4">
        <w:t>The pro</w:t>
      </w:r>
      <w:r w:rsidRPr="00CD603B">
        <w:rPr>
          <w:rFonts w:eastAsiaTheme="minorEastAsia"/>
        </w:rPr>
        <w:t>cedures for co-sponsored workshops under IPCC and IPBES are almost identical, and a first co-sponsored workshop was held in December 2020, as outlined in section I of th</w:t>
      </w:r>
      <w:r w:rsidR="00132671">
        <w:rPr>
          <w:rFonts w:eastAsiaTheme="minorEastAsia"/>
        </w:rPr>
        <w:t>e present</w:t>
      </w:r>
      <w:r w:rsidRPr="00CD603B">
        <w:rPr>
          <w:rFonts w:eastAsiaTheme="minorEastAsia"/>
        </w:rPr>
        <w:t xml:space="preserve"> note. </w:t>
      </w:r>
      <w:r w:rsidR="00132671">
        <w:rPr>
          <w:rFonts w:eastAsiaTheme="minorEastAsia"/>
        </w:rPr>
        <w:t>The decision to hold a</w:t>
      </w:r>
      <w:r w:rsidRPr="00CD603B">
        <w:rPr>
          <w:rFonts w:eastAsiaTheme="minorEastAsia"/>
        </w:rPr>
        <w:t xml:space="preserve"> co-sponsored workshop can be </w:t>
      </w:r>
      <w:r w:rsidR="00132671">
        <w:rPr>
          <w:rFonts w:eastAsiaTheme="minorEastAsia"/>
        </w:rPr>
        <w:t>made</w:t>
      </w:r>
      <w:r w:rsidRPr="00CD603B">
        <w:rPr>
          <w:rFonts w:eastAsiaTheme="minorEastAsia"/>
        </w:rPr>
        <w:t xml:space="preserve"> by the IPBES Bureau and Multidisciplinary Expert Panel and the relevant IPCC body. The proceedings of such a workshop are finalized under the guidance of the scientific steering committee of the workshop, without consideration by IPCC and IPBES Plenary.</w:t>
      </w:r>
    </w:p>
    <w:p w14:paraId="6D122B1D" w14:textId="6CB2C265" w:rsidR="00333364" w:rsidRPr="00876189" w:rsidRDefault="00132671" w:rsidP="009D5AD4">
      <w:pPr>
        <w:pStyle w:val="Normalnumber"/>
        <w:rPr>
          <w:rFonts w:eastAsiaTheme="minorEastAsia"/>
        </w:rPr>
      </w:pPr>
      <w:r>
        <w:rPr>
          <w:rFonts w:eastAsiaTheme="minorEastAsia"/>
        </w:rPr>
        <w:lastRenderedPageBreak/>
        <w:t>The p</w:t>
      </w:r>
      <w:r w:rsidR="00333364" w:rsidRPr="00CD603B">
        <w:rPr>
          <w:rFonts w:eastAsiaTheme="minorEastAsia"/>
        </w:rPr>
        <w:t>rocedural requirements</w:t>
      </w:r>
      <w:r w:rsidR="00333364" w:rsidRPr="00876189">
        <w:rPr>
          <w:rFonts w:eastAsiaTheme="minorEastAsia"/>
        </w:rPr>
        <w:t xml:space="preserve"> for co-sponsored workshops </w:t>
      </w:r>
      <w:r w:rsidR="00F3650F">
        <w:rPr>
          <w:rFonts w:eastAsiaTheme="minorEastAsia"/>
        </w:rPr>
        <w:t xml:space="preserve">would </w:t>
      </w:r>
      <w:r w:rsidR="00333364" w:rsidRPr="00876189">
        <w:rPr>
          <w:rFonts w:eastAsiaTheme="minorEastAsia"/>
        </w:rPr>
        <w:t>include</w:t>
      </w:r>
      <w:r w:rsidR="00F3650F">
        <w:rPr>
          <w:rFonts w:eastAsiaTheme="minorEastAsia"/>
        </w:rPr>
        <w:t xml:space="preserve"> the following substantially</w:t>
      </w:r>
      <w:r w:rsidR="00333364" w:rsidRPr="00876189">
        <w:rPr>
          <w:rFonts w:eastAsiaTheme="minorEastAsia"/>
        </w:rPr>
        <w:t xml:space="preserve"> identical decisions by the relevant bodies of IPCC and the Multidisciplinary Expert Panel and Bureau of IPBES:</w:t>
      </w:r>
    </w:p>
    <w:p w14:paraId="6D0CFC02" w14:textId="67C9584B" w:rsidR="00333364" w:rsidRPr="00876189" w:rsidRDefault="00333364" w:rsidP="009D5AD4">
      <w:pPr>
        <w:pStyle w:val="Normalnumber"/>
        <w:numPr>
          <w:ilvl w:val="1"/>
          <w:numId w:val="4"/>
        </w:numPr>
        <w:tabs>
          <w:tab w:val="clear" w:pos="1134"/>
        </w:tabs>
        <w:ind w:firstLine="624"/>
        <w:rPr>
          <w:rFonts w:eastAsiaTheme="minorEastAsia"/>
        </w:rPr>
      </w:pPr>
      <w:r w:rsidRPr="00876189">
        <w:rPr>
          <w:rFonts w:eastAsiaTheme="minorEastAsia"/>
        </w:rPr>
        <w:t xml:space="preserve">Decisions to determine that a co-sponsored workshop would be supportive of </w:t>
      </w:r>
      <w:r w:rsidR="0078134B">
        <w:rPr>
          <w:rFonts w:eastAsiaTheme="minorEastAsia"/>
        </w:rPr>
        <w:t>Plenary</w:t>
      </w:r>
      <w:r w:rsidR="0078134B">
        <w:rPr>
          <w:rFonts w:eastAsiaTheme="minorEastAsia"/>
        </w:rPr>
        <w:noBreakHyphen/>
        <w:t>approved</w:t>
      </w:r>
      <w:r w:rsidRPr="00876189">
        <w:rPr>
          <w:rFonts w:eastAsiaTheme="minorEastAsia"/>
        </w:rPr>
        <w:t xml:space="preserve"> activities; </w:t>
      </w:r>
    </w:p>
    <w:p w14:paraId="262CB7F6" w14:textId="77777777" w:rsidR="00333364" w:rsidRPr="00876189" w:rsidRDefault="00333364" w:rsidP="009D5AD4">
      <w:pPr>
        <w:pStyle w:val="Normalnumber"/>
        <w:numPr>
          <w:ilvl w:val="1"/>
          <w:numId w:val="4"/>
        </w:numPr>
        <w:tabs>
          <w:tab w:val="clear" w:pos="1134"/>
        </w:tabs>
        <w:ind w:firstLine="624"/>
        <w:rPr>
          <w:rFonts w:eastAsiaTheme="minorEastAsia"/>
        </w:rPr>
      </w:pPr>
      <w:r w:rsidRPr="00876189">
        <w:rPr>
          <w:rFonts w:eastAsiaTheme="minorEastAsia"/>
        </w:rPr>
        <w:t>Decisions to hold a co-sponsored workshop;</w:t>
      </w:r>
    </w:p>
    <w:p w14:paraId="1C9A2D1D" w14:textId="6C8E57FE" w:rsidR="00333364" w:rsidRPr="00876189" w:rsidRDefault="00333364" w:rsidP="0078134B">
      <w:pPr>
        <w:pStyle w:val="Normalnumber"/>
        <w:numPr>
          <w:ilvl w:val="1"/>
          <w:numId w:val="4"/>
        </w:numPr>
        <w:tabs>
          <w:tab w:val="clear" w:pos="1134"/>
        </w:tabs>
        <w:ind w:firstLine="624"/>
        <w:rPr>
          <w:rFonts w:eastAsiaTheme="minorEastAsia"/>
        </w:rPr>
      </w:pPr>
      <w:r w:rsidRPr="00876189">
        <w:rPr>
          <w:rFonts w:eastAsiaTheme="minorEastAsia"/>
        </w:rPr>
        <w:t xml:space="preserve">Decisions on </w:t>
      </w:r>
      <w:r w:rsidR="00FB26B2">
        <w:rPr>
          <w:rFonts w:eastAsiaTheme="minorEastAsia"/>
        </w:rPr>
        <w:t xml:space="preserve">the </w:t>
      </w:r>
      <w:r w:rsidRPr="00876189">
        <w:rPr>
          <w:rFonts w:eastAsiaTheme="minorEastAsia"/>
        </w:rPr>
        <w:t xml:space="preserve">modalities for the joint selection of experts, the organization of the workshop and the preparation of the workshop report; </w:t>
      </w:r>
    </w:p>
    <w:p w14:paraId="61C175B8" w14:textId="419B35BE" w:rsidR="00333364" w:rsidRPr="00876189" w:rsidRDefault="00132671" w:rsidP="00872B0F">
      <w:pPr>
        <w:pStyle w:val="Normalnumber"/>
        <w:rPr>
          <w:rFonts w:eastAsiaTheme="minorEastAsia"/>
        </w:rPr>
      </w:pPr>
      <w:r>
        <w:rPr>
          <w:rFonts w:eastAsiaTheme="minorEastAsia"/>
        </w:rPr>
        <w:t xml:space="preserve">The </w:t>
      </w:r>
      <w:r w:rsidR="00D803A4">
        <w:rPr>
          <w:rFonts w:eastAsiaTheme="minorEastAsia"/>
        </w:rPr>
        <w:t>organization</w:t>
      </w:r>
      <w:r>
        <w:rPr>
          <w:rFonts w:eastAsiaTheme="minorEastAsia"/>
        </w:rPr>
        <w:t xml:space="preserve"> of a</w:t>
      </w:r>
      <w:r w:rsidR="00333364" w:rsidRPr="00876189">
        <w:rPr>
          <w:rFonts w:eastAsiaTheme="minorEastAsia"/>
        </w:rPr>
        <w:t xml:space="preserve"> co-</w:t>
      </w:r>
      <w:r w:rsidR="00333364" w:rsidRPr="00872B0F">
        <w:t>sponsored</w:t>
      </w:r>
      <w:r w:rsidR="00333364" w:rsidRPr="00876189">
        <w:rPr>
          <w:rFonts w:eastAsiaTheme="minorEastAsia"/>
        </w:rPr>
        <w:t xml:space="preserve"> workshop would </w:t>
      </w:r>
      <w:r w:rsidR="00770255">
        <w:rPr>
          <w:rFonts w:eastAsiaTheme="minorEastAsia"/>
        </w:rPr>
        <w:t>take</w:t>
      </w:r>
      <w:r w:rsidR="00770255" w:rsidRPr="00876189">
        <w:rPr>
          <w:rFonts w:eastAsiaTheme="minorEastAsia"/>
        </w:rPr>
        <w:t xml:space="preserve"> </w:t>
      </w:r>
      <w:r w:rsidR="00333364" w:rsidRPr="00876189">
        <w:rPr>
          <w:rFonts w:eastAsiaTheme="minorEastAsia"/>
        </w:rPr>
        <w:t xml:space="preserve">a minimum of </w:t>
      </w:r>
      <w:r w:rsidR="007533D3">
        <w:rPr>
          <w:rFonts w:eastAsiaTheme="minorEastAsia"/>
        </w:rPr>
        <w:t>one</w:t>
      </w:r>
      <w:r w:rsidR="00333364" w:rsidRPr="00876189">
        <w:rPr>
          <w:rFonts w:eastAsiaTheme="minorEastAsia"/>
        </w:rPr>
        <w:t xml:space="preserve"> year</w:t>
      </w:r>
      <w:r w:rsidR="007533D3">
        <w:rPr>
          <w:rFonts w:eastAsiaTheme="minorEastAsia"/>
        </w:rPr>
        <w:t xml:space="preserve"> and would include the following steps</w:t>
      </w:r>
      <w:r w:rsidR="00333364" w:rsidRPr="00876189">
        <w:rPr>
          <w:rFonts w:eastAsiaTheme="minorEastAsia"/>
        </w:rPr>
        <w:t xml:space="preserve">: </w:t>
      </w:r>
    </w:p>
    <w:p w14:paraId="55CDF8EC" w14:textId="7A6984F3" w:rsidR="00333364" w:rsidRPr="00876189" w:rsidRDefault="003818BA" w:rsidP="0078134B">
      <w:pPr>
        <w:pStyle w:val="Normalnumber"/>
        <w:numPr>
          <w:ilvl w:val="1"/>
          <w:numId w:val="4"/>
        </w:numPr>
        <w:tabs>
          <w:tab w:val="clear" w:pos="1134"/>
        </w:tabs>
        <w:ind w:firstLine="624"/>
        <w:rPr>
          <w:rFonts w:eastAsiaTheme="minorEastAsia"/>
        </w:rPr>
      </w:pPr>
      <w:r>
        <w:rPr>
          <w:rFonts w:eastAsiaTheme="minorEastAsia"/>
        </w:rPr>
        <w:t>The following s</w:t>
      </w:r>
      <w:r w:rsidR="00333364" w:rsidRPr="00876189">
        <w:rPr>
          <w:rFonts w:eastAsiaTheme="minorEastAsia"/>
        </w:rPr>
        <w:t xml:space="preserve">eparate, </w:t>
      </w:r>
      <w:r w:rsidR="00493FBD">
        <w:rPr>
          <w:rFonts w:eastAsiaTheme="minorEastAsia"/>
        </w:rPr>
        <w:t xml:space="preserve">substantially </w:t>
      </w:r>
      <w:r w:rsidR="00333364" w:rsidRPr="00876189">
        <w:rPr>
          <w:rFonts w:eastAsiaTheme="minorEastAsia"/>
        </w:rPr>
        <w:t xml:space="preserve">identical decisions by the relevant body of IPCC and the Multidisciplinary Expert Panel and </w:t>
      </w:r>
      <w:r w:rsidR="00333364" w:rsidRPr="00872B0F">
        <w:t>Bureau</w:t>
      </w:r>
      <w:r w:rsidR="00333364" w:rsidRPr="00876189">
        <w:rPr>
          <w:rFonts w:eastAsiaTheme="minorEastAsia"/>
        </w:rPr>
        <w:t xml:space="preserve"> of IPBES:</w:t>
      </w:r>
    </w:p>
    <w:p w14:paraId="59D350D9" w14:textId="3D1E50B1" w:rsidR="00333364" w:rsidRPr="00876189" w:rsidRDefault="00333364" w:rsidP="0078134B">
      <w:pPr>
        <w:pStyle w:val="Normalnumber"/>
        <w:numPr>
          <w:ilvl w:val="2"/>
          <w:numId w:val="4"/>
        </w:numPr>
        <w:tabs>
          <w:tab w:val="clear" w:pos="1134"/>
        </w:tabs>
        <w:ind w:left="3119" w:hanging="624"/>
        <w:rPr>
          <w:rFonts w:eastAsiaTheme="minorEastAsia"/>
        </w:rPr>
      </w:pPr>
      <w:r w:rsidRPr="00876189">
        <w:rPr>
          <w:rFonts w:eastAsiaTheme="minorEastAsia"/>
        </w:rPr>
        <w:t xml:space="preserve">Decisions determining that the co-sponsored workshop is supportive of an approved activity of IPCC and the IPBES Plenary; </w:t>
      </w:r>
    </w:p>
    <w:p w14:paraId="1AD169E1" w14:textId="77777777" w:rsidR="00333364" w:rsidRPr="00876189" w:rsidRDefault="00333364" w:rsidP="0078134B">
      <w:pPr>
        <w:pStyle w:val="Normalnumber"/>
        <w:numPr>
          <w:ilvl w:val="2"/>
          <w:numId w:val="4"/>
        </w:numPr>
        <w:tabs>
          <w:tab w:val="clear" w:pos="1134"/>
        </w:tabs>
        <w:ind w:left="3119" w:hanging="624"/>
        <w:rPr>
          <w:rFonts w:eastAsiaTheme="minorEastAsia"/>
        </w:rPr>
      </w:pPr>
      <w:r w:rsidRPr="00876189">
        <w:rPr>
          <w:rFonts w:eastAsiaTheme="minorEastAsia"/>
        </w:rPr>
        <w:t>Decisions to hold a co-sponsored workshop;</w:t>
      </w:r>
    </w:p>
    <w:p w14:paraId="6ED7966E" w14:textId="4F0A7E3A" w:rsidR="00333364" w:rsidRPr="00876189" w:rsidRDefault="00333364" w:rsidP="0078134B">
      <w:pPr>
        <w:pStyle w:val="Normalnumber"/>
        <w:numPr>
          <w:ilvl w:val="2"/>
          <w:numId w:val="4"/>
        </w:numPr>
        <w:tabs>
          <w:tab w:val="clear" w:pos="1134"/>
        </w:tabs>
        <w:ind w:left="3119" w:hanging="624"/>
        <w:rPr>
          <w:rFonts w:eastAsiaTheme="minorEastAsia"/>
        </w:rPr>
      </w:pPr>
      <w:r w:rsidRPr="00876189">
        <w:rPr>
          <w:rFonts w:eastAsiaTheme="minorEastAsia"/>
        </w:rPr>
        <w:t>Decisions establishing a scientific steering committee</w:t>
      </w:r>
      <w:r w:rsidR="007533D3">
        <w:rPr>
          <w:rFonts w:eastAsiaTheme="minorEastAsia"/>
        </w:rPr>
        <w:t>.</w:t>
      </w:r>
    </w:p>
    <w:p w14:paraId="5FB2F4EB" w14:textId="3BF158BF" w:rsidR="00333364" w:rsidRPr="00876189" w:rsidRDefault="003818BA" w:rsidP="0078134B">
      <w:pPr>
        <w:pStyle w:val="Normalnumber"/>
        <w:numPr>
          <w:ilvl w:val="1"/>
          <w:numId w:val="4"/>
        </w:numPr>
        <w:tabs>
          <w:tab w:val="clear" w:pos="1134"/>
        </w:tabs>
        <w:ind w:firstLine="624"/>
        <w:rPr>
          <w:rFonts w:eastAsiaTheme="minorEastAsia"/>
        </w:rPr>
      </w:pPr>
      <w:r>
        <w:rPr>
          <w:rFonts w:eastAsiaTheme="minorEastAsia"/>
        </w:rPr>
        <w:t>The s</w:t>
      </w:r>
      <w:r w:rsidR="00333364" w:rsidRPr="00876189">
        <w:rPr>
          <w:rFonts w:eastAsiaTheme="minorEastAsia"/>
        </w:rPr>
        <w:t>election of experts, agreement on the scope</w:t>
      </w:r>
      <w:r w:rsidR="007533D3">
        <w:rPr>
          <w:rFonts w:eastAsiaTheme="minorEastAsia"/>
        </w:rPr>
        <w:t>,</w:t>
      </w:r>
      <w:r w:rsidR="00333364" w:rsidRPr="00876189">
        <w:rPr>
          <w:rFonts w:eastAsiaTheme="minorEastAsia"/>
        </w:rPr>
        <w:t xml:space="preserve"> programme and</w:t>
      </w:r>
      <w:r w:rsidR="007533D3">
        <w:rPr>
          <w:rFonts w:eastAsiaTheme="minorEastAsia"/>
        </w:rPr>
        <w:t xml:space="preserve"> </w:t>
      </w:r>
      <w:r w:rsidR="00333364" w:rsidRPr="00876189">
        <w:rPr>
          <w:rFonts w:eastAsiaTheme="minorEastAsia"/>
        </w:rPr>
        <w:t>organization of the workshop a</w:t>
      </w:r>
      <w:r w:rsidR="007533D3">
        <w:rPr>
          <w:rFonts w:eastAsiaTheme="minorEastAsia"/>
        </w:rPr>
        <w:t>nd</w:t>
      </w:r>
      <w:r w:rsidR="00333364" w:rsidRPr="00876189">
        <w:rPr>
          <w:rFonts w:eastAsiaTheme="minorEastAsia"/>
        </w:rPr>
        <w:t xml:space="preserve"> finalization of </w:t>
      </w:r>
      <w:r w:rsidR="007533D3">
        <w:rPr>
          <w:rFonts w:eastAsiaTheme="minorEastAsia"/>
        </w:rPr>
        <w:t xml:space="preserve">the </w:t>
      </w:r>
      <w:r w:rsidR="00333364" w:rsidRPr="00876189">
        <w:rPr>
          <w:rFonts w:eastAsiaTheme="minorEastAsia"/>
        </w:rPr>
        <w:t>workshop report by the scientific steering committee.</w:t>
      </w:r>
    </w:p>
    <w:p w14:paraId="6F6AB80E" w14:textId="4B72D2C2" w:rsidR="00333364" w:rsidRPr="00876189" w:rsidRDefault="00A161F0" w:rsidP="006E68FD">
      <w:pPr>
        <w:pStyle w:val="Normalnumber"/>
        <w:rPr>
          <w:rFonts w:eastAsiaTheme="minorEastAsia"/>
        </w:rPr>
      </w:pPr>
      <w:r>
        <w:rPr>
          <w:rFonts w:eastAsiaTheme="minorEastAsia"/>
        </w:rPr>
        <w:t>The cost of holding a</w:t>
      </w:r>
      <w:r w:rsidR="00333364" w:rsidRPr="00876189">
        <w:rPr>
          <w:rFonts w:eastAsiaTheme="minorEastAsia"/>
        </w:rPr>
        <w:t xml:space="preserve"> co-</w:t>
      </w:r>
      <w:r w:rsidR="00333364" w:rsidRPr="006E68FD">
        <w:rPr>
          <w:rFonts w:eastAsiaTheme="minorEastAsia"/>
        </w:rPr>
        <w:t>sponsored</w:t>
      </w:r>
      <w:r w:rsidR="00333364" w:rsidRPr="00876189">
        <w:rPr>
          <w:rFonts w:eastAsiaTheme="minorEastAsia"/>
        </w:rPr>
        <w:t xml:space="preserve"> workshop would include the resource</w:t>
      </w:r>
      <w:r w:rsidR="00AD54E5">
        <w:rPr>
          <w:rFonts w:eastAsiaTheme="minorEastAsia"/>
        </w:rPr>
        <w:t>s</w:t>
      </w:r>
      <w:r w:rsidR="00333364" w:rsidRPr="00876189">
        <w:rPr>
          <w:rFonts w:eastAsiaTheme="minorEastAsia"/>
        </w:rPr>
        <w:t xml:space="preserve"> require</w:t>
      </w:r>
      <w:r w:rsidR="00AD54E5">
        <w:rPr>
          <w:rFonts w:eastAsiaTheme="minorEastAsia"/>
        </w:rPr>
        <w:t>d</w:t>
      </w:r>
      <w:r w:rsidR="00333364" w:rsidRPr="00876189">
        <w:rPr>
          <w:rFonts w:eastAsiaTheme="minorEastAsia"/>
        </w:rPr>
        <w:t xml:space="preserve"> for </w:t>
      </w:r>
      <w:r>
        <w:rPr>
          <w:rFonts w:eastAsiaTheme="minorEastAsia"/>
        </w:rPr>
        <w:t>one</w:t>
      </w:r>
      <w:r w:rsidR="00333364" w:rsidRPr="00876189">
        <w:rPr>
          <w:rFonts w:eastAsiaTheme="minorEastAsia"/>
        </w:rPr>
        <w:t xml:space="preserve"> expert meeting, if the meeting w</w:t>
      </w:r>
      <w:r>
        <w:rPr>
          <w:rFonts w:eastAsiaTheme="minorEastAsia"/>
        </w:rPr>
        <w:t>ere</w:t>
      </w:r>
      <w:r w:rsidR="00600484">
        <w:rPr>
          <w:rFonts w:eastAsiaTheme="minorEastAsia"/>
        </w:rPr>
        <w:t xml:space="preserve"> to be</w:t>
      </w:r>
      <w:r w:rsidR="00333364" w:rsidRPr="00876189">
        <w:rPr>
          <w:rFonts w:eastAsiaTheme="minorEastAsia"/>
        </w:rPr>
        <w:t xml:space="preserve"> held in</w:t>
      </w:r>
      <w:r w:rsidR="00600484">
        <w:rPr>
          <w:rFonts w:eastAsiaTheme="minorEastAsia"/>
        </w:rPr>
        <w:t xml:space="preserve"> </w:t>
      </w:r>
      <w:r w:rsidR="00333364" w:rsidRPr="00876189">
        <w:rPr>
          <w:rFonts w:eastAsiaTheme="minorEastAsia"/>
        </w:rPr>
        <w:t>person.</w:t>
      </w:r>
    </w:p>
    <w:p w14:paraId="6C23E55F" w14:textId="77777777" w:rsidR="00333364" w:rsidRPr="00876189" w:rsidRDefault="00333364" w:rsidP="006E07F8">
      <w:pPr>
        <w:pStyle w:val="CH2"/>
      </w:pPr>
      <w:r w:rsidRPr="00876189">
        <w:tab/>
        <w:t>D.</w:t>
      </w:r>
      <w:r w:rsidRPr="00876189">
        <w:tab/>
        <w:t>Liaison group</w:t>
      </w:r>
    </w:p>
    <w:p w14:paraId="38236A1E" w14:textId="77777777" w:rsidR="00333364" w:rsidRPr="00397BC4" w:rsidRDefault="00333364" w:rsidP="00397BC4">
      <w:pPr>
        <w:pStyle w:val="Normalnumber"/>
      </w:pPr>
      <w:bookmarkStart w:id="5" w:name="_Toc29492202"/>
      <w:r w:rsidRPr="00397BC4">
        <w:t xml:space="preserve">There are no specific procedures under IPCC or IPBES regarding the establishment of a liaison group between IPCC and IPBES. </w:t>
      </w:r>
    </w:p>
    <w:p w14:paraId="41AADD6F" w14:textId="0F0C2C34" w:rsidR="00333364" w:rsidRPr="00876189" w:rsidRDefault="00FB26B2" w:rsidP="00397BC4">
      <w:pPr>
        <w:pStyle w:val="Normalnumber"/>
        <w:rPr>
          <w:rFonts w:eastAsiaTheme="minorEastAsia"/>
        </w:rPr>
      </w:pPr>
      <w:r>
        <w:t>The p</w:t>
      </w:r>
      <w:r w:rsidR="00333364" w:rsidRPr="00397BC4">
        <w:t xml:space="preserve">rocedural requirements for the establishment of a liaison group </w:t>
      </w:r>
      <w:r w:rsidR="00E66418">
        <w:t xml:space="preserve">would </w:t>
      </w:r>
      <w:r w:rsidR="00333364" w:rsidRPr="00397BC4">
        <w:t>include</w:t>
      </w:r>
      <w:r w:rsidR="00E66418">
        <w:t xml:space="preserve"> the following substantially</w:t>
      </w:r>
      <w:r w:rsidR="00333364" w:rsidRPr="00397BC4">
        <w:t xml:space="preserve"> identical decisions by both IPCC and the IPBES Plenary</w:t>
      </w:r>
      <w:r w:rsidR="00333364" w:rsidRPr="00876189">
        <w:rPr>
          <w:rFonts w:eastAsiaTheme="minorEastAsia"/>
        </w:rPr>
        <w:t xml:space="preserve">: </w:t>
      </w:r>
    </w:p>
    <w:p w14:paraId="52FDD1AD" w14:textId="7E7AF218" w:rsidR="00333364" w:rsidRPr="006E68FD" w:rsidRDefault="00333364" w:rsidP="0078134B">
      <w:pPr>
        <w:pStyle w:val="Normalnumber"/>
        <w:numPr>
          <w:ilvl w:val="1"/>
          <w:numId w:val="4"/>
        </w:numPr>
        <w:tabs>
          <w:tab w:val="clear" w:pos="1134"/>
        </w:tabs>
        <w:ind w:firstLine="624"/>
      </w:pPr>
      <w:r w:rsidRPr="006E68FD">
        <w:t xml:space="preserve">Decision to establish (first body taking the decision) or approve the establishment of (second body taking the decision) the liaison group and </w:t>
      </w:r>
      <w:r w:rsidR="00FB26B2">
        <w:t xml:space="preserve">to </w:t>
      </w:r>
      <w:r w:rsidRPr="006E68FD">
        <w:t xml:space="preserve">define its composition; </w:t>
      </w:r>
    </w:p>
    <w:p w14:paraId="6E61B854" w14:textId="77777777" w:rsidR="00333364" w:rsidRPr="006E68FD" w:rsidRDefault="00333364" w:rsidP="0078134B">
      <w:pPr>
        <w:pStyle w:val="Normalnumber"/>
        <w:numPr>
          <w:ilvl w:val="1"/>
          <w:numId w:val="4"/>
        </w:numPr>
        <w:tabs>
          <w:tab w:val="clear" w:pos="1134"/>
        </w:tabs>
        <w:ind w:firstLine="624"/>
      </w:pPr>
      <w:r w:rsidRPr="006E68FD">
        <w:t xml:space="preserve">Decisions providing for terms of reference for the liaison group. </w:t>
      </w:r>
    </w:p>
    <w:p w14:paraId="35E97098" w14:textId="6108848E" w:rsidR="00333364" w:rsidRPr="00876189" w:rsidRDefault="00333364" w:rsidP="00397BC4">
      <w:pPr>
        <w:pStyle w:val="Normalnumber"/>
        <w:rPr>
          <w:rFonts w:eastAsiaTheme="minorEastAsia"/>
        </w:rPr>
      </w:pPr>
      <w:r w:rsidRPr="00876189">
        <w:rPr>
          <w:rFonts w:eastAsiaTheme="minorEastAsia"/>
        </w:rPr>
        <w:t xml:space="preserve">The time requirement would be a minimum of </w:t>
      </w:r>
      <w:r w:rsidR="00FB26B2">
        <w:rPr>
          <w:rFonts w:eastAsiaTheme="minorEastAsia"/>
        </w:rPr>
        <w:t>one</w:t>
      </w:r>
      <w:r w:rsidRPr="00876189">
        <w:rPr>
          <w:rFonts w:eastAsiaTheme="minorEastAsia"/>
        </w:rPr>
        <w:t xml:space="preserve"> year, including: </w:t>
      </w:r>
    </w:p>
    <w:p w14:paraId="57913748" w14:textId="77777777" w:rsidR="00333364" w:rsidRPr="00876189" w:rsidRDefault="00333364" w:rsidP="0078134B">
      <w:pPr>
        <w:pStyle w:val="Normalnumber"/>
        <w:numPr>
          <w:ilvl w:val="1"/>
          <w:numId w:val="4"/>
        </w:numPr>
        <w:tabs>
          <w:tab w:val="clear" w:pos="1134"/>
        </w:tabs>
        <w:ind w:firstLine="624"/>
        <w:rPr>
          <w:rFonts w:eastAsiaTheme="minorEastAsia"/>
        </w:rPr>
      </w:pPr>
      <w:r w:rsidRPr="00876189">
        <w:rPr>
          <w:rFonts w:eastAsiaTheme="minorEastAsia"/>
        </w:rPr>
        <w:t xml:space="preserve">Separate decisions by IPCC and the IPBES Plenary: </w:t>
      </w:r>
    </w:p>
    <w:p w14:paraId="7902AA9B" w14:textId="1ED2283C" w:rsidR="00333364" w:rsidRPr="00876189" w:rsidRDefault="00333364" w:rsidP="0078134B">
      <w:pPr>
        <w:pStyle w:val="Normalnumber"/>
        <w:numPr>
          <w:ilvl w:val="2"/>
          <w:numId w:val="4"/>
        </w:numPr>
        <w:tabs>
          <w:tab w:val="clear" w:pos="1134"/>
        </w:tabs>
        <w:ind w:left="3119" w:hanging="624"/>
        <w:rPr>
          <w:rFonts w:eastAsiaTheme="minorEastAsia"/>
        </w:rPr>
      </w:pPr>
      <w:r w:rsidRPr="00876189">
        <w:rPr>
          <w:rFonts w:eastAsiaTheme="minorEastAsia"/>
        </w:rPr>
        <w:t>Decision establishing (first decision) or joining (second decision) the liaison group and defin</w:t>
      </w:r>
      <w:r w:rsidR="00FB26B2">
        <w:rPr>
          <w:rFonts w:eastAsiaTheme="minorEastAsia"/>
        </w:rPr>
        <w:t>ing</w:t>
      </w:r>
      <w:r w:rsidRPr="00876189">
        <w:rPr>
          <w:rFonts w:eastAsiaTheme="minorEastAsia"/>
        </w:rPr>
        <w:t xml:space="preserve"> or accept</w:t>
      </w:r>
      <w:r w:rsidR="00FB26B2">
        <w:rPr>
          <w:rFonts w:eastAsiaTheme="minorEastAsia"/>
        </w:rPr>
        <w:t>ing</w:t>
      </w:r>
      <w:r w:rsidRPr="00876189">
        <w:rPr>
          <w:rFonts w:eastAsiaTheme="minorEastAsia"/>
        </w:rPr>
        <w:t xml:space="preserve"> its composition; </w:t>
      </w:r>
    </w:p>
    <w:p w14:paraId="7657FA43" w14:textId="11AE71A0" w:rsidR="00333364" w:rsidRPr="00876189" w:rsidRDefault="00333364" w:rsidP="0078134B">
      <w:pPr>
        <w:pStyle w:val="Normalnumber"/>
        <w:numPr>
          <w:ilvl w:val="2"/>
          <w:numId w:val="4"/>
        </w:numPr>
        <w:tabs>
          <w:tab w:val="clear" w:pos="1134"/>
        </w:tabs>
        <w:ind w:left="3119" w:hanging="624"/>
        <w:rPr>
          <w:rFonts w:eastAsiaTheme="minorEastAsia"/>
        </w:rPr>
      </w:pPr>
      <w:r w:rsidRPr="00876189">
        <w:rPr>
          <w:rFonts w:eastAsiaTheme="minorEastAsia"/>
        </w:rPr>
        <w:t>Decision inviting the subsidiary bodies</w:t>
      </w:r>
      <w:r w:rsidR="00FB26B2">
        <w:rPr>
          <w:rFonts w:eastAsiaTheme="minorEastAsia"/>
        </w:rPr>
        <w:t xml:space="preserve"> of IPCC and the IPBES Plenary</w:t>
      </w:r>
      <w:r w:rsidRPr="00876189">
        <w:rPr>
          <w:rFonts w:eastAsiaTheme="minorEastAsia"/>
        </w:rPr>
        <w:t xml:space="preserve"> to agree on terms of reference for the liaison group</w:t>
      </w:r>
      <w:r w:rsidR="00FB26B2">
        <w:rPr>
          <w:rFonts w:eastAsiaTheme="minorEastAsia"/>
        </w:rPr>
        <w:t>.</w:t>
      </w:r>
      <w:r w:rsidRPr="00876189">
        <w:rPr>
          <w:rFonts w:eastAsiaTheme="minorEastAsia"/>
        </w:rPr>
        <w:t xml:space="preserve"> </w:t>
      </w:r>
    </w:p>
    <w:p w14:paraId="2828C338" w14:textId="77777777" w:rsidR="00333364" w:rsidRPr="00876189" w:rsidRDefault="00333364" w:rsidP="0078134B">
      <w:pPr>
        <w:pStyle w:val="Normalnumber"/>
        <w:numPr>
          <w:ilvl w:val="1"/>
          <w:numId w:val="4"/>
        </w:numPr>
        <w:tabs>
          <w:tab w:val="clear" w:pos="1134"/>
        </w:tabs>
        <w:ind w:firstLine="624"/>
        <w:rPr>
          <w:rFonts w:eastAsiaTheme="minorEastAsia"/>
        </w:rPr>
      </w:pPr>
      <w:r w:rsidRPr="00876189">
        <w:rPr>
          <w:rFonts w:eastAsiaTheme="minorEastAsia"/>
        </w:rPr>
        <w:t>Constitution of the liaison group.</w:t>
      </w:r>
    </w:p>
    <w:p w14:paraId="3ED5FDF5" w14:textId="65A84E81" w:rsidR="00333364" w:rsidRPr="00876189" w:rsidRDefault="005374B8" w:rsidP="0078134B">
      <w:pPr>
        <w:pStyle w:val="Normalnumber"/>
        <w:rPr>
          <w:rFonts w:eastAsiaTheme="minorEastAsia"/>
        </w:rPr>
      </w:pPr>
      <w:r>
        <w:rPr>
          <w:rFonts w:eastAsiaTheme="minorEastAsia"/>
        </w:rPr>
        <w:t>The r</w:t>
      </w:r>
      <w:r w:rsidR="00333364" w:rsidRPr="00876189">
        <w:rPr>
          <w:rFonts w:eastAsiaTheme="minorEastAsia"/>
        </w:rPr>
        <w:t>esource</w:t>
      </w:r>
      <w:r w:rsidR="00AD54E5">
        <w:rPr>
          <w:rFonts w:eastAsiaTheme="minorEastAsia"/>
        </w:rPr>
        <w:t>s</w:t>
      </w:r>
      <w:r w:rsidR="00333364" w:rsidRPr="00876189">
        <w:rPr>
          <w:rFonts w:eastAsiaTheme="minorEastAsia"/>
        </w:rPr>
        <w:t xml:space="preserve"> require</w:t>
      </w:r>
      <w:r w:rsidR="00AD54E5">
        <w:rPr>
          <w:rFonts w:eastAsiaTheme="minorEastAsia"/>
        </w:rPr>
        <w:t>d</w:t>
      </w:r>
      <w:r w:rsidR="00333364" w:rsidRPr="00876189">
        <w:rPr>
          <w:rFonts w:eastAsiaTheme="minorEastAsia"/>
        </w:rPr>
        <w:t xml:space="preserve"> for the liaison group would depend on whether the liaison group would meet in person or </w:t>
      </w:r>
      <w:r w:rsidR="00822C96">
        <w:rPr>
          <w:rFonts w:eastAsiaTheme="minorEastAsia"/>
        </w:rPr>
        <w:t>online</w:t>
      </w:r>
      <w:r w:rsidR="00822C96" w:rsidRPr="00876189">
        <w:rPr>
          <w:rFonts w:eastAsiaTheme="minorEastAsia"/>
        </w:rPr>
        <w:t xml:space="preserve"> </w:t>
      </w:r>
      <w:r w:rsidR="00333364" w:rsidRPr="00876189">
        <w:rPr>
          <w:rFonts w:eastAsiaTheme="minorEastAsia"/>
        </w:rPr>
        <w:t xml:space="preserve">and </w:t>
      </w:r>
      <w:r w:rsidR="00E67BA9">
        <w:rPr>
          <w:rFonts w:eastAsiaTheme="minorEastAsia"/>
        </w:rPr>
        <w:t>the number of</w:t>
      </w:r>
      <w:r w:rsidR="00333364" w:rsidRPr="00876189">
        <w:rPr>
          <w:rFonts w:eastAsiaTheme="minorEastAsia"/>
        </w:rPr>
        <w:t xml:space="preserve"> meetings </w:t>
      </w:r>
      <w:r w:rsidR="00E67BA9">
        <w:rPr>
          <w:rFonts w:eastAsiaTheme="minorEastAsia"/>
        </w:rPr>
        <w:t xml:space="preserve">required </w:t>
      </w:r>
      <w:r w:rsidR="00333364" w:rsidRPr="00876189">
        <w:rPr>
          <w:rFonts w:eastAsiaTheme="minorEastAsia"/>
        </w:rPr>
        <w:t xml:space="preserve">per intersessional period. </w:t>
      </w:r>
      <w:bookmarkEnd w:id="0"/>
      <w:bookmarkEnd w:id="3"/>
      <w:bookmarkEnd w:id="4"/>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C95B00" w:rsidRPr="00876189" w14:paraId="26E4692E" w14:textId="77777777" w:rsidTr="008F1F0A">
        <w:tc>
          <w:tcPr>
            <w:tcW w:w="1898" w:type="dxa"/>
          </w:tcPr>
          <w:p w14:paraId="0C2F9B42" w14:textId="77777777" w:rsidR="00C95B00" w:rsidRPr="00876189" w:rsidRDefault="00C95B00" w:rsidP="00311B98">
            <w:pPr>
              <w:pStyle w:val="Normal-pool"/>
              <w:spacing w:before="520"/>
              <w:rPr>
                <w:lang w:val="en-GB"/>
              </w:rPr>
            </w:pPr>
          </w:p>
        </w:tc>
        <w:tc>
          <w:tcPr>
            <w:tcW w:w="1899" w:type="dxa"/>
          </w:tcPr>
          <w:p w14:paraId="1963F298" w14:textId="77777777" w:rsidR="00C95B00" w:rsidRPr="00876189" w:rsidRDefault="00C95B00" w:rsidP="00311B98">
            <w:pPr>
              <w:pStyle w:val="Normal-pool"/>
              <w:spacing w:before="520"/>
              <w:rPr>
                <w:lang w:val="en-GB"/>
              </w:rPr>
            </w:pPr>
          </w:p>
        </w:tc>
        <w:tc>
          <w:tcPr>
            <w:tcW w:w="1899" w:type="dxa"/>
            <w:tcBorders>
              <w:bottom w:val="single" w:sz="4" w:space="0" w:color="auto"/>
            </w:tcBorders>
          </w:tcPr>
          <w:p w14:paraId="2A5E6CDD" w14:textId="77777777" w:rsidR="00C95B00" w:rsidRPr="00876189" w:rsidRDefault="00C95B00" w:rsidP="00311B98">
            <w:pPr>
              <w:pStyle w:val="Normal-pool"/>
              <w:spacing w:before="520"/>
              <w:rPr>
                <w:lang w:val="en-GB"/>
              </w:rPr>
            </w:pPr>
          </w:p>
        </w:tc>
        <w:tc>
          <w:tcPr>
            <w:tcW w:w="1900" w:type="dxa"/>
          </w:tcPr>
          <w:p w14:paraId="0383243E" w14:textId="77777777" w:rsidR="00C95B00" w:rsidRPr="00876189" w:rsidRDefault="00C95B00" w:rsidP="00311B98">
            <w:pPr>
              <w:pStyle w:val="Normal-pool"/>
              <w:spacing w:before="520"/>
              <w:rPr>
                <w:lang w:val="en-GB"/>
              </w:rPr>
            </w:pPr>
          </w:p>
        </w:tc>
        <w:tc>
          <w:tcPr>
            <w:tcW w:w="1900" w:type="dxa"/>
          </w:tcPr>
          <w:p w14:paraId="59121CB6" w14:textId="77777777" w:rsidR="00C95B00" w:rsidRPr="00876189" w:rsidRDefault="00C95B00" w:rsidP="00311B98">
            <w:pPr>
              <w:pStyle w:val="Normal-pool"/>
              <w:spacing w:before="520"/>
              <w:rPr>
                <w:lang w:val="en-GB"/>
              </w:rPr>
            </w:pPr>
          </w:p>
        </w:tc>
      </w:tr>
    </w:tbl>
    <w:p w14:paraId="23A3D53E" w14:textId="77777777" w:rsidR="00C95B00" w:rsidRPr="00876189" w:rsidRDefault="00C95B00" w:rsidP="00311B98">
      <w:pPr>
        <w:pStyle w:val="Normal-pool"/>
      </w:pPr>
    </w:p>
    <w:sectPr w:rsidR="00C95B00" w:rsidRPr="00876189" w:rsidSect="00C61B30">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8D65" w14:textId="77777777" w:rsidR="00F0662D" w:rsidRDefault="00F0662D">
      <w:r>
        <w:separator/>
      </w:r>
    </w:p>
  </w:endnote>
  <w:endnote w:type="continuationSeparator" w:id="0">
    <w:p w14:paraId="1EE62862" w14:textId="77777777" w:rsidR="00F0662D" w:rsidRDefault="00F0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982727"/>
      <w:docPartObj>
        <w:docPartGallery w:val="Page Numbers (Bottom of Page)"/>
        <w:docPartUnique/>
      </w:docPartObj>
    </w:sdtPr>
    <w:sdtEndPr>
      <w:rPr>
        <w:noProof/>
      </w:rPr>
    </w:sdtEndPr>
    <w:sdtContent>
      <w:p w14:paraId="1977316A" w14:textId="29A24006" w:rsidR="00607E7A" w:rsidRPr="008162E9" w:rsidRDefault="000217BC" w:rsidP="000217BC">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833F" w14:textId="77777777" w:rsidR="00607E7A" w:rsidRPr="008162E9" w:rsidRDefault="00607E7A" w:rsidP="008162E9">
    <w:pPr>
      <w:pStyle w:val="Footer-pool"/>
      <w:jc w:val="right"/>
    </w:pPr>
    <w:r w:rsidRPr="008162E9">
      <w:rPr>
        <w:rStyle w:val="PageNumber"/>
        <w:b/>
      </w:rPr>
      <w:fldChar w:fldCharType="begin"/>
    </w:r>
    <w:r w:rsidRPr="008162E9">
      <w:rPr>
        <w:rStyle w:val="PageNumber"/>
        <w:b/>
      </w:rPr>
      <w:instrText xml:space="preserve"> PAGE </w:instrText>
    </w:r>
    <w:r w:rsidRPr="008162E9">
      <w:rPr>
        <w:rStyle w:val="PageNumber"/>
        <w:b/>
      </w:rPr>
      <w:fldChar w:fldCharType="separate"/>
    </w:r>
    <w:r w:rsidRPr="008162E9">
      <w:rPr>
        <w:rStyle w:val="PageNumber"/>
        <w:b/>
      </w:rPr>
      <w:t>1</w:t>
    </w:r>
    <w:r w:rsidRPr="008162E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C1BD" w14:textId="36539C5B" w:rsidR="00607E7A" w:rsidRPr="00F11F1A" w:rsidRDefault="00607E7A" w:rsidP="00F11F1A">
    <w:pPr>
      <w:pStyle w:val="Normal-pool"/>
    </w:pPr>
    <w:r w:rsidRPr="00F11F1A">
      <w:t>K2100813</w:t>
    </w:r>
    <w:r w:rsidRPr="00F11F1A">
      <w:tab/>
    </w:r>
    <w:r w:rsidR="00F11F1A" w:rsidRPr="00F11F1A">
      <w:t>26</w:t>
    </w:r>
    <w:r w:rsidR="002F4324" w:rsidRPr="00F11F1A">
      <w:t>04</w:t>
    </w:r>
    <w:r w:rsidRPr="00F11F1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8083" w14:textId="77777777" w:rsidR="00F0662D" w:rsidRPr="00DC5E14" w:rsidRDefault="00F0662D" w:rsidP="00F11F1A">
      <w:pPr>
        <w:tabs>
          <w:tab w:val="left" w:pos="624"/>
        </w:tabs>
        <w:spacing w:before="60"/>
        <w:ind w:left="624"/>
        <w:rPr>
          <w:sz w:val="18"/>
          <w:szCs w:val="18"/>
        </w:rPr>
      </w:pPr>
      <w:r w:rsidRPr="00DC5E14">
        <w:rPr>
          <w:sz w:val="18"/>
          <w:szCs w:val="18"/>
        </w:rPr>
        <w:separator/>
      </w:r>
    </w:p>
  </w:footnote>
  <w:footnote w:type="continuationSeparator" w:id="0">
    <w:p w14:paraId="3B0FBFF0" w14:textId="77777777" w:rsidR="00F0662D" w:rsidRDefault="00F0662D">
      <w:r>
        <w:continuationSeparator/>
      </w:r>
    </w:p>
  </w:footnote>
  <w:footnote w:id="1">
    <w:p w14:paraId="49BEA7C9" w14:textId="77777777" w:rsidR="00607E7A" w:rsidRPr="00571B56" w:rsidRDefault="00607E7A" w:rsidP="00F11F1A">
      <w:pPr>
        <w:pStyle w:val="Normal-pool"/>
        <w:spacing w:before="20" w:after="40"/>
        <w:ind w:left="1247"/>
        <w:rPr>
          <w:sz w:val="18"/>
          <w:szCs w:val="18"/>
        </w:rPr>
      </w:pPr>
      <w:r w:rsidRPr="00571B56">
        <w:rPr>
          <w:sz w:val="18"/>
          <w:szCs w:val="18"/>
        </w:rPr>
        <w:t>* IPBES/8/1.</w:t>
      </w:r>
    </w:p>
  </w:footnote>
  <w:footnote w:id="2">
    <w:p w14:paraId="695BA7AB" w14:textId="04D88754" w:rsidR="00607E7A" w:rsidRPr="00571B56" w:rsidRDefault="00607E7A" w:rsidP="00F11F1A">
      <w:pPr>
        <w:pStyle w:val="Normal-pool"/>
        <w:spacing w:before="20" w:after="40"/>
        <w:ind w:left="1247"/>
        <w:rPr>
          <w:sz w:val="18"/>
          <w:szCs w:val="18"/>
        </w:rPr>
      </w:pPr>
      <w:r w:rsidRPr="00571B56">
        <w:rPr>
          <w:rStyle w:val="FootnoteReference"/>
          <w:sz w:val="18"/>
        </w:rPr>
        <w:footnoteRef/>
      </w:r>
      <w:r w:rsidRPr="00571B56">
        <w:rPr>
          <w:sz w:val="18"/>
          <w:szCs w:val="18"/>
        </w:rPr>
        <w:t xml:space="preserve"> </w:t>
      </w:r>
      <w:r w:rsidRPr="00571B56">
        <w:rPr>
          <w:sz w:val="18"/>
          <w:szCs w:val="18"/>
          <w:lang w:val="en-US"/>
        </w:rPr>
        <w:t xml:space="preserve">Decision IPBES-3/3, annex I, sect. </w:t>
      </w:r>
      <w:r w:rsidRPr="00571B56">
        <w:rPr>
          <w:sz w:val="18"/>
          <w:szCs w:val="18"/>
        </w:rPr>
        <w:t>4.</w:t>
      </w:r>
    </w:p>
  </w:footnote>
  <w:footnote w:id="3">
    <w:p w14:paraId="7C3C3EA8" w14:textId="77777777" w:rsidR="00607E7A" w:rsidRPr="00571B56" w:rsidRDefault="00607E7A" w:rsidP="00F11F1A">
      <w:pPr>
        <w:pStyle w:val="Normal-pool"/>
        <w:spacing w:before="20" w:after="40"/>
        <w:ind w:left="1247"/>
        <w:rPr>
          <w:sz w:val="18"/>
          <w:szCs w:val="18"/>
        </w:rPr>
      </w:pPr>
      <w:r w:rsidRPr="00571B56">
        <w:rPr>
          <w:rStyle w:val="FootnoteReference"/>
          <w:sz w:val="18"/>
        </w:rPr>
        <w:footnoteRef/>
      </w:r>
      <w:r w:rsidRPr="00571B56">
        <w:rPr>
          <w:sz w:val="18"/>
          <w:szCs w:val="18"/>
        </w:rPr>
        <w:t xml:space="preserve"> </w:t>
      </w:r>
      <w:r w:rsidRPr="00571B56">
        <w:rPr>
          <w:sz w:val="18"/>
          <w:szCs w:val="18"/>
          <w:lang w:val="en-CA"/>
        </w:rPr>
        <w:t>IPBES/7/6, appendix II, sect. II</w:t>
      </w:r>
      <w:r w:rsidRPr="00571B5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E197" w14:textId="437ABE90" w:rsidR="00607E7A" w:rsidRPr="00DC5E14" w:rsidRDefault="00607E7A" w:rsidP="00DC5E14">
    <w:pPr>
      <w:pStyle w:val="Header-pool"/>
    </w:pPr>
    <w:r w:rsidRPr="00C95B00">
      <w:t>IPBES/8/</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9860" w14:textId="56ED6910" w:rsidR="00607E7A" w:rsidRPr="00DC5E14" w:rsidRDefault="00607E7A" w:rsidP="00DC5E14">
    <w:pPr>
      <w:pStyle w:val="Header-pool"/>
      <w:jc w:val="right"/>
    </w:pPr>
    <w:r w:rsidRPr="00C95B00">
      <w:t>IPBES/8/</w:t>
    </w:r>
    <w:r w:rsidR="008162E9">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81DEBE6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71A517A5"/>
    <w:multiLevelType w:val="multilevel"/>
    <w:tmpl w:val="A33472F8"/>
    <w:lvl w:ilvl="0">
      <w:start w:val="4"/>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heme="minorEastAsia" w:hAnsi="Times New Roman" w:cs="Times New Roman"/>
      </w:rPr>
    </w:lvl>
    <w:lvl w:ilvl="2">
      <w:start w:val="1"/>
      <w:numFmt w:val="lowerRoman"/>
      <w:lvlText w:val="(%3)"/>
      <w:lvlJc w:val="left"/>
      <w:pPr>
        <w:tabs>
          <w:tab w:val="num" w:pos="567"/>
        </w:tabs>
        <w:ind w:left="2948" w:hanging="567"/>
      </w:pPr>
      <w:rPr>
        <w:rFonts w:ascii="Times New Roman" w:eastAsiaTheme="minorEastAsia" w:hAnsi="Times New Roman" w:cs="Times New Roman"/>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4" w15:restartNumberingAfterBreak="0">
    <w:nsid w:val="75D702AA"/>
    <w:multiLevelType w:val="multilevel"/>
    <w:tmpl w:val="7C4A9A10"/>
    <w:lvl w:ilvl="0">
      <w:start w:val="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tabs>
            <w:tab w:val="num" w:pos="1134"/>
          </w:tabs>
          <w:ind w:left="1247" w:firstLine="0"/>
        </w:pPr>
        <w:rPr>
          <w:rFonts w:hint="default"/>
          <w:b w:val="0"/>
          <w:bCs w:val="0"/>
        </w:rPr>
      </w:lvl>
    </w:lvlOverride>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A" w:vendorID="64" w:dllVersion="0" w:nlCheck="1" w:checkStyle="0"/>
  <w:activeWritingStyle w:appName="MSWord" w:lang="en-CA"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116F0"/>
    <w:rsid w:val="0001497E"/>
    <w:rsid w:val="000149E6"/>
    <w:rsid w:val="0002109D"/>
    <w:rsid w:val="000217BC"/>
    <w:rsid w:val="000247B0"/>
    <w:rsid w:val="00026971"/>
    <w:rsid w:val="00026997"/>
    <w:rsid w:val="00031A82"/>
    <w:rsid w:val="00033E0B"/>
    <w:rsid w:val="00035EDE"/>
    <w:rsid w:val="00040C7C"/>
    <w:rsid w:val="000509B4"/>
    <w:rsid w:val="00051F07"/>
    <w:rsid w:val="00056FD5"/>
    <w:rsid w:val="0006035B"/>
    <w:rsid w:val="00060448"/>
    <w:rsid w:val="000709EB"/>
    <w:rsid w:val="00071886"/>
    <w:rsid w:val="000742BC"/>
    <w:rsid w:val="00077577"/>
    <w:rsid w:val="00082A0C"/>
    <w:rsid w:val="00083504"/>
    <w:rsid w:val="00094CA8"/>
    <w:rsid w:val="00095124"/>
    <w:rsid w:val="0009640C"/>
    <w:rsid w:val="00097664"/>
    <w:rsid w:val="000A1D5A"/>
    <w:rsid w:val="000B22A2"/>
    <w:rsid w:val="000B3C16"/>
    <w:rsid w:val="000C2A52"/>
    <w:rsid w:val="000C2CAF"/>
    <w:rsid w:val="000D073D"/>
    <w:rsid w:val="000D33C0"/>
    <w:rsid w:val="000D6941"/>
    <w:rsid w:val="000D7400"/>
    <w:rsid w:val="001036CA"/>
    <w:rsid w:val="001202E3"/>
    <w:rsid w:val="001203EB"/>
    <w:rsid w:val="00121278"/>
    <w:rsid w:val="00122272"/>
    <w:rsid w:val="00123699"/>
    <w:rsid w:val="00123E90"/>
    <w:rsid w:val="0013059D"/>
    <w:rsid w:val="00132671"/>
    <w:rsid w:val="0013637E"/>
    <w:rsid w:val="00141A55"/>
    <w:rsid w:val="00142D29"/>
    <w:rsid w:val="001446A3"/>
    <w:rsid w:val="0014640B"/>
    <w:rsid w:val="00152574"/>
    <w:rsid w:val="00155395"/>
    <w:rsid w:val="00160D74"/>
    <w:rsid w:val="00161BCA"/>
    <w:rsid w:val="00167D02"/>
    <w:rsid w:val="00170A2C"/>
    <w:rsid w:val="001729FC"/>
    <w:rsid w:val="00174FA1"/>
    <w:rsid w:val="0017509A"/>
    <w:rsid w:val="0017564A"/>
    <w:rsid w:val="00181EC8"/>
    <w:rsid w:val="00183973"/>
    <w:rsid w:val="0018399A"/>
    <w:rsid w:val="00184349"/>
    <w:rsid w:val="00195F33"/>
    <w:rsid w:val="001965B7"/>
    <w:rsid w:val="00196A1E"/>
    <w:rsid w:val="001A2350"/>
    <w:rsid w:val="001A6D33"/>
    <w:rsid w:val="001A7A79"/>
    <w:rsid w:val="001B1617"/>
    <w:rsid w:val="001B320F"/>
    <w:rsid w:val="001B3ECD"/>
    <w:rsid w:val="001B504B"/>
    <w:rsid w:val="001C246C"/>
    <w:rsid w:val="001C67B8"/>
    <w:rsid w:val="001D02B1"/>
    <w:rsid w:val="001D1F3B"/>
    <w:rsid w:val="001D3874"/>
    <w:rsid w:val="001D482D"/>
    <w:rsid w:val="001D7E75"/>
    <w:rsid w:val="001E56D2"/>
    <w:rsid w:val="001E6029"/>
    <w:rsid w:val="001E7D56"/>
    <w:rsid w:val="001F62E1"/>
    <w:rsid w:val="001F75DE"/>
    <w:rsid w:val="00200D58"/>
    <w:rsid w:val="002013BE"/>
    <w:rsid w:val="00201BBE"/>
    <w:rsid w:val="002063A4"/>
    <w:rsid w:val="00210B8E"/>
    <w:rsid w:val="0021145B"/>
    <w:rsid w:val="0021787F"/>
    <w:rsid w:val="00226FCB"/>
    <w:rsid w:val="00237416"/>
    <w:rsid w:val="002379D0"/>
    <w:rsid w:val="00243D36"/>
    <w:rsid w:val="00247707"/>
    <w:rsid w:val="00254006"/>
    <w:rsid w:val="0026018E"/>
    <w:rsid w:val="002663F0"/>
    <w:rsid w:val="00280502"/>
    <w:rsid w:val="00282131"/>
    <w:rsid w:val="00282FE6"/>
    <w:rsid w:val="00286740"/>
    <w:rsid w:val="002929D8"/>
    <w:rsid w:val="002A237D"/>
    <w:rsid w:val="002A2427"/>
    <w:rsid w:val="002A43EB"/>
    <w:rsid w:val="002A445A"/>
    <w:rsid w:val="002A4C53"/>
    <w:rsid w:val="002B0672"/>
    <w:rsid w:val="002B247F"/>
    <w:rsid w:val="002C145D"/>
    <w:rsid w:val="002C2C3E"/>
    <w:rsid w:val="002C320D"/>
    <w:rsid w:val="002C533E"/>
    <w:rsid w:val="002C57BE"/>
    <w:rsid w:val="002C72B4"/>
    <w:rsid w:val="002D027F"/>
    <w:rsid w:val="002D670D"/>
    <w:rsid w:val="002D7A85"/>
    <w:rsid w:val="002D7B60"/>
    <w:rsid w:val="002F4324"/>
    <w:rsid w:val="002F4761"/>
    <w:rsid w:val="002F5C79"/>
    <w:rsid w:val="003019E2"/>
    <w:rsid w:val="003072AD"/>
    <w:rsid w:val="00311B98"/>
    <w:rsid w:val="0031413F"/>
    <w:rsid w:val="003148BB"/>
    <w:rsid w:val="00315379"/>
    <w:rsid w:val="00317976"/>
    <w:rsid w:val="00331094"/>
    <w:rsid w:val="00333364"/>
    <w:rsid w:val="003412E4"/>
    <w:rsid w:val="00355BC8"/>
    <w:rsid w:val="00355EA9"/>
    <w:rsid w:val="003578DE"/>
    <w:rsid w:val="003627A9"/>
    <w:rsid w:val="003775D1"/>
    <w:rsid w:val="003818BA"/>
    <w:rsid w:val="00387455"/>
    <w:rsid w:val="0038747C"/>
    <w:rsid w:val="0039180B"/>
    <w:rsid w:val="00391B70"/>
    <w:rsid w:val="00396257"/>
    <w:rsid w:val="00397BC4"/>
    <w:rsid w:val="00397EB8"/>
    <w:rsid w:val="003A4FD0"/>
    <w:rsid w:val="003A6664"/>
    <w:rsid w:val="003A69D1"/>
    <w:rsid w:val="003A7705"/>
    <w:rsid w:val="003A77F1"/>
    <w:rsid w:val="003B1545"/>
    <w:rsid w:val="003B500B"/>
    <w:rsid w:val="003C098D"/>
    <w:rsid w:val="003C09DF"/>
    <w:rsid w:val="003C1153"/>
    <w:rsid w:val="003C409D"/>
    <w:rsid w:val="003C411D"/>
    <w:rsid w:val="003C5BA6"/>
    <w:rsid w:val="003C7D20"/>
    <w:rsid w:val="003D1E71"/>
    <w:rsid w:val="003D686F"/>
    <w:rsid w:val="003E258C"/>
    <w:rsid w:val="003E5592"/>
    <w:rsid w:val="003F0E85"/>
    <w:rsid w:val="003F4C99"/>
    <w:rsid w:val="003F539E"/>
    <w:rsid w:val="00406675"/>
    <w:rsid w:val="00410C55"/>
    <w:rsid w:val="00412EAD"/>
    <w:rsid w:val="00416854"/>
    <w:rsid w:val="00417725"/>
    <w:rsid w:val="00423377"/>
    <w:rsid w:val="004256DE"/>
    <w:rsid w:val="00427227"/>
    <w:rsid w:val="0043271C"/>
    <w:rsid w:val="004330FE"/>
    <w:rsid w:val="00437F26"/>
    <w:rsid w:val="00444097"/>
    <w:rsid w:val="004447D4"/>
    <w:rsid w:val="00445487"/>
    <w:rsid w:val="0045117B"/>
    <w:rsid w:val="00454769"/>
    <w:rsid w:val="0045776F"/>
    <w:rsid w:val="00466991"/>
    <w:rsid w:val="0047064C"/>
    <w:rsid w:val="004815DB"/>
    <w:rsid w:val="004852F3"/>
    <w:rsid w:val="00493FBD"/>
    <w:rsid w:val="004968FE"/>
    <w:rsid w:val="004A0706"/>
    <w:rsid w:val="004A20B0"/>
    <w:rsid w:val="004A42E1"/>
    <w:rsid w:val="004B162C"/>
    <w:rsid w:val="004B4FF7"/>
    <w:rsid w:val="004B7F10"/>
    <w:rsid w:val="004C089E"/>
    <w:rsid w:val="004C3DBE"/>
    <w:rsid w:val="004C5C96"/>
    <w:rsid w:val="004D06A4"/>
    <w:rsid w:val="004D3E45"/>
    <w:rsid w:val="004E182C"/>
    <w:rsid w:val="004E3C36"/>
    <w:rsid w:val="004F1A81"/>
    <w:rsid w:val="0050150C"/>
    <w:rsid w:val="005218D9"/>
    <w:rsid w:val="00533120"/>
    <w:rsid w:val="00534B14"/>
    <w:rsid w:val="00536186"/>
    <w:rsid w:val="005374B8"/>
    <w:rsid w:val="005437AC"/>
    <w:rsid w:val="00544CBB"/>
    <w:rsid w:val="005468A6"/>
    <w:rsid w:val="0055096A"/>
    <w:rsid w:val="00571B56"/>
    <w:rsid w:val="0057315F"/>
    <w:rsid w:val="00576104"/>
    <w:rsid w:val="00576521"/>
    <w:rsid w:val="00582AA3"/>
    <w:rsid w:val="00592D18"/>
    <w:rsid w:val="0059796D"/>
    <w:rsid w:val="005A5C42"/>
    <w:rsid w:val="005B7D9F"/>
    <w:rsid w:val="005C67C8"/>
    <w:rsid w:val="005D0249"/>
    <w:rsid w:val="005D6E8C"/>
    <w:rsid w:val="005D7D51"/>
    <w:rsid w:val="005E0E4D"/>
    <w:rsid w:val="005F100C"/>
    <w:rsid w:val="005F3A5C"/>
    <w:rsid w:val="005F68DA"/>
    <w:rsid w:val="005F6EC0"/>
    <w:rsid w:val="00600484"/>
    <w:rsid w:val="0060773B"/>
    <w:rsid w:val="00607E7A"/>
    <w:rsid w:val="00613F60"/>
    <w:rsid w:val="006157B5"/>
    <w:rsid w:val="00626FC6"/>
    <w:rsid w:val="006303B4"/>
    <w:rsid w:val="00633D3D"/>
    <w:rsid w:val="00641703"/>
    <w:rsid w:val="006431A6"/>
    <w:rsid w:val="00643EE5"/>
    <w:rsid w:val="006456D6"/>
    <w:rsid w:val="006459F6"/>
    <w:rsid w:val="006501AD"/>
    <w:rsid w:val="00651BFA"/>
    <w:rsid w:val="006532F6"/>
    <w:rsid w:val="00654475"/>
    <w:rsid w:val="00665A4B"/>
    <w:rsid w:val="006710F8"/>
    <w:rsid w:val="0068256C"/>
    <w:rsid w:val="00683F14"/>
    <w:rsid w:val="00687DAD"/>
    <w:rsid w:val="00692E2A"/>
    <w:rsid w:val="006A453E"/>
    <w:rsid w:val="006A58F9"/>
    <w:rsid w:val="006A76F2"/>
    <w:rsid w:val="006C0C19"/>
    <w:rsid w:val="006C6064"/>
    <w:rsid w:val="006C7D58"/>
    <w:rsid w:val="006D1086"/>
    <w:rsid w:val="006D35BB"/>
    <w:rsid w:val="006D7EFB"/>
    <w:rsid w:val="006E07F8"/>
    <w:rsid w:val="006E3ACE"/>
    <w:rsid w:val="006E509F"/>
    <w:rsid w:val="006E6672"/>
    <w:rsid w:val="006E6722"/>
    <w:rsid w:val="006E68FD"/>
    <w:rsid w:val="006F4E68"/>
    <w:rsid w:val="006F5678"/>
    <w:rsid w:val="006F6E42"/>
    <w:rsid w:val="007027B9"/>
    <w:rsid w:val="00703595"/>
    <w:rsid w:val="00707C25"/>
    <w:rsid w:val="00711C06"/>
    <w:rsid w:val="00714F6B"/>
    <w:rsid w:val="00715E88"/>
    <w:rsid w:val="00716197"/>
    <w:rsid w:val="00717B93"/>
    <w:rsid w:val="00717E15"/>
    <w:rsid w:val="00723C1C"/>
    <w:rsid w:val="0073392B"/>
    <w:rsid w:val="00734CAA"/>
    <w:rsid w:val="007424F0"/>
    <w:rsid w:val="0074310F"/>
    <w:rsid w:val="007533D3"/>
    <w:rsid w:val="0075533C"/>
    <w:rsid w:val="00757581"/>
    <w:rsid w:val="007611A0"/>
    <w:rsid w:val="007667E1"/>
    <w:rsid w:val="00770255"/>
    <w:rsid w:val="00770706"/>
    <w:rsid w:val="00773D90"/>
    <w:rsid w:val="007741FD"/>
    <w:rsid w:val="0078134B"/>
    <w:rsid w:val="0078538D"/>
    <w:rsid w:val="00796D3F"/>
    <w:rsid w:val="007A1683"/>
    <w:rsid w:val="007A4E26"/>
    <w:rsid w:val="007A5C12"/>
    <w:rsid w:val="007A7CB0"/>
    <w:rsid w:val="007B68A3"/>
    <w:rsid w:val="007C2541"/>
    <w:rsid w:val="007C3705"/>
    <w:rsid w:val="007C4535"/>
    <w:rsid w:val="007C527A"/>
    <w:rsid w:val="007D66A8"/>
    <w:rsid w:val="007E003F"/>
    <w:rsid w:val="007E0276"/>
    <w:rsid w:val="007E6282"/>
    <w:rsid w:val="007E7842"/>
    <w:rsid w:val="007F0760"/>
    <w:rsid w:val="007F348C"/>
    <w:rsid w:val="007F6F0C"/>
    <w:rsid w:val="008125AA"/>
    <w:rsid w:val="008162E9"/>
    <w:rsid w:val="008164F2"/>
    <w:rsid w:val="00821395"/>
    <w:rsid w:val="0082156A"/>
    <w:rsid w:val="0082259E"/>
    <w:rsid w:val="00822C96"/>
    <w:rsid w:val="00830E26"/>
    <w:rsid w:val="00832527"/>
    <w:rsid w:val="00836880"/>
    <w:rsid w:val="008402E9"/>
    <w:rsid w:val="00843576"/>
    <w:rsid w:val="00843B64"/>
    <w:rsid w:val="0084583C"/>
    <w:rsid w:val="008478FC"/>
    <w:rsid w:val="00862384"/>
    <w:rsid w:val="008633D6"/>
    <w:rsid w:val="008646BA"/>
    <w:rsid w:val="00866BAB"/>
    <w:rsid w:val="00867BFF"/>
    <w:rsid w:val="008714F5"/>
    <w:rsid w:val="00872B0F"/>
    <w:rsid w:val="00876189"/>
    <w:rsid w:val="008826DE"/>
    <w:rsid w:val="0088461D"/>
    <w:rsid w:val="0088480A"/>
    <w:rsid w:val="0088593C"/>
    <w:rsid w:val="0088683E"/>
    <w:rsid w:val="0088752C"/>
    <w:rsid w:val="0088757A"/>
    <w:rsid w:val="008878BA"/>
    <w:rsid w:val="00890B86"/>
    <w:rsid w:val="00890D48"/>
    <w:rsid w:val="008957DD"/>
    <w:rsid w:val="00897D98"/>
    <w:rsid w:val="008A4965"/>
    <w:rsid w:val="008A6DF2"/>
    <w:rsid w:val="008A7807"/>
    <w:rsid w:val="008B0776"/>
    <w:rsid w:val="008B4CC9"/>
    <w:rsid w:val="008C71A3"/>
    <w:rsid w:val="008D699A"/>
    <w:rsid w:val="008D6B2D"/>
    <w:rsid w:val="008D7C99"/>
    <w:rsid w:val="008E0FCB"/>
    <w:rsid w:val="008E5F02"/>
    <w:rsid w:val="008F0150"/>
    <w:rsid w:val="008F0312"/>
    <w:rsid w:val="008F1F0A"/>
    <w:rsid w:val="009009D8"/>
    <w:rsid w:val="0092070B"/>
    <w:rsid w:val="0092178C"/>
    <w:rsid w:val="00924183"/>
    <w:rsid w:val="00927BAE"/>
    <w:rsid w:val="00930B88"/>
    <w:rsid w:val="0093708B"/>
    <w:rsid w:val="00940DCC"/>
    <w:rsid w:val="0094179A"/>
    <w:rsid w:val="009422CC"/>
    <w:rsid w:val="0094426A"/>
    <w:rsid w:val="0094459E"/>
    <w:rsid w:val="00944DBC"/>
    <w:rsid w:val="00950977"/>
    <w:rsid w:val="009513F1"/>
    <w:rsid w:val="00951A7B"/>
    <w:rsid w:val="00952320"/>
    <w:rsid w:val="0095448F"/>
    <w:rsid w:val="009564A6"/>
    <w:rsid w:val="00961015"/>
    <w:rsid w:val="00967621"/>
    <w:rsid w:val="00967E6A"/>
    <w:rsid w:val="00971AA2"/>
    <w:rsid w:val="009871EF"/>
    <w:rsid w:val="0099256F"/>
    <w:rsid w:val="009A3B85"/>
    <w:rsid w:val="009A44DB"/>
    <w:rsid w:val="009A6720"/>
    <w:rsid w:val="009B1383"/>
    <w:rsid w:val="009B4192"/>
    <w:rsid w:val="009B4A0F"/>
    <w:rsid w:val="009B5F35"/>
    <w:rsid w:val="009C11D2"/>
    <w:rsid w:val="009C3C79"/>
    <w:rsid w:val="009C6C70"/>
    <w:rsid w:val="009D06E6"/>
    <w:rsid w:val="009D0B63"/>
    <w:rsid w:val="009D5AD4"/>
    <w:rsid w:val="009D6D5C"/>
    <w:rsid w:val="009E307E"/>
    <w:rsid w:val="009E468E"/>
    <w:rsid w:val="009E53A1"/>
    <w:rsid w:val="00A07870"/>
    <w:rsid w:val="00A07F19"/>
    <w:rsid w:val="00A1348D"/>
    <w:rsid w:val="00A161F0"/>
    <w:rsid w:val="00A232EE"/>
    <w:rsid w:val="00A24150"/>
    <w:rsid w:val="00A24B07"/>
    <w:rsid w:val="00A24BBF"/>
    <w:rsid w:val="00A24C27"/>
    <w:rsid w:val="00A30C83"/>
    <w:rsid w:val="00A31C9A"/>
    <w:rsid w:val="00A33437"/>
    <w:rsid w:val="00A36E01"/>
    <w:rsid w:val="00A4175F"/>
    <w:rsid w:val="00A424DA"/>
    <w:rsid w:val="00A44411"/>
    <w:rsid w:val="00A469FA"/>
    <w:rsid w:val="00A50C42"/>
    <w:rsid w:val="00A55B01"/>
    <w:rsid w:val="00A5614D"/>
    <w:rsid w:val="00A56B5B"/>
    <w:rsid w:val="00A603FF"/>
    <w:rsid w:val="00A62940"/>
    <w:rsid w:val="00A657DD"/>
    <w:rsid w:val="00A65E98"/>
    <w:rsid w:val="00A666A6"/>
    <w:rsid w:val="00A675FD"/>
    <w:rsid w:val="00A72437"/>
    <w:rsid w:val="00A72557"/>
    <w:rsid w:val="00A74174"/>
    <w:rsid w:val="00A769A6"/>
    <w:rsid w:val="00A80611"/>
    <w:rsid w:val="00A81E71"/>
    <w:rsid w:val="00A82840"/>
    <w:rsid w:val="00A873B9"/>
    <w:rsid w:val="00A914C2"/>
    <w:rsid w:val="00A94AB6"/>
    <w:rsid w:val="00A96173"/>
    <w:rsid w:val="00AB1158"/>
    <w:rsid w:val="00AB1BE1"/>
    <w:rsid w:val="00AB5340"/>
    <w:rsid w:val="00AC07D3"/>
    <w:rsid w:val="00AC0A89"/>
    <w:rsid w:val="00AC7C96"/>
    <w:rsid w:val="00AD3C2C"/>
    <w:rsid w:val="00AD54E5"/>
    <w:rsid w:val="00AE237D"/>
    <w:rsid w:val="00AE502A"/>
    <w:rsid w:val="00AF0071"/>
    <w:rsid w:val="00AF1382"/>
    <w:rsid w:val="00AF7C07"/>
    <w:rsid w:val="00B01955"/>
    <w:rsid w:val="00B0516F"/>
    <w:rsid w:val="00B22C93"/>
    <w:rsid w:val="00B27589"/>
    <w:rsid w:val="00B275E7"/>
    <w:rsid w:val="00B30A96"/>
    <w:rsid w:val="00B40337"/>
    <w:rsid w:val="00B405B7"/>
    <w:rsid w:val="00B44EFA"/>
    <w:rsid w:val="00B45D26"/>
    <w:rsid w:val="00B52222"/>
    <w:rsid w:val="00B54FE7"/>
    <w:rsid w:val="00B5624D"/>
    <w:rsid w:val="00B57193"/>
    <w:rsid w:val="00B66901"/>
    <w:rsid w:val="00B66F36"/>
    <w:rsid w:val="00B67026"/>
    <w:rsid w:val="00B71E6D"/>
    <w:rsid w:val="00B72070"/>
    <w:rsid w:val="00B72891"/>
    <w:rsid w:val="00B74B94"/>
    <w:rsid w:val="00B779E1"/>
    <w:rsid w:val="00B831E4"/>
    <w:rsid w:val="00B91EE1"/>
    <w:rsid w:val="00BA0090"/>
    <w:rsid w:val="00BA19B2"/>
    <w:rsid w:val="00BA1A67"/>
    <w:rsid w:val="00BA2355"/>
    <w:rsid w:val="00BB651B"/>
    <w:rsid w:val="00BC404B"/>
    <w:rsid w:val="00BC5C22"/>
    <w:rsid w:val="00BE2A2D"/>
    <w:rsid w:val="00BE5B5F"/>
    <w:rsid w:val="00BE5E52"/>
    <w:rsid w:val="00BE61C7"/>
    <w:rsid w:val="00BF6FB4"/>
    <w:rsid w:val="00C01D25"/>
    <w:rsid w:val="00C144A9"/>
    <w:rsid w:val="00C158C0"/>
    <w:rsid w:val="00C21CAC"/>
    <w:rsid w:val="00C222EB"/>
    <w:rsid w:val="00C24730"/>
    <w:rsid w:val="00C26F55"/>
    <w:rsid w:val="00C30C63"/>
    <w:rsid w:val="00C30DB4"/>
    <w:rsid w:val="00C36B8B"/>
    <w:rsid w:val="00C415C1"/>
    <w:rsid w:val="00C417FB"/>
    <w:rsid w:val="00C430AA"/>
    <w:rsid w:val="00C454D1"/>
    <w:rsid w:val="00C47DBF"/>
    <w:rsid w:val="00C5289F"/>
    <w:rsid w:val="00C552FF"/>
    <w:rsid w:val="00C558DA"/>
    <w:rsid w:val="00C55AF3"/>
    <w:rsid w:val="00C61B30"/>
    <w:rsid w:val="00C7404E"/>
    <w:rsid w:val="00C818E3"/>
    <w:rsid w:val="00C84759"/>
    <w:rsid w:val="00C95B00"/>
    <w:rsid w:val="00CA140E"/>
    <w:rsid w:val="00CA45C6"/>
    <w:rsid w:val="00CA6C7F"/>
    <w:rsid w:val="00CA7CBD"/>
    <w:rsid w:val="00CC10A6"/>
    <w:rsid w:val="00CD11B7"/>
    <w:rsid w:val="00CD16D9"/>
    <w:rsid w:val="00CD2FF8"/>
    <w:rsid w:val="00CD54D1"/>
    <w:rsid w:val="00CD5EB8"/>
    <w:rsid w:val="00CD603B"/>
    <w:rsid w:val="00CD7044"/>
    <w:rsid w:val="00CE08B9"/>
    <w:rsid w:val="00CE524C"/>
    <w:rsid w:val="00CF141F"/>
    <w:rsid w:val="00CF4777"/>
    <w:rsid w:val="00D067BB"/>
    <w:rsid w:val="00D1352A"/>
    <w:rsid w:val="00D169AF"/>
    <w:rsid w:val="00D25249"/>
    <w:rsid w:val="00D314CC"/>
    <w:rsid w:val="00D43755"/>
    <w:rsid w:val="00D44172"/>
    <w:rsid w:val="00D516BC"/>
    <w:rsid w:val="00D5627A"/>
    <w:rsid w:val="00D63B8C"/>
    <w:rsid w:val="00D739CC"/>
    <w:rsid w:val="00D74431"/>
    <w:rsid w:val="00D75752"/>
    <w:rsid w:val="00D803A4"/>
    <w:rsid w:val="00D8093D"/>
    <w:rsid w:val="00D80DBF"/>
    <w:rsid w:val="00D8108C"/>
    <w:rsid w:val="00D842AE"/>
    <w:rsid w:val="00D87A79"/>
    <w:rsid w:val="00D91A10"/>
    <w:rsid w:val="00D9211C"/>
    <w:rsid w:val="00D92DE0"/>
    <w:rsid w:val="00D92FEF"/>
    <w:rsid w:val="00D93A0F"/>
    <w:rsid w:val="00D961A0"/>
    <w:rsid w:val="00DA1B92"/>
    <w:rsid w:val="00DA1BCA"/>
    <w:rsid w:val="00DA7BED"/>
    <w:rsid w:val="00DB0B70"/>
    <w:rsid w:val="00DB6420"/>
    <w:rsid w:val="00DB6FC9"/>
    <w:rsid w:val="00DC1EC2"/>
    <w:rsid w:val="00DC3AB1"/>
    <w:rsid w:val="00DC46FF"/>
    <w:rsid w:val="00DC5254"/>
    <w:rsid w:val="00DC5E14"/>
    <w:rsid w:val="00DD0F1F"/>
    <w:rsid w:val="00DD1A4F"/>
    <w:rsid w:val="00DD1FB0"/>
    <w:rsid w:val="00DD3107"/>
    <w:rsid w:val="00DD7C2C"/>
    <w:rsid w:val="00DE33D4"/>
    <w:rsid w:val="00DF1132"/>
    <w:rsid w:val="00DF1DF6"/>
    <w:rsid w:val="00DF67E8"/>
    <w:rsid w:val="00E06797"/>
    <w:rsid w:val="00E069C2"/>
    <w:rsid w:val="00E1265B"/>
    <w:rsid w:val="00E13700"/>
    <w:rsid w:val="00E13B48"/>
    <w:rsid w:val="00E1404F"/>
    <w:rsid w:val="00E14745"/>
    <w:rsid w:val="00E21C83"/>
    <w:rsid w:val="00E24ADA"/>
    <w:rsid w:val="00E32F59"/>
    <w:rsid w:val="00E33778"/>
    <w:rsid w:val="00E36D5E"/>
    <w:rsid w:val="00E37044"/>
    <w:rsid w:val="00E46D9A"/>
    <w:rsid w:val="00E565FF"/>
    <w:rsid w:val="00E60AF8"/>
    <w:rsid w:val="00E65388"/>
    <w:rsid w:val="00E66418"/>
    <w:rsid w:val="00E664EA"/>
    <w:rsid w:val="00E672AE"/>
    <w:rsid w:val="00E67BA9"/>
    <w:rsid w:val="00E85B7D"/>
    <w:rsid w:val="00E9121B"/>
    <w:rsid w:val="00E953D0"/>
    <w:rsid w:val="00EA0AE2"/>
    <w:rsid w:val="00EA2897"/>
    <w:rsid w:val="00EA39E5"/>
    <w:rsid w:val="00EA4704"/>
    <w:rsid w:val="00EB3EDA"/>
    <w:rsid w:val="00EC3381"/>
    <w:rsid w:val="00EC5A46"/>
    <w:rsid w:val="00EC63E2"/>
    <w:rsid w:val="00ED2563"/>
    <w:rsid w:val="00ED7917"/>
    <w:rsid w:val="00EE61C4"/>
    <w:rsid w:val="00EF159E"/>
    <w:rsid w:val="00EF1749"/>
    <w:rsid w:val="00EF22B3"/>
    <w:rsid w:val="00EF57A9"/>
    <w:rsid w:val="00EF7090"/>
    <w:rsid w:val="00F00B5C"/>
    <w:rsid w:val="00F02F19"/>
    <w:rsid w:val="00F03B69"/>
    <w:rsid w:val="00F0662D"/>
    <w:rsid w:val="00F07A50"/>
    <w:rsid w:val="00F113DA"/>
    <w:rsid w:val="00F11F1A"/>
    <w:rsid w:val="00F14E62"/>
    <w:rsid w:val="00F15859"/>
    <w:rsid w:val="00F338AF"/>
    <w:rsid w:val="00F3650F"/>
    <w:rsid w:val="00F37DC8"/>
    <w:rsid w:val="00F439B3"/>
    <w:rsid w:val="00F4501B"/>
    <w:rsid w:val="00F45CA8"/>
    <w:rsid w:val="00F467F6"/>
    <w:rsid w:val="00F54DC0"/>
    <w:rsid w:val="00F633F5"/>
    <w:rsid w:val="00F63C1E"/>
    <w:rsid w:val="00F650C3"/>
    <w:rsid w:val="00F65D85"/>
    <w:rsid w:val="00F72AC3"/>
    <w:rsid w:val="00F76D61"/>
    <w:rsid w:val="00F8091E"/>
    <w:rsid w:val="00F83DA6"/>
    <w:rsid w:val="00F85FEA"/>
    <w:rsid w:val="00F8615C"/>
    <w:rsid w:val="00F93BF9"/>
    <w:rsid w:val="00F969E5"/>
    <w:rsid w:val="00FA0880"/>
    <w:rsid w:val="00FA1D72"/>
    <w:rsid w:val="00FA3C70"/>
    <w:rsid w:val="00FA6BB0"/>
    <w:rsid w:val="00FA748A"/>
    <w:rsid w:val="00FB2367"/>
    <w:rsid w:val="00FB26B2"/>
    <w:rsid w:val="00FB4C72"/>
    <w:rsid w:val="00FC514C"/>
    <w:rsid w:val="00FD47B9"/>
    <w:rsid w:val="00FD5860"/>
    <w:rsid w:val="00FE352D"/>
    <w:rsid w:val="00FE40EB"/>
    <w:rsid w:val="00FE4D02"/>
    <w:rsid w:val="00FE7D62"/>
    <w:rsid w:val="00FF363C"/>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502"/>
    <w:rPr>
      <w:sz w:val="24"/>
      <w:szCs w:val="24"/>
    </w:rPr>
  </w:style>
  <w:style w:type="paragraph" w:styleId="Heading1">
    <w:name w:val="heading 1"/>
    <w:basedOn w:val="Normal"/>
    <w:next w:val="Normalnumber"/>
    <w:qFormat/>
    <w:rsid w:val="000D6941"/>
    <w:pPr>
      <w:keepNext/>
      <w:tabs>
        <w:tab w:val="left" w:pos="1247"/>
        <w:tab w:val="left" w:pos="1814"/>
        <w:tab w:val="left" w:pos="2381"/>
        <w:tab w:val="left" w:pos="2948"/>
        <w:tab w:val="left" w:pos="3515"/>
      </w:tabs>
      <w:spacing w:before="240" w:after="120"/>
      <w:ind w:left="1247" w:hanging="680"/>
      <w:outlineLvl w:val="0"/>
    </w:pPr>
    <w:rPr>
      <w:b/>
      <w:sz w:val="28"/>
      <w:szCs w:val="20"/>
      <w:lang w:val="fr-FR" w:eastAsia="en-US"/>
    </w:rPr>
  </w:style>
  <w:style w:type="paragraph" w:styleId="Heading2">
    <w:name w:val="heading 2"/>
    <w:basedOn w:val="Normal"/>
    <w:next w:val="Normalnumber"/>
    <w:qFormat/>
    <w:rsid w:val="000D6941"/>
    <w:pPr>
      <w:keepNext/>
      <w:tabs>
        <w:tab w:val="left" w:pos="1247"/>
        <w:tab w:val="left" w:pos="1814"/>
        <w:tab w:val="left" w:pos="2381"/>
        <w:tab w:val="left" w:pos="2948"/>
        <w:tab w:val="left" w:pos="3515"/>
      </w:tabs>
      <w:spacing w:before="240" w:after="120"/>
      <w:ind w:left="1247" w:hanging="680"/>
      <w:outlineLvl w:val="1"/>
    </w:pPr>
    <w:rPr>
      <w:b/>
      <w:lang w:val="fr-FR" w:eastAsia="en-US"/>
    </w:rPr>
  </w:style>
  <w:style w:type="paragraph" w:styleId="Heading3">
    <w:name w:val="heading 3"/>
    <w:basedOn w:val="Normal"/>
    <w:next w:val="Normalnumber"/>
    <w:qFormat/>
    <w:rsid w:val="000D6941"/>
    <w:pPr>
      <w:tabs>
        <w:tab w:val="left" w:pos="1247"/>
        <w:tab w:val="left" w:pos="1814"/>
        <w:tab w:val="left" w:pos="2381"/>
        <w:tab w:val="left" w:pos="2948"/>
        <w:tab w:val="left" w:pos="3515"/>
      </w:tabs>
      <w:spacing w:after="120"/>
      <w:ind w:left="1247" w:hanging="680"/>
      <w:outlineLvl w:val="2"/>
    </w:pPr>
    <w:rPr>
      <w:b/>
      <w:sz w:val="20"/>
      <w:szCs w:val="20"/>
      <w:lang w:val="fr-FR" w:eastAsia="en-US"/>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tabs>
        <w:tab w:val="left" w:pos="1247"/>
        <w:tab w:val="left" w:pos="1814"/>
        <w:tab w:val="left" w:pos="2381"/>
        <w:tab w:val="left" w:pos="2948"/>
        <w:tab w:val="left" w:pos="3515"/>
      </w:tabs>
      <w:outlineLvl w:val="4"/>
    </w:pPr>
    <w:rPr>
      <w:rFonts w:ascii="Univers" w:hAnsi="Univers"/>
      <w:b/>
      <w:szCs w:val="20"/>
      <w:lang w:val="fr-FR" w:eastAsia="en-US"/>
    </w:rPr>
  </w:style>
  <w:style w:type="paragraph" w:styleId="Heading6">
    <w:name w:val="heading 6"/>
    <w:basedOn w:val="Normal"/>
    <w:next w:val="Normal"/>
    <w:qFormat/>
    <w:rsid w:val="000D6941"/>
    <w:pPr>
      <w:keepNext/>
      <w:tabs>
        <w:tab w:val="left" w:pos="1247"/>
        <w:tab w:val="left" w:pos="1814"/>
        <w:tab w:val="left" w:pos="2381"/>
        <w:tab w:val="left" w:pos="2948"/>
        <w:tab w:val="left" w:pos="3515"/>
      </w:tabs>
      <w:ind w:left="578"/>
      <w:outlineLvl w:val="5"/>
    </w:pPr>
    <w:rPr>
      <w:b/>
      <w:bCs/>
      <w:szCs w:val="20"/>
      <w:lang w:val="fr-FR" w:eastAsia="en-US"/>
    </w:rPr>
  </w:style>
  <w:style w:type="paragraph" w:styleId="Heading7">
    <w:name w:val="heading 7"/>
    <w:basedOn w:val="Normal"/>
    <w:next w:val="Normal"/>
    <w:qFormat/>
    <w:rsid w:val="000D6941"/>
    <w:pPr>
      <w:keepNext/>
      <w:widowControl w:val="0"/>
      <w:tabs>
        <w:tab w:val="left" w:pos="1247"/>
        <w:tab w:val="left" w:pos="1814"/>
        <w:tab w:val="left" w:pos="2381"/>
        <w:tab w:val="left" w:pos="2948"/>
        <w:tab w:val="left" w:pos="3515"/>
      </w:tabs>
      <w:jc w:val="center"/>
      <w:outlineLvl w:val="6"/>
    </w:pPr>
    <w:rPr>
      <w:snapToGrid w:val="0"/>
      <w:sz w:val="20"/>
      <w:szCs w:val="20"/>
      <w:u w:val="single"/>
      <w:lang w:val="en-US" w:eastAsia="en-US"/>
    </w:rPr>
  </w:style>
  <w:style w:type="paragraph" w:styleId="Heading8">
    <w:name w:val="heading 8"/>
    <w:basedOn w:val="Normal"/>
    <w:next w:val="Normal"/>
    <w:qFormat/>
    <w:rsid w:val="000D6941"/>
    <w:pPr>
      <w:keepNext/>
      <w:widowControl w:val="0"/>
      <w:numPr>
        <w:numId w:val="2"/>
      </w:numPr>
      <w:tabs>
        <w:tab w:val="left" w:pos="-1440"/>
        <w:tab w:val="left" w:pos="-720"/>
        <w:tab w:val="left" w:pos="1247"/>
        <w:tab w:val="left" w:pos="1814"/>
        <w:tab w:val="left" w:pos="2381"/>
        <w:tab w:val="left" w:pos="2948"/>
        <w:tab w:val="left" w:pos="3515"/>
      </w:tabs>
      <w:suppressAutoHyphens/>
      <w:jc w:val="center"/>
      <w:outlineLvl w:val="7"/>
    </w:pPr>
    <w:rPr>
      <w:snapToGrid w:val="0"/>
      <w:sz w:val="20"/>
      <w:szCs w:val="20"/>
      <w:u w:val="single"/>
      <w:lang w:val="en-US" w:eastAsia="en-US"/>
    </w:rPr>
  </w:style>
  <w:style w:type="paragraph" w:styleId="Heading9">
    <w:name w:val="heading 9"/>
    <w:basedOn w:val="Normal"/>
    <w:next w:val="Normal"/>
    <w:qFormat/>
    <w:rsid w:val="000D6941"/>
    <w:pPr>
      <w:keepNext/>
      <w:widowControl w:val="0"/>
      <w:numPr>
        <w:numId w:val="3"/>
      </w:numPr>
      <w:tabs>
        <w:tab w:val="left" w:pos="1247"/>
        <w:tab w:val="left" w:pos="1814"/>
        <w:tab w:val="left" w:pos="2381"/>
        <w:tab w:val="left" w:pos="2948"/>
        <w:tab w:val="left" w:pos="3515"/>
      </w:tabs>
      <w:suppressAutoHyphens/>
      <w:jc w:val="center"/>
      <w:outlineLvl w:val="8"/>
    </w:pPr>
    <w:rPr>
      <w:snapToGrid w:val="0"/>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D43755"/>
    <w:pPr>
      <w:spacing w:before="60" w:after="120"/>
    </w:pPr>
    <w:rPr>
      <w:b/>
      <w:sz w:val="18"/>
    </w:rPr>
  </w:style>
  <w:style w:type="paragraph" w:customStyle="1" w:styleId="Header-pool">
    <w:name w:val="Header-pool"/>
    <w:basedOn w:val="Normal-pool"/>
    <w:next w:val="Normal-pool"/>
    <w:rsid w:val="00D43755"/>
    <w:pPr>
      <w:pBdr>
        <w:bottom w:val="single" w:sz="4" w:space="1" w:color="auto"/>
      </w:pBdr>
      <w:spacing w:after="120"/>
    </w:pPr>
    <w:rPr>
      <w:b/>
      <w:sz w:val="18"/>
    </w:rPr>
  </w:style>
  <w:style w:type="paragraph" w:customStyle="1" w:styleId="Normal-pool">
    <w:name w:val="Normal-pool"/>
    <w:link w:val="Normal-poolChar"/>
    <w:rsid w:val="00D43755"/>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qFormat/>
    <w:rsid w:val="000D6941"/>
    <w:pPr>
      <w:spacing w:before="20" w:after="40"/>
      <w:ind w:left="1247"/>
    </w:pPr>
    <w:rPr>
      <w:sz w:val="18"/>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D43755"/>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78134B"/>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43755"/>
    <w:rPr>
      <w:lang w:eastAsia="en-US"/>
    </w:rPr>
  </w:style>
  <w:style w:type="paragraph" w:styleId="BalloonText">
    <w:name w:val="Balloon Text"/>
    <w:basedOn w:val="Normal"/>
    <w:link w:val="BalloonTextChar"/>
    <w:rsid w:val="00DC5E14"/>
    <w:pPr>
      <w:tabs>
        <w:tab w:val="left" w:pos="1247"/>
        <w:tab w:val="left" w:pos="1814"/>
        <w:tab w:val="left" w:pos="2381"/>
        <w:tab w:val="left" w:pos="2948"/>
        <w:tab w:val="left" w:pos="3515"/>
      </w:tabs>
    </w:pPr>
    <w:rPr>
      <w:rFonts w:ascii="Segoe UI" w:hAnsi="Segoe UI" w:cs="Segoe UI"/>
      <w:sz w:val="18"/>
      <w:szCs w:val="18"/>
      <w:lang w:val="fr-FR" w:eastAsia="en-US"/>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tabs>
        <w:tab w:val="left" w:pos="1247"/>
        <w:tab w:val="left" w:pos="1814"/>
        <w:tab w:val="left" w:pos="2381"/>
        <w:tab w:val="left" w:pos="2948"/>
        <w:tab w:val="left" w:pos="3515"/>
      </w:tabs>
      <w:ind w:left="720"/>
      <w:contextualSpacing/>
    </w:pPr>
    <w:rPr>
      <w:sz w:val="20"/>
      <w:szCs w:val="20"/>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714F6B"/>
    <w:rPr>
      <w:sz w:val="18"/>
      <w:lang w:val="fr-FR" w:eastAsia="en-US"/>
    </w:rPr>
  </w:style>
  <w:style w:type="character" w:customStyle="1" w:styleId="NormalnumberChar">
    <w:name w:val="Normal_number Char"/>
    <w:link w:val="Normalnumber"/>
    <w:rsid w:val="0078134B"/>
    <w:rPr>
      <w:lang w:eastAsia="en-US"/>
    </w:rPr>
  </w:style>
  <w:style w:type="character" w:customStyle="1" w:styleId="CH2Char">
    <w:name w:val="CH2 Char"/>
    <w:link w:val="CH2"/>
    <w:rsid w:val="008125AA"/>
    <w:rPr>
      <w:b/>
      <w:sz w:val="24"/>
      <w:szCs w:val="24"/>
      <w:lang w:eastAsia="en-US"/>
    </w:rPr>
  </w:style>
  <w:style w:type="character" w:styleId="CommentReference">
    <w:name w:val="annotation reference"/>
    <w:uiPriority w:val="99"/>
    <w:rsid w:val="008125AA"/>
    <w:rPr>
      <w:sz w:val="16"/>
      <w:szCs w:val="16"/>
    </w:rPr>
  </w:style>
  <w:style w:type="paragraph" w:styleId="Title">
    <w:name w:val="Title"/>
    <w:basedOn w:val="Normal"/>
    <w:next w:val="Normal"/>
    <w:link w:val="TitleChar"/>
    <w:qFormat/>
    <w:rsid w:val="00EF57A9"/>
    <w:pPr>
      <w:tabs>
        <w:tab w:val="left" w:pos="1247"/>
        <w:tab w:val="left" w:pos="1814"/>
        <w:tab w:val="left" w:pos="2381"/>
        <w:tab w:val="left" w:pos="2948"/>
        <w:tab w:val="left" w:pos="3515"/>
      </w:tabs>
      <w:contextualSpacing/>
    </w:pPr>
    <w:rPr>
      <w:rFonts w:asciiTheme="majorHAnsi" w:eastAsiaTheme="majorEastAsia" w:hAnsiTheme="majorHAnsi" w:cstheme="majorBidi"/>
      <w:spacing w:val="-10"/>
      <w:kern w:val="28"/>
      <w:sz w:val="56"/>
      <w:szCs w:val="56"/>
      <w:lang w:val="fr-FR" w:eastAsia="en-US"/>
    </w:rPr>
  </w:style>
  <w:style w:type="character" w:customStyle="1" w:styleId="TitleChar">
    <w:name w:val="Title Char"/>
    <w:basedOn w:val="DefaultParagraphFont"/>
    <w:link w:val="Title"/>
    <w:rsid w:val="00EF57A9"/>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F57A9"/>
    <w:pPr>
      <w:numPr>
        <w:ilvl w:val="1"/>
      </w:numPr>
      <w:tabs>
        <w:tab w:val="left" w:pos="1247"/>
        <w:tab w:val="left" w:pos="1814"/>
        <w:tab w:val="left" w:pos="2381"/>
        <w:tab w:val="left" w:pos="2948"/>
        <w:tab w:val="left" w:pos="3515"/>
      </w:tabs>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SubtitleChar">
    <w:name w:val="Subtitle Char"/>
    <w:basedOn w:val="DefaultParagraphFont"/>
    <w:link w:val="Subtitle"/>
    <w:rsid w:val="00EF57A9"/>
    <w:rPr>
      <w:rFonts w:asciiTheme="minorHAnsi" w:eastAsiaTheme="minorEastAsia" w:hAnsiTheme="minorHAnsi" w:cstheme="minorBidi"/>
      <w:color w:val="5A5A5A" w:themeColor="text1" w:themeTint="A5"/>
      <w:spacing w:val="15"/>
      <w:sz w:val="22"/>
      <w:szCs w:val="22"/>
      <w:lang w:val="fr-FR" w:eastAsia="en-US"/>
    </w:rPr>
  </w:style>
  <w:style w:type="character" w:styleId="FootnoteReference">
    <w:name w:val="footnote reference"/>
    <w:aliases w:val="16 Point,Superscript 6 Point,number,SUPERS,Footnote Reference Superscript"/>
    <w:rsid w:val="00333364"/>
    <w:rPr>
      <w:rFonts w:ascii="Times New Roman" w:hAnsi="Times New Roman"/>
      <w:color w:val="auto"/>
      <w:sz w:val="20"/>
      <w:szCs w:val="18"/>
      <w:vertAlign w:val="superscript"/>
    </w:rPr>
  </w:style>
  <w:style w:type="paragraph" w:styleId="CommentText">
    <w:name w:val="annotation text"/>
    <w:basedOn w:val="Normal"/>
    <w:link w:val="CommentTextChar"/>
    <w:rsid w:val="009009D8"/>
    <w:pPr>
      <w:tabs>
        <w:tab w:val="left" w:pos="1247"/>
        <w:tab w:val="left" w:pos="1814"/>
        <w:tab w:val="left" w:pos="2381"/>
        <w:tab w:val="left" w:pos="2948"/>
        <w:tab w:val="left" w:pos="3515"/>
      </w:tabs>
    </w:pPr>
    <w:rPr>
      <w:sz w:val="20"/>
      <w:szCs w:val="20"/>
      <w:lang w:val="fr-FR" w:eastAsia="en-US"/>
    </w:rPr>
  </w:style>
  <w:style w:type="character" w:customStyle="1" w:styleId="CommentTextChar">
    <w:name w:val="Comment Text Char"/>
    <w:basedOn w:val="DefaultParagraphFont"/>
    <w:link w:val="CommentText"/>
    <w:rsid w:val="009009D8"/>
    <w:rPr>
      <w:lang w:val="fr-FR" w:eastAsia="en-US"/>
    </w:rPr>
  </w:style>
  <w:style w:type="paragraph" w:styleId="CommentSubject">
    <w:name w:val="annotation subject"/>
    <w:basedOn w:val="CommentText"/>
    <w:next w:val="CommentText"/>
    <w:link w:val="CommentSubjectChar"/>
    <w:rsid w:val="009009D8"/>
    <w:rPr>
      <w:b/>
      <w:bCs/>
    </w:rPr>
  </w:style>
  <w:style w:type="character" w:customStyle="1" w:styleId="CommentSubjectChar">
    <w:name w:val="Comment Subject Char"/>
    <w:basedOn w:val="CommentTextChar"/>
    <w:link w:val="CommentSubject"/>
    <w:rsid w:val="009009D8"/>
    <w:rPr>
      <w:b/>
      <w:bCs/>
      <w:lang w:val="fr-FR" w:eastAsia="en-US"/>
    </w:rPr>
  </w:style>
  <w:style w:type="character" w:styleId="UnresolvedMention">
    <w:name w:val="Unresolved Mention"/>
    <w:basedOn w:val="DefaultParagraphFont"/>
    <w:uiPriority w:val="99"/>
    <w:semiHidden/>
    <w:unhideWhenUsed/>
    <w:rsid w:val="00B831E4"/>
    <w:rPr>
      <w:color w:val="605E5C"/>
      <w:shd w:val="clear" w:color="auto" w:fill="E1DFDD"/>
    </w:rPr>
  </w:style>
  <w:style w:type="paragraph" w:styleId="NormalWeb">
    <w:name w:val="Normal (Web)"/>
    <w:basedOn w:val="Normal"/>
    <w:uiPriority w:val="99"/>
    <w:unhideWhenUsed/>
    <w:rsid w:val="004A0706"/>
    <w:pPr>
      <w:spacing w:before="100" w:beforeAutospacing="1" w:after="100" w:afterAutospacing="1"/>
    </w:pPr>
  </w:style>
  <w:style w:type="character" w:styleId="Emphasis">
    <w:name w:val="Emphasis"/>
    <w:basedOn w:val="DefaultParagraphFont"/>
    <w:uiPriority w:val="20"/>
    <w:qFormat/>
    <w:rsid w:val="004A0706"/>
    <w:rPr>
      <w:i/>
      <w:iCs/>
    </w:rPr>
  </w:style>
  <w:style w:type="character" w:styleId="FollowedHyperlink">
    <w:name w:val="FollowedHyperlink"/>
    <w:basedOn w:val="DefaultParagraphFont"/>
    <w:rsid w:val="00A50C42"/>
    <w:rPr>
      <w:color w:val="954F72" w:themeColor="followedHyperlink"/>
      <w:u w:val="single"/>
    </w:rPr>
  </w:style>
  <w:style w:type="paragraph" w:styleId="Revision">
    <w:name w:val="Revision"/>
    <w:hidden/>
    <w:uiPriority w:val="99"/>
    <w:semiHidden/>
    <w:rsid w:val="00C818E3"/>
    <w:rPr>
      <w:sz w:val="24"/>
      <w:szCs w:val="24"/>
    </w:rPr>
  </w:style>
  <w:style w:type="character" w:customStyle="1" w:styleId="FooterChar">
    <w:name w:val="Footer Char"/>
    <w:basedOn w:val="DefaultParagraphFont"/>
    <w:link w:val="Footer"/>
    <w:uiPriority w:val="99"/>
    <w:rsid w:val="000217BC"/>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542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6053606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5862927">
      <w:bodyDiv w:val="1"/>
      <w:marLeft w:val="0"/>
      <w:marRight w:val="0"/>
      <w:marTop w:val="0"/>
      <w:marBottom w:val="0"/>
      <w:divBdr>
        <w:top w:val="none" w:sz="0" w:space="0" w:color="auto"/>
        <w:left w:val="none" w:sz="0" w:space="0" w:color="auto"/>
        <w:bottom w:val="none" w:sz="0" w:space="0" w:color="auto"/>
        <w:right w:val="none" w:sz="0" w:space="0" w:color="auto"/>
      </w:divBdr>
    </w:div>
    <w:div w:id="172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biodiversity-climatechange/participant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2021-05-06T10:20:18Z</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0A52-9258-4FFE-BEF0-4D5E58F6A052}"/>
</file>

<file path=customXml/itemProps2.xml><?xml version="1.0" encoding="utf-8"?>
<ds:datastoreItem xmlns:ds="http://schemas.openxmlformats.org/officeDocument/2006/customXml" ds:itemID="{2DDAD601-5214-4AA2-AD31-06C322093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4.xml><?xml version="1.0" encoding="utf-8"?>
<ds:datastoreItem xmlns:ds="http://schemas.openxmlformats.org/officeDocument/2006/customXml" ds:itemID="{3543B904-0C08-4149-BD64-82D2932B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3409</Words>
  <Characters>18561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2021-04-26T13:16:00Z</cp:lastPrinted>
  <dcterms:created xsi:type="dcterms:W3CDTF">2021-05-06T08:18:00Z</dcterms:created>
  <dcterms:modified xsi:type="dcterms:W3CDTF">2021-05-06T08:18:00Z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