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right"/>
        <w:tblLayout w:type="fixed"/>
        <w:tblLook w:val="0000" w:firstRow="0" w:lastRow="0" w:firstColumn="0" w:lastColumn="0" w:noHBand="0" w:noVBand="0"/>
      </w:tblPr>
      <w:tblGrid>
        <w:gridCol w:w="1489"/>
        <w:gridCol w:w="474"/>
        <w:gridCol w:w="5348"/>
        <w:gridCol w:w="627"/>
        <w:gridCol w:w="1558"/>
      </w:tblGrid>
      <w:tr w:rsidR="003C0D97" w:rsidRPr="00C5575D" w14:paraId="7A5D910D" w14:textId="77777777" w:rsidTr="00721269">
        <w:trPr>
          <w:cantSplit/>
          <w:trHeight w:val="57"/>
          <w:jc w:val="right"/>
        </w:trPr>
        <w:tc>
          <w:tcPr>
            <w:tcW w:w="1489" w:type="dxa"/>
          </w:tcPr>
          <w:p w14:paraId="54E3F4A6" w14:textId="77777777" w:rsidR="003C0D97" w:rsidRPr="003854ED" w:rsidRDefault="003C0D97" w:rsidP="00721269">
            <w:pPr>
              <w:pStyle w:val="Normal-pool"/>
            </w:pPr>
            <w:r>
              <w:rPr>
                <w:rFonts w:ascii="Arial" w:hAnsi="Arial" w:cs="Arial"/>
                <w:b/>
                <w:sz w:val="27"/>
                <w:szCs w:val="27"/>
              </w:rPr>
              <w:t xml:space="preserve">NATIONS </w:t>
            </w:r>
            <w:r>
              <w:rPr>
                <w:rFonts w:ascii="Arial" w:hAnsi="Arial" w:cs="Arial"/>
                <w:b/>
                <w:sz w:val="27"/>
                <w:szCs w:val="27"/>
              </w:rPr>
              <w:br/>
              <w:t>UNIES</w:t>
            </w:r>
          </w:p>
        </w:tc>
        <w:tc>
          <w:tcPr>
            <w:tcW w:w="6449" w:type="dxa"/>
            <w:gridSpan w:val="3"/>
          </w:tcPr>
          <w:p w14:paraId="482D638A" w14:textId="77777777" w:rsidR="003C0D97" w:rsidRPr="003854ED" w:rsidRDefault="003C0D97" w:rsidP="00721269">
            <w:pPr>
              <w:pStyle w:val="Normal-pool"/>
              <w:spacing w:before="20"/>
              <w:ind w:left="-113"/>
            </w:pPr>
            <w:r>
              <w:rPr>
                <w:noProof/>
              </w:rPr>
              <w:drawing>
                <wp:inline distT="0" distB="0" distL="0" distR="0" wp14:anchorId="570C7FC4" wp14:editId="158E54ED">
                  <wp:extent cx="3957955" cy="434975"/>
                  <wp:effectExtent l="0" t="0" r="444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UNEP-UNESCO-FAO-UNDP_FR-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7955" cy="434975"/>
                          </a:xfrm>
                          <a:prstGeom prst="rect">
                            <a:avLst/>
                          </a:prstGeom>
                        </pic:spPr>
                      </pic:pic>
                    </a:graphicData>
                  </a:graphic>
                </wp:inline>
              </w:drawing>
            </w:r>
          </w:p>
        </w:tc>
        <w:tc>
          <w:tcPr>
            <w:tcW w:w="1558" w:type="dxa"/>
          </w:tcPr>
          <w:p w14:paraId="105079CE" w14:textId="77777777" w:rsidR="003C0D97" w:rsidRPr="003854ED" w:rsidRDefault="003C0D97" w:rsidP="00721269">
            <w:pPr>
              <w:pStyle w:val="Normal-pool"/>
              <w:spacing w:after="120"/>
              <w:jc w:val="right"/>
            </w:pPr>
            <w:r w:rsidRPr="00C5575D">
              <w:rPr>
                <w:rFonts w:ascii="Arial" w:hAnsi="Arial" w:cs="Arial"/>
                <w:b/>
                <w:sz w:val="64"/>
                <w:szCs w:val="64"/>
              </w:rPr>
              <w:t>BES</w:t>
            </w:r>
          </w:p>
        </w:tc>
      </w:tr>
      <w:tr w:rsidR="003C0D97" w:rsidRPr="00C5575D" w14:paraId="17D134EE" w14:textId="77777777" w:rsidTr="00721269">
        <w:trPr>
          <w:cantSplit/>
          <w:trHeight w:val="57"/>
          <w:jc w:val="right"/>
        </w:trPr>
        <w:tc>
          <w:tcPr>
            <w:tcW w:w="1489" w:type="dxa"/>
            <w:tcBorders>
              <w:bottom w:val="single" w:sz="2" w:space="0" w:color="auto"/>
            </w:tcBorders>
          </w:tcPr>
          <w:p w14:paraId="729288EB" w14:textId="77777777" w:rsidR="003C0D97" w:rsidRPr="00B24A20" w:rsidRDefault="003C0D97" w:rsidP="00721269">
            <w:pPr>
              <w:pStyle w:val="Normal-pool"/>
            </w:pPr>
          </w:p>
        </w:tc>
        <w:tc>
          <w:tcPr>
            <w:tcW w:w="5822" w:type="dxa"/>
            <w:gridSpan w:val="2"/>
            <w:tcBorders>
              <w:bottom w:val="single" w:sz="2" w:space="0" w:color="auto"/>
            </w:tcBorders>
          </w:tcPr>
          <w:p w14:paraId="7A9BA078" w14:textId="77777777" w:rsidR="003C0D97" w:rsidRPr="00B24A20" w:rsidRDefault="003C0D97" w:rsidP="00721269">
            <w:pPr>
              <w:pStyle w:val="Normal-pool"/>
            </w:pPr>
          </w:p>
        </w:tc>
        <w:tc>
          <w:tcPr>
            <w:tcW w:w="2185" w:type="dxa"/>
            <w:gridSpan w:val="2"/>
            <w:tcBorders>
              <w:bottom w:val="single" w:sz="2" w:space="0" w:color="auto"/>
            </w:tcBorders>
          </w:tcPr>
          <w:p w14:paraId="3F681A99" w14:textId="19C5F4A0" w:rsidR="003C0D97" w:rsidRPr="00C5575D" w:rsidRDefault="003C0D97" w:rsidP="00721269">
            <w:pPr>
              <w:pStyle w:val="Normal-pool"/>
              <w:rPr>
                <w:sz w:val="24"/>
                <w:szCs w:val="24"/>
              </w:rPr>
            </w:pPr>
            <w:r w:rsidRPr="00C5575D">
              <w:rPr>
                <w:b/>
                <w:sz w:val="24"/>
                <w:szCs w:val="24"/>
              </w:rPr>
              <w:t>IPBES</w:t>
            </w:r>
            <w:r w:rsidRPr="00C5575D">
              <w:t>/8/</w:t>
            </w:r>
            <w:r>
              <w:t>8</w:t>
            </w:r>
          </w:p>
        </w:tc>
      </w:tr>
      <w:tr w:rsidR="003C0D97" w:rsidRPr="00C5575D" w14:paraId="0A285A87" w14:textId="77777777" w:rsidTr="00721269">
        <w:trPr>
          <w:cantSplit/>
          <w:trHeight w:val="57"/>
          <w:jc w:val="right"/>
        </w:trPr>
        <w:tc>
          <w:tcPr>
            <w:tcW w:w="1963" w:type="dxa"/>
            <w:gridSpan w:val="2"/>
            <w:tcBorders>
              <w:top w:val="single" w:sz="2" w:space="0" w:color="auto"/>
              <w:bottom w:val="single" w:sz="18" w:space="0" w:color="auto"/>
            </w:tcBorders>
          </w:tcPr>
          <w:p w14:paraId="4FE83DAA" w14:textId="77777777" w:rsidR="003C0D97" w:rsidRPr="00C5575D" w:rsidRDefault="003C0D97" w:rsidP="00721269">
            <w:pPr>
              <w:pStyle w:val="Normal-pool"/>
              <w:spacing w:before="160" w:after="240"/>
              <w:rPr>
                <w:sz w:val="28"/>
                <w:szCs w:val="28"/>
              </w:rPr>
            </w:pPr>
            <w:r w:rsidRPr="00C5575D">
              <w:rPr>
                <w:noProof/>
                <w:sz w:val="28"/>
                <w:szCs w:val="28"/>
                <w:lang w:eastAsia="en-GB"/>
              </w:rPr>
              <w:drawing>
                <wp:inline distT="0" distB="0" distL="0" distR="0" wp14:anchorId="105CCFF5" wp14:editId="53A2A4E6">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tcBorders>
              <w:top w:val="single" w:sz="2" w:space="0" w:color="auto"/>
              <w:bottom w:val="single" w:sz="18" w:space="0" w:color="auto"/>
            </w:tcBorders>
          </w:tcPr>
          <w:p w14:paraId="1B928D3C" w14:textId="77777777" w:rsidR="003C0D97" w:rsidRPr="00C5575D" w:rsidRDefault="00540DB9" w:rsidP="00721269">
            <w:pPr>
              <w:pStyle w:val="Normal-pool"/>
              <w:spacing w:before="120" w:after="240"/>
              <w:rPr>
                <w:rFonts w:ascii="Arial" w:hAnsi="Arial" w:cs="Arial"/>
                <w:b/>
              </w:rPr>
            </w:pPr>
            <w:hyperlink r:id="rId13" w:tgtFrame="_blank" w:history="1">
              <w:r w:rsidR="003C0D97" w:rsidRPr="00E046E7">
                <w:rPr>
                  <w:rStyle w:val="Hyperlink"/>
                  <w:rFonts w:ascii="Arial" w:hAnsi="Arial" w:cs="Arial"/>
                  <w:b/>
                  <w:sz w:val="28"/>
                  <w:szCs w:val="28"/>
                </w:rPr>
                <w:t>Plateforme intergouvernementale scientifique et politique sur la biodiversité et les services écosystémiques</w:t>
              </w:r>
            </w:hyperlink>
          </w:p>
        </w:tc>
        <w:tc>
          <w:tcPr>
            <w:tcW w:w="2185" w:type="dxa"/>
            <w:gridSpan w:val="2"/>
            <w:tcBorders>
              <w:top w:val="single" w:sz="2" w:space="0" w:color="auto"/>
              <w:bottom w:val="single" w:sz="18" w:space="0" w:color="auto"/>
            </w:tcBorders>
          </w:tcPr>
          <w:p w14:paraId="6040EE8B" w14:textId="5A86A6A5" w:rsidR="003C0D97" w:rsidRPr="00C5575D" w:rsidRDefault="003C0D97" w:rsidP="00721269">
            <w:pPr>
              <w:pStyle w:val="Normal-pool"/>
              <w:spacing w:before="120"/>
            </w:pPr>
            <w:proofErr w:type="spellStart"/>
            <w:r w:rsidRPr="00C5575D">
              <w:t>Distr</w:t>
            </w:r>
            <w:proofErr w:type="spellEnd"/>
            <w:r w:rsidRPr="00C5575D">
              <w:t xml:space="preserve">. </w:t>
            </w:r>
            <w:r>
              <w:t>gé</w:t>
            </w:r>
            <w:r w:rsidRPr="00C5575D">
              <w:t>n</w:t>
            </w:r>
            <w:r>
              <w:t>é</w:t>
            </w:r>
            <w:r w:rsidRPr="00C5575D">
              <w:t>ral</w:t>
            </w:r>
            <w:r>
              <w:t xml:space="preserve">e </w:t>
            </w:r>
            <w:r w:rsidRPr="00C5575D">
              <w:br/>
            </w:r>
            <w:r>
              <w:t>17 mars </w:t>
            </w:r>
            <w:r w:rsidRPr="008E340B">
              <w:t>2021</w:t>
            </w:r>
          </w:p>
          <w:p w14:paraId="360C29BB" w14:textId="77777777" w:rsidR="003C0D97" w:rsidRDefault="003C0D97" w:rsidP="00721269">
            <w:pPr>
              <w:pStyle w:val="Normal-pool"/>
              <w:spacing w:before="120"/>
            </w:pPr>
            <w:r>
              <w:t xml:space="preserve">Français </w:t>
            </w:r>
          </w:p>
          <w:p w14:paraId="0BA9BF9B" w14:textId="77777777" w:rsidR="003C0D97" w:rsidRPr="00C5575D" w:rsidRDefault="003C0D97" w:rsidP="00721269">
            <w:pPr>
              <w:pStyle w:val="Normal-pool"/>
              <w:spacing w:after="240"/>
            </w:pPr>
            <w:r w:rsidRPr="00C5575D">
              <w:t>Original</w:t>
            </w:r>
            <w:r>
              <w:t> </w:t>
            </w:r>
            <w:r w:rsidRPr="00C5575D">
              <w:t xml:space="preserve">: </w:t>
            </w:r>
            <w:r>
              <w:t>anglais</w:t>
            </w:r>
          </w:p>
        </w:tc>
      </w:tr>
    </w:tbl>
    <w:p w14:paraId="4925AFE1" w14:textId="338F54CD" w:rsidR="003C0D97" w:rsidRPr="00E046E7" w:rsidRDefault="003C0D97" w:rsidP="003C0D97">
      <w:pPr>
        <w:pStyle w:val="AATitle"/>
        <w:ind w:right="3967"/>
        <w:rPr>
          <w:lang w:val="fr-FR"/>
        </w:rPr>
      </w:pPr>
      <w:r w:rsidRPr="001D175B">
        <w:t>Plénière</w:t>
      </w:r>
      <w:r w:rsidRPr="00E046E7">
        <w:rPr>
          <w:lang w:val="fr-FR"/>
        </w:rPr>
        <w:t xml:space="preserve"> de la Plateforme intergouvernementale </w:t>
      </w:r>
      <w:r>
        <w:rPr>
          <w:lang w:val="fr-FR"/>
        </w:rPr>
        <w:br/>
      </w:r>
      <w:r w:rsidRPr="00E046E7">
        <w:rPr>
          <w:lang w:val="fr-FR"/>
        </w:rPr>
        <w:t xml:space="preserve">scientifique et politique sur la biodiversité et </w:t>
      </w:r>
      <w:r>
        <w:rPr>
          <w:lang w:val="fr-FR"/>
        </w:rPr>
        <w:br/>
      </w:r>
      <w:r w:rsidRPr="00E046E7">
        <w:rPr>
          <w:lang w:val="fr-FR"/>
        </w:rPr>
        <w:t>les</w:t>
      </w:r>
      <w:r>
        <w:rPr>
          <w:lang w:val="fr-FR"/>
        </w:rPr>
        <w:t> </w:t>
      </w:r>
      <w:r w:rsidRPr="00E046E7">
        <w:rPr>
          <w:lang w:val="fr-FR"/>
        </w:rPr>
        <w:t>services écosystémiques</w:t>
      </w:r>
    </w:p>
    <w:p w14:paraId="45D9257A" w14:textId="77777777" w:rsidR="003C0D97" w:rsidRPr="00E046E7" w:rsidRDefault="003C0D97" w:rsidP="003C0D97">
      <w:pPr>
        <w:pStyle w:val="AATitle"/>
        <w:rPr>
          <w:lang w:val="fr-FR"/>
        </w:rPr>
      </w:pPr>
      <w:r w:rsidRPr="00E046E7">
        <w:rPr>
          <w:lang w:val="fr-FR"/>
        </w:rPr>
        <w:t>Huitième session</w:t>
      </w:r>
    </w:p>
    <w:p w14:paraId="367F91E3" w14:textId="77777777" w:rsidR="003C0D97" w:rsidRPr="003C0D97" w:rsidRDefault="003C0D97" w:rsidP="003C0D97">
      <w:pPr>
        <w:pStyle w:val="AATitle"/>
        <w:rPr>
          <w:b w:val="0"/>
          <w:lang w:val="fr-FR"/>
        </w:rPr>
      </w:pPr>
      <w:r w:rsidRPr="003C0D97">
        <w:rPr>
          <w:b w:val="0"/>
          <w:lang w:val="fr-FR" w:eastAsia="ja-JP"/>
        </w:rPr>
        <w:t>En ligne, 14–24 juin 2021</w:t>
      </w:r>
    </w:p>
    <w:p w14:paraId="07E2EAD4" w14:textId="2682385A" w:rsidR="00B2156E" w:rsidRPr="003C0D97" w:rsidRDefault="004A0FE9" w:rsidP="003C0D97">
      <w:pPr>
        <w:pStyle w:val="AATitle"/>
        <w:rPr>
          <w:b w:val="0"/>
          <w:szCs w:val="18"/>
          <w:lang w:val="fr-FR"/>
        </w:rPr>
      </w:pPr>
      <w:r w:rsidRPr="003C0D97">
        <w:rPr>
          <w:b w:val="0"/>
          <w:lang w:val="fr-FR"/>
        </w:rPr>
        <w:t>Point 9 de l</w:t>
      </w:r>
      <w:r w:rsidR="003C0D97">
        <w:rPr>
          <w:b w:val="0"/>
          <w:lang w:val="fr-FR"/>
        </w:rPr>
        <w:t>’</w:t>
      </w:r>
      <w:r w:rsidRPr="003C0D97">
        <w:rPr>
          <w:b w:val="0"/>
          <w:lang w:val="fr-FR"/>
        </w:rPr>
        <w:t>ordre du jour provisoire</w:t>
      </w:r>
      <w:r w:rsidR="00B2156E" w:rsidRPr="003C0D97">
        <w:rPr>
          <w:b w:val="0"/>
          <w:szCs w:val="18"/>
          <w:lang w:val="fr-FR"/>
        </w:rPr>
        <w:footnoteReference w:customMarkFollows="1" w:id="2"/>
        <w:t>*</w:t>
      </w:r>
    </w:p>
    <w:p w14:paraId="6308D4BC" w14:textId="21AB65DE" w:rsidR="00A003D4" w:rsidRPr="0068741A" w:rsidRDefault="00503E2A" w:rsidP="003C0D97">
      <w:pPr>
        <w:pStyle w:val="AATitle2"/>
        <w:rPr>
          <w:lang w:val="fr-FR"/>
        </w:rPr>
      </w:pPr>
      <w:r w:rsidRPr="0068741A">
        <w:rPr>
          <w:lang w:val="fr-FR"/>
        </w:rPr>
        <w:t>Renforcement de l</w:t>
      </w:r>
      <w:r w:rsidR="003C0D97">
        <w:rPr>
          <w:lang w:val="fr-FR"/>
        </w:rPr>
        <w:t>’</w:t>
      </w:r>
      <w:r w:rsidRPr="0068741A">
        <w:rPr>
          <w:lang w:val="fr-FR"/>
        </w:rPr>
        <w:t xml:space="preserve">efficacité de la </w:t>
      </w:r>
      <w:r w:rsidRPr="003C0D97">
        <w:t>Plateforme</w:t>
      </w:r>
      <w:bookmarkStart w:id="0" w:name="_Hlk498356154"/>
    </w:p>
    <w:p w14:paraId="267115E3" w14:textId="24D2855D" w:rsidR="00CA34FE" w:rsidRPr="0068741A" w:rsidRDefault="00CA34FE" w:rsidP="003C0D97">
      <w:pPr>
        <w:pStyle w:val="BBTitle"/>
        <w:rPr>
          <w:lang w:val="fr-FR"/>
        </w:rPr>
      </w:pPr>
      <w:r w:rsidRPr="003C0D97">
        <w:t>Rapport</w:t>
      </w:r>
      <w:r w:rsidRPr="0068741A">
        <w:rPr>
          <w:lang w:val="fr-FR"/>
        </w:rPr>
        <w:t xml:space="preserve"> du Bureau, du Groupe d</w:t>
      </w:r>
      <w:r w:rsidR="003C0D97">
        <w:rPr>
          <w:lang w:val="fr-FR"/>
        </w:rPr>
        <w:t>’</w:t>
      </w:r>
      <w:r w:rsidRPr="0068741A">
        <w:rPr>
          <w:lang w:val="fr-FR"/>
        </w:rPr>
        <w:t>experts multidisciplinaire et</w:t>
      </w:r>
      <w:r w:rsidR="003C0D97">
        <w:rPr>
          <w:lang w:val="fr-FR"/>
        </w:rPr>
        <w:t> </w:t>
      </w:r>
      <w:r w:rsidRPr="0068741A">
        <w:rPr>
          <w:lang w:val="fr-FR"/>
        </w:rPr>
        <w:t>de la Secrétaire exécutive sur la suite donnée aux</w:t>
      </w:r>
      <w:r w:rsidR="003C0D97">
        <w:rPr>
          <w:lang w:val="fr-FR"/>
        </w:rPr>
        <w:t> </w:t>
      </w:r>
      <w:r w:rsidRPr="0068741A">
        <w:rPr>
          <w:lang w:val="fr-FR"/>
        </w:rPr>
        <w:t>recommandations formulées dans le rapport sur l</w:t>
      </w:r>
      <w:r w:rsidR="003C0D97">
        <w:rPr>
          <w:lang w:val="fr-FR"/>
        </w:rPr>
        <w:t>’</w:t>
      </w:r>
      <w:r w:rsidRPr="0068741A">
        <w:rPr>
          <w:lang w:val="fr-FR"/>
        </w:rPr>
        <w:t>examen de la Plateforme à l</w:t>
      </w:r>
      <w:r w:rsidR="003C0D97">
        <w:rPr>
          <w:lang w:val="fr-FR"/>
        </w:rPr>
        <w:t>’</w:t>
      </w:r>
      <w:r w:rsidRPr="0068741A">
        <w:rPr>
          <w:lang w:val="fr-FR"/>
        </w:rPr>
        <w:t>issue de son</w:t>
      </w:r>
      <w:r w:rsidR="007B6593">
        <w:rPr>
          <w:lang w:val="fr-FR"/>
        </w:rPr>
        <w:t> </w:t>
      </w:r>
      <w:r w:rsidRPr="0068741A">
        <w:rPr>
          <w:lang w:val="fr-FR"/>
        </w:rPr>
        <w:t>premier</w:t>
      </w:r>
      <w:r w:rsidR="007B6593">
        <w:rPr>
          <w:lang w:val="fr-FR"/>
        </w:rPr>
        <w:t> </w:t>
      </w:r>
      <w:r w:rsidRPr="0068741A">
        <w:rPr>
          <w:lang w:val="fr-FR"/>
        </w:rPr>
        <w:t>programme de travail</w:t>
      </w:r>
    </w:p>
    <w:p w14:paraId="5B615C03" w14:textId="72539CDA" w:rsidR="00CA34FE" w:rsidRPr="0068741A" w:rsidRDefault="00CA34FE" w:rsidP="003C0D97">
      <w:pPr>
        <w:pStyle w:val="CH2"/>
        <w:rPr>
          <w:lang w:val="fr-FR"/>
        </w:rPr>
      </w:pPr>
      <w:r w:rsidRPr="0068741A">
        <w:rPr>
          <w:lang w:val="fr-FR"/>
        </w:rPr>
        <w:tab/>
      </w:r>
      <w:r w:rsidRPr="0068741A">
        <w:rPr>
          <w:lang w:val="fr-FR"/>
        </w:rPr>
        <w:tab/>
        <w:t>Note du secrétariat</w:t>
      </w:r>
    </w:p>
    <w:p w14:paraId="0CB53AB4" w14:textId="6B467F59" w:rsidR="00AD6D74" w:rsidRPr="0068741A" w:rsidRDefault="00AD6D74" w:rsidP="003C0D97">
      <w:pPr>
        <w:pStyle w:val="CH1"/>
        <w:rPr>
          <w:lang w:val="fr-FR"/>
        </w:rPr>
      </w:pPr>
      <w:r w:rsidRPr="0068741A">
        <w:rPr>
          <w:lang w:val="fr-FR"/>
        </w:rPr>
        <w:tab/>
      </w:r>
      <w:r w:rsidRPr="0068741A">
        <w:rPr>
          <w:lang w:val="fr-FR"/>
        </w:rPr>
        <w:tab/>
        <w:t>Introduction</w:t>
      </w:r>
    </w:p>
    <w:p w14:paraId="4113C1EC" w14:textId="13107416" w:rsidR="00CA34FE" w:rsidRPr="0068741A" w:rsidRDefault="00CA34FE" w:rsidP="003C0D97">
      <w:pPr>
        <w:pStyle w:val="Normalnumber"/>
        <w:rPr>
          <w:lang w:val="fr-FR"/>
        </w:rPr>
      </w:pPr>
      <w:bookmarkStart w:id="1" w:name="_Hlk514918871"/>
      <w:r w:rsidRPr="0068741A">
        <w:rPr>
          <w:lang w:val="fr-FR"/>
        </w:rPr>
        <w:t>Dans le cadre du premier</w:t>
      </w:r>
      <w:r w:rsidR="007B6593">
        <w:rPr>
          <w:lang w:val="fr-FR"/>
        </w:rPr>
        <w:t> </w:t>
      </w:r>
      <w:r w:rsidRPr="0068741A">
        <w:rPr>
          <w:lang w:val="fr-FR"/>
        </w:rPr>
        <w:t xml:space="preserve">programme de travail de la Plateforme intergouvernementale scientifique et politique sur la biodiversité et les services écosystémiques (la </w:t>
      </w:r>
      <w:r w:rsidR="00F75DED" w:rsidRPr="0068741A">
        <w:rPr>
          <w:lang w:val="fr-FR"/>
        </w:rPr>
        <w:t>« </w:t>
      </w:r>
      <w:r w:rsidRPr="0068741A">
        <w:rPr>
          <w:lang w:val="fr-FR"/>
        </w:rPr>
        <w:t>Plateforme</w:t>
      </w:r>
      <w:r w:rsidR="00F75DED" w:rsidRPr="0068741A">
        <w:rPr>
          <w:lang w:val="fr-FR"/>
        </w:rPr>
        <w:t> »</w:t>
      </w:r>
      <w:r w:rsidRPr="0068741A">
        <w:rPr>
          <w:lang w:val="fr-FR"/>
        </w:rPr>
        <w:t>), la</w:t>
      </w:r>
      <w:r w:rsidR="007B6593">
        <w:rPr>
          <w:lang w:val="fr-FR"/>
        </w:rPr>
        <w:t> </w:t>
      </w:r>
      <w:r w:rsidRPr="0068741A">
        <w:rPr>
          <w:lang w:val="fr-FR"/>
        </w:rPr>
        <w:t>Plénière a, dans sa</w:t>
      </w:r>
      <w:r w:rsidR="007B6593">
        <w:rPr>
          <w:lang w:val="fr-FR"/>
        </w:rPr>
        <w:t> </w:t>
      </w:r>
      <w:r w:rsidRPr="0068741A">
        <w:rPr>
          <w:lang w:val="fr-FR"/>
        </w:rPr>
        <w:t>décision</w:t>
      </w:r>
      <w:r w:rsidR="007B6593">
        <w:rPr>
          <w:lang w:val="fr-FR"/>
        </w:rPr>
        <w:t> </w:t>
      </w:r>
      <w:r w:rsidRPr="0068741A">
        <w:rPr>
          <w:lang w:val="fr-FR"/>
        </w:rPr>
        <w:t>IPBES</w:t>
      </w:r>
      <w:r w:rsidR="00235D46" w:rsidRPr="0068741A">
        <w:rPr>
          <w:lang w:val="fr-FR"/>
        </w:rPr>
        <w:noBreakHyphen/>
      </w:r>
      <w:r w:rsidRPr="0068741A">
        <w:rPr>
          <w:lang w:val="fr-FR"/>
        </w:rPr>
        <w:t>2/5, demandé un examen de l</w:t>
      </w:r>
      <w:r w:rsidR="003C0D97">
        <w:rPr>
          <w:lang w:val="fr-FR"/>
        </w:rPr>
        <w:t>’</w:t>
      </w:r>
      <w:r w:rsidRPr="0068741A">
        <w:rPr>
          <w:lang w:val="fr-FR"/>
        </w:rPr>
        <w:t>efficacité des fonctions administratives et scientifiques de la Plateforme. Le Groupe d</w:t>
      </w:r>
      <w:r w:rsidR="003C0D97">
        <w:rPr>
          <w:lang w:val="fr-FR"/>
        </w:rPr>
        <w:t>’</w:t>
      </w:r>
      <w:r w:rsidRPr="0068741A">
        <w:rPr>
          <w:lang w:val="fr-FR"/>
        </w:rPr>
        <w:t xml:space="preserve">experts multidisciplinaire et le Bureau ont procédé à un examen interne entre </w:t>
      </w:r>
      <w:proofErr w:type="gramStart"/>
      <w:r w:rsidRPr="0068741A">
        <w:rPr>
          <w:lang w:val="fr-FR"/>
        </w:rPr>
        <w:t>les cinquième</w:t>
      </w:r>
      <w:proofErr w:type="gramEnd"/>
      <w:r w:rsidRPr="0068741A">
        <w:rPr>
          <w:lang w:val="fr-FR"/>
        </w:rPr>
        <w:t xml:space="preserve"> et sixième</w:t>
      </w:r>
      <w:r w:rsidR="007B6593">
        <w:rPr>
          <w:lang w:val="fr-FR"/>
        </w:rPr>
        <w:t> </w:t>
      </w:r>
      <w:r w:rsidRPr="0068741A">
        <w:rPr>
          <w:lang w:val="fr-FR"/>
        </w:rPr>
        <w:t>sessions de la Plénière. Un examen externe mené par une commission d</w:t>
      </w:r>
      <w:r w:rsidR="003C0D97">
        <w:rPr>
          <w:lang w:val="fr-FR"/>
        </w:rPr>
        <w:t>’</w:t>
      </w:r>
      <w:r w:rsidRPr="0068741A">
        <w:rPr>
          <w:lang w:val="fr-FR"/>
        </w:rPr>
        <w:t>examen composée de 10</w:t>
      </w:r>
      <w:r w:rsidR="00182353" w:rsidRPr="0068741A">
        <w:rPr>
          <w:lang w:val="fr-FR"/>
        </w:rPr>
        <w:t> </w:t>
      </w:r>
      <w:r w:rsidRPr="0068741A">
        <w:rPr>
          <w:lang w:val="fr-FR"/>
        </w:rPr>
        <w:t>membres a été achevé avant la</w:t>
      </w:r>
      <w:r w:rsidR="007B6593">
        <w:rPr>
          <w:lang w:val="fr-FR"/>
        </w:rPr>
        <w:t> </w:t>
      </w:r>
      <w:r w:rsidRPr="0068741A">
        <w:rPr>
          <w:lang w:val="fr-FR"/>
        </w:rPr>
        <w:t>septième</w:t>
      </w:r>
      <w:r w:rsidR="007B6593">
        <w:rPr>
          <w:lang w:val="fr-FR"/>
        </w:rPr>
        <w:t> </w:t>
      </w:r>
      <w:r w:rsidRPr="0068741A">
        <w:rPr>
          <w:lang w:val="fr-FR"/>
        </w:rPr>
        <w:t>session de la Plénière.</w:t>
      </w:r>
    </w:p>
    <w:p w14:paraId="2E03449D" w14:textId="6B45420F" w:rsidR="00CA34FE" w:rsidRPr="0068741A" w:rsidRDefault="00CA34FE" w:rsidP="003C0D97">
      <w:pPr>
        <w:pStyle w:val="Normalnumber"/>
        <w:rPr>
          <w:lang w:val="fr-FR"/>
        </w:rPr>
      </w:pPr>
      <w:r w:rsidRPr="0068741A">
        <w:rPr>
          <w:lang w:val="fr-FR"/>
        </w:rPr>
        <w:t>Dans sa décision</w:t>
      </w:r>
      <w:r w:rsidR="007B6593">
        <w:rPr>
          <w:lang w:val="fr-FR"/>
        </w:rPr>
        <w:t> </w:t>
      </w:r>
      <w:r w:rsidRPr="0068741A">
        <w:rPr>
          <w:lang w:val="fr-FR"/>
        </w:rPr>
        <w:t>IPBES</w:t>
      </w:r>
      <w:r w:rsidR="00235D46" w:rsidRPr="0068741A">
        <w:rPr>
          <w:lang w:val="fr-FR"/>
        </w:rPr>
        <w:noBreakHyphen/>
      </w:r>
      <w:r w:rsidRPr="0068741A">
        <w:rPr>
          <w:lang w:val="fr-FR"/>
        </w:rPr>
        <w:t>7/2, la Plénière a pris note des activités entreprises pour mettre en</w:t>
      </w:r>
      <w:r w:rsidR="007B6593">
        <w:rPr>
          <w:lang w:val="fr-FR"/>
        </w:rPr>
        <w:t> </w:t>
      </w:r>
      <w:r w:rsidRPr="0068741A">
        <w:rPr>
          <w:lang w:val="fr-FR"/>
        </w:rPr>
        <w:t>œuvre les recommandations formulées dans le rapport établi par l</w:t>
      </w:r>
      <w:r w:rsidR="003C0D97">
        <w:rPr>
          <w:lang w:val="fr-FR"/>
        </w:rPr>
        <w:t>’</w:t>
      </w:r>
      <w:r w:rsidRPr="0068741A">
        <w:rPr>
          <w:lang w:val="fr-FR"/>
        </w:rPr>
        <w:t>équipe d</w:t>
      </w:r>
      <w:r w:rsidR="003C0D97">
        <w:rPr>
          <w:lang w:val="fr-FR"/>
        </w:rPr>
        <w:t>’</w:t>
      </w:r>
      <w:r w:rsidRPr="0068741A">
        <w:rPr>
          <w:lang w:val="fr-FR"/>
        </w:rPr>
        <w:t>examen interne</w:t>
      </w:r>
      <w:r w:rsidRPr="0068741A">
        <w:rPr>
          <w:rStyle w:val="FootnoteReference"/>
          <w:szCs w:val="20"/>
          <w:lang w:val="fr-FR"/>
        </w:rPr>
        <w:footnoteReference w:id="3"/>
      </w:r>
      <w:r w:rsidRPr="0068741A">
        <w:rPr>
          <w:lang w:val="fr-FR"/>
        </w:rPr>
        <w:t xml:space="preserve"> et a</w:t>
      </w:r>
      <w:r w:rsidR="007B6593">
        <w:rPr>
          <w:lang w:val="fr-FR"/>
        </w:rPr>
        <w:t> </w:t>
      </w:r>
      <w:r w:rsidRPr="0068741A">
        <w:rPr>
          <w:lang w:val="fr-FR"/>
        </w:rPr>
        <w:t>accueilli favorablement le rapport sur l</w:t>
      </w:r>
      <w:r w:rsidR="003C0D97">
        <w:rPr>
          <w:lang w:val="fr-FR"/>
        </w:rPr>
        <w:t>’</w:t>
      </w:r>
      <w:r w:rsidRPr="0068741A">
        <w:rPr>
          <w:lang w:val="fr-FR"/>
        </w:rPr>
        <w:t>examen de la Plateforme à l</w:t>
      </w:r>
      <w:r w:rsidR="003C0D97">
        <w:rPr>
          <w:lang w:val="fr-FR"/>
        </w:rPr>
        <w:t>’</w:t>
      </w:r>
      <w:r w:rsidRPr="0068741A">
        <w:rPr>
          <w:lang w:val="fr-FR"/>
        </w:rPr>
        <w:t>issue de son</w:t>
      </w:r>
      <w:r w:rsidR="007B6593">
        <w:rPr>
          <w:lang w:val="fr-FR"/>
        </w:rPr>
        <w:t> </w:t>
      </w:r>
      <w:r w:rsidRPr="0068741A">
        <w:rPr>
          <w:lang w:val="fr-FR"/>
        </w:rPr>
        <w:t>premier</w:t>
      </w:r>
      <w:r w:rsidR="007B6593">
        <w:rPr>
          <w:lang w:val="fr-FR"/>
        </w:rPr>
        <w:t> </w:t>
      </w:r>
      <w:r w:rsidRPr="0068741A">
        <w:rPr>
          <w:lang w:val="fr-FR"/>
        </w:rPr>
        <w:t>programme de travail élaboré par la commission d</w:t>
      </w:r>
      <w:r w:rsidR="003C0D97">
        <w:rPr>
          <w:lang w:val="fr-FR"/>
        </w:rPr>
        <w:t>’</w:t>
      </w:r>
      <w:r w:rsidRPr="0068741A">
        <w:rPr>
          <w:lang w:val="fr-FR"/>
        </w:rPr>
        <w:t>examen</w:t>
      </w:r>
      <w:r w:rsidR="00182353" w:rsidRPr="0068741A">
        <w:rPr>
          <w:rStyle w:val="FootnoteReference"/>
          <w:szCs w:val="20"/>
          <w:lang w:val="fr-FR"/>
        </w:rPr>
        <w:footnoteReference w:id="4"/>
      </w:r>
      <w:r w:rsidRPr="0068741A">
        <w:rPr>
          <w:lang w:val="fr-FR"/>
        </w:rPr>
        <w:t xml:space="preserve"> ainsi que les réponses y apportées par le Groupe d</w:t>
      </w:r>
      <w:r w:rsidR="003C0D97">
        <w:rPr>
          <w:lang w:val="fr-FR"/>
        </w:rPr>
        <w:t>’</w:t>
      </w:r>
      <w:r w:rsidRPr="0068741A">
        <w:rPr>
          <w:lang w:val="fr-FR"/>
        </w:rPr>
        <w:t>experts multidisciplinaire, le Bureau</w:t>
      </w:r>
      <w:r w:rsidR="00182353" w:rsidRPr="0068741A">
        <w:rPr>
          <w:vertAlign w:val="superscript"/>
          <w:lang w:val="fr-FR"/>
        </w:rPr>
        <w:footnoteReference w:id="5"/>
      </w:r>
      <w:r w:rsidRPr="0068741A">
        <w:rPr>
          <w:lang w:val="fr-FR"/>
        </w:rPr>
        <w:t xml:space="preserve"> et la Secrétaire exécutive</w:t>
      </w:r>
      <w:r w:rsidRPr="0068741A">
        <w:rPr>
          <w:vertAlign w:val="superscript"/>
          <w:lang w:val="fr-FR"/>
        </w:rPr>
        <w:footnoteReference w:id="6"/>
      </w:r>
      <w:r w:rsidR="00182353" w:rsidRPr="0068741A">
        <w:rPr>
          <w:lang w:val="fr-FR"/>
        </w:rPr>
        <w:t>.</w:t>
      </w:r>
      <w:r w:rsidRPr="0068741A">
        <w:rPr>
          <w:lang w:val="fr-FR"/>
        </w:rPr>
        <w:t xml:space="preserve"> Dans la même décision, la Plénière a prié le Bureau, le Groupe d</w:t>
      </w:r>
      <w:r w:rsidR="003C0D97">
        <w:rPr>
          <w:lang w:val="fr-FR"/>
        </w:rPr>
        <w:t>’</w:t>
      </w:r>
      <w:r w:rsidRPr="0068741A">
        <w:rPr>
          <w:lang w:val="fr-FR"/>
        </w:rPr>
        <w:t>experts multidisciplinaire et la Secrétaire exécutive, dans le cadre de leurs mandats, de tenir compte des recommandations formulées par la commission d</w:t>
      </w:r>
      <w:r w:rsidR="003C0D97">
        <w:rPr>
          <w:lang w:val="fr-FR"/>
        </w:rPr>
        <w:t>’</w:t>
      </w:r>
      <w:r w:rsidRPr="0068741A">
        <w:rPr>
          <w:lang w:val="fr-FR"/>
        </w:rPr>
        <w:t>examen dans</w:t>
      </w:r>
      <w:r w:rsidR="007B6593">
        <w:rPr>
          <w:lang w:val="fr-FR"/>
        </w:rPr>
        <w:t> </w:t>
      </w:r>
      <w:r w:rsidRPr="0068741A">
        <w:rPr>
          <w:lang w:val="fr-FR"/>
        </w:rPr>
        <w:t>l</w:t>
      </w:r>
      <w:r w:rsidR="003C0D97">
        <w:rPr>
          <w:lang w:val="fr-FR"/>
        </w:rPr>
        <w:t>’</w:t>
      </w:r>
      <w:r w:rsidRPr="0068741A">
        <w:rPr>
          <w:lang w:val="fr-FR"/>
        </w:rPr>
        <w:t>exécution du programme de travail glissant de la Plateforme pour la période allant jusqu</w:t>
      </w:r>
      <w:r w:rsidR="003C0D97">
        <w:rPr>
          <w:lang w:val="fr-FR"/>
        </w:rPr>
        <w:t>’</w:t>
      </w:r>
      <w:r w:rsidRPr="0068741A">
        <w:rPr>
          <w:lang w:val="fr-FR"/>
        </w:rPr>
        <w:t>en</w:t>
      </w:r>
      <w:r w:rsidR="00182353" w:rsidRPr="0068741A">
        <w:rPr>
          <w:lang w:val="fr-FR"/>
        </w:rPr>
        <w:t> </w:t>
      </w:r>
      <w:r w:rsidRPr="0068741A">
        <w:rPr>
          <w:lang w:val="fr-FR"/>
        </w:rPr>
        <w:t xml:space="preserve">2030 (le </w:t>
      </w:r>
      <w:r w:rsidR="00F75DED" w:rsidRPr="0068741A">
        <w:rPr>
          <w:lang w:val="fr-FR"/>
        </w:rPr>
        <w:t>« </w:t>
      </w:r>
      <w:r w:rsidRPr="0068741A">
        <w:rPr>
          <w:lang w:val="fr-FR"/>
        </w:rPr>
        <w:t>programme de travail glissant</w:t>
      </w:r>
      <w:r w:rsidR="00F75DED" w:rsidRPr="0068741A">
        <w:rPr>
          <w:lang w:val="fr-FR"/>
        </w:rPr>
        <w:t> »</w:t>
      </w:r>
      <w:r w:rsidRPr="0068741A">
        <w:rPr>
          <w:lang w:val="fr-FR"/>
        </w:rPr>
        <w:t>) et de recenser des solutions ou des questions à lui soumettre pour examen à sa</w:t>
      </w:r>
      <w:r w:rsidR="007B6593">
        <w:rPr>
          <w:lang w:val="fr-FR"/>
        </w:rPr>
        <w:t> </w:t>
      </w:r>
      <w:r w:rsidRPr="0068741A">
        <w:rPr>
          <w:lang w:val="fr-FR"/>
        </w:rPr>
        <w:t>huitième</w:t>
      </w:r>
      <w:r w:rsidR="007B6593">
        <w:rPr>
          <w:lang w:val="fr-FR"/>
        </w:rPr>
        <w:t> </w:t>
      </w:r>
      <w:r w:rsidRPr="0068741A">
        <w:rPr>
          <w:lang w:val="fr-FR"/>
        </w:rPr>
        <w:t>session.</w:t>
      </w:r>
    </w:p>
    <w:p w14:paraId="4E6C189F" w14:textId="5C10BBD1" w:rsidR="00CA34FE" w:rsidRPr="0068741A" w:rsidRDefault="00CA34FE" w:rsidP="003C0D97">
      <w:pPr>
        <w:pStyle w:val="Normalnumber"/>
        <w:rPr>
          <w:lang w:val="fr-FR"/>
        </w:rPr>
      </w:pPr>
      <w:r w:rsidRPr="0068741A">
        <w:rPr>
          <w:lang w:val="fr-FR"/>
        </w:rPr>
        <w:t>Le programme de travail glissant a été adopté par la Plénière à sa</w:t>
      </w:r>
      <w:r w:rsidR="007B6593">
        <w:rPr>
          <w:lang w:val="fr-FR"/>
        </w:rPr>
        <w:t> </w:t>
      </w:r>
      <w:r w:rsidRPr="0068741A">
        <w:rPr>
          <w:lang w:val="fr-FR"/>
        </w:rPr>
        <w:t>septième</w:t>
      </w:r>
      <w:r w:rsidR="007B6593">
        <w:rPr>
          <w:lang w:val="fr-FR"/>
        </w:rPr>
        <w:t> </w:t>
      </w:r>
      <w:r w:rsidRPr="0068741A">
        <w:rPr>
          <w:lang w:val="fr-FR"/>
        </w:rPr>
        <w:t>session, dans sa</w:t>
      </w:r>
      <w:r w:rsidR="007B6593">
        <w:rPr>
          <w:lang w:val="fr-FR"/>
        </w:rPr>
        <w:t> </w:t>
      </w:r>
      <w:r w:rsidRPr="0068741A">
        <w:rPr>
          <w:lang w:val="fr-FR"/>
        </w:rPr>
        <w:t>décision</w:t>
      </w:r>
      <w:r w:rsidR="007B6593">
        <w:rPr>
          <w:lang w:val="fr-FR"/>
        </w:rPr>
        <w:t> </w:t>
      </w:r>
      <w:r w:rsidRPr="0068741A">
        <w:rPr>
          <w:lang w:val="fr-FR"/>
        </w:rPr>
        <w:t>IPBES</w:t>
      </w:r>
      <w:r w:rsidR="00235D46" w:rsidRPr="0068741A">
        <w:rPr>
          <w:lang w:val="fr-FR"/>
        </w:rPr>
        <w:noBreakHyphen/>
      </w:r>
      <w:r w:rsidRPr="0068741A">
        <w:rPr>
          <w:lang w:val="fr-FR"/>
        </w:rPr>
        <w:t>7/1, et figure à l</w:t>
      </w:r>
      <w:r w:rsidR="003C0D97">
        <w:rPr>
          <w:lang w:val="fr-FR"/>
        </w:rPr>
        <w:t>’</w:t>
      </w:r>
      <w:r w:rsidRPr="0068741A">
        <w:rPr>
          <w:lang w:val="fr-FR"/>
        </w:rPr>
        <w:t>annexe</w:t>
      </w:r>
      <w:r w:rsidR="007B6593">
        <w:rPr>
          <w:lang w:val="fr-FR"/>
        </w:rPr>
        <w:t> </w:t>
      </w:r>
      <w:r w:rsidRPr="0068741A">
        <w:rPr>
          <w:lang w:val="fr-FR"/>
        </w:rPr>
        <w:t>I de la</w:t>
      </w:r>
      <w:r w:rsidR="00F766F1">
        <w:rPr>
          <w:lang w:val="fr-FR"/>
        </w:rPr>
        <w:t>dite</w:t>
      </w:r>
      <w:r w:rsidRPr="0068741A">
        <w:rPr>
          <w:lang w:val="fr-FR"/>
        </w:rPr>
        <w:t xml:space="preserve"> décision. L</w:t>
      </w:r>
      <w:r w:rsidR="003C0D97">
        <w:rPr>
          <w:lang w:val="fr-FR"/>
        </w:rPr>
        <w:t>’</w:t>
      </w:r>
      <w:r w:rsidRPr="0068741A">
        <w:rPr>
          <w:lang w:val="fr-FR"/>
        </w:rPr>
        <w:t>objectif</w:t>
      </w:r>
      <w:r w:rsidR="0068741A" w:rsidRPr="0068741A">
        <w:rPr>
          <w:lang w:val="fr-FR"/>
        </w:rPr>
        <w:t> </w:t>
      </w:r>
      <w:r w:rsidRPr="0068741A">
        <w:rPr>
          <w:lang w:val="fr-FR"/>
        </w:rPr>
        <w:t>6 du programme de travail, à savoir renforcer l</w:t>
      </w:r>
      <w:r w:rsidR="003C0D97">
        <w:rPr>
          <w:lang w:val="fr-FR"/>
        </w:rPr>
        <w:t>’</w:t>
      </w:r>
      <w:r w:rsidRPr="0068741A">
        <w:rPr>
          <w:lang w:val="fr-FR"/>
        </w:rPr>
        <w:t>efficacité de la Plateforme, tend à garantir que l</w:t>
      </w:r>
      <w:r w:rsidR="003C0D97">
        <w:rPr>
          <w:lang w:val="fr-FR"/>
        </w:rPr>
        <w:t>’</w:t>
      </w:r>
      <w:r w:rsidRPr="0068741A">
        <w:rPr>
          <w:lang w:val="fr-FR"/>
        </w:rPr>
        <w:t>efficacité de la Plateforme soit régulièrement contrôlé</w:t>
      </w:r>
      <w:r w:rsidR="00F75DED" w:rsidRPr="0068741A">
        <w:rPr>
          <w:lang w:val="fr-FR"/>
        </w:rPr>
        <w:t>e</w:t>
      </w:r>
      <w:r w:rsidRPr="0068741A">
        <w:rPr>
          <w:lang w:val="fr-FR"/>
        </w:rPr>
        <w:t xml:space="preserve"> en interne et en externe et comprend les éléments suivants</w:t>
      </w:r>
      <w:r w:rsidR="0068741A" w:rsidRPr="0068741A">
        <w:rPr>
          <w:lang w:val="fr-FR"/>
        </w:rPr>
        <w:t> </w:t>
      </w:r>
      <w:r w:rsidRPr="0068741A">
        <w:rPr>
          <w:lang w:val="fr-FR"/>
        </w:rPr>
        <w:t>:</w:t>
      </w:r>
    </w:p>
    <w:p w14:paraId="23F96095" w14:textId="0C35BBDB" w:rsidR="00CA34FE" w:rsidRPr="0068741A" w:rsidRDefault="00CA34FE" w:rsidP="003C0D97">
      <w:pPr>
        <w:pStyle w:val="Normalnumber"/>
        <w:numPr>
          <w:ilvl w:val="1"/>
          <w:numId w:val="9"/>
        </w:numPr>
        <w:rPr>
          <w:rFonts w:eastAsia="MS Mincho"/>
          <w:lang w:val="fr-FR"/>
        </w:rPr>
      </w:pPr>
      <w:r w:rsidRPr="0068741A">
        <w:rPr>
          <w:i/>
          <w:iCs/>
          <w:lang w:val="fr-FR"/>
        </w:rPr>
        <w:lastRenderedPageBreak/>
        <w:t>Évaluation périodique de l</w:t>
      </w:r>
      <w:r w:rsidR="003C0D97">
        <w:rPr>
          <w:i/>
          <w:iCs/>
          <w:lang w:val="fr-FR"/>
        </w:rPr>
        <w:t>’</w:t>
      </w:r>
      <w:r w:rsidRPr="0068741A">
        <w:rPr>
          <w:i/>
          <w:iCs/>
          <w:lang w:val="fr-FR"/>
        </w:rPr>
        <w:t>efficacité de la Plateforme</w:t>
      </w:r>
      <w:r w:rsidR="0068741A" w:rsidRPr="0068741A">
        <w:rPr>
          <w:i/>
          <w:iCs/>
          <w:lang w:val="fr-FR"/>
        </w:rPr>
        <w:t> </w:t>
      </w:r>
      <w:r w:rsidRPr="0068741A">
        <w:rPr>
          <w:lang w:val="fr-FR"/>
        </w:rPr>
        <w:t>: cet objectif tend à veiller à ce</w:t>
      </w:r>
      <w:r w:rsidR="006F3B81">
        <w:rPr>
          <w:lang w:val="fr-FR"/>
        </w:rPr>
        <w:t> </w:t>
      </w:r>
      <w:r w:rsidRPr="0068741A">
        <w:rPr>
          <w:lang w:val="fr-FR"/>
        </w:rPr>
        <w:t>que les conclusions de l</w:t>
      </w:r>
      <w:r w:rsidR="003C0D97">
        <w:rPr>
          <w:lang w:val="fr-FR"/>
        </w:rPr>
        <w:t>’</w:t>
      </w:r>
      <w:r w:rsidRPr="0068741A">
        <w:rPr>
          <w:lang w:val="fr-FR"/>
        </w:rPr>
        <w:t>examen du premier</w:t>
      </w:r>
      <w:r w:rsidR="006F3B81">
        <w:rPr>
          <w:lang w:val="fr-FR"/>
        </w:rPr>
        <w:t> </w:t>
      </w:r>
      <w:r w:rsidRPr="0068741A">
        <w:rPr>
          <w:lang w:val="fr-FR"/>
        </w:rPr>
        <w:t>programme de travail éclairent l</w:t>
      </w:r>
      <w:r w:rsidR="003C0D97">
        <w:rPr>
          <w:lang w:val="fr-FR"/>
        </w:rPr>
        <w:t>’</w:t>
      </w:r>
      <w:r w:rsidRPr="0068741A">
        <w:rPr>
          <w:lang w:val="fr-FR"/>
        </w:rPr>
        <w:t>exécution du programme de travail glissant et à ce qu</w:t>
      </w:r>
      <w:r w:rsidR="003C0D97">
        <w:rPr>
          <w:lang w:val="fr-FR"/>
        </w:rPr>
        <w:t>’</w:t>
      </w:r>
      <w:r w:rsidRPr="0068741A">
        <w:rPr>
          <w:lang w:val="fr-FR"/>
        </w:rPr>
        <w:t>une procédure soit mise en place pour qu</w:t>
      </w:r>
      <w:r w:rsidR="003C0D97">
        <w:rPr>
          <w:lang w:val="fr-FR"/>
        </w:rPr>
        <w:t>’</w:t>
      </w:r>
      <w:r w:rsidRPr="0068741A">
        <w:rPr>
          <w:lang w:val="fr-FR"/>
        </w:rPr>
        <w:t>il soit procédé à un</w:t>
      </w:r>
      <w:r w:rsidR="006F3B81">
        <w:rPr>
          <w:lang w:val="fr-FR"/>
        </w:rPr>
        <w:t> </w:t>
      </w:r>
      <w:r w:rsidRPr="0068741A">
        <w:rPr>
          <w:lang w:val="fr-FR"/>
        </w:rPr>
        <w:t>examen à mi</w:t>
      </w:r>
      <w:r w:rsidR="00235D46" w:rsidRPr="0068741A">
        <w:rPr>
          <w:lang w:val="fr-FR"/>
        </w:rPr>
        <w:noBreakHyphen/>
      </w:r>
      <w:r w:rsidRPr="0068741A">
        <w:rPr>
          <w:lang w:val="fr-FR"/>
        </w:rPr>
        <w:t>parcours et à un examen final du programme de travail glissant</w:t>
      </w:r>
      <w:r w:rsidR="006F3B81">
        <w:rPr>
          <w:lang w:val="fr-FR"/>
        </w:rPr>
        <w:t> ;</w:t>
      </w:r>
    </w:p>
    <w:p w14:paraId="30FAFF49" w14:textId="7C74594A" w:rsidR="00CA34FE" w:rsidRPr="0068741A" w:rsidRDefault="00CA34FE" w:rsidP="003C0D97">
      <w:pPr>
        <w:pStyle w:val="Normalnumber"/>
        <w:numPr>
          <w:ilvl w:val="1"/>
          <w:numId w:val="9"/>
        </w:numPr>
        <w:rPr>
          <w:lang w:val="fr-FR"/>
        </w:rPr>
      </w:pPr>
      <w:r w:rsidRPr="0068741A">
        <w:rPr>
          <w:i/>
          <w:iCs/>
          <w:lang w:val="fr-FR"/>
        </w:rPr>
        <w:t>Évaluation du cadre conceptuel de la Plateforme</w:t>
      </w:r>
      <w:r w:rsidR="0068741A" w:rsidRPr="0068741A">
        <w:rPr>
          <w:i/>
          <w:iCs/>
          <w:lang w:val="fr-FR"/>
        </w:rPr>
        <w:t> </w:t>
      </w:r>
      <w:r w:rsidRPr="0068741A">
        <w:rPr>
          <w:lang w:val="fr-FR"/>
        </w:rPr>
        <w:t>: cet objectif a pour but de veiller à</w:t>
      </w:r>
      <w:r w:rsidR="006F3B81">
        <w:rPr>
          <w:lang w:val="fr-FR"/>
        </w:rPr>
        <w:t> </w:t>
      </w:r>
      <w:r w:rsidRPr="0068741A">
        <w:rPr>
          <w:lang w:val="fr-FR"/>
        </w:rPr>
        <w:t>l</w:t>
      </w:r>
      <w:r w:rsidR="003C0D97">
        <w:rPr>
          <w:lang w:val="fr-FR"/>
        </w:rPr>
        <w:t>’</w:t>
      </w:r>
      <w:r w:rsidRPr="0068741A">
        <w:rPr>
          <w:lang w:val="fr-FR"/>
        </w:rPr>
        <w:t>évaluation de l</w:t>
      </w:r>
      <w:r w:rsidR="003C0D97">
        <w:rPr>
          <w:lang w:val="fr-FR"/>
        </w:rPr>
        <w:t>’</w:t>
      </w:r>
      <w:r w:rsidRPr="0068741A">
        <w:rPr>
          <w:lang w:val="fr-FR"/>
        </w:rPr>
        <w:t>utilisation et de l</w:t>
      </w:r>
      <w:r w:rsidR="003C0D97">
        <w:rPr>
          <w:lang w:val="fr-FR"/>
        </w:rPr>
        <w:t>’</w:t>
      </w:r>
      <w:r w:rsidRPr="0068741A">
        <w:rPr>
          <w:lang w:val="fr-FR"/>
        </w:rPr>
        <w:t>effet du cadre conceptuel de la Plateforme, afin d</w:t>
      </w:r>
      <w:r w:rsidR="003C0D97">
        <w:rPr>
          <w:lang w:val="fr-FR"/>
        </w:rPr>
        <w:t>’</w:t>
      </w:r>
      <w:r w:rsidRPr="0068741A">
        <w:rPr>
          <w:lang w:val="fr-FR"/>
        </w:rPr>
        <w:t>éclairer l</w:t>
      </w:r>
      <w:r w:rsidR="003C0D97">
        <w:rPr>
          <w:lang w:val="fr-FR"/>
        </w:rPr>
        <w:t>’</w:t>
      </w:r>
      <w:r w:rsidRPr="0068741A">
        <w:rPr>
          <w:lang w:val="fr-FR"/>
        </w:rPr>
        <w:t>évolution du programme de travail glissant</w:t>
      </w:r>
      <w:r w:rsidR="006F3B81">
        <w:rPr>
          <w:lang w:val="fr-FR"/>
        </w:rPr>
        <w:t> ;</w:t>
      </w:r>
    </w:p>
    <w:p w14:paraId="28204E1E" w14:textId="7E1C2F69" w:rsidR="00CA34FE" w:rsidRPr="0068741A" w:rsidRDefault="00CA34FE" w:rsidP="003C0D97">
      <w:pPr>
        <w:pStyle w:val="Normalnumber"/>
        <w:numPr>
          <w:ilvl w:val="1"/>
          <w:numId w:val="9"/>
        </w:numPr>
        <w:rPr>
          <w:rFonts w:eastAsia="MS Mincho"/>
          <w:lang w:val="fr-FR"/>
        </w:rPr>
      </w:pPr>
      <w:r w:rsidRPr="0068741A">
        <w:rPr>
          <w:i/>
          <w:iCs/>
          <w:lang w:val="fr-FR"/>
        </w:rPr>
        <w:t>Amélioration de l</w:t>
      </w:r>
      <w:r w:rsidR="003C0D97">
        <w:rPr>
          <w:i/>
          <w:iCs/>
          <w:lang w:val="fr-FR"/>
        </w:rPr>
        <w:t>’</w:t>
      </w:r>
      <w:r w:rsidRPr="0068741A">
        <w:rPr>
          <w:i/>
          <w:iCs/>
          <w:lang w:val="fr-FR"/>
        </w:rPr>
        <w:t>efficacité du processus d</w:t>
      </w:r>
      <w:r w:rsidR="003C0D97">
        <w:rPr>
          <w:i/>
          <w:iCs/>
          <w:lang w:val="fr-FR"/>
        </w:rPr>
        <w:t>’</w:t>
      </w:r>
      <w:r w:rsidRPr="0068741A">
        <w:rPr>
          <w:i/>
          <w:iCs/>
          <w:lang w:val="fr-FR"/>
        </w:rPr>
        <w:t>évaluation</w:t>
      </w:r>
      <w:r w:rsidR="0068741A" w:rsidRPr="0068741A">
        <w:rPr>
          <w:lang w:val="fr-FR"/>
        </w:rPr>
        <w:t> </w:t>
      </w:r>
      <w:r w:rsidRPr="0068741A">
        <w:rPr>
          <w:lang w:val="fr-FR"/>
        </w:rPr>
        <w:t>: cet objectif a pour but de</w:t>
      </w:r>
      <w:r w:rsidR="006F3B81">
        <w:rPr>
          <w:lang w:val="fr-FR"/>
        </w:rPr>
        <w:t> </w:t>
      </w:r>
      <w:r w:rsidRPr="0068741A">
        <w:rPr>
          <w:lang w:val="fr-FR"/>
        </w:rPr>
        <w:t>transmettre les enseignements tirés et les conseils des auteurs des évaluations achevées et de leurs</w:t>
      </w:r>
      <w:r w:rsidR="006F3B81">
        <w:rPr>
          <w:lang w:val="fr-FR"/>
        </w:rPr>
        <w:t> </w:t>
      </w:r>
      <w:r w:rsidRPr="0068741A">
        <w:rPr>
          <w:lang w:val="fr-FR"/>
        </w:rPr>
        <w:t>autres contributeurs aux personnes qui seront chargées des futures évaluations.</w:t>
      </w:r>
    </w:p>
    <w:p w14:paraId="7A618A05" w14:textId="7AE8AD07" w:rsidR="00CA34FE" w:rsidRPr="0068741A" w:rsidRDefault="00CA34FE" w:rsidP="003C0D97">
      <w:pPr>
        <w:pStyle w:val="Normalnumber"/>
        <w:rPr>
          <w:lang w:val="fr-FR"/>
        </w:rPr>
      </w:pPr>
      <w:r w:rsidRPr="0068741A">
        <w:rPr>
          <w:lang w:val="fr-FR"/>
        </w:rPr>
        <w:t>Dans la section</w:t>
      </w:r>
      <w:r w:rsidR="0068741A" w:rsidRPr="0068741A">
        <w:rPr>
          <w:lang w:val="fr-FR"/>
        </w:rPr>
        <w:t> </w:t>
      </w:r>
      <w:r w:rsidRPr="0068741A">
        <w:rPr>
          <w:lang w:val="fr-FR"/>
        </w:rPr>
        <w:t>II de la décision</w:t>
      </w:r>
      <w:r w:rsidR="006F3B81">
        <w:rPr>
          <w:lang w:val="fr-FR"/>
        </w:rPr>
        <w:t> </w:t>
      </w:r>
      <w:r w:rsidRPr="0068741A">
        <w:rPr>
          <w:lang w:val="fr-FR"/>
        </w:rPr>
        <w:t>IPBES</w:t>
      </w:r>
      <w:r w:rsidR="00235D46" w:rsidRPr="0068741A">
        <w:rPr>
          <w:lang w:val="fr-FR"/>
        </w:rPr>
        <w:noBreakHyphen/>
      </w:r>
      <w:r w:rsidRPr="0068741A">
        <w:rPr>
          <w:lang w:val="fr-FR"/>
        </w:rPr>
        <w:t>7/1, la Plénière a prié le Groupe d</w:t>
      </w:r>
      <w:r w:rsidR="003C0D97">
        <w:rPr>
          <w:lang w:val="fr-FR"/>
        </w:rPr>
        <w:t>’</w:t>
      </w:r>
      <w:r w:rsidRPr="0068741A">
        <w:rPr>
          <w:lang w:val="fr-FR"/>
        </w:rPr>
        <w:t>experts multidisciplinaire et le Bureau d</w:t>
      </w:r>
      <w:r w:rsidR="003C0D97">
        <w:rPr>
          <w:lang w:val="fr-FR"/>
        </w:rPr>
        <w:t>’</w:t>
      </w:r>
      <w:r w:rsidRPr="0068741A">
        <w:rPr>
          <w:lang w:val="fr-FR"/>
        </w:rPr>
        <w:t>examiner le cadre conceptuel de la Plateforme conformément à</w:t>
      </w:r>
      <w:r w:rsidR="006F3B81">
        <w:rPr>
          <w:lang w:val="fr-FR"/>
        </w:rPr>
        <w:t> </w:t>
      </w:r>
      <w:r w:rsidRPr="0068741A">
        <w:rPr>
          <w:lang w:val="fr-FR"/>
        </w:rPr>
        <w:t>l</w:t>
      </w:r>
      <w:r w:rsidR="003C0D97">
        <w:rPr>
          <w:lang w:val="fr-FR"/>
        </w:rPr>
        <w:t>’</w:t>
      </w:r>
      <w:r w:rsidRPr="0068741A">
        <w:rPr>
          <w:lang w:val="fr-FR"/>
        </w:rPr>
        <w:t>objectif</w:t>
      </w:r>
      <w:r w:rsidR="0068741A" w:rsidRPr="0068741A">
        <w:rPr>
          <w:lang w:val="fr-FR"/>
        </w:rPr>
        <w:t> </w:t>
      </w:r>
      <w:r w:rsidRPr="0068741A">
        <w:rPr>
          <w:lang w:val="fr-FR"/>
        </w:rPr>
        <w:t>6</w:t>
      </w:r>
      <w:r w:rsidR="0068741A" w:rsidRPr="0068741A">
        <w:rPr>
          <w:lang w:val="fr-FR"/>
        </w:rPr>
        <w:t> </w:t>
      </w:r>
      <w:r w:rsidRPr="0068741A">
        <w:rPr>
          <w:lang w:val="fr-FR"/>
        </w:rPr>
        <w:t>b) du programme de travail. Elle a également prié la Secrétaire exécutive de faciliter la</w:t>
      </w:r>
      <w:r w:rsidR="006F3B81">
        <w:rPr>
          <w:lang w:val="fr-FR"/>
        </w:rPr>
        <w:t> </w:t>
      </w:r>
      <w:r w:rsidRPr="0068741A">
        <w:rPr>
          <w:lang w:val="fr-FR"/>
        </w:rPr>
        <w:t>transmission aux personnes qui effectueront les futures évaluations des enseignements tirés et des</w:t>
      </w:r>
      <w:r w:rsidR="006F3B81">
        <w:rPr>
          <w:lang w:val="fr-FR"/>
        </w:rPr>
        <w:t> </w:t>
      </w:r>
      <w:r w:rsidRPr="0068741A">
        <w:rPr>
          <w:lang w:val="fr-FR"/>
        </w:rPr>
        <w:t>conseils des auteurs des évaluations passées et des autres personnes ayant contribué à ces</w:t>
      </w:r>
      <w:r w:rsidR="006F3B81">
        <w:rPr>
          <w:lang w:val="fr-FR"/>
        </w:rPr>
        <w:t> </w:t>
      </w:r>
      <w:r w:rsidRPr="0068741A">
        <w:rPr>
          <w:lang w:val="fr-FR"/>
        </w:rPr>
        <w:t>dernières.</w:t>
      </w:r>
    </w:p>
    <w:p w14:paraId="0AF8D9B5" w14:textId="5D8AB2E6" w:rsidR="00CA34FE" w:rsidRPr="0068741A" w:rsidRDefault="00CA34FE" w:rsidP="003C0D97">
      <w:pPr>
        <w:pStyle w:val="Normalnumber"/>
        <w:rPr>
          <w:lang w:val="fr-FR"/>
        </w:rPr>
      </w:pPr>
      <w:r w:rsidRPr="0068741A">
        <w:rPr>
          <w:lang w:val="fr-FR"/>
        </w:rPr>
        <w:t>Dans la section</w:t>
      </w:r>
      <w:r w:rsidR="0068741A" w:rsidRPr="0068741A">
        <w:rPr>
          <w:lang w:val="fr-FR"/>
        </w:rPr>
        <w:t> </w:t>
      </w:r>
      <w:r w:rsidRPr="0068741A">
        <w:rPr>
          <w:lang w:val="fr-FR"/>
        </w:rPr>
        <w:t>VI de la décision</w:t>
      </w:r>
      <w:r w:rsidR="006F3B81">
        <w:rPr>
          <w:lang w:val="fr-FR"/>
        </w:rPr>
        <w:t> </w:t>
      </w:r>
      <w:r w:rsidRPr="0068741A">
        <w:rPr>
          <w:lang w:val="fr-FR"/>
        </w:rPr>
        <w:t>IPBES</w:t>
      </w:r>
      <w:r w:rsidR="00235D46" w:rsidRPr="0068741A">
        <w:rPr>
          <w:lang w:val="fr-FR"/>
        </w:rPr>
        <w:noBreakHyphen/>
      </w:r>
      <w:r w:rsidRPr="0068741A">
        <w:rPr>
          <w:lang w:val="fr-FR"/>
        </w:rPr>
        <w:t>7/1, la Plénière a prié la Secrétaire exécutive de solliciter les vues des membres de la Plateforme et des parties prenantes au sujet du processus d</w:t>
      </w:r>
      <w:r w:rsidR="003C0D97">
        <w:rPr>
          <w:lang w:val="fr-FR"/>
        </w:rPr>
        <w:t>’</w:t>
      </w:r>
      <w:r w:rsidRPr="0068741A">
        <w:rPr>
          <w:lang w:val="fr-FR"/>
        </w:rPr>
        <w:t>examen de la Plateforme à l</w:t>
      </w:r>
      <w:r w:rsidR="003C0D97">
        <w:rPr>
          <w:lang w:val="fr-FR"/>
        </w:rPr>
        <w:t>’</w:t>
      </w:r>
      <w:r w:rsidRPr="0068741A">
        <w:rPr>
          <w:lang w:val="fr-FR"/>
        </w:rPr>
        <w:t>issue de son</w:t>
      </w:r>
      <w:r w:rsidR="006F3B81">
        <w:rPr>
          <w:lang w:val="fr-FR"/>
        </w:rPr>
        <w:t> </w:t>
      </w:r>
      <w:r w:rsidRPr="0068741A">
        <w:rPr>
          <w:lang w:val="fr-FR"/>
        </w:rPr>
        <w:t>premier</w:t>
      </w:r>
      <w:r w:rsidR="006F3B81">
        <w:rPr>
          <w:lang w:val="fr-FR"/>
        </w:rPr>
        <w:t> </w:t>
      </w:r>
      <w:r w:rsidRPr="0068741A">
        <w:rPr>
          <w:lang w:val="fr-FR"/>
        </w:rPr>
        <w:t>programme de travail et a prié le Bureau et le</w:t>
      </w:r>
      <w:r w:rsidR="006F3B81">
        <w:rPr>
          <w:lang w:val="fr-FR"/>
        </w:rPr>
        <w:t> </w:t>
      </w:r>
      <w:r w:rsidRPr="0068741A">
        <w:rPr>
          <w:lang w:val="fr-FR"/>
        </w:rPr>
        <w:t>Groupe d</w:t>
      </w:r>
      <w:r w:rsidR="003C0D97">
        <w:rPr>
          <w:lang w:val="fr-FR"/>
        </w:rPr>
        <w:t>’</w:t>
      </w:r>
      <w:r w:rsidRPr="0068741A">
        <w:rPr>
          <w:lang w:val="fr-FR"/>
        </w:rPr>
        <w:t>experts multidisciplinaire de se pencher sur ce processus, compte tenu des vues exprimées par les membres de la Plateforme et les parties prenantes, et d</w:t>
      </w:r>
      <w:r w:rsidR="003C0D97">
        <w:rPr>
          <w:lang w:val="fr-FR"/>
        </w:rPr>
        <w:t>’</w:t>
      </w:r>
      <w:r w:rsidRPr="0068741A">
        <w:rPr>
          <w:lang w:val="fr-FR"/>
        </w:rPr>
        <w:t>élaborer un projet de mandat concernant l</w:t>
      </w:r>
      <w:r w:rsidR="003C0D97">
        <w:rPr>
          <w:lang w:val="fr-FR"/>
        </w:rPr>
        <w:t>’</w:t>
      </w:r>
      <w:r w:rsidRPr="0068741A">
        <w:rPr>
          <w:lang w:val="fr-FR"/>
        </w:rPr>
        <w:t>examen à mi</w:t>
      </w:r>
      <w:r w:rsidR="00235D46" w:rsidRPr="0068741A">
        <w:rPr>
          <w:lang w:val="fr-FR"/>
        </w:rPr>
        <w:noBreakHyphen/>
      </w:r>
      <w:r w:rsidRPr="0068741A">
        <w:rPr>
          <w:lang w:val="fr-FR"/>
        </w:rPr>
        <w:t>parcours des activités de la Plateforme, qu</w:t>
      </w:r>
      <w:r w:rsidR="003C0D97">
        <w:rPr>
          <w:lang w:val="fr-FR"/>
        </w:rPr>
        <w:t>’</w:t>
      </w:r>
      <w:r w:rsidRPr="0068741A">
        <w:rPr>
          <w:lang w:val="fr-FR"/>
        </w:rPr>
        <w:t>elle examinera à sa</w:t>
      </w:r>
      <w:r w:rsidR="006F3B81">
        <w:rPr>
          <w:lang w:val="fr-FR"/>
        </w:rPr>
        <w:t> </w:t>
      </w:r>
      <w:r w:rsidRPr="0068741A">
        <w:rPr>
          <w:lang w:val="fr-FR"/>
        </w:rPr>
        <w:t>neuvième</w:t>
      </w:r>
      <w:r w:rsidR="006F3B81">
        <w:rPr>
          <w:lang w:val="fr-FR"/>
        </w:rPr>
        <w:t> </w:t>
      </w:r>
      <w:r w:rsidRPr="0068741A">
        <w:rPr>
          <w:lang w:val="fr-FR"/>
        </w:rPr>
        <w:t>session.</w:t>
      </w:r>
    </w:p>
    <w:p w14:paraId="07C499D9" w14:textId="7F59024C" w:rsidR="00CA34FE" w:rsidRPr="0068741A" w:rsidRDefault="00CA34FE" w:rsidP="003C0D97">
      <w:pPr>
        <w:pStyle w:val="Normalnumber"/>
        <w:rPr>
          <w:lang w:val="fr-FR"/>
        </w:rPr>
      </w:pPr>
      <w:r w:rsidRPr="0068741A">
        <w:rPr>
          <w:lang w:val="fr-FR"/>
        </w:rPr>
        <w:t>La section</w:t>
      </w:r>
      <w:r w:rsidR="0068741A" w:rsidRPr="0068741A">
        <w:rPr>
          <w:lang w:val="fr-FR"/>
        </w:rPr>
        <w:t> </w:t>
      </w:r>
      <w:r w:rsidRPr="0068741A">
        <w:rPr>
          <w:lang w:val="fr-FR"/>
        </w:rPr>
        <w:t>I de la présente note présente des informations sur la suite donnée aux</w:t>
      </w:r>
      <w:r w:rsidR="006F3B81">
        <w:rPr>
          <w:lang w:val="fr-FR"/>
        </w:rPr>
        <w:t> </w:t>
      </w:r>
      <w:r w:rsidRPr="0068741A">
        <w:rPr>
          <w:lang w:val="fr-FR"/>
        </w:rPr>
        <w:t>recommandations de la commission d</w:t>
      </w:r>
      <w:r w:rsidR="003C0D97">
        <w:rPr>
          <w:lang w:val="fr-FR"/>
        </w:rPr>
        <w:t>’</w:t>
      </w:r>
      <w:r w:rsidRPr="0068741A">
        <w:rPr>
          <w:lang w:val="fr-FR"/>
        </w:rPr>
        <w:t>examen et sur les activités de suivi, tandis que la section</w:t>
      </w:r>
      <w:r w:rsidR="0068741A" w:rsidRPr="0068741A">
        <w:rPr>
          <w:lang w:val="fr-FR"/>
        </w:rPr>
        <w:t> </w:t>
      </w:r>
      <w:r w:rsidRPr="0068741A">
        <w:rPr>
          <w:lang w:val="fr-FR"/>
        </w:rPr>
        <w:t>II décrit les étapes vers un examen à mi</w:t>
      </w:r>
      <w:r w:rsidR="00235D46" w:rsidRPr="0068741A">
        <w:rPr>
          <w:lang w:val="fr-FR"/>
        </w:rPr>
        <w:noBreakHyphen/>
      </w:r>
      <w:r w:rsidRPr="0068741A">
        <w:rPr>
          <w:lang w:val="fr-FR"/>
        </w:rPr>
        <w:t>parcours de la mise en œuvre du programme de travail glissant. Un projet de décision sur le sujet est présenté dans la note du secrétariat relative aux projets de décision pour la</w:t>
      </w:r>
      <w:r w:rsidR="006F3B81">
        <w:rPr>
          <w:lang w:val="fr-FR"/>
        </w:rPr>
        <w:t> </w:t>
      </w:r>
      <w:r w:rsidRPr="0068741A">
        <w:rPr>
          <w:lang w:val="fr-FR"/>
        </w:rPr>
        <w:t>huitième</w:t>
      </w:r>
      <w:r w:rsidR="006F3B81">
        <w:rPr>
          <w:lang w:val="fr-FR"/>
        </w:rPr>
        <w:t> </w:t>
      </w:r>
      <w:r w:rsidRPr="0068741A">
        <w:rPr>
          <w:lang w:val="fr-FR"/>
        </w:rPr>
        <w:t>session de la Plénière (IPBES/8/1/Add.2).</w:t>
      </w:r>
    </w:p>
    <w:bookmarkEnd w:id="1"/>
    <w:p w14:paraId="1C4EC9F0" w14:textId="7EC328F9" w:rsidR="00CA34FE" w:rsidRPr="0068741A" w:rsidRDefault="003C0D97" w:rsidP="003C0D97">
      <w:pPr>
        <w:pStyle w:val="CH1"/>
        <w:rPr>
          <w:lang w:val="fr-FR"/>
        </w:rPr>
      </w:pPr>
      <w:r w:rsidRPr="003C0D97">
        <w:rPr>
          <w:b w:val="0"/>
          <w:lang w:val="fr-FR"/>
        </w:rPr>
        <w:tab/>
      </w:r>
      <w:r w:rsidRPr="006F3B81">
        <w:rPr>
          <w:lang w:val="fr-FR"/>
        </w:rPr>
        <w:t>I</w:t>
      </w:r>
      <w:r>
        <w:rPr>
          <w:lang w:val="fr-FR"/>
        </w:rPr>
        <w:t>.</w:t>
      </w:r>
      <w:r>
        <w:rPr>
          <w:lang w:val="fr-FR"/>
        </w:rPr>
        <w:tab/>
      </w:r>
      <w:r w:rsidR="00CA34FE" w:rsidRPr="0068741A">
        <w:rPr>
          <w:lang w:val="fr-FR"/>
        </w:rPr>
        <w:t>Suite donnée aux recommandations de la commission d</w:t>
      </w:r>
      <w:r>
        <w:rPr>
          <w:lang w:val="fr-FR"/>
        </w:rPr>
        <w:t>’</w:t>
      </w:r>
      <w:r w:rsidR="00CA34FE" w:rsidRPr="0068741A">
        <w:rPr>
          <w:lang w:val="fr-FR"/>
        </w:rPr>
        <w:t>examen et</w:t>
      </w:r>
      <w:r w:rsidR="006F3B81">
        <w:rPr>
          <w:lang w:val="fr-FR"/>
        </w:rPr>
        <w:t> </w:t>
      </w:r>
      <w:r w:rsidR="00CA34FE" w:rsidRPr="0068741A">
        <w:rPr>
          <w:lang w:val="fr-FR"/>
        </w:rPr>
        <w:t>activités de suivi</w:t>
      </w:r>
    </w:p>
    <w:p w14:paraId="15A5C732" w14:textId="45199127" w:rsidR="00CA34FE" w:rsidRPr="0068741A" w:rsidRDefault="003C0D97" w:rsidP="003C0D97">
      <w:pPr>
        <w:pStyle w:val="CH2"/>
        <w:rPr>
          <w:lang w:val="fr-FR"/>
        </w:rPr>
      </w:pPr>
      <w:r>
        <w:rPr>
          <w:lang w:val="fr-FR"/>
        </w:rPr>
        <w:tab/>
        <w:t>A.</w:t>
      </w:r>
      <w:r>
        <w:rPr>
          <w:lang w:val="fr-FR"/>
        </w:rPr>
        <w:tab/>
      </w:r>
      <w:r w:rsidR="00CA34FE" w:rsidRPr="0068741A">
        <w:rPr>
          <w:lang w:val="fr-FR"/>
        </w:rPr>
        <w:t>Considérations générales</w:t>
      </w:r>
    </w:p>
    <w:p w14:paraId="13D775D3" w14:textId="12F8C339" w:rsidR="00CA34FE" w:rsidRPr="0068741A" w:rsidRDefault="00CA34FE" w:rsidP="003C0D97">
      <w:pPr>
        <w:pStyle w:val="Normalnumber"/>
        <w:rPr>
          <w:lang w:val="fr-FR"/>
        </w:rPr>
      </w:pPr>
      <w:r w:rsidRPr="0068741A">
        <w:rPr>
          <w:lang w:val="fr-FR"/>
        </w:rPr>
        <w:t>La Plénière a donné suite à plusieurs recommandations de la commission d</w:t>
      </w:r>
      <w:r w:rsidR="003C0D97">
        <w:rPr>
          <w:lang w:val="fr-FR"/>
        </w:rPr>
        <w:t>’</w:t>
      </w:r>
      <w:r w:rsidRPr="0068741A">
        <w:rPr>
          <w:lang w:val="fr-FR"/>
        </w:rPr>
        <w:t>examen dans le</w:t>
      </w:r>
      <w:r w:rsidR="006F3B81">
        <w:rPr>
          <w:lang w:val="fr-FR"/>
        </w:rPr>
        <w:t> </w:t>
      </w:r>
      <w:r w:rsidRPr="0068741A">
        <w:rPr>
          <w:lang w:val="fr-FR"/>
        </w:rPr>
        <w:t>cadre du programme de travail glissant, qu</w:t>
      </w:r>
      <w:r w:rsidR="003C0D97">
        <w:rPr>
          <w:lang w:val="fr-FR"/>
        </w:rPr>
        <w:t>’</w:t>
      </w:r>
      <w:r w:rsidRPr="0068741A">
        <w:rPr>
          <w:lang w:val="fr-FR"/>
        </w:rPr>
        <w:t>elle a adopté dans sa</w:t>
      </w:r>
      <w:r w:rsidR="006F3B81">
        <w:rPr>
          <w:lang w:val="fr-FR"/>
        </w:rPr>
        <w:t> </w:t>
      </w:r>
      <w:r w:rsidRPr="0068741A">
        <w:rPr>
          <w:lang w:val="fr-FR"/>
        </w:rPr>
        <w:t>décision</w:t>
      </w:r>
      <w:r w:rsidR="006F3B81">
        <w:rPr>
          <w:lang w:val="fr-FR"/>
        </w:rPr>
        <w:t> </w:t>
      </w:r>
      <w:r w:rsidRPr="0068741A">
        <w:rPr>
          <w:lang w:val="fr-FR"/>
        </w:rPr>
        <w:t>IPBES</w:t>
      </w:r>
      <w:r w:rsidR="00235D46" w:rsidRPr="0068741A">
        <w:rPr>
          <w:lang w:val="fr-FR"/>
        </w:rPr>
        <w:noBreakHyphen/>
      </w:r>
      <w:r w:rsidRPr="0068741A">
        <w:rPr>
          <w:lang w:val="fr-FR"/>
        </w:rPr>
        <w:t>7/1. Le Bureau, le</w:t>
      </w:r>
      <w:r w:rsidR="006F3B81">
        <w:rPr>
          <w:lang w:val="fr-FR"/>
        </w:rPr>
        <w:t> </w:t>
      </w:r>
      <w:r w:rsidRPr="0068741A">
        <w:rPr>
          <w:lang w:val="fr-FR"/>
        </w:rPr>
        <w:t>Groupe d</w:t>
      </w:r>
      <w:r w:rsidR="003C0D97">
        <w:rPr>
          <w:lang w:val="fr-FR"/>
        </w:rPr>
        <w:t>’</w:t>
      </w:r>
      <w:r w:rsidRPr="0068741A">
        <w:rPr>
          <w:lang w:val="fr-FR"/>
        </w:rPr>
        <w:t>experts multidisciplinaire et la Secrétaire exécutive ont également pris en compte les</w:t>
      </w:r>
      <w:r w:rsidR="006F3B81">
        <w:rPr>
          <w:lang w:val="fr-FR"/>
        </w:rPr>
        <w:t> </w:t>
      </w:r>
      <w:r w:rsidRPr="0068741A">
        <w:rPr>
          <w:lang w:val="fr-FR"/>
        </w:rPr>
        <w:t>recommandations de la commission d</w:t>
      </w:r>
      <w:r w:rsidR="003C0D97">
        <w:rPr>
          <w:lang w:val="fr-FR"/>
        </w:rPr>
        <w:t>’</w:t>
      </w:r>
      <w:r w:rsidRPr="0068741A">
        <w:rPr>
          <w:lang w:val="fr-FR"/>
        </w:rPr>
        <w:t>examen dans l</w:t>
      </w:r>
      <w:r w:rsidR="003C0D97">
        <w:rPr>
          <w:lang w:val="fr-FR"/>
        </w:rPr>
        <w:t>’</w:t>
      </w:r>
      <w:r w:rsidRPr="0068741A">
        <w:rPr>
          <w:lang w:val="fr-FR"/>
        </w:rPr>
        <w:t>exécution du programme de travail. La suite donnée à certaines recommandations spécifiques est présentée dans le document</w:t>
      </w:r>
      <w:r w:rsidR="006F3B81">
        <w:rPr>
          <w:lang w:val="fr-FR"/>
        </w:rPr>
        <w:t> </w:t>
      </w:r>
      <w:r w:rsidRPr="0068741A">
        <w:rPr>
          <w:lang w:val="fr-FR"/>
        </w:rPr>
        <w:t>IPBES/8/INF/21.</w:t>
      </w:r>
    </w:p>
    <w:p w14:paraId="4BCFDD05" w14:textId="26BCD5EA" w:rsidR="00CA34FE" w:rsidRPr="0068741A" w:rsidRDefault="0068741A" w:rsidP="003C0D97">
      <w:pPr>
        <w:pStyle w:val="Normalnumber"/>
        <w:rPr>
          <w:lang w:val="fr-FR"/>
        </w:rPr>
      </w:pPr>
      <w:r w:rsidRPr="0068741A">
        <w:rPr>
          <w:lang w:val="fr-FR"/>
        </w:rPr>
        <w:t>À</w:t>
      </w:r>
      <w:r w:rsidR="00CA34FE" w:rsidRPr="0068741A">
        <w:rPr>
          <w:lang w:val="fr-FR"/>
        </w:rPr>
        <w:t xml:space="preserve"> leurs treizièmes</w:t>
      </w:r>
      <w:r w:rsidR="006F3B81">
        <w:rPr>
          <w:lang w:val="fr-FR"/>
        </w:rPr>
        <w:t> </w:t>
      </w:r>
      <w:r w:rsidR="00CA34FE" w:rsidRPr="0068741A">
        <w:rPr>
          <w:lang w:val="fr-FR"/>
        </w:rPr>
        <w:t>réunions, le Bureau et le Groupe d</w:t>
      </w:r>
      <w:r w:rsidR="003C0D97">
        <w:rPr>
          <w:lang w:val="fr-FR"/>
        </w:rPr>
        <w:t>’</w:t>
      </w:r>
      <w:r w:rsidR="00CA34FE" w:rsidRPr="0068741A">
        <w:rPr>
          <w:lang w:val="fr-FR"/>
        </w:rPr>
        <w:t>experts multidisciplinaire ont décidé d</w:t>
      </w:r>
      <w:r w:rsidR="003C0D97">
        <w:rPr>
          <w:lang w:val="fr-FR"/>
        </w:rPr>
        <w:t>’</w:t>
      </w:r>
      <w:r w:rsidR="00CA34FE" w:rsidRPr="0068741A">
        <w:rPr>
          <w:lang w:val="fr-FR"/>
        </w:rPr>
        <w:t>examiner plus avant certaines recommandations, en particulier celles concernant les sujets suivants</w:t>
      </w:r>
      <w:r w:rsidRPr="0068741A">
        <w:rPr>
          <w:lang w:val="fr-FR"/>
        </w:rPr>
        <w:t> </w:t>
      </w:r>
      <w:r w:rsidR="00CA34FE" w:rsidRPr="0068741A">
        <w:rPr>
          <w:lang w:val="fr-FR"/>
        </w:rPr>
        <w:t>:</w:t>
      </w:r>
    </w:p>
    <w:p w14:paraId="005ED998" w14:textId="07AA8FEC" w:rsidR="00CA34FE" w:rsidRPr="0068741A" w:rsidRDefault="00CA34FE" w:rsidP="003C0D97">
      <w:pPr>
        <w:pStyle w:val="Normalnumber"/>
        <w:numPr>
          <w:ilvl w:val="1"/>
          <w:numId w:val="9"/>
        </w:numPr>
        <w:rPr>
          <w:rFonts w:eastAsia="MS Mincho"/>
          <w:lang w:val="fr-FR"/>
        </w:rPr>
      </w:pPr>
      <w:r w:rsidRPr="0068741A">
        <w:rPr>
          <w:lang w:val="fr-FR"/>
        </w:rPr>
        <w:t>Le</w:t>
      </w:r>
      <w:r w:rsidR="00513D0F">
        <w:rPr>
          <w:lang w:val="fr-FR"/>
        </w:rPr>
        <w:t>s fonctions</w:t>
      </w:r>
      <w:r w:rsidRPr="0068741A">
        <w:rPr>
          <w:lang w:val="fr-FR"/>
        </w:rPr>
        <w:t xml:space="preserve"> du </w:t>
      </w:r>
      <w:r w:rsidR="00F766F1">
        <w:rPr>
          <w:lang w:val="fr-FR"/>
        </w:rPr>
        <w:t>B</w:t>
      </w:r>
      <w:r w:rsidRPr="0068741A">
        <w:rPr>
          <w:lang w:val="fr-FR"/>
        </w:rPr>
        <w:t>ureau et du Groupe d</w:t>
      </w:r>
      <w:r w:rsidR="003C0D97">
        <w:rPr>
          <w:lang w:val="fr-FR"/>
        </w:rPr>
        <w:t>’</w:t>
      </w:r>
      <w:r w:rsidRPr="0068741A">
        <w:rPr>
          <w:lang w:val="fr-FR"/>
        </w:rPr>
        <w:t>experts multidisciplinaire</w:t>
      </w:r>
      <w:r w:rsidR="0068741A" w:rsidRPr="0068741A">
        <w:rPr>
          <w:lang w:val="fr-FR"/>
        </w:rPr>
        <w:t> </w:t>
      </w:r>
      <w:r w:rsidRPr="0068741A">
        <w:rPr>
          <w:lang w:val="fr-FR"/>
        </w:rPr>
        <w:t>;</w:t>
      </w:r>
    </w:p>
    <w:p w14:paraId="51CE485A" w14:textId="32AAC7CA" w:rsidR="00CA34FE" w:rsidRPr="0068741A" w:rsidRDefault="00CA34FE" w:rsidP="003C0D97">
      <w:pPr>
        <w:pStyle w:val="Normalnumber"/>
        <w:numPr>
          <w:ilvl w:val="1"/>
          <w:numId w:val="9"/>
        </w:numPr>
        <w:rPr>
          <w:rFonts w:eastAsia="MS Mincho"/>
          <w:lang w:val="fr-FR"/>
        </w:rPr>
      </w:pPr>
      <w:r w:rsidRPr="0068741A">
        <w:rPr>
          <w:lang w:val="fr-FR"/>
        </w:rPr>
        <w:t>Les orientations sur le</w:t>
      </w:r>
      <w:r w:rsidR="00513D0F">
        <w:rPr>
          <w:lang w:val="fr-FR"/>
        </w:rPr>
        <w:t>s fonctions</w:t>
      </w:r>
      <w:r w:rsidRPr="0068741A">
        <w:rPr>
          <w:lang w:val="fr-FR"/>
        </w:rPr>
        <w:t xml:space="preserve"> des correspondants nationaux et les bonnes pratiques</w:t>
      </w:r>
      <w:r w:rsidR="0068741A" w:rsidRPr="0068741A">
        <w:rPr>
          <w:lang w:val="fr-FR"/>
        </w:rPr>
        <w:t> </w:t>
      </w:r>
      <w:r w:rsidRPr="0068741A">
        <w:rPr>
          <w:lang w:val="fr-FR"/>
        </w:rPr>
        <w:t>;</w:t>
      </w:r>
    </w:p>
    <w:p w14:paraId="71BA7E02" w14:textId="472AAED4" w:rsidR="00CA34FE" w:rsidRPr="0068741A" w:rsidRDefault="00CA34FE" w:rsidP="003C0D97">
      <w:pPr>
        <w:pStyle w:val="Normalnumber"/>
        <w:numPr>
          <w:ilvl w:val="1"/>
          <w:numId w:val="9"/>
        </w:numPr>
        <w:rPr>
          <w:rFonts w:eastAsia="MS Mincho"/>
          <w:lang w:val="fr-FR"/>
        </w:rPr>
      </w:pPr>
      <w:r w:rsidRPr="0068741A">
        <w:rPr>
          <w:lang w:val="fr-FR"/>
        </w:rPr>
        <w:t>L</w:t>
      </w:r>
      <w:r w:rsidR="003C0D97">
        <w:rPr>
          <w:lang w:val="fr-FR"/>
        </w:rPr>
        <w:t>’</w:t>
      </w:r>
      <w:r w:rsidRPr="0068741A">
        <w:rPr>
          <w:lang w:val="fr-FR"/>
        </w:rPr>
        <w:t>utilisation et l</w:t>
      </w:r>
      <w:r w:rsidR="003C0D97">
        <w:rPr>
          <w:lang w:val="fr-FR"/>
        </w:rPr>
        <w:t>’</w:t>
      </w:r>
      <w:r w:rsidRPr="0068741A">
        <w:rPr>
          <w:lang w:val="fr-FR"/>
        </w:rPr>
        <w:t>effet du cadre conceptuel de la Plateforme</w:t>
      </w:r>
      <w:r w:rsidR="0068741A" w:rsidRPr="0068741A">
        <w:rPr>
          <w:lang w:val="fr-FR"/>
        </w:rPr>
        <w:t> </w:t>
      </w:r>
      <w:r w:rsidRPr="0068741A">
        <w:rPr>
          <w:lang w:val="fr-FR"/>
        </w:rPr>
        <w:t>;</w:t>
      </w:r>
    </w:p>
    <w:p w14:paraId="1A810EBC" w14:textId="7CDC6BBA" w:rsidR="00CA34FE" w:rsidRPr="0068741A" w:rsidRDefault="00CA34FE" w:rsidP="003C0D97">
      <w:pPr>
        <w:pStyle w:val="Normalnumber"/>
        <w:numPr>
          <w:ilvl w:val="1"/>
          <w:numId w:val="9"/>
        </w:numPr>
        <w:rPr>
          <w:lang w:val="fr-FR"/>
        </w:rPr>
      </w:pPr>
      <w:r w:rsidRPr="0068741A">
        <w:rPr>
          <w:lang w:val="fr-FR"/>
        </w:rPr>
        <w:t>Le renforcement de l</w:t>
      </w:r>
      <w:r w:rsidR="003C0D97">
        <w:rPr>
          <w:lang w:val="fr-FR"/>
        </w:rPr>
        <w:t>’</w:t>
      </w:r>
      <w:r w:rsidRPr="0068741A">
        <w:rPr>
          <w:lang w:val="fr-FR"/>
        </w:rPr>
        <w:t>efficacité du processus d</w:t>
      </w:r>
      <w:r w:rsidR="003C0D97">
        <w:rPr>
          <w:lang w:val="fr-FR"/>
        </w:rPr>
        <w:t>’</w:t>
      </w:r>
      <w:r w:rsidRPr="0068741A">
        <w:rPr>
          <w:lang w:val="fr-FR"/>
        </w:rPr>
        <w:t>évaluation.</w:t>
      </w:r>
    </w:p>
    <w:p w14:paraId="641F0D73" w14:textId="0F8589EE" w:rsidR="00CA34FE" w:rsidRPr="0068741A" w:rsidRDefault="00CA34FE" w:rsidP="003C0D97">
      <w:pPr>
        <w:pStyle w:val="Normalnumber"/>
        <w:rPr>
          <w:lang w:val="fr-FR"/>
        </w:rPr>
      </w:pPr>
      <w:r w:rsidRPr="0068741A">
        <w:rPr>
          <w:lang w:val="fr-FR"/>
        </w:rPr>
        <w:t>La suite donnée à ces recommandations est décrite dans les sections suivantes.</w:t>
      </w:r>
    </w:p>
    <w:p w14:paraId="1653D5BD" w14:textId="22FE85BF" w:rsidR="00CA34FE" w:rsidRPr="0068741A" w:rsidRDefault="003C0D97" w:rsidP="003C0D97">
      <w:pPr>
        <w:pStyle w:val="CH2"/>
        <w:rPr>
          <w:lang w:val="fr-FR"/>
        </w:rPr>
      </w:pPr>
      <w:r>
        <w:rPr>
          <w:lang w:val="fr-FR"/>
        </w:rPr>
        <w:tab/>
        <w:t>B.</w:t>
      </w:r>
      <w:r>
        <w:rPr>
          <w:lang w:val="fr-FR"/>
        </w:rPr>
        <w:tab/>
      </w:r>
      <w:r w:rsidR="00CA34FE" w:rsidRPr="0068741A">
        <w:rPr>
          <w:lang w:val="fr-FR"/>
        </w:rPr>
        <w:t>Distinction entre le</w:t>
      </w:r>
      <w:r w:rsidR="00513D0F">
        <w:rPr>
          <w:lang w:val="fr-FR"/>
        </w:rPr>
        <w:t>s fonctions</w:t>
      </w:r>
      <w:r w:rsidR="00CA34FE" w:rsidRPr="0068741A">
        <w:rPr>
          <w:lang w:val="fr-FR"/>
        </w:rPr>
        <w:t xml:space="preserve"> du Bureau et </w:t>
      </w:r>
      <w:r w:rsidR="00513D0F">
        <w:rPr>
          <w:lang w:val="fr-FR"/>
        </w:rPr>
        <w:t xml:space="preserve">celles </w:t>
      </w:r>
      <w:r w:rsidR="00CA34FE" w:rsidRPr="0068741A">
        <w:rPr>
          <w:lang w:val="fr-FR"/>
        </w:rPr>
        <w:t>du Groupe d</w:t>
      </w:r>
      <w:r>
        <w:rPr>
          <w:lang w:val="fr-FR"/>
        </w:rPr>
        <w:t>’</w:t>
      </w:r>
      <w:r w:rsidR="00CA34FE" w:rsidRPr="0068741A">
        <w:rPr>
          <w:lang w:val="fr-FR"/>
        </w:rPr>
        <w:t>experts multidisciplinaire</w:t>
      </w:r>
    </w:p>
    <w:p w14:paraId="293B68C9" w14:textId="3E6D224F" w:rsidR="00CA34FE" w:rsidRPr="0068741A" w:rsidRDefault="00CA34FE" w:rsidP="003C0D97">
      <w:pPr>
        <w:pStyle w:val="Normalnumber"/>
        <w:rPr>
          <w:lang w:val="fr-FR"/>
        </w:rPr>
      </w:pPr>
      <w:r w:rsidRPr="0068741A">
        <w:rPr>
          <w:lang w:val="fr-FR"/>
        </w:rPr>
        <w:t>Dans le rapport sur l</w:t>
      </w:r>
      <w:r w:rsidR="003C0D97">
        <w:rPr>
          <w:lang w:val="fr-FR"/>
        </w:rPr>
        <w:t>’</w:t>
      </w:r>
      <w:r w:rsidRPr="0068741A">
        <w:rPr>
          <w:lang w:val="fr-FR"/>
        </w:rPr>
        <w:t>examen de la Plateforme à l</w:t>
      </w:r>
      <w:r w:rsidR="003C0D97">
        <w:rPr>
          <w:lang w:val="fr-FR"/>
        </w:rPr>
        <w:t>’</w:t>
      </w:r>
      <w:r w:rsidRPr="0068741A">
        <w:rPr>
          <w:lang w:val="fr-FR"/>
        </w:rPr>
        <w:t>issue de son</w:t>
      </w:r>
      <w:r w:rsidR="006F3B81">
        <w:rPr>
          <w:lang w:val="fr-FR"/>
        </w:rPr>
        <w:t> </w:t>
      </w:r>
      <w:r w:rsidRPr="0068741A">
        <w:rPr>
          <w:lang w:val="fr-FR"/>
        </w:rPr>
        <w:t>premier</w:t>
      </w:r>
      <w:r w:rsidR="006F3B81">
        <w:rPr>
          <w:lang w:val="fr-FR"/>
        </w:rPr>
        <w:t> </w:t>
      </w:r>
      <w:r w:rsidRPr="0068741A">
        <w:rPr>
          <w:lang w:val="fr-FR"/>
        </w:rPr>
        <w:t>programme de travail, la</w:t>
      </w:r>
      <w:r w:rsidR="006F3B81">
        <w:rPr>
          <w:lang w:val="fr-FR"/>
        </w:rPr>
        <w:t> </w:t>
      </w:r>
      <w:r w:rsidRPr="0068741A">
        <w:rPr>
          <w:lang w:val="fr-FR"/>
        </w:rPr>
        <w:t>commission d</w:t>
      </w:r>
      <w:r w:rsidR="003C0D97">
        <w:rPr>
          <w:lang w:val="fr-FR"/>
        </w:rPr>
        <w:t>’</w:t>
      </w:r>
      <w:r w:rsidRPr="0068741A">
        <w:rPr>
          <w:lang w:val="fr-FR"/>
        </w:rPr>
        <w:t>examen externe a estimé, dans sa conclusion</w:t>
      </w:r>
      <w:r w:rsidR="0068741A" w:rsidRPr="0068741A">
        <w:rPr>
          <w:lang w:val="fr-FR"/>
        </w:rPr>
        <w:t> </w:t>
      </w:r>
      <w:r w:rsidRPr="0068741A">
        <w:rPr>
          <w:lang w:val="fr-FR"/>
        </w:rPr>
        <w:t xml:space="preserve">16, que </w:t>
      </w:r>
      <w:r w:rsidR="00F75DED" w:rsidRPr="0068741A">
        <w:rPr>
          <w:lang w:val="fr-FR"/>
        </w:rPr>
        <w:t>« </w:t>
      </w:r>
      <w:r w:rsidRPr="0068741A">
        <w:rPr>
          <w:lang w:val="fr-FR"/>
        </w:rPr>
        <w:t>[l]a structure de gouvernance de la Plateforme semble d</w:t>
      </w:r>
      <w:r w:rsidR="003C0D97">
        <w:rPr>
          <w:lang w:val="fr-FR"/>
        </w:rPr>
        <w:t>’</w:t>
      </w:r>
      <w:r w:rsidRPr="0068741A">
        <w:rPr>
          <w:lang w:val="fr-FR"/>
        </w:rPr>
        <w:t>une trop haute technicité aux yeux de nombreux participants, avec un</w:t>
      </w:r>
      <w:r w:rsidR="006F3B81">
        <w:rPr>
          <w:lang w:val="fr-FR"/>
        </w:rPr>
        <w:t> </w:t>
      </w:r>
      <w:r w:rsidRPr="0068741A">
        <w:rPr>
          <w:lang w:val="fr-FR"/>
        </w:rPr>
        <w:t>chevauchement dans les tâches du Groupe d</w:t>
      </w:r>
      <w:r w:rsidR="003C0D97">
        <w:rPr>
          <w:lang w:val="fr-FR"/>
        </w:rPr>
        <w:t>’</w:t>
      </w:r>
      <w:r w:rsidRPr="0068741A">
        <w:rPr>
          <w:lang w:val="fr-FR"/>
        </w:rPr>
        <w:t>experts multidisciplinaire et du Bureau, entraînant souvent des doubles emplois et un manque de clarté dans la séparation des tâches, ce qui est contraire aux principes de bonne gouvernance</w:t>
      </w:r>
      <w:r w:rsidR="006F3B81">
        <w:rPr>
          <w:lang w:val="fr-FR"/>
        </w:rPr>
        <w:t>.</w:t>
      </w:r>
      <w:r w:rsidR="00F75DED" w:rsidRPr="0068741A">
        <w:rPr>
          <w:lang w:val="fr-FR"/>
        </w:rPr>
        <w:t> »</w:t>
      </w:r>
      <w:r w:rsidRPr="0068741A">
        <w:rPr>
          <w:lang w:val="fr-FR"/>
        </w:rPr>
        <w:t xml:space="preserve"> Elle a jugé que </w:t>
      </w:r>
      <w:r w:rsidR="00F75DED" w:rsidRPr="0068741A">
        <w:rPr>
          <w:lang w:val="fr-FR"/>
        </w:rPr>
        <w:t>« </w:t>
      </w:r>
      <w:r w:rsidRPr="0068741A">
        <w:rPr>
          <w:lang w:val="fr-FR"/>
        </w:rPr>
        <w:t>[l]a séparation créée par la mise en place du Groupe d</w:t>
      </w:r>
      <w:r w:rsidR="003C0D97">
        <w:rPr>
          <w:lang w:val="fr-FR"/>
        </w:rPr>
        <w:t>’</w:t>
      </w:r>
      <w:r w:rsidRPr="0068741A">
        <w:rPr>
          <w:lang w:val="fr-FR"/>
        </w:rPr>
        <w:t xml:space="preserve">experts multidisciplinaire et du Bureau sous la forme de deux organes distincts [était] </w:t>
      </w:r>
      <w:r w:rsidRPr="0068741A">
        <w:rPr>
          <w:lang w:val="fr-FR"/>
        </w:rPr>
        <w:lastRenderedPageBreak/>
        <w:t>devenue lourde et [semblait] n</w:t>
      </w:r>
      <w:r w:rsidR="003C0D97">
        <w:rPr>
          <w:lang w:val="fr-FR"/>
        </w:rPr>
        <w:t>’</w:t>
      </w:r>
      <w:r w:rsidRPr="0068741A">
        <w:rPr>
          <w:lang w:val="fr-FR"/>
        </w:rPr>
        <w:t>apporter que peu de valeur.</w:t>
      </w:r>
      <w:r w:rsidR="00F75DED" w:rsidRPr="0068741A">
        <w:rPr>
          <w:lang w:val="fr-FR"/>
        </w:rPr>
        <w:t> »</w:t>
      </w:r>
      <w:r w:rsidRPr="0068741A">
        <w:rPr>
          <w:lang w:val="fr-FR"/>
        </w:rPr>
        <w:t xml:space="preserve"> Compte tenu de certaines contraintes, notamment en termes de budget et de temps que le personnel consacre à l</w:t>
      </w:r>
      <w:r w:rsidR="003C0D97">
        <w:rPr>
          <w:lang w:val="fr-FR"/>
        </w:rPr>
        <w:t>’</w:t>
      </w:r>
      <w:r w:rsidRPr="0068741A">
        <w:rPr>
          <w:lang w:val="fr-FR"/>
        </w:rPr>
        <w:t>appui des comités, la</w:t>
      </w:r>
      <w:r w:rsidR="006F3B81">
        <w:rPr>
          <w:lang w:val="fr-FR"/>
        </w:rPr>
        <w:t> </w:t>
      </w:r>
      <w:r w:rsidRPr="0068741A">
        <w:rPr>
          <w:lang w:val="fr-FR"/>
        </w:rPr>
        <w:t>commission d</w:t>
      </w:r>
      <w:r w:rsidR="003C0D97">
        <w:rPr>
          <w:lang w:val="fr-FR"/>
        </w:rPr>
        <w:t>’</w:t>
      </w:r>
      <w:r w:rsidRPr="0068741A">
        <w:rPr>
          <w:lang w:val="fr-FR"/>
        </w:rPr>
        <w:t>examen a estimé qu</w:t>
      </w:r>
      <w:r w:rsidR="003C0D97">
        <w:rPr>
          <w:lang w:val="fr-FR"/>
        </w:rPr>
        <w:t>’</w:t>
      </w:r>
      <w:r w:rsidRPr="0068741A">
        <w:rPr>
          <w:lang w:val="fr-FR"/>
        </w:rPr>
        <w:t>il était possible de rationaliser davantage l</w:t>
      </w:r>
      <w:r w:rsidR="003C0D97">
        <w:rPr>
          <w:lang w:val="fr-FR"/>
        </w:rPr>
        <w:t>’</w:t>
      </w:r>
      <w:r w:rsidRPr="0068741A">
        <w:rPr>
          <w:lang w:val="fr-FR"/>
        </w:rPr>
        <w:t>architecture de</w:t>
      </w:r>
      <w:r w:rsidR="006F3B81">
        <w:rPr>
          <w:lang w:val="fr-FR"/>
        </w:rPr>
        <w:t> </w:t>
      </w:r>
      <w:r w:rsidRPr="0068741A">
        <w:rPr>
          <w:lang w:val="fr-FR"/>
        </w:rPr>
        <w:t>gouvernance et a recommandé, dans sa recommandation</w:t>
      </w:r>
      <w:r w:rsidR="006F3B81">
        <w:rPr>
          <w:lang w:val="fr-FR"/>
        </w:rPr>
        <w:t> </w:t>
      </w:r>
      <w:r w:rsidRPr="0068741A">
        <w:rPr>
          <w:lang w:val="fr-FR"/>
        </w:rPr>
        <w:t>10, que la Plénière prenne cet élément en</w:t>
      </w:r>
      <w:r w:rsidR="006F3B81">
        <w:rPr>
          <w:lang w:val="fr-FR"/>
        </w:rPr>
        <w:t> </w:t>
      </w:r>
      <w:r w:rsidRPr="0068741A">
        <w:rPr>
          <w:lang w:val="fr-FR"/>
        </w:rPr>
        <w:t>compte.</w:t>
      </w:r>
    </w:p>
    <w:p w14:paraId="672FB88A" w14:textId="414478F6" w:rsidR="00CA34FE" w:rsidRPr="0068741A" w:rsidRDefault="00CA34FE" w:rsidP="003C0D97">
      <w:pPr>
        <w:pStyle w:val="Normalnumber"/>
        <w:rPr>
          <w:rFonts w:eastAsiaTheme="minorEastAsia"/>
          <w:lang w:val="fr-FR"/>
        </w:rPr>
      </w:pPr>
      <w:r w:rsidRPr="0068741A">
        <w:rPr>
          <w:lang w:val="fr-FR"/>
        </w:rPr>
        <w:t>Les membres du Groupe d</w:t>
      </w:r>
      <w:r w:rsidR="003C0D97">
        <w:rPr>
          <w:lang w:val="fr-FR"/>
        </w:rPr>
        <w:t>’</w:t>
      </w:r>
      <w:r w:rsidRPr="0068741A">
        <w:rPr>
          <w:lang w:val="fr-FR"/>
        </w:rPr>
        <w:t>experts multidisciplinaire et du Bureau ont examiné la</w:t>
      </w:r>
      <w:r w:rsidR="006F3B81">
        <w:rPr>
          <w:lang w:val="fr-FR"/>
        </w:rPr>
        <w:t> </w:t>
      </w:r>
      <w:r w:rsidRPr="0068741A">
        <w:rPr>
          <w:lang w:val="fr-FR"/>
        </w:rPr>
        <w:t>recommandation et ont conclu que, si la structure actuelle, déterminée par le Règlement intérieur</w:t>
      </w:r>
      <w:r w:rsidR="0068741A" w:rsidRPr="0068741A">
        <w:rPr>
          <w:rStyle w:val="FootnoteReference"/>
          <w:rFonts w:eastAsiaTheme="minorEastAsia"/>
          <w:szCs w:val="20"/>
          <w:lang w:val="fr-FR"/>
        </w:rPr>
        <w:footnoteReference w:id="7"/>
      </w:r>
      <w:r w:rsidRPr="0068741A">
        <w:rPr>
          <w:lang w:val="fr-FR"/>
        </w:rPr>
        <w:t xml:space="preserve"> et</w:t>
      </w:r>
      <w:r w:rsidR="006F3B81">
        <w:rPr>
          <w:lang w:val="fr-FR"/>
        </w:rPr>
        <w:t> </w:t>
      </w:r>
      <w:r w:rsidRPr="0068741A">
        <w:rPr>
          <w:lang w:val="fr-FR"/>
        </w:rPr>
        <w:t>les procédures d</w:t>
      </w:r>
      <w:r w:rsidR="003C0D97">
        <w:rPr>
          <w:lang w:val="fr-FR"/>
        </w:rPr>
        <w:t>’</w:t>
      </w:r>
      <w:r w:rsidRPr="0068741A">
        <w:rPr>
          <w:lang w:val="fr-FR"/>
        </w:rPr>
        <w:t>établissement des produits de la Plateforme</w:t>
      </w:r>
      <w:r w:rsidR="0068741A" w:rsidRPr="0068741A">
        <w:rPr>
          <w:rStyle w:val="FootnoteReference"/>
          <w:rFonts w:eastAsiaTheme="minorEastAsia"/>
          <w:szCs w:val="20"/>
          <w:lang w:val="fr-FR"/>
        </w:rPr>
        <w:footnoteReference w:id="8"/>
      </w:r>
      <w:r w:rsidRPr="0068741A">
        <w:rPr>
          <w:lang w:val="fr-FR"/>
        </w:rPr>
        <w:t>, présentait un certain nombre d</w:t>
      </w:r>
      <w:r w:rsidR="003C0D97">
        <w:rPr>
          <w:lang w:val="fr-FR"/>
        </w:rPr>
        <w:t>’</w:t>
      </w:r>
      <w:r w:rsidRPr="0068741A">
        <w:rPr>
          <w:lang w:val="fr-FR"/>
        </w:rPr>
        <w:t>insuffisances, celles</w:t>
      </w:r>
      <w:r w:rsidR="00235D46" w:rsidRPr="0068741A">
        <w:rPr>
          <w:lang w:val="fr-FR"/>
        </w:rPr>
        <w:noBreakHyphen/>
      </w:r>
      <w:r w:rsidRPr="0068741A">
        <w:rPr>
          <w:lang w:val="fr-FR"/>
        </w:rPr>
        <w:t xml:space="preserve">ci ne justifiaient pas une révision des règles et procédures en </w:t>
      </w:r>
      <w:r w:rsidR="00F766F1">
        <w:rPr>
          <w:lang w:val="fr-FR"/>
        </w:rPr>
        <w:t>vigueur</w:t>
      </w:r>
      <w:r w:rsidRPr="0068741A">
        <w:rPr>
          <w:lang w:val="fr-FR"/>
        </w:rPr>
        <w:t>.</w:t>
      </w:r>
    </w:p>
    <w:p w14:paraId="2CC777F3" w14:textId="5DEB63A4" w:rsidR="00CA34FE" w:rsidRPr="0068741A" w:rsidRDefault="00CA34FE" w:rsidP="00DE1B24">
      <w:pPr>
        <w:pStyle w:val="Normalnumber"/>
        <w:rPr>
          <w:rFonts w:eastAsiaTheme="minorEastAsia"/>
          <w:lang w:val="fr-FR"/>
        </w:rPr>
      </w:pPr>
      <w:r w:rsidRPr="0068741A">
        <w:rPr>
          <w:lang w:val="fr-FR"/>
        </w:rPr>
        <w:t>En revanche, le Groupe d</w:t>
      </w:r>
      <w:r w:rsidR="003C0D97">
        <w:rPr>
          <w:lang w:val="fr-FR"/>
        </w:rPr>
        <w:t>’</w:t>
      </w:r>
      <w:r w:rsidRPr="0068741A">
        <w:rPr>
          <w:lang w:val="fr-FR"/>
        </w:rPr>
        <w:t>experts multidisciplinaire et le Bureau ont, à leurs</w:t>
      </w:r>
      <w:r w:rsidR="006F3B81">
        <w:rPr>
          <w:lang w:val="fr-FR"/>
        </w:rPr>
        <w:t> </w:t>
      </w:r>
      <w:r w:rsidRPr="0068741A">
        <w:rPr>
          <w:lang w:val="fr-FR"/>
        </w:rPr>
        <w:t>quatorzièmes</w:t>
      </w:r>
      <w:r w:rsidR="006F3B81">
        <w:rPr>
          <w:lang w:val="fr-FR"/>
        </w:rPr>
        <w:t> </w:t>
      </w:r>
      <w:r w:rsidRPr="0068741A">
        <w:rPr>
          <w:lang w:val="fr-FR"/>
        </w:rPr>
        <w:t xml:space="preserve">réunions, approuvé les modalités et les orientations pratiques concernant </w:t>
      </w:r>
      <w:r w:rsidR="00513D0F">
        <w:rPr>
          <w:lang w:val="fr-FR"/>
        </w:rPr>
        <w:t>l</w:t>
      </w:r>
      <w:r w:rsidR="003C0D97">
        <w:rPr>
          <w:lang w:val="fr-FR"/>
        </w:rPr>
        <w:t>’</w:t>
      </w:r>
      <w:r w:rsidR="00513D0F">
        <w:rPr>
          <w:lang w:val="fr-FR"/>
        </w:rPr>
        <w:t xml:space="preserve">exécution </w:t>
      </w:r>
      <w:r w:rsidRPr="0068741A">
        <w:rPr>
          <w:lang w:val="fr-FR"/>
        </w:rPr>
        <w:t xml:space="preserve">de leurs </w:t>
      </w:r>
      <w:r w:rsidR="00513D0F">
        <w:rPr>
          <w:lang w:val="fr-FR"/>
        </w:rPr>
        <w:t xml:space="preserve">fonctions </w:t>
      </w:r>
      <w:r w:rsidR="00F766F1">
        <w:rPr>
          <w:lang w:val="fr-FR"/>
        </w:rPr>
        <w:t>respecti</w:t>
      </w:r>
      <w:r w:rsidR="00513D0F">
        <w:rPr>
          <w:lang w:val="fr-FR"/>
        </w:rPr>
        <w:t>ve</w:t>
      </w:r>
      <w:r w:rsidR="00F766F1">
        <w:rPr>
          <w:lang w:val="fr-FR"/>
        </w:rPr>
        <w:t xml:space="preserve">s </w:t>
      </w:r>
      <w:r w:rsidRPr="0068741A">
        <w:rPr>
          <w:lang w:val="fr-FR"/>
        </w:rPr>
        <w:t>dans le processus d</w:t>
      </w:r>
      <w:r w:rsidR="003C0D97">
        <w:rPr>
          <w:lang w:val="fr-FR"/>
        </w:rPr>
        <w:t>’</w:t>
      </w:r>
      <w:r w:rsidRPr="0068741A">
        <w:rPr>
          <w:lang w:val="fr-FR"/>
        </w:rPr>
        <w:t>évaluation de la Plateforme et dans</w:t>
      </w:r>
      <w:r w:rsidR="006F3B81">
        <w:rPr>
          <w:lang w:val="fr-FR"/>
        </w:rPr>
        <w:t> </w:t>
      </w:r>
      <w:r w:rsidRPr="0068741A">
        <w:rPr>
          <w:lang w:val="fr-FR"/>
        </w:rPr>
        <w:t>les</w:t>
      </w:r>
      <w:r w:rsidR="006F3B81">
        <w:rPr>
          <w:lang w:val="fr-FR"/>
        </w:rPr>
        <w:t> </w:t>
      </w:r>
      <w:r w:rsidRPr="0068741A">
        <w:rPr>
          <w:lang w:val="fr-FR"/>
        </w:rPr>
        <w:t>travaux des équipes spéciales de la Plateforme. Les orientations figurent dans le</w:t>
      </w:r>
      <w:r w:rsidR="006F3B81">
        <w:rPr>
          <w:lang w:val="fr-FR"/>
        </w:rPr>
        <w:t> </w:t>
      </w:r>
      <w:r w:rsidRPr="0068741A">
        <w:rPr>
          <w:lang w:val="fr-FR"/>
        </w:rPr>
        <w:t>document</w:t>
      </w:r>
      <w:r w:rsidR="006F3B81">
        <w:rPr>
          <w:lang w:val="fr-FR"/>
        </w:rPr>
        <w:t> </w:t>
      </w:r>
      <w:r w:rsidRPr="0068741A">
        <w:rPr>
          <w:lang w:val="fr-FR"/>
        </w:rPr>
        <w:t>IPBES/8/INF/22.</w:t>
      </w:r>
    </w:p>
    <w:p w14:paraId="7B517BBE" w14:textId="5CAE8CD4" w:rsidR="00CA34FE" w:rsidRPr="0068741A" w:rsidRDefault="00CA34FE" w:rsidP="00DE1B24">
      <w:pPr>
        <w:pStyle w:val="Normalnumber"/>
        <w:rPr>
          <w:rFonts w:eastAsiaTheme="minorEastAsia"/>
          <w:lang w:val="fr-FR"/>
        </w:rPr>
      </w:pPr>
      <w:r w:rsidRPr="0068741A">
        <w:rPr>
          <w:lang w:val="fr-FR"/>
        </w:rPr>
        <w:t>En outre, le Bureau et le Groupe d</w:t>
      </w:r>
      <w:r w:rsidR="003C0D97">
        <w:rPr>
          <w:lang w:val="fr-FR"/>
        </w:rPr>
        <w:t>’</w:t>
      </w:r>
      <w:r w:rsidRPr="0068741A">
        <w:rPr>
          <w:lang w:val="fr-FR"/>
        </w:rPr>
        <w:t>experts multidisciplinaire ont approuvé un recueil de</w:t>
      </w:r>
      <w:r w:rsidR="00E8655E">
        <w:rPr>
          <w:lang w:val="fr-FR"/>
        </w:rPr>
        <w:t> </w:t>
      </w:r>
      <w:r w:rsidRPr="0068741A">
        <w:rPr>
          <w:lang w:val="fr-FR"/>
        </w:rPr>
        <w:t>directives pratiques à l</w:t>
      </w:r>
      <w:r w:rsidR="003C0D97">
        <w:rPr>
          <w:lang w:val="fr-FR"/>
        </w:rPr>
        <w:t>’</w:t>
      </w:r>
      <w:r w:rsidRPr="0068741A">
        <w:rPr>
          <w:lang w:val="fr-FR"/>
        </w:rPr>
        <w:t>intention de leurs membres, qui figure également dans le</w:t>
      </w:r>
      <w:r w:rsidR="00E8655E">
        <w:rPr>
          <w:lang w:val="fr-FR"/>
        </w:rPr>
        <w:t> </w:t>
      </w:r>
      <w:r w:rsidRPr="0068741A">
        <w:rPr>
          <w:lang w:val="fr-FR"/>
        </w:rPr>
        <w:t>document</w:t>
      </w:r>
      <w:r w:rsidR="00E8655E">
        <w:rPr>
          <w:lang w:val="fr-FR"/>
        </w:rPr>
        <w:t> </w:t>
      </w:r>
      <w:r w:rsidRPr="0068741A">
        <w:rPr>
          <w:lang w:val="fr-FR"/>
        </w:rPr>
        <w:t>IPBES/8/INF/22.</w:t>
      </w:r>
    </w:p>
    <w:p w14:paraId="00051965" w14:textId="46CB29C6" w:rsidR="00CA34FE" w:rsidRPr="0068741A" w:rsidRDefault="003C0D97" w:rsidP="003C0D97">
      <w:pPr>
        <w:pStyle w:val="CH2"/>
        <w:rPr>
          <w:lang w:val="fr-FR"/>
        </w:rPr>
      </w:pPr>
      <w:r>
        <w:rPr>
          <w:lang w:val="fr-FR"/>
        </w:rPr>
        <w:tab/>
        <w:t>C.</w:t>
      </w:r>
      <w:r>
        <w:rPr>
          <w:lang w:val="fr-FR"/>
        </w:rPr>
        <w:tab/>
      </w:r>
      <w:r w:rsidR="00CA34FE" w:rsidRPr="0068741A">
        <w:rPr>
          <w:lang w:val="fr-FR"/>
        </w:rPr>
        <w:t>Manuel à l</w:t>
      </w:r>
      <w:r>
        <w:rPr>
          <w:lang w:val="fr-FR"/>
        </w:rPr>
        <w:t>’</w:t>
      </w:r>
      <w:r w:rsidR="00CA34FE" w:rsidRPr="0068741A">
        <w:rPr>
          <w:lang w:val="fr-FR"/>
        </w:rPr>
        <w:t>usage des correspondants nationaux de la Plateforme</w:t>
      </w:r>
    </w:p>
    <w:p w14:paraId="5EABE46C" w14:textId="74A6E7C7" w:rsidR="00CA34FE" w:rsidRPr="0068741A" w:rsidRDefault="00CA34FE" w:rsidP="003C0D97">
      <w:pPr>
        <w:pStyle w:val="Normalnumber"/>
        <w:rPr>
          <w:lang w:val="fr-FR"/>
        </w:rPr>
      </w:pPr>
      <w:bookmarkStart w:id="2" w:name="_Toc29541356"/>
      <w:r w:rsidRPr="0068741A">
        <w:rPr>
          <w:lang w:val="fr-FR"/>
        </w:rPr>
        <w:t>La recommandation</w:t>
      </w:r>
      <w:r w:rsidR="0068741A" w:rsidRPr="0068741A">
        <w:rPr>
          <w:lang w:val="fr-FR"/>
        </w:rPr>
        <w:t> </w:t>
      </w:r>
      <w:r w:rsidRPr="0068741A">
        <w:rPr>
          <w:lang w:val="fr-FR"/>
        </w:rPr>
        <w:t>14 de l</w:t>
      </w:r>
      <w:r w:rsidR="003C0D97">
        <w:rPr>
          <w:lang w:val="fr-FR"/>
        </w:rPr>
        <w:t>’</w:t>
      </w:r>
      <w:r w:rsidRPr="0068741A">
        <w:rPr>
          <w:lang w:val="fr-FR"/>
        </w:rPr>
        <w:t xml:space="preserve">examen externe de la Plateforme indique que </w:t>
      </w:r>
      <w:r w:rsidR="00F766F1">
        <w:rPr>
          <w:lang w:val="fr-FR"/>
        </w:rPr>
        <w:t xml:space="preserve">cette dernière </w:t>
      </w:r>
      <w:r w:rsidRPr="0068741A">
        <w:rPr>
          <w:lang w:val="fr-FR"/>
        </w:rPr>
        <w:t xml:space="preserve">devrait élaborer des orientations détaillées sur les </w:t>
      </w:r>
      <w:r w:rsidR="00513D0F">
        <w:rPr>
          <w:lang w:val="fr-FR"/>
        </w:rPr>
        <w:t xml:space="preserve">fonctions </w:t>
      </w:r>
      <w:r w:rsidRPr="0068741A">
        <w:rPr>
          <w:lang w:val="fr-FR"/>
        </w:rPr>
        <w:t>des correspondants nationaux et les bonnes pratiques, tout en permettant aux pays de définir leurs propres modalités, et mettre en place des canaux spécifiques de communication entre la Plateforme et les correspondants nationaux et entre correspondants nationaux.</w:t>
      </w:r>
    </w:p>
    <w:p w14:paraId="0366EDF0" w14:textId="16837BD9" w:rsidR="00CA34FE" w:rsidRPr="0068741A" w:rsidRDefault="00CA34FE" w:rsidP="003C0D97">
      <w:pPr>
        <w:pStyle w:val="Normalnumber"/>
        <w:rPr>
          <w:rFonts w:eastAsia="MS Mincho"/>
          <w:lang w:val="fr-FR"/>
        </w:rPr>
      </w:pPr>
      <w:r w:rsidRPr="0068741A">
        <w:rPr>
          <w:lang w:val="fr-FR"/>
        </w:rPr>
        <w:t>Par suite de cette recommandation, le Bureau et le Groupe d</w:t>
      </w:r>
      <w:r w:rsidR="003C0D97">
        <w:rPr>
          <w:lang w:val="fr-FR"/>
        </w:rPr>
        <w:t>’</w:t>
      </w:r>
      <w:r w:rsidRPr="0068741A">
        <w:rPr>
          <w:lang w:val="fr-FR"/>
        </w:rPr>
        <w:t>experts multidisciplinaire ont élaboré un manuel à l</w:t>
      </w:r>
      <w:r w:rsidR="003C0D97">
        <w:rPr>
          <w:lang w:val="fr-FR"/>
        </w:rPr>
        <w:t>’</w:t>
      </w:r>
      <w:r w:rsidRPr="0068741A">
        <w:rPr>
          <w:lang w:val="fr-FR"/>
        </w:rPr>
        <w:t>usage des correspondants nationaux de la Plateforme, qui pourra être consulté sur le site Web de la Plateforme</w:t>
      </w:r>
      <w:r w:rsidRPr="0068741A">
        <w:rPr>
          <w:rStyle w:val="FootnoteReference"/>
          <w:rFonts w:eastAsia="MS Mincho"/>
          <w:lang w:val="fr-FR"/>
        </w:rPr>
        <w:footnoteReference w:id="9"/>
      </w:r>
      <w:r w:rsidR="0068741A" w:rsidRPr="0068741A">
        <w:rPr>
          <w:lang w:val="fr-FR"/>
        </w:rPr>
        <w:t>.</w:t>
      </w:r>
    </w:p>
    <w:p w14:paraId="1EC2C457" w14:textId="09D1B021" w:rsidR="00CA34FE" w:rsidRPr="0068741A" w:rsidRDefault="003C0D97" w:rsidP="003C0D97">
      <w:pPr>
        <w:pStyle w:val="CH2"/>
        <w:rPr>
          <w:lang w:val="fr-FR"/>
        </w:rPr>
      </w:pPr>
      <w:r>
        <w:rPr>
          <w:lang w:val="fr-FR"/>
        </w:rPr>
        <w:tab/>
        <w:t>D.</w:t>
      </w:r>
      <w:r>
        <w:rPr>
          <w:lang w:val="fr-FR"/>
        </w:rPr>
        <w:tab/>
      </w:r>
      <w:r w:rsidR="00CA34FE" w:rsidRPr="0068741A">
        <w:rPr>
          <w:lang w:val="fr-FR"/>
        </w:rPr>
        <w:t>Examen de l</w:t>
      </w:r>
      <w:r>
        <w:rPr>
          <w:lang w:val="fr-FR"/>
        </w:rPr>
        <w:t>’</w:t>
      </w:r>
      <w:r w:rsidR="00CA34FE" w:rsidRPr="0068741A">
        <w:rPr>
          <w:lang w:val="fr-FR"/>
        </w:rPr>
        <w:t>utilisation et de l</w:t>
      </w:r>
      <w:r>
        <w:rPr>
          <w:lang w:val="fr-FR"/>
        </w:rPr>
        <w:t>’</w:t>
      </w:r>
      <w:r w:rsidR="00CA34FE" w:rsidRPr="0068741A">
        <w:rPr>
          <w:lang w:val="fr-FR"/>
        </w:rPr>
        <w:t>effet du cadre conceptuel de la Plateforme</w:t>
      </w:r>
      <w:bookmarkEnd w:id="2"/>
    </w:p>
    <w:p w14:paraId="30F30144" w14:textId="4BB3383A" w:rsidR="00CA34FE" w:rsidRPr="0068741A" w:rsidRDefault="00CA34FE" w:rsidP="003C0D97">
      <w:pPr>
        <w:pStyle w:val="Normalnumber"/>
        <w:rPr>
          <w:lang w:val="fr-FR"/>
        </w:rPr>
      </w:pPr>
      <w:r w:rsidRPr="0068741A">
        <w:rPr>
          <w:lang w:val="fr-FR"/>
        </w:rPr>
        <w:t>L</w:t>
      </w:r>
      <w:r w:rsidR="003C0D97">
        <w:rPr>
          <w:lang w:val="fr-FR"/>
        </w:rPr>
        <w:t>’</w:t>
      </w:r>
      <w:r w:rsidRPr="0068741A">
        <w:rPr>
          <w:lang w:val="fr-FR"/>
        </w:rPr>
        <w:t>objectif</w:t>
      </w:r>
      <w:r w:rsidR="00E8655E">
        <w:rPr>
          <w:lang w:val="fr-FR"/>
        </w:rPr>
        <w:t> </w:t>
      </w:r>
      <w:r w:rsidRPr="0068741A">
        <w:rPr>
          <w:lang w:val="fr-FR"/>
        </w:rPr>
        <w:t>6</w:t>
      </w:r>
      <w:r w:rsidR="00E8655E">
        <w:rPr>
          <w:lang w:val="fr-FR"/>
        </w:rPr>
        <w:t> </w:t>
      </w:r>
      <w:r w:rsidRPr="0068741A">
        <w:rPr>
          <w:lang w:val="fr-FR"/>
        </w:rPr>
        <w:t>b) du programme de travail glissant, à savoir l</w:t>
      </w:r>
      <w:r w:rsidR="003C0D97">
        <w:rPr>
          <w:lang w:val="fr-FR"/>
        </w:rPr>
        <w:t>’</w:t>
      </w:r>
      <w:r w:rsidRPr="0068741A">
        <w:rPr>
          <w:lang w:val="fr-FR"/>
        </w:rPr>
        <w:t>évaluation du cadre conceptuel de</w:t>
      </w:r>
      <w:r w:rsidR="00E8655E">
        <w:rPr>
          <w:lang w:val="fr-FR"/>
        </w:rPr>
        <w:t> </w:t>
      </w:r>
      <w:r w:rsidRPr="0068741A">
        <w:rPr>
          <w:lang w:val="fr-FR"/>
        </w:rPr>
        <w:t>la</w:t>
      </w:r>
      <w:r w:rsidR="00E8655E">
        <w:rPr>
          <w:lang w:val="fr-FR"/>
        </w:rPr>
        <w:t> </w:t>
      </w:r>
      <w:r w:rsidRPr="0068741A">
        <w:rPr>
          <w:lang w:val="fr-FR"/>
        </w:rPr>
        <w:t>Plateforme, a pour but de veiller à l</w:t>
      </w:r>
      <w:r w:rsidR="003C0D97">
        <w:rPr>
          <w:lang w:val="fr-FR"/>
        </w:rPr>
        <w:t>’</w:t>
      </w:r>
      <w:r w:rsidRPr="0068741A">
        <w:rPr>
          <w:lang w:val="fr-FR"/>
        </w:rPr>
        <w:t>évaluation de l</w:t>
      </w:r>
      <w:r w:rsidR="003C0D97">
        <w:rPr>
          <w:lang w:val="fr-FR"/>
        </w:rPr>
        <w:t>’</w:t>
      </w:r>
      <w:r w:rsidRPr="0068741A">
        <w:rPr>
          <w:lang w:val="fr-FR"/>
        </w:rPr>
        <w:t>utilisation et de l</w:t>
      </w:r>
      <w:r w:rsidR="003C0D97">
        <w:rPr>
          <w:lang w:val="fr-FR"/>
        </w:rPr>
        <w:t>’</w:t>
      </w:r>
      <w:r w:rsidRPr="0068741A">
        <w:rPr>
          <w:lang w:val="fr-FR"/>
        </w:rPr>
        <w:t>effet du cadre conceptuel de</w:t>
      </w:r>
      <w:r w:rsidR="00E8655E">
        <w:rPr>
          <w:lang w:val="fr-FR"/>
        </w:rPr>
        <w:t> </w:t>
      </w:r>
      <w:r w:rsidRPr="0068741A">
        <w:rPr>
          <w:lang w:val="fr-FR"/>
        </w:rPr>
        <w:t>la</w:t>
      </w:r>
      <w:r w:rsidR="00E8655E">
        <w:rPr>
          <w:lang w:val="fr-FR"/>
        </w:rPr>
        <w:t> </w:t>
      </w:r>
      <w:r w:rsidRPr="0068741A">
        <w:rPr>
          <w:lang w:val="fr-FR"/>
        </w:rPr>
        <w:t>Plateforme, afin d</w:t>
      </w:r>
      <w:r w:rsidR="003C0D97">
        <w:rPr>
          <w:lang w:val="fr-FR"/>
        </w:rPr>
        <w:t>’</w:t>
      </w:r>
      <w:r w:rsidRPr="0068741A">
        <w:rPr>
          <w:lang w:val="fr-FR"/>
        </w:rPr>
        <w:t>éclairer l</w:t>
      </w:r>
      <w:r w:rsidR="003C0D97">
        <w:rPr>
          <w:lang w:val="fr-FR"/>
        </w:rPr>
        <w:t>’</w:t>
      </w:r>
      <w:r w:rsidRPr="0068741A">
        <w:rPr>
          <w:lang w:val="fr-FR"/>
        </w:rPr>
        <w:t>évolution du programme de travail glissant. Dans</w:t>
      </w:r>
      <w:r w:rsidR="00E8655E">
        <w:rPr>
          <w:lang w:val="fr-FR"/>
        </w:rPr>
        <w:t> </w:t>
      </w:r>
      <w:r w:rsidRPr="0068741A">
        <w:rPr>
          <w:lang w:val="fr-FR"/>
        </w:rPr>
        <w:t>sa</w:t>
      </w:r>
      <w:r w:rsidR="00E8655E">
        <w:rPr>
          <w:lang w:val="fr-FR"/>
        </w:rPr>
        <w:t> </w:t>
      </w:r>
      <w:r w:rsidRPr="0068741A">
        <w:rPr>
          <w:lang w:val="fr-FR"/>
        </w:rPr>
        <w:t>décision</w:t>
      </w:r>
      <w:r w:rsidR="00E8655E">
        <w:rPr>
          <w:lang w:val="fr-FR"/>
        </w:rPr>
        <w:t> </w:t>
      </w:r>
      <w:r w:rsidRPr="0068741A">
        <w:rPr>
          <w:lang w:val="fr-FR"/>
        </w:rPr>
        <w:t>IPBES</w:t>
      </w:r>
      <w:r w:rsidR="00235D46" w:rsidRPr="0068741A">
        <w:rPr>
          <w:lang w:val="fr-FR"/>
        </w:rPr>
        <w:noBreakHyphen/>
      </w:r>
      <w:r w:rsidRPr="0068741A">
        <w:rPr>
          <w:lang w:val="fr-FR"/>
        </w:rPr>
        <w:t>7/1, la Plénière a prié le Groupe d</w:t>
      </w:r>
      <w:r w:rsidR="003C0D97">
        <w:rPr>
          <w:lang w:val="fr-FR"/>
        </w:rPr>
        <w:t>’</w:t>
      </w:r>
      <w:r w:rsidRPr="0068741A">
        <w:rPr>
          <w:lang w:val="fr-FR"/>
        </w:rPr>
        <w:t>experts multidisciplinaire et le Bureau d</w:t>
      </w:r>
      <w:r w:rsidR="003C0D97">
        <w:rPr>
          <w:lang w:val="fr-FR"/>
        </w:rPr>
        <w:t>’</w:t>
      </w:r>
      <w:r w:rsidRPr="0068741A">
        <w:rPr>
          <w:lang w:val="fr-FR"/>
        </w:rPr>
        <w:t>examiner le cadre conceptuel de la Plateforme conformément à cet objectif.</w:t>
      </w:r>
    </w:p>
    <w:p w14:paraId="7584685D" w14:textId="015B0431" w:rsidR="00CA34FE" w:rsidRPr="0068741A" w:rsidRDefault="00CA34FE" w:rsidP="003C0D97">
      <w:pPr>
        <w:pStyle w:val="Normalnumber"/>
        <w:rPr>
          <w:lang w:val="fr-FR"/>
        </w:rPr>
      </w:pPr>
      <w:r w:rsidRPr="0068741A">
        <w:rPr>
          <w:lang w:val="fr-FR"/>
        </w:rPr>
        <w:t>La Plénière a adopté le cadre conceptuel de la Plateforme dans sa</w:t>
      </w:r>
      <w:r w:rsidR="00E8655E">
        <w:rPr>
          <w:lang w:val="fr-FR"/>
        </w:rPr>
        <w:t> </w:t>
      </w:r>
      <w:r w:rsidRPr="0068741A">
        <w:rPr>
          <w:lang w:val="fr-FR"/>
        </w:rPr>
        <w:t>décision</w:t>
      </w:r>
      <w:r w:rsidR="00E8655E">
        <w:rPr>
          <w:lang w:val="fr-FR"/>
        </w:rPr>
        <w:t> </w:t>
      </w:r>
      <w:r w:rsidRPr="0068741A">
        <w:rPr>
          <w:lang w:val="fr-FR"/>
        </w:rPr>
        <w:t>IPBES</w:t>
      </w:r>
      <w:r w:rsidR="00235D46" w:rsidRPr="0068741A">
        <w:rPr>
          <w:lang w:val="fr-FR"/>
        </w:rPr>
        <w:noBreakHyphen/>
      </w:r>
      <w:r w:rsidRPr="0068741A">
        <w:rPr>
          <w:lang w:val="fr-FR"/>
        </w:rPr>
        <w:t>2/4. Dans</w:t>
      </w:r>
      <w:r w:rsidR="00E8655E">
        <w:rPr>
          <w:lang w:val="fr-FR"/>
        </w:rPr>
        <w:t> </w:t>
      </w:r>
      <w:r w:rsidRPr="0068741A">
        <w:rPr>
          <w:lang w:val="fr-FR"/>
        </w:rPr>
        <w:t>sa</w:t>
      </w:r>
      <w:r w:rsidR="00E8655E">
        <w:rPr>
          <w:lang w:val="fr-FR"/>
        </w:rPr>
        <w:t> </w:t>
      </w:r>
      <w:r w:rsidRPr="0068741A">
        <w:rPr>
          <w:lang w:val="fr-FR"/>
        </w:rPr>
        <w:t>décision IPBES</w:t>
      </w:r>
      <w:r w:rsidR="00235D46" w:rsidRPr="0068741A">
        <w:rPr>
          <w:lang w:val="fr-FR"/>
        </w:rPr>
        <w:noBreakHyphen/>
      </w:r>
      <w:r w:rsidRPr="0068741A">
        <w:rPr>
          <w:lang w:val="fr-FR"/>
        </w:rPr>
        <w:t>5/1, la Plénière a noté que le concept de «</w:t>
      </w:r>
      <w:r w:rsidR="00E8655E">
        <w:rPr>
          <w:lang w:val="fr-FR"/>
        </w:rPr>
        <w:t> </w:t>
      </w:r>
      <w:r w:rsidRPr="0068741A">
        <w:rPr>
          <w:lang w:val="fr-FR"/>
        </w:rPr>
        <w:t>contributions de la nature aux</w:t>
      </w:r>
      <w:r w:rsidR="00E8655E">
        <w:rPr>
          <w:lang w:val="fr-FR"/>
        </w:rPr>
        <w:t> </w:t>
      </w:r>
      <w:r w:rsidRPr="0068741A">
        <w:rPr>
          <w:lang w:val="fr-FR"/>
        </w:rPr>
        <w:t>populations</w:t>
      </w:r>
      <w:r w:rsidR="00E8655E">
        <w:rPr>
          <w:lang w:val="fr-FR"/>
        </w:rPr>
        <w:t> </w:t>
      </w:r>
      <w:r w:rsidRPr="0068741A">
        <w:rPr>
          <w:lang w:val="fr-FR"/>
        </w:rPr>
        <w:t xml:space="preserve">» serait utilisé dans les évaluations </w:t>
      </w:r>
      <w:r w:rsidR="00513D0F" w:rsidRPr="0068741A">
        <w:rPr>
          <w:lang w:val="fr-FR"/>
        </w:rPr>
        <w:t>de la Plateforme</w:t>
      </w:r>
      <w:r w:rsidR="00513D0F">
        <w:rPr>
          <w:lang w:val="fr-FR"/>
        </w:rPr>
        <w:t xml:space="preserve"> en cours </w:t>
      </w:r>
      <w:r w:rsidRPr="0068741A">
        <w:rPr>
          <w:lang w:val="fr-FR"/>
        </w:rPr>
        <w:t xml:space="preserve">et </w:t>
      </w:r>
      <w:r w:rsidR="00513D0F">
        <w:rPr>
          <w:lang w:val="fr-FR"/>
        </w:rPr>
        <w:t>à venir</w:t>
      </w:r>
      <w:r w:rsidRPr="0068741A">
        <w:rPr>
          <w:lang w:val="fr-FR"/>
        </w:rPr>
        <w:t xml:space="preserve">. Ce concept de </w:t>
      </w:r>
      <w:r w:rsidR="00F75DED" w:rsidRPr="0068741A">
        <w:rPr>
          <w:lang w:val="fr-FR"/>
        </w:rPr>
        <w:t>« </w:t>
      </w:r>
      <w:r w:rsidRPr="0068741A">
        <w:rPr>
          <w:lang w:val="fr-FR"/>
        </w:rPr>
        <w:t>contributions de la nature aux populations</w:t>
      </w:r>
      <w:r w:rsidR="00F75DED" w:rsidRPr="0068741A">
        <w:rPr>
          <w:lang w:val="fr-FR"/>
        </w:rPr>
        <w:t> »</w:t>
      </w:r>
      <w:r w:rsidRPr="0068741A">
        <w:rPr>
          <w:lang w:val="fr-FR"/>
        </w:rPr>
        <w:t xml:space="preserve"> a depuis remplacé l</w:t>
      </w:r>
      <w:r w:rsidR="003C0D97">
        <w:rPr>
          <w:lang w:val="fr-FR"/>
        </w:rPr>
        <w:t>’</w:t>
      </w:r>
      <w:r w:rsidRPr="0068741A">
        <w:rPr>
          <w:lang w:val="fr-FR"/>
        </w:rPr>
        <w:t xml:space="preserve">expression </w:t>
      </w:r>
      <w:r w:rsidR="00F75DED" w:rsidRPr="0068741A">
        <w:rPr>
          <w:lang w:val="fr-FR"/>
        </w:rPr>
        <w:t>« </w:t>
      </w:r>
      <w:r w:rsidRPr="0068741A">
        <w:rPr>
          <w:lang w:val="fr-FR"/>
        </w:rPr>
        <w:t>bienfaits de la nature pour les populations</w:t>
      </w:r>
      <w:r w:rsidR="00F75DED" w:rsidRPr="0068741A">
        <w:rPr>
          <w:lang w:val="fr-FR"/>
        </w:rPr>
        <w:t> »</w:t>
      </w:r>
      <w:r w:rsidRPr="0068741A">
        <w:rPr>
          <w:lang w:val="fr-FR"/>
        </w:rPr>
        <w:t>, qui avait été utilisée dans le cadre conceptuel initialement adopté.</w:t>
      </w:r>
    </w:p>
    <w:p w14:paraId="73A4AFBE" w14:textId="07DCBEC2" w:rsidR="00CA34FE" w:rsidRPr="0068741A" w:rsidRDefault="00513D0F" w:rsidP="003C0D97">
      <w:pPr>
        <w:pStyle w:val="Normalnumber"/>
        <w:rPr>
          <w:lang w:val="fr-FR"/>
        </w:rPr>
      </w:pPr>
      <w:r>
        <w:rPr>
          <w:lang w:val="fr-FR"/>
        </w:rPr>
        <w:t xml:space="preserve">La Plénière ayant demandé </w:t>
      </w:r>
      <w:r w:rsidRPr="0068741A">
        <w:rPr>
          <w:lang w:val="fr-FR"/>
        </w:rPr>
        <w:t xml:space="preserve">dans </w:t>
      </w:r>
      <w:r>
        <w:rPr>
          <w:lang w:val="fr-FR"/>
        </w:rPr>
        <w:t>s</w:t>
      </w:r>
      <w:r w:rsidRPr="0068741A">
        <w:rPr>
          <w:lang w:val="fr-FR"/>
        </w:rPr>
        <w:t>a</w:t>
      </w:r>
      <w:r w:rsidR="00E8655E">
        <w:rPr>
          <w:lang w:val="fr-FR"/>
        </w:rPr>
        <w:t> </w:t>
      </w:r>
      <w:r w:rsidRPr="0068741A">
        <w:rPr>
          <w:lang w:val="fr-FR"/>
        </w:rPr>
        <w:t>décision</w:t>
      </w:r>
      <w:r w:rsidR="00E8655E">
        <w:rPr>
          <w:lang w:val="fr-FR"/>
        </w:rPr>
        <w:t> </w:t>
      </w:r>
      <w:r w:rsidRPr="0068741A">
        <w:rPr>
          <w:lang w:val="fr-FR"/>
        </w:rPr>
        <w:t>IPBES</w:t>
      </w:r>
      <w:r w:rsidRPr="0068741A">
        <w:rPr>
          <w:lang w:val="fr-FR"/>
        </w:rPr>
        <w:noBreakHyphen/>
        <w:t>7/1</w:t>
      </w:r>
      <w:r>
        <w:rPr>
          <w:lang w:val="fr-FR"/>
        </w:rPr>
        <w:t xml:space="preserve"> que </w:t>
      </w:r>
      <w:r w:rsidR="00CA34FE" w:rsidRPr="0068741A">
        <w:rPr>
          <w:lang w:val="fr-FR"/>
        </w:rPr>
        <w:t>l</w:t>
      </w:r>
      <w:r w:rsidR="003C0D97">
        <w:rPr>
          <w:lang w:val="fr-FR"/>
        </w:rPr>
        <w:t>’</w:t>
      </w:r>
      <w:r w:rsidR="00CA34FE" w:rsidRPr="0068741A">
        <w:rPr>
          <w:lang w:val="fr-FR"/>
        </w:rPr>
        <w:t>utilisation et l</w:t>
      </w:r>
      <w:r w:rsidR="003C0D97">
        <w:rPr>
          <w:lang w:val="fr-FR"/>
        </w:rPr>
        <w:t>’</w:t>
      </w:r>
      <w:r w:rsidR="00CA34FE" w:rsidRPr="0068741A">
        <w:rPr>
          <w:lang w:val="fr-FR"/>
        </w:rPr>
        <w:t xml:space="preserve">effet du cadre conceptuel </w:t>
      </w:r>
      <w:r>
        <w:rPr>
          <w:lang w:val="fr-FR"/>
        </w:rPr>
        <w:t>soient examinés</w:t>
      </w:r>
      <w:r w:rsidR="00CA34FE" w:rsidRPr="0068741A">
        <w:rPr>
          <w:lang w:val="fr-FR"/>
        </w:rPr>
        <w:t xml:space="preserve">, le </w:t>
      </w:r>
      <w:r>
        <w:rPr>
          <w:lang w:val="fr-FR"/>
        </w:rPr>
        <w:t>G</w:t>
      </w:r>
      <w:r w:rsidR="00CA34FE" w:rsidRPr="0068741A">
        <w:rPr>
          <w:lang w:val="fr-FR"/>
        </w:rPr>
        <w:t>roupe d</w:t>
      </w:r>
      <w:r w:rsidR="003C0D97">
        <w:rPr>
          <w:lang w:val="fr-FR"/>
        </w:rPr>
        <w:t>’</w:t>
      </w:r>
      <w:r w:rsidR="00CA34FE" w:rsidRPr="0068741A">
        <w:rPr>
          <w:lang w:val="fr-FR"/>
        </w:rPr>
        <w:t>experts multidisciplinaire et le Bureau ont entamé une étude sur le sujet.</w:t>
      </w:r>
    </w:p>
    <w:p w14:paraId="0FF704E3" w14:textId="11549F2A" w:rsidR="00CA34FE" w:rsidRPr="0068741A" w:rsidRDefault="00CA34FE" w:rsidP="003C0D97">
      <w:pPr>
        <w:pStyle w:val="Normalnumber"/>
        <w:rPr>
          <w:lang w:val="fr-FR"/>
        </w:rPr>
      </w:pPr>
      <w:r w:rsidRPr="0068741A">
        <w:rPr>
          <w:lang w:val="fr-FR"/>
        </w:rPr>
        <w:t>Dans le cadre de l</w:t>
      </w:r>
      <w:r w:rsidR="003C0D97">
        <w:rPr>
          <w:lang w:val="fr-FR"/>
        </w:rPr>
        <w:t>’</w:t>
      </w:r>
      <w:r w:rsidRPr="0068741A">
        <w:rPr>
          <w:lang w:val="fr-FR"/>
        </w:rPr>
        <w:t>étude, le Groupe d</w:t>
      </w:r>
      <w:r w:rsidR="003C0D97">
        <w:rPr>
          <w:lang w:val="fr-FR"/>
        </w:rPr>
        <w:t>’</w:t>
      </w:r>
      <w:r w:rsidRPr="0068741A">
        <w:rPr>
          <w:lang w:val="fr-FR"/>
        </w:rPr>
        <w:t>experts multidisciplinaire et le Bureau ont mené deux</w:t>
      </w:r>
      <w:r w:rsidR="00E8655E">
        <w:rPr>
          <w:lang w:val="fr-FR"/>
        </w:rPr>
        <w:t> </w:t>
      </w:r>
      <w:r w:rsidRPr="0068741A">
        <w:rPr>
          <w:lang w:val="fr-FR"/>
        </w:rPr>
        <w:t>enquêtes en ligne simultanément, du 6</w:t>
      </w:r>
      <w:r w:rsidR="0068741A" w:rsidRPr="0068741A">
        <w:rPr>
          <w:lang w:val="fr-FR"/>
        </w:rPr>
        <w:t> </w:t>
      </w:r>
      <w:r w:rsidRPr="0068741A">
        <w:rPr>
          <w:lang w:val="fr-FR"/>
        </w:rPr>
        <w:t>avril au 29</w:t>
      </w:r>
      <w:r w:rsidR="0068741A" w:rsidRPr="0068741A">
        <w:rPr>
          <w:lang w:val="fr-FR"/>
        </w:rPr>
        <w:t> </w:t>
      </w:r>
      <w:r w:rsidRPr="0068741A">
        <w:rPr>
          <w:lang w:val="fr-FR"/>
        </w:rPr>
        <w:t>mai</w:t>
      </w:r>
      <w:r w:rsidR="00E8655E">
        <w:rPr>
          <w:lang w:val="fr-FR"/>
        </w:rPr>
        <w:t> </w:t>
      </w:r>
      <w:r w:rsidRPr="0068741A">
        <w:rPr>
          <w:lang w:val="fr-FR"/>
        </w:rPr>
        <w:t>2020, l</w:t>
      </w:r>
      <w:r w:rsidR="003C0D97">
        <w:rPr>
          <w:lang w:val="fr-FR"/>
        </w:rPr>
        <w:t>’</w:t>
      </w:r>
      <w:r w:rsidRPr="0068741A">
        <w:rPr>
          <w:lang w:val="fr-FR"/>
        </w:rPr>
        <w:t>une ciblant les experts des</w:t>
      </w:r>
      <w:r w:rsidR="00E8655E">
        <w:rPr>
          <w:lang w:val="fr-FR"/>
        </w:rPr>
        <w:t> </w:t>
      </w:r>
      <w:r w:rsidRPr="0068741A">
        <w:rPr>
          <w:lang w:val="fr-FR"/>
        </w:rPr>
        <w:t xml:space="preserve">évaluations de la Plateforme </w:t>
      </w:r>
      <w:r w:rsidR="00513D0F">
        <w:rPr>
          <w:lang w:val="fr-FR"/>
        </w:rPr>
        <w:t xml:space="preserve">passées et </w:t>
      </w:r>
      <w:r w:rsidRPr="0068741A">
        <w:rPr>
          <w:lang w:val="fr-FR"/>
        </w:rPr>
        <w:t>en cours et l</w:t>
      </w:r>
      <w:r w:rsidR="003C0D97">
        <w:rPr>
          <w:lang w:val="fr-FR"/>
        </w:rPr>
        <w:t>’</w:t>
      </w:r>
      <w:r w:rsidRPr="0068741A">
        <w:rPr>
          <w:lang w:val="fr-FR"/>
        </w:rPr>
        <w:t>autre les correspondants nationaux et les</w:t>
      </w:r>
      <w:r w:rsidR="00E8655E">
        <w:rPr>
          <w:lang w:val="fr-FR"/>
        </w:rPr>
        <w:t> </w:t>
      </w:r>
      <w:r w:rsidRPr="0068741A">
        <w:rPr>
          <w:lang w:val="fr-FR"/>
        </w:rPr>
        <w:t>parties prenantes. Au total, 114</w:t>
      </w:r>
      <w:r w:rsidR="0068741A" w:rsidRPr="0068741A">
        <w:rPr>
          <w:lang w:val="fr-FR"/>
        </w:rPr>
        <w:t> </w:t>
      </w:r>
      <w:r w:rsidRPr="0068741A">
        <w:rPr>
          <w:lang w:val="fr-FR"/>
        </w:rPr>
        <w:t xml:space="preserve">experts ayant participé à toutes les évaluations </w:t>
      </w:r>
      <w:r w:rsidR="00513D0F">
        <w:rPr>
          <w:lang w:val="fr-FR"/>
        </w:rPr>
        <w:t xml:space="preserve">passées </w:t>
      </w:r>
      <w:r w:rsidRPr="0068741A">
        <w:rPr>
          <w:lang w:val="fr-FR"/>
        </w:rPr>
        <w:t>et en cours ont répondu à l</w:t>
      </w:r>
      <w:r w:rsidR="003C0D97">
        <w:rPr>
          <w:lang w:val="fr-FR"/>
        </w:rPr>
        <w:t>’</w:t>
      </w:r>
      <w:r w:rsidRPr="0068741A">
        <w:rPr>
          <w:lang w:val="fr-FR"/>
        </w:rPr>
        <w:t>enquête ciblant les experts</w:t>
      </w:r>
      <w:r w:rsidR="00E8655E">
        <w:rPr>
          <w:lang w:val="fr-FR"/>
        </w:rPr>
        <w:t> </w:t>
      </w:r>
      <w:r w:rsidRPr="0068741A">
        <w:rPr>
          <w:lang w:val="fr-FR"/>
        </w:rPr>
        <w:t>; 231</w:t>
      </w:r>
      <w:r w:rsidR="0068741A" w:rsidRPr="0068741A">
        <w:rPr>
          <w:lang w:val="fr-FR"/>
        </w:rPr>
        <w:t> </w:t>
      </w:r>
      <w:r w:rsidRPr="0068741A">
        <w:rPr>
          <w:lang w:val="fr-FR"/>
        </w:rPr>
        <w:t>réponses, dont 45</w:t>
      </w:r>
      <w:r w:rsidR="0068741A" w:rsidRPr="0068741A">
        <w:rPr>
          <w:lang w:val="fr-FR"/>
        </w:rPr>
        <w:t> </w:t>
      </w:r>
      <w:r w:rsidRPr="0068741A">
        <w:rPr>
          <w:lang w:val="fr-FR"/>
        </w:rPr>
        <w:t>de fonctionnaires nationaux et 186</w:t>
      </w:r>
      <w:r w:rsidR="0068741A" w:rsidRPr="0068741A">
        <w:rPr>
          <w:lang w:val="fr-FR"/>
        </w:rPr>
        <w:t> </w:t>
      </w:r>
      <w:r w:rsidRPr="0068741A">
        <w:rPr>
          <w:lang w:val="fr-FR"/>
        </w:rPr>
        <w:t>d</w:t>
      </w:r>
      <w:r w:rsidR="003C0D97">
        <w:rPr>
          <w:lang w:val="fr-FR"/>
        </w:rPr>
        <w:t>’</w:t>
      </w:r>
      <w:r w:rsidRPr="0068741A">
        <w:rPr>
          <w:lang w:val="fr-FR"/>
        </w:rPr>
        <w:t>organisations ou de particuliers, ont été reçues dans le cadre de l</w:t>
      </w:r>
      <w:r w:rsidR="003C0D97">
        <w:rPr>
          <w:lang w:val="fr-FR"/>
        </w:rPr>
        <w:t>’</w:t>
      </w:r>
      <w:r w:rsidRPr="0068741A">
        <w:rPr>
          <w:lang w:val="fr-FR"/>
        </w:rPr>
        <w:t>enquête ciblant les</w:t>
      </w:r>
      <w:r w:rsidR="00E8655E">
        <w:rPr>
          <w:lang w:val="fr-FR"/>
        </w:rPr>
        <w:t> </w:t>
      </w:r>
      <w:r w:rsidRPr="0068741A">
        <w:rPr>
          <w:lang w:val="fr-FR"/>
        </w:rPr>
        <w:t>correspondants nationaux et les parties prenantes.</w:t>
      </w:r>
    </w:p>
    <w:p w14:paraId="12832B7E" w14:textId="77CDE405" w:rsidR="00CA34FE" w:rsidRPr="0068741A" w:rsidRDefault="00CA34FE" w:rsidP="003C0D97">
      <w:pPr>
        <w:pStyle w:val="Normalnumber"/>
        <w:rPr>
          <w:lang w:val="fr-FR"/>
        </w:rPr>
      </w:pPr>
      <w:r w:rsidRPr="0068741A">
        <w:rPr>
          <w:lang w:val="fr-FR"/>
        </w:rPr>
        <w:t>En outre, le Groupe d</w:t>
      </w:r>
      <w:r w:rsidR="003C0D97">
        <w:rPr>
          <w:lang w:val="fr-FR"/>
        </w:rPr>
        <w:t>’</w:t>
      </w:r>
      <w:r w:rsidRPr="0068741A">
        <w:rPr>
          <w:lang w:val="fr-FR"/>
        </w:rPr>
        <w:t>experts multidisciplinaire et le Bureau ont examiné la documentation sur</w:t>
      </w:r>
      <w:r w:rsidR="00E8655E">
        <w:rPr>
          <w:lang w:val="fr-FR"/>
        </w:rPr>
        <w:t> </w:t>
      </w:r>
      <w:r w:rsidRPr="0068741A">
        <w:rPr>
          <w:lang w:val="fr-FR"/>
        </w:rPr>
        <w:t>le sujet afin d</w:t>
      </w:r>
      <w:r w:rsidR="003C0D97">
        <w:rPr>
          <w:lang w:val="fr-FR"/>
        </w:rPr>
        <w:t>’</w:t>
      </w:r>
      <w:r w:rsidRPr="0068741A">
        <w:rPr>
          <w:lang w:val="fr-FR"/>
        </w:rPr>
        <w:t>évaluer l</w:t>
      </w:r>
      <w:r w:rsidR="003C0D97">
        <w:rPr>
          <w:lang w:val="fr-FR"/>
        </w:rPr>
        <w:t>’</w:t>
      </w:r>
      <w:r w:rsidRPr="0068741A">
        <w:rPr>
          <w:lang w:val="fr-FR"/>
        </w:rPr>
        <w:t>utilisation et l</w:t>
      </w:r>
      <w:r w:rsidR="003C0D97">
        <w:rPr>
          <w:lang w:val="fr-FR"/>
        </w:rPr>
        <w:t>’</w:t>
      </w:r>
      <w:r w:rsidRPr="0068741A">
        <w:rPr>
          <w:lang w:val="fr-FR"/>
        </w:rPr>
        <w:t>effet du cadre conceptuel.</w:t>
      </w:r>
    </w:p>
    <w:p w14:paraId="4D284F00" w14:textId="00FE3A5C" w:rsidR="00CA34FE" w:rsidRPr="0068741A" w:rsidRDefault="00CA34FE" w:rsidP="003C0D97">
      <w:pPr>
        <w:pStyle w:val="Normalnumber"/>
        <w:rPr>
          <w:lang w:val="fr-FR"/>
        </w:rPr>
      </w:pPr>
      <w:r w:rsidRPr="0068741A">
        <w:rPr>
          <w:lang w:val="fr-FR"/>
        </w:rPr>
        <w:lastRenderedPageBreak/>
        <w:t>Un projet d</w:t>
      </w:r>
      <w:r w:rsidR="003C0D97">
        <w:rPr>
          <w:lang w:val="fr-FR"/>
        </w:rPr>
        <w:t>’</w:t>
      </w:r>
      <w:r w:rsidRPr="0068741A">
        <w:rPr>
          <w:lang w:val="fr-FR"/>
        </w:rPr>
        <w:t>étude sur l</w:t>
      </w:r>
      <w:r w:rsidR="003C0D97">
        <w:rPr>
          <w:lang w:val="fr-FR"/>
        </w:rPr>
        <w:t>’</w:t>
      </w:r>
      <w:r w:rsidRPr="0068741A">
        <w:rPr>
          <w:lang w:val="fr-FR"/>
        </w:rPr>
        <w:t>utilisation et l</w:t>
      </w:r>
      <w:r w:rsidR="003C0D97">
        <w:rPr>
          <w:lang w:val="fr-FR"/>
        </w:rPr>
        <w:t>’</w:t>
      </w:r>
      <w:r w:rsidRPr="0068741A">
        <w:rPr>
          <w:lang w:val="fr-FR"/>
        </w:rPr>
        <w:t>effet du cadre conceptuel sera mis à disposition pour permettre son examen externe du 1</w:t>
      </w:r>
      <w:r w:rsidRPr="0068741A">
        <w:rPr>
          <w:vertAlign w:val="superscript"/>
          <w:lang w:val="fr-FR"/>
        </w:rPr>
        <w:t>er</w:t>
      </w:r>
      <w:r w:rsidR="0068741A" w:rsidRPr="0068741A">
        <w:rPr>
          <w:lang w:val="fr-FR"/>
        </w:rPr>
        <w:t> </w:t>
      </w:r>
      <w:r w:rsidRPr="0068741A">
        <w:rPr>
          <w:lang w:val="fr-FR"/>
        </w:rPr>
        <w:t>juin au 31</w:t>
      </w:r>
      <w:r w:rsidR="0068741A" w:rsidRPr="0068741A">
        <w:rPr>
          <w:lang w:val="fr-FR"/>
        </w:rPr>
        <w:t> </w:t>
      </w:r>
      <w:r w:rsidRPr="0068741A">
        <w:rPr>
          <w:lang w:val="fr-FR"/>
        </w:rPr>
        <w:t>juillet</w:t>
      </w:r>
      <w:r w:rsidR="00E8655E">
        <w:rPr>
          <w:lang w:val="fr-FR"/>
        </w:rPr>
        <w:t> </w:t>
      </w:r>
      <w:r w:rsidRPr="0068741A">
        <w:rPr>
          <w:lang w:val="fr-FR"/>
        </w:rPr>
        <w:t>2021. Le Groupe d</w:t>
      </w:r>
      <w:r w:rsidR="003C0D97">
        <w:rPr>
          <w:lang w:val="fr-FR"/>
        </w:rPr>
        <w:t>’</w:t>
      </w:r>
      <w:r w:rsidRPr="0068741A">
        <w:rPr>
          <w:lang w:val="fr-FR"/>
        </w:rPr>
        <w:t>experts multidisciplinaire et le Bureau tiendront compte de toutes les observations reçues pour achever l</w:t>
      </w:r>
      <w:r w:rsidR="003C0D97">
        <w:rPr>
          <w:lang w:val="fr-FR"/>
        </w:rPr>
        <w:t>’</w:t>
      </w:r>
      <w:r w:rsidRPr="0068741A">
        <w:rPr>
          <w:lang w:val="fr-FR"/>
        </w:rPr>
        <w:t>étude, que la Plénière pourra alors examiner à sa</w:t>
      </w:r>
      <w:r w:rsidR="00E8655E">
        <w:rPr>
          <w:lang w:val="fr-FR"/>
        </w:rPr>
        <w:t> </w:t>
      </w:r>
      <w:r w:rsidRPr="0068741A">
        <w:rPr>
          <w:lang w:val="fr-FR"/>
        </w:rPr>
        <w:t>neuvième</w:t>
      </w:r>
      <w:r w:rsidR="00E8655E">
        <w:rPr>
          <w:lang w:val="fr-FR"/>
        </w:rPr>
        <w:t> </w:t>
      </w:r>
      <w:r w:rsidRPr="0068741A">
        <w:rPr>
          <w:lang w:val="fr-FR"/>
        </w:rPr>
        <w:t>session.</w:t>
      </w:r>
    </w:p>
    <w:p w14:paraId="1E6B7EC1" w14:textId="697B5B42" w:rsidR="00CA34FE" w:rsidRPr="0068741A" w:rsidRDefault="003C0D97" w:rsidP="003C0D97">
      <w:pPr>
        <w:pStyle w:val="CH2"/>
        <w:rPr>
          <w:lang w:val="fr-FR"/>
        </w:rPr>
      </w:pPr>
      <w:r>
        <w:rPr>
          <w:lang w:val="fr-FR"/>
        </w:rPr>
        <w:tab/>
        <w:t>E.</w:t>
      </w:r>
      <w:r>
        <w:rPr>
          <w:lang w:val="fr-FR"/>
        </w:rPr>
        <w:tab/>
      </w:r>
      <w:r w:rsidR="00CA34FE" w:rsidRPr="0068741A">
        <w:rPr>
          <w:lang w:val="fr-FR"/>
        </w:rPr>
        <w:t>Renforcement de l</w:t>
      </w:r>
      <w:r>
        <w:rPr>
          <w:lang w:val="fr-FR"/>
        </w:rPr>
        <w:t>’</w:t>
      </w:r>
      <w:r w:rsidR="00CA34FE" w:rsidRPr="0068741A">
        <w:rPr>
          <w:lang w:val="fr-FR"/>
        </w:rPr>
        <w:t>efficacité du processus d</w:t>
      </w:r>
      <w:r>
        <w:rPr>
          <w:lang w:val="fr-FR"/>
        </w:rPr>
        <w:t>’</w:t>
      </w:r>
      <w:r w:rsidR="00CA34FE" w:rsidRPr="0068741A">
        <w:rPr>
          <w:lang w:val="fr-FR"/>
        </w:rPr>
        <w:t>évaluation</w:t>
      </w:r>
    </w:p>
    <w:p w14:paraId="1CEA7E18" w14:textId="67E722D7" w:rsidR="00CA34FE" w:rsidRPr="0068741A" w:rsidRDefault="00CA34FE" w:rsidP="003C0D97">
      <w:pPr>
        <w:pStyle w:val="Normalnumber"/>
        <w:rPr>
          <w:lang w:val="fr-FR"/>
        </w:rPr>
      </w:pPr>
      <w:r w:rsidRPr="0068741A">
        <w:rPr>
          <w:lang w:val="fr-FR"/>
        </w:rPr>
        <w:t>L</w:t>
      </w:r>
      <w:r w:rsidR="003C0D97">
        <w:rPr>
          <w:lang w:val="fr-FR"/>
        </w:rPr>
        <w:t>’</w:t>
      </w:r>
      <w:r w:rsidRPr="0068741A">
        <w:rPr>
          <w:lang w:val="fr-FR"/>
        </w:rPr>
        <w:t>objectif</w:t>
      </w:r>
      <w:r w:rsidR="0068741A" w:rsidRPr="0068741A">
        <w:rPr>
          <w:lang w:val="fr-FR"/>
        </w:rPr>
        <w:t> </w:t>
      </w:r>
      <w:r w:rsidRPr="0068741A">
        <w:rPr>
          <w:lang w:val="fr-FR"/>
        </w:rPr>
        <w:t>6</w:t>
      </w:r>
      <w:r w:rsidR="0068741A" w:rsidRPr="0068741A">
        <w:rPr>
          <w:lang w:val="fr-FR"/>
        </w:rPr>
        <w:t> </w:t>
      </w:r>
      <w:r w:rsidRPr="0068741A">
        <w:rPr>
          <w:lang w:val="fr-FR"/>
        </w:rPr>
        <w:t xml:space="preserve">c) du programme de travail glissant, à savoir </w:t>
      </w:r>
      <w:r w:rsidR="00513D0F">
        <w:rPr>
          <w:lang w:val="fr-FR"/>
        </w:rPr>
        <w:t xml:space="preserve">le renforcement </w:t>
      </w:r>
      <w:r w:rsidRPr="0068741A">
        <w:rPr>
          <w:lang w:val="fr-FR"/>
        </w:rPr>
        <w:t>de l</w:t>
      </w:r>
      <w:r w:rsidR="003C0D97">
        <w:rPr>
          <w:lang w:val="fr-FR"/>
        </w:rPr>
        <w:t>’</w:t>
      </w:r>
      <w:r w:rsidRPr="0068741A">
        <w:rPr>
          <w:lang w:val="fr-FR"/>
        </w:rPr>
        <w:t>efficacité du processus d</w:t>
      </w:r>
      <w:r w:rsidR="003C0D97">
        <w:rPr>
          <w:lang w:val="fr-FR"/>
        </w:rPr>
        <w:t>’</w:t>
      </w:r>
      <w:r w:rsidRPr="0068741A">
        <w:rPr>
          <w:lang w:val="fr-FR"/>
        </w:rPr>
        <w:t>évaluation, a pour but de transmettre les enseignements tirés et les conseils des auteurs des</w:t>
      </w:r>
      <w:r w:rsidR="00E8655E">
        <w:rPr>
          <w:lang w:val="fr-FR"/>
        </w:rPr>
        <w:t> </w:t>
      </w:r>
      <w:r w:rsidRPr="0068741A">
        <w:rPr>
          <w:lang w:val="fr-FR"/>
        </w:rPr>
        <w:t>évaluations achevées et de leurs autres contributeurs aux personnes qui seront chargées des futures évaluations. Ainsi, dans sa</w:t>
      </w:r>
      <w:r w:rsidR="00E8655E">
        <w:rPr>
          <w:lang w:val="fr-FR"/>
        </w:rPr>
        <w:t> </w:t>
      </w:r>
      <w:r w:rsidRPr="0068741A">
        <w:rPr>
          <w:lang w:val="fr-FR"/>
        </w:rPr>
        <w:t>décision</w:t>
      </w:r>
      <w:r w:rsidR="00E8655E">
        <w:rPr>
          <w:lang w:val="fr-FR"/>
        </w:rPr>
        <w:t> </w:t>
      </w:r>
      <w:r w:rsidRPr="0068741A">
        <w:rPr>
          <w:lang w:val="fr-FR"/>
        </w:rPr>
        <w:t>IPBES</w:t>
      </w:r>
      <w:r w:rsidR="00235D46" w:rsidRPr="0068741A">
        <w:rPr>
          <w:lang w:val="fr-FR"/>
        </w:rPr>
        <w:noBreakHyphen/>
      </w:r>
      <w:r w:rsidRPr="0068741A">
        <w:rPr>
          <w:lang w:val="fr-FR"/>
        </w:rPr>
        <w:t>7/1, la Plénière a prié la Secrétaire exécutive de faciliter la</w:t>
      </w:r>
      <w:r w:rsidR="00E8655E">
        <w:rPr>
          <w:lang w:val="fr-FR"/>
        </w:rPr>
        <w:t> </w:t>
      </w:r>
      <w:r w:rsidRPr="0068741A">
        <w:rPr>
          <w:lang w:val="fr-FR"/>
        </w:rPr>
        <w:t>transmission aux personnes qui effectueront les futures évaluations des enseignements tirés et des</w:t>
      </w:r>
      <w:r w:rsidR="00E8655E">
        <w:rPr>
          <w:lang w:val="fr-FR"/>
        </w:rPr>
        <w:t> </w:t>
      </w:r>
      <w:r w:rsidRPr="0068741A">
        <w:rPr>
          <w:lang w:val="fr-FR"/>
        </w:rPr>
        <w:t>conseils des auteurs des évaluations passées et des autres personnes ayant contribué à ces</w:t>
      </w:r>
      <w:r w:rsidR="00E8655E">
        <w:rPr>
          <w:lang w:val="fr-FR"/>
        </w:rPr>
        <w:t> </w:t>
      </w:r>
      <w:r w:rsidRPr="0068741A">
        <w:rPr>
          <w:lang w:val="fr-FR"/>
        </w:rPr>
        <w:t>dernières.</w:t>
      </w:r>
    </w:p>
    <w:p w14:paraId="6AF4193C" w14:textId="449B12B4" w:rsidR="00CA34FE" w:rsidRPr="0068741A" w:rsidRDefault="00CA34FE" w:rsidP="003C0D97">
      <w:pPr>
        <w:pStyle w:val="Normalnumber"/>
        <w:rPr>
          <w:lang w:val="fr-FR"/>
        </w:rPr>
      </w:pPr>
      <w:r w:rsidRPr="0068741A">
        <w:rPr>
          <w:lang w:val="fr-FR"/>
        </w:rPr>
        <w:t>La recommandation</w:t>
      </w:r>
      <w:r w:rsidR="0068741A" w:rsidRPr="0068741A">
        <w:rPr>
          <w:lang w:val="fr-FR"/>
        </w:rPr>
        <w:t> </w:t>
      </w:r>
      <w:r w:rsidRPr="0068741A">
        <w:rPr>
          <w:lang w:val="fr-FR"/>
        </w:rPr>
        <w:t>17 de l</w:t>
      </w:r>
      <w:r w:rsidR="003C0D97">
        <w:rPr>
          <w:lang w:val="fr-FR"/>
        </w:rPr>
        <w:t>’</w:t>
      </w:r>
      <w:r w:rsidRPr="0068741A">
        <w:rPr>
          <w:lang w:val="fr-FR"/>
        </w:rPr>
        <w:t>examen externe prévoyait notamment l</w:t>
      </w:r>
      <w:r w:rsidR="003C0D97">
        <w:rPr>
          <w:lang w:val="fr-FR"/>
        </w:rPr>
        <w:t>’</w:t>
      </w:r>
      <w:r w:rsidRPr="0068741A">
        <w:rPr>
          <w:lang w:val="fr-FR"/>
        </w:rPr>
        <w:t>examen de l</w:t>
      </w:r>
      <w:r w:rsidR="003C0D97">
        <w:rPr>
          <w:lang w:val="fr-FR"/>
        </w:rPr>
        <w:t>’</w:t>
      </w:r>
      <w:r w:rsidRPr="0068741A">
        <w:rPr>
          <w:lang w:val="fr-FR"/>
        </w:rPr>
        <w:t>éventail des</w:t>
      </w:r>
      <w:r w:rsidR="00E8655E">
        <w:rPr>
          <w:lang w:val="fr-FR"/>
        </w:rPr>
        <w:t> </w:t>
      </w:r>
      <w:r w:rsidRPr="0068741A">
        <w:rPr>
          <w:lang w:val="fr-FR"/>
        </w:rPr>
        <w:t>moyens de moderniser le processus d</w:t>
      </w:r>
      <w:r w:rsidR="003C0D97">
        <w:rPr>
          <w:lang w:val="fr-FR"/>
        </w:rPr>
        <w:t>’</w:t>
      </w:r>
      <w:r w:rsidRPr="0068741A">
        <w:rPr>
          <w:lang w:val="fr-FR"/>
        </w:rPr>
        <w:t>évaluation, y compris les moyens de canaliser et de permettre un engagement efficace ainsi que les nouvelles structures et méthodes de travail, y compris grâce à des moyens numériques.</w:t>
      </w:r>
    </w:p>
    <w:p w14:paraId="31790DAE" w14:textId="3943B030" w:rsidR="00CA34FE" w:rsidRPr="0068741A" w:rsidRDefault="00CA34FE" w:rsidP="003C0D97">
      <w:pPr>
        <w:pStyle w:val="Normalnumber"/>
        <w:rPr>
          <w:lang w:val="fr-FR"/>
        </w:rPr>
      </w:pPr>
      <w:r w:rsidRPr="0068741A">
        <w:rPr>
          <w:lang w:val="fr-FR"/>
        </w:rPr>
        <w:t>Comme suite à la</w:t>
      </w:r>
      <w:r w:rsidR="00E8655E">
        <w:rPr>
          <w:lang w:val="fr-FR"/>
        </w:rPr>
        <w:t> </w:t>
      </w:r>
      <w:r w:rsidRPr="0068741A">
        <w:rPr>
          <w:lang w:val="fr-FR"/>
        </w:rPr>
        <w:t>décision</w:t>
      </w:r>
      <w:r w:rsidR="00E8655E">
        <w:rPr>
          <w:lang w:val="fr-FR"/>
        </w:rPr>
        <w:t> </w:t>
      </w:r>
      <w:r w:rsidRPr="0068741A">
        <w:rPr>
          <w:lang w:val="fr-FR"/>
        </w:rPr>
        <w:t>IPBES</w:t>
      </w:r>
      <w:r w:rsidR="00235D46" w:rsidRPr="0068741A">
        <w:rPr>
          <w:lang w:val="fr-FR"/>
        </w:rPr>
        <w:noBreakHyphen/>
      </w:r>
      <w:r w:rsidRPr="0068741A">
        <w:rPr>
          <w:lang w:val="fr-FR"/>
        </w:rPr>
        <w:t>7/1, le Groupe d</w:t>
      </w:r>
      <w:r w:rsidR="003C0D97">
        <w:rPr>
          <w:lang w:val="fr-FR"/>
        </w:rPr>
        <w:t>’</w:t>
      </w:r>
      <w:r w:rsidRPr="0068741A">
        <w:rPr>
          <w:lang w:val="fr-FR"/>
        </w:rPr>
        <w:t>experts multidisciplinaire et le Bureau ont examiné les observations recueillies et les idées concernant le processus d</w:t>
      </w:r>
      <w:r w:rsidR="003C0D97">
        <w:rPr>
          <w:lang w:val="fr-FR"/>
        </w:rPr>
        <w:t>’</w:t>
      </w:r>
      <w:r w:rsidRPr="0068741A">
        <w:rPr>
          <w:lang w:val="fr-FR"/>
        </w:rPr>
        <w:t>évaluation de la Plateforme et ont décidé de recommander à la Plénière d</w:t>
      </w:r>
      <w:r w:rsidR="003C0D97">
        <w:rPr>
          <w:lang w:val="fr-FR"/>
        </w:rPr>
        <w:t>’</w:t>
      </w:r>
      <w:r w:rsidRPr="0068741A">
        <w:rPr>
          <w:lang w:val="fr-FR"/>
        </w:rPr>
        <w:t>organiser un cycle d</w:t>
      </w:r>
      <w:r w:rsidR="003C0D97">
        <w:rPr>
          <w:lang w:val="fr-FR"/>
        </w:rPr>
        <w:t>’</w:t>
      </w:r>
      <w:r w:rsidRPr="0068741A">
        <w:rPr>
          <w:lang w:val="fr-FR"/>
        </w:rPr>
        <w:t>examen supplémentaire par les</w:t>
      </w:r>
      <w:r w:rsidR="00E8655E">
        <w:rPr>
          <w:lang w:val="fr-FR"/>
        </w:rPr>
        <w:t> </w:t>
      </w:r>
      <w:r w:rsidRPr="0068741A">
        <w:rPr>
          <w:lang w:val="fr-FR"/>
        </w:rPr>
        <w:t>gouvernements entre juillet et août</w:t>
      </w:r>
      <w:r w:rsidR="0068741A" w:rsidRPr="0068741A">
        <w:rPr>
          <w:lang w:val="fr-FR"/>
        </w:rPr>
        <w:t> </w:t>
      </w:r>
      <w:r w:rsidRPr="0068741A">
        <w:rPr>
          <w:lang w:val="fr-FR"/>
        </w:rPr>
        <w:t>2021 s</w:t>
      </w:r>
      <w:r w:rsidR="003C0D97">
        <w:rPr>
          <w:lang w:val="fr-FR"/>
        </w:rPr>
        <w:t>’</w:t>
      </w:r>
      <w:r w:rsidRPr="0068741A">
        <w:rPr>
          <w:lang w:val="fr-FR"/>
        </w:rPr>
        <w:t>agissant du résumé à l</w:t>
      </w:r>
      <w:r w:rsidR="003C0D97">
        <w:rPr>
          <w:lang w:val="fr-FR"/>
        </w:rPr>
        <w:t>’</w:t>
      </w:r>
      <w:r w:rsidRPr="0068741A">
        <w:rPr>
          <w:lang w:val="fr-FR"/>
        </w:rPr>
        <w:t>intention des décideurs portant sur l</w:t>
      </w:r>
      <w:r w:rsidR="003C0D97">
        <w:rPr>
          <w:lang w:val="fr-FR"/>
        </w:rPr>
        <w:t>’</w:t>
      </w:r>
      <w:r w:rsidRPr="0068741A">
        <w:rPr>
          <w:lang w:val="fr-FR"/>
        </w:rPr>
        <w:t>évaluation des valeurs. Ce cycle d</w:t>
      </w:r>
      <w:r w:rsidR="003C0D97">
        <w:rPr>
          <w:lang w:val="fr-FR"/>
        </w:rPr>
        <w:t>’</w:t>
      </w:r>
      <w:r w:rsidRPr="0068741A">
        <w:rPr>
          <w:lang w:val="fr-FR"/>
        </w:rPr>
        <w:t>examen supplémentaire pourrait donner au résumé à l</w:t>
      </w:r>
      <w:r w:rsidR="003C0D97">
        <w:rPr>
          <w:lang w:val="fr-FR"/>
        </w:rPr>
        <w:t>’</w:t>
      </w:r>
      <w:r w:rsidRPr="0068741A">
        <w:rPr>
          <w:lang w:val="fr-FR"/>
        </w:rPr>
        <w:t>intention des décideurs un plus grand intérêt aux fins de l</w:t>
      </w:r>
      <w:r w:rsidR="003C0D97">
        <w:rPr>
          <w:lang w:val="fr-FR"/>
        </w:rPr>
        <w:t>’</w:t>
      </w:r>
      <w:r w:rsidRPr="0068741A">
        <w:rPr>
          <w:lang w:val="fr-FR"/>
        </w:rPr>
        <w:t>élaboration des politiques et faciliter l</w:t>
      </w:r>
      <w:r w:rsidR="003C0D97">
        <w:rPr>
          <w:lang w:val="fr-FR"/>
        </w:rPr>
        <w:t>’</w:t>
      </w:r>
      <w:r w:rsidRPr="0068741A">
        <w:rPr>
          <w:lang w:val="fr-FR"/>
        </w:rPr>
        <w:t>examen de sa version finale par la Plénière.</w:t>
      </w:r>
    </w:p>
    <w:p w14:paraId="0C0EA1DC" w14:textId="13B7E3C5" w:rsidR="00CA34FE" w:rsidRPr="0068741A" w:rsidRDefault="00CA34FE" w:rsidP="003C0D97">
      <w:pPr>
        <w:pStyle w:val="Normalnumber"/>
        <w:rPr>
          <w:lang w:val="fr-FR"/>
        </w:rPr>
      </w:pPr>
      <w:r w:rsidRPr="0068741A">
        <w:rPr>
          <w:lang w:val="fr-FR"/>
        </w:rPr>
        <w:t>Le Groupe d</w:t>
      </w:r>
      <w:r w:rsidR="003C0D97">
        <w:rPr>
          <w:lang w:val="fr-FR"/>
        </w:rPr>
        <w:t>’</w:t>
      </w:r>
      <w:r w:rsidRPr="0068741A">
        <w:rPr>
          <w:lang w:val="fr-FR"/>
        </w:rPr>
        <w:t>experts multidisciplinaire s</w:t>
      </w:r>
      <w:r w:rsidR="003C0D97">
        <w:rPr>
          <w:lang w:val="fr-FR"/>
        </w:rPr>
        <w:t>’</w:t>
      </w:r>
      <w:r w:rsidRPr="0068741A">
        <w:rPr>
          <w:lang w:val="fr-FR"/>
        </w:rPr>
        <w:t>efforce d</w:t>
      </w:r>
      <w:r w:rsidR="003C0D97">
        <w:rPr>
          <w:lang w:val="fr-FR"/>
        </w:rPr>
        <w:t>’</w:t>
      </w:r>
      <w:r w:rsidRPr="0068741A">
        <w:rPr>
          <w:lang w:val="fr-FR"/>
        </w:rPr>
        <w:t>associer davantage de professionnels, en</w:t>
      </w:r>
      <w:r w:rsidR="00E8655E">
        <w:rPr>
          <w:lang w:val="fr-FR"/>
        </w:rPr>
        <w:t> </w:t>
      </w:r>
      <w:r w:rsidRPr="0068741A">
        <w:rPr>
          <w:lang w:val="fr-FR"/>
        </w:rPr>
        <w:t>particulier au sein des groupes d</w:t>
      </w:r>
      <w:r w:rsidR="003C0D97">
        <w:rPr>
          <w:lang w:val="fr-FR"/>
        </w:rPr>
        <w:t>’</w:t>
      </w:r>
      <w:r w:rsidRPr="0068741A">
        <w:rPr>
          <w:lang w:val="fr-FR"/>
        </w:rPr>
        <w:t>experts qui participent aux processus de cadrage des évaluations</w:t>
      </w:r>
      <w:r w:rsidR="00513D0F">
        <w:rPr>
          <w:lang w:val="fr-FR"/>
        </w:rPr>
        <w:t>, comme</w:t>
      </w:r>
      <w:r w:rsidRPr="0068741A">
        <w:rPr>
          <w:lang w:val="fr-FR"/>
        </w:rPr>
        <w:t xml:space="preserve"> le groupe d</w:t>
      </w:r>
      <w:r w:rsidR="003C0D97">
        <w:rPr>
          <w:lang w:val="fr-FR"/>
        </w:rPr>
        <w:t>’</w:t>
      </w:r>
      <w:r w:rsidRPr="0068741A">
        <w:rPr>
          <w:lang w:val="fr-FR"/>
        </w:rPr>
        <w:t>experts chargé de faciliter le cadrage de l</w:t>
      </w:r>
      <w:r w:rsidR="003C0D97">
        <w:rPr>
          <w:lang w:val="fr-FR"/>
        </w:rPr>
        <w:t>’</w:t>
      </w:r>
      <w:r w:rsidRPr="0068741A">
        <w:rPr>
          <w:lang w:val="fr-FR"/>
        </w:rPr>
        <w:t>évaluation méthodologique de l</w:t>
      </w:r>
      <w:r w:rsidR="003C0D97">
        <w:rPr>
          <w:lang w:val="fr-FR"/>
        </w:rPr>
        <w:t>’</w:t>
      </w:r>
      <w:r w:rsidRPr="0068741A">
        <w:rPr>
          <w:lang w:val="fr-FR"/>
        </w:rPr>
        <w:t>impact et de la dépendance des entreprises à l</w:t>
      </w:r>
      <w:r w:rsidR="003C0D97">
        <w:rPr>
          <w:lang w:val="fr-FR"/>
        </w:rPr>
        <w:t>’</w:t>
      </w:r>
      <w:r w:rsidRPr="0068741A">
        <w:rPr>
          <w:lang w:val="fr-FR"/>
        </w:rPr>
        <w:t>égard de la biodiversité et des contributions de la nature aux</w:t>
      </w:r>
      <w:r w:rsidR="00E8655E">
        <w:rPr>
          <w:lang w:val="fr-FR"/>
        </w:rPr>
        <w:t> </w:t>
      </w:r>
      <w:r w:rsidRPr="0068741A">
        <w:rPr>
          <w:lang w:val="fr-FR"/>
        </w:rPr>
        <w:t>populations (IPBES/8/INF/7).</w:t>
      </w:r>
    </w:p>
    <w:p w14:paraId="286419A3" w14:textId="72908766" w:rsidR="00CA34FE" w:rsidRPr="0068741A" w:rsidRDefault="00CA34FE" w:rsidP="003C0D97">
      <w:pPr>
        <w:pStyle w:val="Normalnumber"/>
        <w:rPr>
          <w:lang w:val="fr-FR"/>
        </w:rPr>
      </w:pPr>
      <w:r w:rsidRPr="0068741A">
        <w:rPr>
          <w:lang w:val="fr-FR"/>
        </w:rPr>
        <w:t>Le Groupe d</w:t>
      </w:r>
      <w:r w:rsidR="003C0D97">
        <w:rPr>
          <w:lang w:val="fr-FR"/>
        </w:rPr>
        <w:t>’</w:t>
      </w:r>
      <w:r w:rsidRPr="0068741A">
        <w:rPr>
          <w:lang w:val="fr-FR"/>
        </w:rPr>
        <w:t>experts multidisciplinaire et le Bureau ont également aidé à mettre à l</w:t>
      </w:r>
      <w:r w:rsidR="003C0D97">
        <w:rPr>
          <w:lang w:val="fr-FR"/>
        </w:rPr>
        <w:t>’</w:t>
      </w:r>
      <w:r w:rsidRPr="0068741A">
        <w:rPr>
          <w:lang w:val="fr-FR"/>
        </w:rPr>
        <w:t>essai des</w:t>
      </w:r>
      <w:r w:rsidR="00E8655E">
        <w:rPr>
          <w:lang w:val="fr-FR"/>
        </w:rPr>
        <w:t> </w:t>
      </w:r>
      <w:r w:rsidRPr="0068741A">
        <w:rPr>
          <w:lang w:val="fr-FR"/>
        </w:rPr>
        <w:t>méthodes et outils nouveaux et innovants dans le cadre des évaluations de la Plateforme en cours. L</w:t>
      </w:r>
      <w:r w:rsidR="003C0D97">
        <w:rPr>
          <w:lang w:val="fr-FR"/>
        </w:rPr>
        <w:t>’</w:t>
      </w:r>
      <w:r w:rsidRPr="0068741A">
        <w:rPr>
          <w:lang w:val="fr-FR"/>
        </w:rPr>
        <w:t xml:space="preserve">équipe spéciale sur les connaissances et les données mène </w:t>
      </w:r>
      <w:r w:rsidR="00513D0F">
        <w:rPr>
          <w:lang w:val="fr-FR"/>
        </w:rPr>
        <w:t xml:space="preserve">aussi </w:t>
      </w:r>
      <w:r w:rsidRPr="0068741A">
        <w:rPr>
          <w:lang w:val="fr-FR"/>
        </w:rPr>
        <w:t>des activités à ce sujet. Les progrès réalisés dans ce cadre, y compris les études pilotes sur l</w:t>
      </w:r>
      <w:r w:rsidR="003C0D97">
        <w:rPr>
          <w:lang w:val="fr-FR"/>
        </w:rPr>
        <w:t>’</w:t>
      </w:r>
      <w:r w:rsidRPr="0068741A">
        <w:rPr>
          <w:lang w:val="fr-FR"/>
        </w:rPr>
        <w:t>application de l</w:t>
      </w:r>
      <w:r w:rsidR="003C0D97">
        <w:rPr>
          <w:lang w:val="fr-FR"/>
        </w:rPr>
        <w:t>’</w:t>
      </w:r>
      <w:r w:rsidRPr="0068741A">
        <w:rPr>
          <w:lang w:val="fr-FR"/>
        </w:rPr>
        <w:t>intelligence artificielle et le</w:t>
      </w:r>
      <w:r w:rsidR="00E8655E">
        <w:rPr>
          <w:lang w:val="fr-FR"/>
        </w:rPr>
        <w:t> </w:t>
      </w:r>
      <w:r w:rsidRPr="0068741A">
        <w:rPr>
          <w:lang w:val="fr-FR"/>
        </w:rPr>
        <w:t>traitement automatique des langues aux produits de la Plateforme, sont présentés dans le</w:t>
      </w:r>
      <w:r w:rsidR="00E8655E">
        <w:rPr>
          <w:lang w:val="fr-FR"/>
        </w:rPr>
        <w:t> </w:t>
      </w:r>
      <w:r w:rsidRPr="0068741A">
        <w:rPr>
          <w:lang w:val="fr-FR"/>
        </w:rPr>
        <w:t>document</w:t>
      </w:r>
      <w:r w:rsidR="00E8655E">
        <w:rPr>
          <w:lang w:val="fr-FR"/>
        </w:rPr>
        <w:t> </w:t>
      </w:r>
      <w:r w:rsidRPr="0068741A">
        <w:rPr>
          <w:lang w:val="fr-FR"/>
        </w:rPr>
        <w:t>IPBES/8/INF/11.</w:t>
      </w:r>
    </w:p>
    <w:p w14:paraId="23385C35" w14:textId="3AF422B3" w:rsidR="00CA34FE" w:rsidRPr="0068741A" w:rsidRDefault="00CA34FE" w:rsidP="003C0D97">
      <w:pPr>
        <w:pStyle w:val="CH1"/>
        <w:rPr>
          <w:lang w:val="fr-FR"/>
        </w:rPr>
      </w:pPr>
      <w:r w:rsidRPr="0068741A">
        <w:rPr>
          <w:lang w:val="fr-FR"/>
        </w:rPr>
        <w:tab/>
      </w:r>
      <w:r w:rsidR="00FF6D49">
        <w:rPr>
          <w:lang w:val="fr-FR"/>
        </w:rPr>
        <w:t>II.</w:t>
      </w:r>
      <w:r w:rsidR="00FF6D49">
        <w:rPr>
          <w:lang w:val="fr-FR"/>
        </w:rPr>
        <w:tab/>
      </w:r>
      <w:r w:rsidRPr="0068741A">
        <w:rPr>
          <w:lang w:val="fr-FR"/>
        </w:rPr>
        <w:t>Vers un examen à mi</w:t>
      </w:r>
      <w:r w:rsidR="00235D46" w:rsidRPr="0068741A">
        <w:rPr>
          <w:lang w:val="fr-FR"/>
        </w:rPr>
        <w:noBreakHyphen/>
      </w:r>
      <w:r w:rsidRPr="0068741A">
        <w:rPr>
          <w:lang w:val="fr-FR"/>
        </w:rPr>
        <w:t>parcours de la mise en œuvre du programme de travail glissant</w:t>
      </w:r>
    </w:p>
    <w:p w14:paraId="44361680" w14:textId="0257481C" w:rsidR="00CA34FE" w:rsidRPr="0068741A" w:rsidRDefault="00CA34FE" w:rsidP="003C0D97">
      <w:pPr>
        <w:pStyle w:val="Normalnumber"/>
        <w:rPr>
          <w:lang w:val="fr-FR"/>
        </w:rPr>
      </w:pPr>
      <w:r w:rsidRPr="0068741A">
        <w:rPr>
          <w:lang w:val="fr-FR"/>
        </w:rPr>
        <w:t>L</w:t>
      </w:r>
      <w:r w:rsidR="003C0D97">
        <w:rPr>
          <w:lang w:val="fr-FR"/>
        </w:rPr>
        <w:t>’</w:t>
      </w:r>
      <w:r w:rsidRPr="0068741A">
        <w:rPr>
          <w:lang w:val="fr-FR"/>
        </w:rPr>
        <w:t>objectif</w:t>
      </w:r>
      <w:r w:rsidR="0068741A" w:rsidRPr="0068741A">
        <w:rPr>
          <w:lang w:val="fr-FR"/>
        </w:rPr>
        <w:t> </w:t>
      </w:r>
      <w:r w:rsidRPr="0068741A">
        <w:rPr>
          <w:lang w:val="fr-FR"/>
        </w:rPr>
        <w:t>6</w:t>
      </w:r>
      <w:r w:rsidR="0068741A" w:rsidRPr="0068741A">
        <w:rPr>
          <w:lang w:val="fr-FR"/>
        </w:rPr>
        <w:t> </w:t>
      </w:r>
      <w:r w:rsidRPr="0068741A">
        <w:rPr>
          <w:lang w:val="fr-FR"/>
        </w:rPr>
        <w:t>a) du programme de travail glissant porte sur l</w:t>
      </w:r>
      <w:r w:rsidR="003C0D97">
        <w:rPr>
          <w:lang w:val="fr-FR"/>
        </w:rPr>
        <w:t>’</w:t>
      </w:r>
      <w:r w:rsidRPr="0068741A">
        <w:rPr>
          <w:lang w:val="fr-FR"/>
        </w:rPr>
        <w:t>examen périodique de l</w:t>
      </w:r>
      <w:r w:rsidR="003C0D97">
        <w:rPr>
          <w:lang w:val="fr-FR"/>
        </w:rPr>
        <w:t>’</w:t>
      </w:r>
      <w:r w:rsidRPr="0068741A">
        <w:rPr>
          <w:lang w:val="fr-FR"/>
        </w:rPr>
        <w:t xml:space="preserve">efficacité de la Plateforme. </w:t>
      </w:r>
      <w:r w:rsidR="00513D0F">
        <w:rPr>
          <w:lang w:val="fr-FR"/>
        </w:rPr>
        <w:t>Ainsi</w:t>
      </w:r>
      <w:r w:rsidRPr="0068741A">
        <w:rPr>
          <w:lang w:val="fr-FR"/>
        </w:rPr>
        <w:t>, dans la section</w:t>
      </w:r>
      <w:r w:rsidR="0068741A" w:rsidRPr="0068741A">
        <w:rPr>
          <w:lang w:val="fr-FR"/>
        </w:rPr>
        <w:t> </w:t>
      </w:r>
      <w:r w:rsidRPr="0068741A">
        <w:rPr>
          <w:lang w:val="fr-FR"/>
        </w:rPr>
        <w:t>VI de sa décision</w:t>
      </w:r>
      <w:r w:rsidR="00E8655E">
        <w:rPr>
          <w:lang w:val="fr-FR"/>
        </w:rPr>
        <w:t> </w:t>
      </w:r>
      <w:r w:rsidRPr="0068741A">
        <w:rPr>
          <w:lang w:val="fr-FR"/>
        </w:rPr>
        <w:t>IPBES</w:t>
      </w:r>
      <w:r w:rsidR="00235D46" w:rsidRPr="0068741A">
        <w:rPr>
          <w:lang w:val="fr-FR"/>
        </w:rPr>
        <w:noBreakHyphen/>
      </w:r>
      <w:r w:rsidRPr="0068741A">
        <w:rPr>
          <w:lang w:val="fr-FR"/>
        </w:rPr>
        <w:t xml:space="preserve">7/1, la Plénière a prié la </w:t>
      </w:r>
      <w:r w:rsidR="00513D0F">
        <w:rPr>
          <w:lang w:val="fr-FR"/>
        </w:rPr>
        <w:t>S</w:t>
      </w:r>
      <w:r w:rsidRPr="0068741A">
        <w:rPr>
          <w:lang w:val="fr-FR"/>
        </w:rPr>
        <w:t>ecrétaire exécutive de solliciter les vues des membres de la Plateforme et des parties prenantes au sujet du</w:t>
      </w:r>
      <w:r w:rsidR="00E8655E">
        <w:rPr>
          <w:lang w:val="fr-FR"/>
        </w:rPr>
        <w:t> </w:t>
      </w:r>
      <w:r w:rsidRPr="0068741A">
        <w:rPr>
          <w:lang w:val="fr-FR"/>
        </w:rPr>
        <w:t>processus d</w:t>
      </w:r>
      <w:r w:rsidR="003C0D97">
        <w:rPr>
          <w:lang w:val="fr-FR"/>
        </w:rPr>
        <w:t>’</w:t>
      </w:r>
      <w:r w:rsidRPr="0068741A">
        <w:rPr>
          <w:lang w:val="fr-FR"/>
        </w:rPr>
        <w:t>examen achevé et a prié le Bureau et le Groupe d</w:t>
      </w:r>
      <w:r w:rsidR="003C0D97">
        <w:rPr>
          <w:lang w:val="fr-FR"/>
        </w:rPr>
        <w:t>’</w:t>
      </w:r>
      <w:r w:rsidRPr="0068741A">
        <w:rPr>
          <w:lang w:val="fr-FR"/>
        </w:rPr>
        <w:t>experts multidisciplinaire de se</w:t>
      </w:r>
      <w:r w:rsidR="00E8655E">
        <w:rPr>
          <w:lang w:val="fr-FR"/>
        </w:rPr>
        <w:t> </w:t>
      </w:r>
      <w:r w:rsidRPr="0068741A">
        <w:rPr>
          <w:lang w:val="fr-FR"/>
        </w:rPr>
        <w:t>pencher sur le processus d</w:t>
      </w:r>
      <w:r w:rsidR="003C0D97">
        <w:rPr>
          <w:lang w:val="fr-FR"/>
        </w:rPr>
        <w:t>’</w:t>
      </w:r>
      <w:r w:rsidRPr="0068741A">
        <w:rPr>
          <w:lang w:val="fr-FR"/>
        </w:rPr>
        <w:t>examen, compte tenu des vues exprimées, et d</w:t>
      </w:r>
      <w:r w:rsidR="003C0D97">
        <w:rPr>
          <w:lang w:val="fr-FR"/>
        </w:rPr>
        <w:t>’</w:t>
      </w:r>
      <w:r w:rsidRPr="0068741A">
        <w:rPr>
          <w:lang w:val="fr-FR"/>
        </w:rPr>
        <w:t>élaborer un projet de</w:t>
      </w:r>
      <w:r w:rsidR="00E8655E">
        <w:rPr>
          <w:lang w:val="fr-FR"/>
        </w:rPr>
        <w:t> </w:t>
      </w:r>
      <w:r w:rsidRPr="0068741A">
        <w:rPr>
          <w:lang w:val="fr-FR"/>
        </w:rPr>
        <w:t>mandat concernant l</w:t>
      </w:r>
      <w:r w:rsidR="003C0D97">
        <w:rPr>
          <w:lang w:val="fr-FR"/>
        </w:rPr>
        <w:t>’</w:t>
      </w:r>
      <w:r w:rsidRPr="0068741A">
        <w:rPr>
          <w:lang w:val="fr-FR"/>
        </w:rPr>
        <w:t>examen à mi</w:t>
      </w:r>
      <w:r w:rsidR="00235D46" w:rsidRPr="0068741A">
        <w:rPr>
          <w:lang w:val="fr-FR"/>
        </w:rPr>
        <w:noBreakHyphen/>
      </w:r>
      <w:r w:rsidRPr="0068741A">
        <w:rPr>
          <w:lang w:val="fr-FR"/>
        </w:rPr>
        <w:t>parcours, qu</w:t>
      </w:r>
      <w:r w:rsidR="003C0D97">
        <w:rPr>
          <w:lang w:val="fr-FR"/>
        </w:rPr>
        <w:t>’</w:t>
      </w:r>
      <w:r w:rsidRPr="0068741A">
        <w:rPr>
          <w:lang w:val="fr-FR"/>
        </w:rPr>
        <w:t>elle examinera à sa</w:t>
      </w:r>
      <w:r w:rsidR="00E8655E">
        <w:rPr>
          <w:lang w:val="fr-FR"/>
        </w:rPr>
        <w:t> </w:t>
      </w:r>
      <w:r w:rsidRPr="0068741A">
        <w:rPr>
          <w:lang w:val="fr-FR"/>
        </w:rPr>
        <w:t>neuvième</w:t>
      </w:r>
      <w:r w:rsidR="00E8655E">
        <w:rPr>
          <w:lang w:val="fr-FR"/>
        </w:rPr>
        <w:t> </w:t>
      </w:r>
      <w:r w:rsidRPr="0068741A">
        <w:rPr>
          <w:lang w:val="fr-FR"/>
        </w:rPr>
        <w:t>session.</w:t>
      </w:r>
    </w:p>
    <w:p w14:paraId="6A09FDA5" w14:textId="668C8738" w:rsidR="00CA34FE" w:rsidRPr="0068741A" w:rsidRDefault="00CA34FE" w:rsidP="003C0D97">
      <w:pPr>
        <w:pStyle w:val="Normalnumber"/>
        <w:rPr>
          <w:lang w:val="fr-FR"/>
        </w:rPr>
      </w:pPr>
      <w:r w:rsidRPr="0068741A">
        <w:rPr>
          <w:lang w:val="fr-FR"/>
        </w:rPr>
        <w:t>Une communication sera envoyée aux membres de la Plateforme et aux parties prenantes pour solliciter leurs vues sur l</w:t>
      </w:r>
      <w:r w:rsidR="003C0D97">
        <w:rPr>
          <w:lang w:val="fr-FR"/>
        </w:rPr>
        <w:t>’</w:t>
      </w:r>
      <w:r w:rsidRPr="0068741A">
        <w:rPr>
          <w:lang w:val="fr-FR"/>
        </w:rPr>
        <w:t>examen de la Plateforme à l</w:t>
      </w:r>
      <w:r w:rsidR="003C0D97">
        <w:rPr>
          <w:lang w:val="fr-FR"/>
        </w:rPr>
        <w:t>’</w:t>
      </w:r>
      <w:r w:rsidRPr="0068741A">
        <w:rPr>
          <w:lang w:val="fr-FR"/>
        </w:rPr>
        <w:t>issue de son premier</w:t>
      </w:r>
      <w:r w:rsidR="00E8655E">
        <w:rPr>
          <w:lang w:val="fr-FR"/>
        </w:rPr>
        <w:t> </w:t>
      </w:r>
      <w:r w:rsidRPr="0068741A">
        <w:rPr>
          <w:lang w:val="fr-FR"/>
        </w:rPr>
        <w:t>programme de travail après la</w:t>
      </w:r>
      <w:r w:rsidR="00E8655E">
        <w:rPr>
          <w:lang w:val="fr-FR"/>
        </w:rPr>
        <w:t> </w:t>
      </w:r>
      <w:r w:rsidRPr="0068741A">
        <w:rPr>
          <w:lang w:val="fr-FR"/>
        </w:rPr>
        <w:t>huitième</w:t>
      </w:r>
      <w:r w:rsidR="00E8655E">
        <w:rPr>
          <w:lang w:val="fr-FR"/>
        </w:rPr>
        <w:t> </w:t>
      </w:r>
      <w:r w:rsidRPr="0068741A">
        <w:rPr>
          <w:lang w:val="fr-FR"/>
        </w:rPr>
        <w:t>session de la Plénière. Le Groupe d</w:t>
      </w:r>
      <w:r w:rsidR="003C0D97">
        <w:rPr>
          <w:lang w:val="fr-FR"/>
        </w:rPr>
        <w:t>’</w:t>
      </w:r>
      <w:r w:rsidRPr="0068741A">
        <w:rPr>
          <w:lang w:val="fr-FR"/>
        </w:rPr>
        <w:t>experts multidisciplinaire et le Bureau établiront les</w:t>
      </w:r>
      <w:r w:rsidR="00E8655E">
        <w:rPr>
          <w:lang w:val="fr-FR"/>
        </w:rPr>
        <w:t> </w:t>
      </w:r>
      <w:r w:rsidRPr="0068741A">
        <w:rPr>
          <w:lang w:val="fr-FR"/>
        </w:rPr>
        <w:t>modalités d</w:t>
      </w:r>
      <w:r w:rsidR="003C0D97">
        <w:rPr>
          <w:lang w:val="fr-FR"/>
        </w:rPr>
        <w:t>’</w:t>
      </w:r>
      <w:r w:rsidRPr="0068741A">
        <w:rPr>
          <w:lang w:val="fr-FR"/>
        </w:rPr>
        <w:t>examen à mi</w:t>
      </w:r>
      <w:r w:rsidR="00235D46" w:rsidRPr="0068741A">
        <w:rPr>
          <w:lang w:val="fr-FR"/>
        </w:rPr>
        <w:noBreakHyphen/>
      </w:r>
      <w:r w:rsidRPr="0068741A">
        <w:rPr>
          <w:lang w:val="fr-FR"/>
        </w:rPr>
        <w:t>parcours à la lumière des réponses reçues.</w:t>
      </w: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68741A" w14:paraId="0770DEB9" w14:textId="77777777" w:rsidTr="0023517A">
        <w:tc>
          <w:tcPr>
            <w:tcW w:w="1897" w:type="dxa"/>
          </w:tcPr>
          <w:p w14:paraId="3B625ADE" w14:textId="77777777" w:rsidR="00FC1138" w:rsidRPr="003C0D97" w:rsidRDefault="00FC1138" w:rsidP="003C0D97">
            <w:pPr>
              <w:pStyle w:val="Normal-pool"/>
              <w:spacing w:before="480"/>
            </w:pPr>
          </w:p>
        </w:tc>
        <w:tc>
          <w:tcPr>
            <w:tcW w:w="1897" w:type="dxa"/>
          </w:tcPr>
          <w:p w14:paraId="4744B7E9" w14:textId="77777777" w:rsidR="00FC1138" w:rsidRPr="003C0D97" w:rsidRDefault="00FC1138" w:rsidP="003C0D97">
            <w:pPr>
              <w:pStyle w:val="Normal-pool"/>
              <w:spacing w:before="480"/>
            </w:pPr>
          </w:p>
        </w:tc>
        <w:tc>
          <w:tcPr>
            <w:tcW w:w="1897" w:type="dxa"/>
            <w:tcBorders>
              <w:bottom w:val="single" w:sz="4" w:space="0" w:color="auto"/>
            </w:tcBorders>
          </w:tcPr>
          <w:p w14:paraId="32504781" w14:textId="77777777" w:rsidR="00FC1138" w:rsidRPr="003C0D97" w:rsidRDefault="00FC1138" w:rsidP="003C0D97">
            <w:pPr>
              <w:pStyle w:val="Normal-pool"/>
              <w:spacing w:before="480"/>
            </w:pPr>
          </w:p>
        </w:tc>
        <w:tc>
          <w:tcPr>
            <w:tcW w:w="1897" w:type="dxa"/>
          </w:tcPr>
          <w:p w14:paraId="4CD3DBE1" w14:textId="77777777" w:rsidR="00FC1138" w:rsidRPr="003C0D97" w:rsidRDefault="00FC1138" w:rsidP="003C0D97">
            <w:pPr>
              <w:pStyle w:val="Normal-pool"/>
              <w:spacing w:before="480"/>
            </w:pPr>
          </w:p>
        </w:tc>
        <w:tc>
          <w:tcPr>
            <w:tcW w:w="1898" w:type="dxa"/>
          </w:tcPr>
          <w:p w14:paraId="76A73388" w14:textId="77777777" w:rsidR="00FC1138" w:rsidRPr="003C0D97" w:rsidRDefault="00FC1138" w:rsidP="003C0D97">
            <w:pPr>
              <w:pStyle w:val="Normal-pool"/>
              <w:spacing w:before="480"/>
            </w:pPr>
          </w:p>
        </w:tc>
      </w:tr>
    </w:tbl>
    <w:p w14:paraId="385A29B3" w14:textId="77777777" w:rsidR="00FC1138" w:rsidRPr="0068741A" w:rsidRDefault="00FC1138" w:rsidP="00FC1138">
      <w:pPr>
        <w:pStyle w:val="Normal-pool"/>
        <w:rPr>
          <w:lang w:val="fr-FR"/>
        </w:rPr>
      </w:pPr>
    </w:p>
    <w:sectPr w:rsidR="00FC1138" w:rsidRPr="0068741A" w:rsidSect="00DE1B24">
      <w:headerReference w:type="even" r:id="rId14"/>
      <w:headerReference w:type="default" r:id="rId15"/>
      <w:footerReference w:type="even" r:id="rId16"/>
      <w:footerReference w:type="default" r:id="rId17"/>
      <w:headerReference w:type="first" r:id="rId18"/>
      <w:footerReference w:type="first" r:id="rId1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FB9E5" w14:textId="77777777" w:rsidR="00664763" w:rsidRDefault="00664763">
      <w:r>
        <w:separator/>
      </w:r>
    </w:p>
  </w:endnote>
  <w:endnote w:type="continuationSeparator" w:id="0">
    <w:p w14:paraId="42E15577" w14:textId="77777777" w:rsidR="00664763" w:rsidRDefault="00664763">
      <w:r>
        <w:continuationSeparator/>
      </w:r>
    </w:p>
  </w:endnote>
  <w:endnote w:type="continuationNotice" w:id="1">
    <w:p w14:paraId="4A85EF1C" w14:textId="77777777" w:rsidR="00664763" w:rsidRDefault="00664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8705192"/>
      <w:docPartObj>
        <w:docPartGallery w:val="Page Numbers (Bottom of Page)"/>
        <w:docPartUnique/>
      </w:docPartObj>
    </w:sdtPr>
    <w:sdtEndPr>
      <w:rPr>
        <w:noProof/>
      </w:rPr>
    </w:sdtEndPr>
    <w:sdtContent>
      <w:p w14:paraId="3F1560D9" w14:textId="11F47EFD" w:rsidR="00B95FB0" w:rsidRPr="00407DBA" w:rsidRDefault="00407DBA" w:rsidP="003C0D97">
        <w:pPr>
          <w:pStyle w:val="Footer-pool"/>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042101"/>
      <w:docPartObj>
        <w:docPartGallery w:val="Page Numbers (Bottom of Page)"/>
        <w:docPartUnique/>
      </w:docPartObj>
    </w:sdtPr>
    <w:sdtEndPr>
      <w:rPr>
        <w:noProof/>
      </w:rPr>
    </w:sdtEndPr>
    <w:sdtContent>
      <w:p w14:paraId="25F36185" w14:textId="50166817" w:rsidR="00B95FB0" w:rsidRPr="00407DBA" w:rsidRDefault="00407DBA" w:rsidP="00B24A20">
        <w:pPr>
          <w:pStyle w:val="Footer-pool"/>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DAFB0" w14:textId="4747489C" w:rsidR="00B95FB0" w:rsidRPr="00B70C1E" w:rsidRDefault="00B70C1E" w:rsidP="006C380C">
    <w:pPr>
      <w:pStyle w:val="Normal-pool"/>
    </w:pPr>
    <w:r w:rsidRPr="00B70C1E">
      <w:t>K2100</w:t>
    </w:r>
    <w:r w:rsidR="003102B1">
      <w:t>82</w:t>
    </w:r>
    <w:r w:rsidR="007B6593">
      <w:t>6</w:t>
    </w:r>
    <w:r w:rsidRPr="00B70C1E">
      <w:tab/>
    </w:r>
    <w:r w:rsidR="007B6593">
      <w:t>0405</w:t>
    </w:r>
    <w:r w:rsidR="002B2483" w:rsidRPr="00B70C1E">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4718B" w14:textId="77777777" w:rsidR="00664763" w:rsidRPr="008E340B" w:rsidRDefault="00664763" w:rsidP="0019671B">
      <w:pPr>
        <w:pStyle w:val="Normal-pool"/>
        <w:tabs>
          <w:tab w:val="clear" w:pos="1247"/>
          <w:tab w:val="clear" w:pos="1814"/>
          <w:tab w:val="clear" w:pos="2381"/>
          <w:tab w:val="clear" w:pos="2948"/>
          <w:tab w:val="clear" w:pos="3515"/>
          <w:tab w:val="clear" w:pos="4082"/>
          <w:tab w:val="left" w:pos="624"/>
        </w:tabs>
        <w:spacing w:before="60"/>
        <w:ind w:left="624"/>
        <w:rPr>
          <w:sz w:val="18"/>
          <w:szCs w:val="18"/>
        </w:rPr>
      </w:pPr>
      <w:r w:rsidRPr="008E340B">
        <w:rPr>
          <w:sz w:val="18"/>
          <w:szCs w:val="18"/>
        </w:rPr>
        <w:separator/>
      </w:r>
    </w:p>
  </w:footnote>
  <w:footnote w:type="continuationSeparator" w:id="0">
    <w:p w14:paraId="5C1E9676" w14:textId="77777777" w:rsidR="00664763" w:rsidRDefault="00664763">
      <w:r>
        <w:continuationSeparator/>
      </w:r>
    </w:p>
  </w:footnote>
  <w:footnote w:type="continuationNotice" w:id="1">
    <w:p w14:paraId="54E2A95E" w14:textId="77777777" w:rsidR="00664763" w:rsidRDefault="00664763"/>
  </w:footnote>
  <w:footnote w:id="2">
    <w:p w14:paraId="60149BB0" w14:textId="4F609F3D" w:rsidR="00B95FB0" w:rsidRPr="007B6593" w:rsidRDefault="00B95FB0" w:rsidP="0019671B">
      <w:pPr>
        <w:pStyle w:val="Normal-pool"/>
        <w:tabs>
          <w:tab w:val="clear" w:pos="1247"/>
          <w:tab w:val="clear" w:pos="1814"/>
          <w:tab w:val="clear" w:pos="2381"/>
          <w:tab w:val="clear" w:pos="2948"/>
          <w:tab w:val="clear" w:pos="3515"/>
          <w:tab w:val="clear" w:pos="4082"/>
          <w:tab w:val="left" w:pos="624"/>
        </w:tabs>
        <w:spacing w:before="20" w:after="40"/>
        <w:ind w:left="1247"/>
        <w:rPr>
          <w:sz w:val="18"/>
          <w:szCs w:val="18"/>
          <w:lang w:val="fr-FR"/>
        </w:rPr>
      </w:pPr>
      <w:r w:rsidRPr="007B6593">
        <w:rPr>
          <w:sz w:val="18"/>
          <w:szCs w:val="18"/>
          <w:lang w:val="fr-FR"/>
        </w:rPr>
        <w:t>* IPBES/8/1.</w:t>
      </w:r>
    </w:p>
  </w:footnote>
  <w:footnote w:id="3">
    <w:p w14:paraId="7462C6DD" w14:textId="31FEEA01" w:rsidR="00CA34FE" w:rsidRPr="007B6593" w:rsidRDefault="00CA34FE" w:rsidP="0019671B">
      <w:pPr>
        <w:pStyle w:val="FootnoteText"/>
        <w:tabs>
          <w:tab w:val="clear" w:pos="1247"/>
          <w:tab w:val="clear" w:pos="1814"/>
          <w:tab w:val="clear" w:pos="2381"/>
          <w:tab w:val="clear" w:pos="2948"/>
          <w:tab w:val="clear" w:pos="3515"/>
          <w:tab w:val="clear" w:pos="4082"/>
          <w:tab w:val="left" w:pos="624"/>
        </w:tabs>
        <w:rPr>
          <w:szCs w:val="18"/>
        </w:rPr>
      </w:pPr>
      <w:r w:rsidRPr="007B6593">
        <w:rPr>
          <w:rStyle w:val="FootnoteReference"/>
          <w:sz w:val="18"/>
          <w:lang w:val="fr-FR"/>
        </w:rPr>
        <w:footnoteRef/>
      </w:r>
      <w:r w:rsidRPr="007B6593">
        <w:rPr>
          <w:szCs w:val="18"/>
          <w:lang w:val="fr-FR"/>
        </w:rPr>
        <w:t xml:space="preserve"> IPBES/7/INF/17 (Note du secrétariat sur les activités de mise en œuvre des recommandations issues du</w:t>
      </w:r>
      <w:r w:rsidR="007B6593">
        <w:rPr>
          <w:szCs w:val="18"/>
          <w:lang w:val="fr-FR"/>
        </w:rPr>
        <w:t> </w:t>
      </w:r>
      <w:r w:rsidRPr="007B6593">
        <w:rPr>
          <w:szCs w:val="18"/>
          <w:lang w:val="fr-FR"/>
        </w:rPr>
        <w:t>rapport</w:t>
      </w:r>
      <w:r w:rsidR="007B6593">
        <w:rPr>
          <w:szCs w:val="18"/>
          <w:lang w:val="fr-FR"/>
        </w:rPr>
        <w:t> </w:t>
      </w:r>
      <w:r w:rsidRPr="007B6593">
        <w:rPr>
          <w:szCs w:val="18"/>
          <w:lang w:val="fr-FR"/>
        </w:rPr>
        <w:t>d</w:t>
      </w:r>
      <w:r w:rsidR="003C0D97" w:rsidRPr="007B6593">
        <w:rPr>
          <w:szCs w:val="18"/>
          <w:lang w:val="fr-FR"/>
        </w:rPr>
        <w:t>’</w:t>
      </w:r>
      <w:r w:rsidRPr="007B6593">
        <w:rPr>
          <w:szCs w:val="18"/>
          <w:lang w:val="fr-FR"/>
        </w:rPr>
        <w:t>examen interne).</w:t>
      </w:r>
    </w:p>
  </w:footnote>
  <w:footnote w:id="4">
    <w:p w14:paraId="057A75D0" w14:textId="77777777" w:rsidR="00182353" w:rsidRPr="007B6593" w:rsidRDefault="00182353" w:rsidP="00182353">
      <w:pPr>
        <w:pStyle w:val="FootnoteText"/>
        <w:tabs>
          <w:tab w:val="clear" w:pos="1247"/>
          <w:tab w:val="clear" w:pos="1814"/>
          <w:tab w:val="clear" w:pos="2381"/>
          <w:tab w:val="clear" w:pos="2948"/>
          <w:tab w:val="clear" w:pos="3515"/>
          <w:tab w:val="clear" w:pos="4082"/>
          <w:tab w:val="left" w:pos="624"/>
        </w:tabs>
        <w:rPr>
          <w:szCs w:val="18"/>
        </w:rPr>
      </w:pPr>
      <w:r w:rsidRPr="007B6593">
        <w:rPr>
          <w:rStyle w:val="FootnoteReference"/>
          <w:sz w:val="18"/>
          <w:lang w:val="fr-FR"/>
        </w:rPr>
        <w:footnoteRef/>
      </w:r>
      <w:r w:rsidRPr="007B6593">
        <w:rPr>
          <w:szCs w:val="18"/>
          <w:lang w:val="fr-FR"/>
        </w:rPr>
        <w:t xml:space="preserve"> IPBES/7/INF/18.</w:t>
      </w:r>
    </w:p>
  </w:footnote>
  <w:footnote w:id="5">
    <w:p w14:paraId="258E7C8B" w14:textId="77777777" w:rsidR="00182353" w:rsidRPr="007B6593" w:rsidRDefault="00182353" w:rsidP="00182353">
      <w:pPr>
        <w:pStyle w:val="FootnoteText"/>
        <w:tabs>
          <w:tab w:val="clear" w:pos="1247"/>
          <w:tab w:val="clear" w:pos="1814"/>
          <w:tab w:val="clear" w:pos="2381"/>
          <w:tab w:val="clear" w:pos="2948"/>
          <w:tab w:val="clear" w:pos="3515"/>
          <w:tab w:val="clear" w:pos="4082"/>
          <w:tab w:val="left" w:pos="624"/>
        </w:tabs>
        <w:rPr>
          <w:szCs w:val="18"/>
        </w:rPr>
      </w:pPr>
      <w:r w:rsidRPr="007B6593">
        <w:rPr>
          <w:rStyle w:val="FootnoteReference"/>
          <w:sz w:val="18"/>
          <w:lang w:val="fr-FR"/>
        </w:rPr>
        <w:footnoteRef/>
      </w:r>
      <w:r w:rsidRPr="007B6593">
        <w:rPr>
          <w:szCs w:val="18"/>
          <w:lang w:val="fr-FR"/>
        </w:rPr>
        <w:t xml:space="preserve"> IPBES/7/INF/19.</w:t>
      </w:r>
    </w:p>
  </w:footnote>
  <w:footnote w:id="6">
    <w:p w14:paraId="7D176666" w14:textId="77777777" w:rsidR="00CA34FE" w:rsidRPr="007B6593" w:rsidRDefault="00CA34FE" w:rsidP="0019671B">
      <w:pPr>
        <w:pStyle w:val="FootnoteText"/>
        <w:tabs>
          <w:tab w:val="clear" w:pos="1247"/>
          <w:tab w:val="clear" w:pos="1814"/>
          <w:tab w:val="clear" w:pos="2381"/>
          <w:tab w:val="clear" w:pos="2948"/>
          <w:tab w:val="clear" w:pos="3515"/>
          <w:tab w:val="clear" w:pos="4082"/>
          <w:tab w:val="left" w:pos="624"/>
        </w:tabs>
        <w:rPr>
          <w:szCs w:val="18"/>
        </w:rPr>
      </w:pPr>
      <w:r w:rsidRPr="007B6593">
        <w:rPr>
          <w:rStyle w:val="FootnoteReference"/>
          <w:sz w:val="18"/>
          <w:lang w:val="fr-FR"/>
        </w:rPr>
        <w:footnoteRef/>
      </w:r>
      <w:r w:rsidRPr="007B6593">
        <w:rPr>
          <w:szCs w:val="18"/>
          <w:lang w:val="fr-FR"/>
        </w:rPr>
        <w:t xml:space="preserve"> IPBES/7/INF/20.</w:t>
      </w:r>
    </w:p>
  </w:footnote>
  <w:footnote w:id="7">
    <w:p w14:paraId="7BBEBE7F" w14:textId="708F7E7D" w:rsidR="0068741A" w:rsidRPr="00E8655E" w:rsidRDefault="0068741A" w:rsidP="0068741A">
      <w:pPr>
        <w:pStyle w:val="Normal-pool"/>
        <w:spacing w:before="20" w:after="40"/>
        <w:ind w:left="1247"/>
        <w:rPr>
          <w:sz w:val="18"/>
          <w:szCs w:val="18"/>
          <w:lang w:val="fr-FR"/>
        </w:rPr>
      </w:pPr>
      <w:r w:rsidRPr="00E8655E">
        <w:rPr>
          <w:rStyle w:val="FootnoteReference"/>
          <w:sz w:val="18"/>
          <w:lang w:val="fr-FR"/>
        </w:rPr>
        <w:footnoteRef/>
      </w:r>
      <w:r w:rsidRPr="00E8655E">
        <w:rPr>
          <w:sz w:val="18"/>
          <w:szCs w:val="18"/>
          <w:lang w:val="fr-FR"/>
        </w:rPr>
        <w:t xml:space="preserve"> Adopté par la décision</w:t>
      </w:r>
      <w:r w:rsidR="00E8655E" w:rsidRPr="00E8655E">
        <w:rPr>
          <w:sz w:val="18"/>
          <w:szCs w:val="18"/>
          <w:lang w:val="fr-FR"/>
        </w:rPr>
        <w:t> </w:t>
      </w:r>
      <w:r w:rsidRPr="00E8655E">
        <w:rPr>
          <w:sz w:val="18"/>
          <w:szCs w:val="18"/>
          <w:lang w:val="fr-FR"/>
        </w:rPr>
        <w:t>IPBES</w:t>
      </w:r>
      <w:r w:rsidRPr="00E8655E">
        <w:rPr>
          <w:sz w:val="18"/>
          <w:szCs w:val="18"/>
          <w:lang w:val="fr-FR"/>
        </w:rPr>
        <w:noBreakHyphen/>
        <w:t>1/1 et modifié par la décision</w:t>
      </w:r>
      <w:r w:rsidR="00E8655E" w:rsidRPr="00E8655E">
        <w:rPr>
          <w:sz w:val="18"/>
          <w:szCs w:val="18"/>
          <w:lang w:val="fr-FR"/>
        </w:rPr>
        <w:t> </w:t>
      </w:r>
      <w:r w:rsidRPr="00E8655E">
        <w:rPr>
          <w:sz w:val="18"/>
          <w:szCs w:val="18"/>
          <w:lang w:val="fr-FR"/>
        </w:rPr>
        <w:t>IPBES</w:t>
      </w:r>
      <w:r w:rsidRPr="00E8655E">
        <w:rPr>
          <w:sz w:val="18"/>
          <w:szCs w:val="18"/>
          <w:lang w:val="fr-FR"/>
        </w:rPr>
        <w:noBreakHyphen/>
        <w:t>2/1.</w:t>
      </w:r>
    </w:p>
  </w:footnote>
  <w:footnote w:id="8">
    <w:p w14:paraId="62621AE8" w14:textId="68C3C7F2" w:rsidR="0068741A" w:rsidRPr="00E8655E" w:rsidRDefault="0068741A" w:rsidP="0068741A">
      <w:pPr>
        <w:pStyle w:val="Normal-pool"/>
        <w:spacing w:before="20" w:after="40"/>
        <w:ind w:left="1247"/>
        <w:rPr>
          <w:sz w:val="18"/>
          <w:szCs w:val="18"/>
          <w:lang w:val="fr-FR"/>
        </w:rPr>
      </w:pPr>
      <w:r w:rsidRPr="00E8655E">
        <w:rPr>
          <w:rStyle w:val="FootnoteReference"/>
          <w:sz w:val="18"/>
          <w:lang w:val="fr-FR"/>
        </w:rPr>
        <w:footnoteRef/>
      </w:r>
      <w:r w:rsidRPr="00E8655E">
        <w:rPr>
          <w:sz w:val="18"/>
          <w:szCs w:val="18"/>
          <w:lang w:val="fr-FR"/>
        </w:rPr>
        <w:t xml:space="preserve"> Décision IPBES</w:t>
      </w:r>
      <w:r w:rsidRPr="00E8655E">
        <w:rPr>
          <w:sz w:val="18"/>
          <w:szCs w:val="18"/>
          <w:lang w:val="fr-FR"/>
        </w:rPr>
        <w:noBreakHyphen/>
        <w:t>3/3, annexe I.</w:t>
      </w:r>
    </w:p>
  </w:footnote>
  <w:footnote w:id="9">
    <w:p w14:paraId="46DBE876" w14:textId="39DA817B" w:rsidR="00CA34FE" w:rsidRPr="00E8655E" w:rsidRDefault="00CA34FE" w:rsidP="002B2483">
      <w:pPr>
        <w:pStyle w:val="Normal-pool"/>
        <w:spacing w:before="20" w:after="40"/>
        <w:ind w:left="1247"/>
        <w:rPr>
          <w:sz w:val="18"/>
          <w:szCs w:val="18"/>
          <w:lang w:val="fr-FR"/>
        </w:rPr>
      </w:pPr>
      <w:r w:rsidRPr="00E8655E">
        <w:rPr>
          <w:rStyle w:val="FootnoteReference"/>
          <w:sz w:val="18"/>
          <w:lang w:val="fr-FR"/>
        </w:rPr>
        <w:footnoteRef/>
      </w:r>
      <w:r w:rsidRPr="00E8655E">
        <w:rPr>
          <w:sz w:val="18"/>
          <w:szCs w:val="18"/>
          <w:lang w:val="fr-FR"/>
        </w:rPr>
        <w:t xml:space="preserve"> Voir https://ipbes.net/national</w:t>
      </w:r>
      <w:r w:rsidR="00235D46" w:rsidRPr="00E8655E">
        <w:rPr>
          <w:sz w:val="18"/>
          <w:szCs w:val="18"/>
          <w:lang w:val="fr-FR"/>
        </w:rPr>
        <w:noBreakHyphen/>
      </w:r>
      <w:r w:rsidRPr="00E8655E">
        <w:rPr>
          <w:sz w:val="18"/>
          <w:szCs w:val="18"/>
          <w:lang w:val="fr-FR"/>
        </w:rPr>
        <w:t>focal</w:t>
      </w:r>
      <w:r w:rsidR="00235D46" w:rsidRPr="00E8655E">
        <w:rPr>
          <w:sz w:val="18"/>
          <w:szCs w:val="18"/>
          <w:lang w:val="fr-FR"/>
        </w:rPr>
        <w:noBreakHyphen/>
      </w:r>
      <w:r w:rsidRPr="00E8655E">
        <w:rPr>
          <w:sz w:val="18"/>
          <w:szCs w:val="18"/>
          <w:lang w:val="fr-FR"/>
        </w:rPr>
        <w:t>points.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506FD" w14:textId="17B75051" w:rsidR="00B95FB0" w:rsidRPr="008520C8" w:rsidRDefault="00B95FB0" w:rsidP="003C0D97">
    <w:pPr>
      <w:pStyle w:val="Header-pool"/>
    </w:pPr>
    <w:r>
      <w:t>IPBES/8/</w:t>
    </w:r>
    <w:r w:rsidR="003102B1">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20545" w14:textId="6E90DFC8" w:rsidR="00B95FB0" w:rsidRPr="008520C8" w:rsidRDefault="00B95FB0" w:rsidP="00B24A20">
    <w:pPr>
      <w:pStyle w:val="Header-pool"/>
      <w:jc w:val="right"/>
    </w:pPr>
    <w:r w:rsidRPr="00B24A20">
      <w:t>IPBES</w:t>
    </w:r>
    <w:r>
      <w:t>/8/</w:t>
    </w:r>
    <w:r w:rsidR="003102B1">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DCF7" w14:textId="3F0E03DF" w:rsidR="006C380C" w:rsidRDefault="006C380C" w:rsidP="006C380C">
    <w:pPr>
      <w:pStyle w:val="Header-pool"/>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47B62"/>
    <w:multiLevelType w:val="hybridMultilevel"/>
    <w:tmpl w:val="8F0091B2"/>
    <w:lvl w:ilvl="0" w:tplc="A0C29960">
      <w:start w:val="1"/>
      <w:numFmt w:val="upperRoman"/>
      <w:lvlText w:val="%1."/>
      <w:lvlJc w:val="left"/>
      <w:pPr>
        <w:ind w:left="1208" w:hanging="84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571867"/>
    <w:multiLevelType w:val="singleLevel"/>
    <w:tmpl w:val="9AB82FE2"/>
    <w:lvl w:ilvl="0">
      <w:start w:val="1"/>
      <w:numFmt w:val="upperRoman"/>
      <w:lvlText w:val="%1."/>
      <w:lvlJc w:val="left"/>
      <w:pPr>
        <w:tabs>
          <w:tab w:val="num" w:pos="720"/>
        </w:tabs>
        <w:ind w:left="720" w:hanging="720"/>
      </w:pPr>
      <w:rPr>
        <w:rFonts w:hint="default"/>
      </w:rPr>
    </w:lvl>
  </w:abstractNum>
  <w:abstractNum w:abstractNumId="2" w15:restartNumberingAfterBreak="0">
    <w:nsid w:val="2331508A"/>
    <w:multiLevelType w:val="hybridMultilevel"/>
    <w:tmpl w:val="DA64C528"/>
    <w:lvl w:ilvl="0" w:tplc="E446D674">
      <w:start w:val="1"/>
      <w:numFmt w:val="upperRoman"/>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571603"/>
    <w:multiLevelType w:val="singleLevel"/>
    <w:tmpl w:val="53BE2666"/>
    <w:lvl w:ilvl="0">
      <w:start w:val="6"/>
      <w:numFmt w:val="upperLetter"/>
      <w:lvlText w:val="%1."/>
      <w:lvlJc w:val="left"/>
      <w:pPr>
        <w:tabs>
          <w:tab w:val="num" w:pos="360"/>
        </w:tabs>
        <w:ind w:left="360" w:hanging="360"/>
      </w:pPr>
      <w:rPr>
        <w:rFonts w:hint="default"/>
      </w:r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62291BF8"/>
    <w:multiLevelType w:val="multilevel"/>
    <w:tmpl w:val="F4ACF36E"/>
    <w:numStyleLink w:val="Normallist"/>
  </w:abstractNum>
  <w:abstractNum w:abstractNumId="6" w15:restartNumberingAfterBreak="0">
    <w:nsid w:val="779976C2"/>
    <w:multiLevelType w:val="hybridMultilevel"/>
    <w:tmpl w:val="5044B048"/>
    <w:lvl w:ilvl="0" w:tplc="A24A6468">
      <w:start w:val="1"/>
      <w:numFmt w:val="upperLetter"/>
      <w:lvlText w:val="%1."/>
      <w:lvlJc w:val="left"/>
      <w:pPr>
        <w:ind w:left="1208" w:hanging="848"/>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4"/>
    <w:lvlOverride w:ilvl="0">
      <w:lvl w:ilvl="0">
        <w:start w:val="1"/>
        <w:numFmt w:val="decimal"/>
        <w:pStyle w:val="Normalnumber"/>
        <w:lvlText w:val="%1."/>
        <w:lvlJc w:val="left"/>
        <w:pPr>
          <w:tabs>
            <w:tab w:val="num" w:pos="1247"/>
          </w:tabs>
          <w:ind w:left="1247" w:firstLine="0"/>
        </w:pPr>
        <w:rPr>
          <w:rFonts w:hint="default"/>
        </w:rPr>
      </w:lvl>
    </w:lvlOverride>
  </w:num>
  <w:num w:numId="5">
    <w:abstractNumId w:val="4"/>
    <w:lvlOverride w:ilvl="0">
      <w:lvl w:ilvl="0">
        <w:start w:val="1"/>
        <w:numFmt w:val="decimal"/>
        <w:pStyle w:val="Normalnumber"/>
        <w:lvlText w:val="%1."/>
        <w:lvlJc w:val="left"/>
        <w:pPr>
          <w:tabs>
            <w:tab w:val="num" w:pos="1134"/>
          </w:tabs>
          <w:ind w:left="1247" w:firstLine="0"/>
        </w:pPr>
        <w:rPr>
          <w:rFonts w:hint="default"/>
          <w:b w:val="0"/>
          <w:bCs w:val="0"/>
        </w:rPr>
      </w:lvl>
    </w:lvlOverride>
  </w:num>
  <w:num w:numId="6">
    <w:abstractNumId w:val="6"/>
  </w:num>
  <w:num w:numId="7">
    <w:abstractNumId w:val="0"/>
  </w:num>
  <w:num w:numId="8">
    <w:abstractNumId w:val="4"/>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2"/>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CA" w:vendorID="64" w:dllVersion="0" w:nlCheck="1" w:checkStyle="0"/>
  <w:activeWritingStyle w:appName="MSWord" w:lang="fr-CH"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3A00"/>
    <w:rsid w:val="00004D04"/>
    <w:rsid w:val="000067CD"/>
    <w:rsid w:val="00006907"/>
    <w:rsid w:val="00006F96"/>
    <w:rsid w:val="00013001"/>
    <w:rsid w:val="00013746"/>
    <w:rsid w:val="000149E6"/>
    <w:rsid w:val="0001582F"/>
    <w:rsid w:val="000247B0"/>
    <w:rsid w:val="00026997"/>
    <w:rsid w:val="000278C7"/>
    <w:rsid w:val="00033CA9"/>
    <w:rsid w:val="00033E0B"/>
    <w:rsid w:val="00035E6B"/>
    <w:rsid w:val="00035EDE"/>
    <w:rsid w:val="0004530B"/>
    <w:rsid w:val="0004771A"/>
    <w:rsid w:val="000509B4"/>
    <w:rsid w:val="00051364"/>
    <w:rsid w:val="00051A9C"/>
    <w:rsid w:val="00053992"/>
    <w:rsid w:val="0005530D"/>
    <w:rsid w:val="00056590"/>
    <w:rsid w:val="0006035B"/>
    <w:rsid w:val="00065148"/>
    <w:rsid w:val="000710F0"/>
    <w:rsid w:val="0007118B"/>
    <w:rsid w:val="00071886"/>
    <w:rsid w:val="00073928"/>
    <w:rsid w:val="000742BC"/>
    <w:rsid w:val="00081FB3"/>
    <w:rsid w:val="00082A0C"/>
    <w:rsid w:val="00083504"/>
    <w:rsid w:val="00086A10"/>
    <w:rsid w:val="00094243"/>
    <w:rsid w:val="000956A3"/>
    <w:rsid w:val="0009640C"/>
    <w:rsid w:val="00097C47"/>
    <w:rsid w:val="000A146D"/>
    <w:rsid w:val="000A4CFF"/>
    <w:rsid w:val="000A5E83"/>
    <w:rsid w:val="000B0942"/>
    <w:rsid w:val="000B22A2"/>
    <w:rsid w:val="000B233F"/>
    <w:rsid w:val="000B77D5"/>
    <w:rsid w:val="000B7C23"/>
    <w:rsid w:val="000C22B3"/>
    <w:rsid w:val="000C2809"/>
    <w:rsid w:val="000C2A52"/>
    <w:rsid w:val="000D33C0"/>
    <w:rsid w:val="000D6941"/>
    <w:rsid w:val="000F3AB7"/>
    <w:rsid w:val="000F45BD"/>
    <w:rsid w:val="000F484C"/>
    <w:rsid w:val="000F53CB"/>
    <w:rsid w:val="000F6E8E"/>
    <w:rsid w:val="00101D6B"/>
    <w:rsid w:val="001036A6"/>
    <w:rsid w:val="00105686"/>
    <w:rsid w:val="0010728A"/>
    <w:rsid w:val="0010748A"/>
    <w:rsid w:val="0011071F"/>
    <w:rsid w:val="001124F6"/>
    <w:rsid w:val="00115A54"/>
    <w:rsid w:val="0011664B"/>
    <w:rsid w:val="001202E3"/>
    <w:rsid w:val="001207A8"/>
    <w:rsid w:val="00120C90"/>
    <w:rsid w:val="00121C5E"/>
    <w:rsid w:val="00122051"/>
    <w:rsid w:val="00122CE8"/>
    <w:rsid w:val="00123699"/>
    <w:rsid w:val="00126FF9"/>
    <w:rsid w:val="0013059D"/>
    <w:rsid w:val="001339D1"/>
    <w:rsid w:val="00137C36"/>
    <w:rsid w:val="00140369"/>
    <w:rsid w:val="00141910"/>
    <w:rsid w:val="00141A55"/>
    <w:rsid w:val="00144138"/>
    <w:rsid w:val="001446A3"/>
    <w:rsid w:val="00144A8F"/>
    <w:rsid w:val="00144E6E"/>
    <w:rsid w:val="00154CA8"/>
    <w:rsid w:val="00155395"/>
    <w:rsid w:val="00155A46"/>
    <w:rsid w:val="0015635E"/>
    <w:rsid w:val="0015720A"/>
    <w:rsid w:val="00160D74"/>
    <w:rsid w:val="00162265"/>
    <w:rsid w:val="00165BA4"/>
    <w:rsid w:val="00167D02"/>
    <w:rsid w:val="00176752"/>
    <w:rsid w:val="00181EC8"/>
    <w:rsid w:val="00182353"/>
    <w:rsid w:val="00184349"/>
    <w:rsid w:val="00186746"/>
    <w:rsid w:val="00195F33"/>
    <w:rsid w:val="0019671B"/>
    <w:rsid w:val="001A1536"/>
    <w:rsid w:val="001A1668"/>
    <w:rsid w:val="001B1617"/>
    <w:rsid w:val="001B504B"/>
    <w:rsid w:val="001B62D5"/>
    <w:rsid w:val="001B7586"/>
    <w:rsid w:val="001C0DFB"/>
    <w:rsid w:val="001C181F"/>
    <w:rsid w:val="001C41F6"/>
    <w:rsid w:val="001C462A"/>
    <w:rsid w:val="001C477B"/>
    <w:rsid w:val="001D1BB2"/>
    <w:rsid w:val="001D265E"/>
    <w:rsid w:val="001D3874"/>
    <w:rsid w:val="001D7E75"/>
    <w:rsid w:val="001E1F18"/>
    <w:rsid w:val="001E40DE"/>
    <w:rsid w:val="001E56D2"/>
    <w:rsid w:val="001E7C76"/>
    <w:rsid w:val="001E7D56"/>
    <w:rsid w:val="001F5AE3"/>
    <w:rsid w:val="001F75DE"/>
    <w:rsid w:val="00200D58"/>
    <w:rsid w:val="002013BE"/>
    <w:rsid w:val="002030D2"/>
    <w:rsid w:val="00205B4A"/>
    <w:rsid w:val="002063A4"/>
    <w:rsid w:val="002069EA"/>
    <w:rsid w:val="0021145B"/>
    <w:rsid w:val="0021458E"/>
    <w:rsid w:val="002146B9"/>
    <w:rsid w:val="00217178"/>
    <w:rsid w:val="002255A8"/>
    <w:rsid w:val="00227347"/>
    <w:rsid w:val="00233E65"/>
    <w:rsid w:val="0023517A"/>
    <w:rsid w:val="00235D46"/>
    <w:rsid w:val="002369A9"/>
    <w:rsid w:val="00237E55"/>
    <w:rsid w:val="00243D36"/>
    <w:rsid w:val="00246854"/>
    <w:rsid w:val="00247707"/>
    <w:rsid w:val="00247AA6"/>
    <w:rsid w:val="00250606"/>
    <w:rsid w:val="002534F8"/>
    <w:rsid w:val="00254044"/>
    <w:rsid w:val="00255F1B"/>
    <w:rsid w:val="0026018E"/>
    <w:rsid w:val="00262E3D"/>
    <w:rsid w:val="00264E7C"/>
    <w:rsid w:val="00265D2A"/>
    <w:rsid w:val="0026656F"/>
    <w:rsid w:val="002761A9"/>
    <w:rsid w:val="00280581"/>
    <w:rsid w:val="002837D2"/>
    <w:rsid w:val="0028557B"/>
    <w:rsid w:val="00286740"/>
    <w:rsid w:val="002874CC"/>
    <w:rsid w:val="002910FA"/>
    <w:rsid w:val="002929D8"/>
    <w:rsid w:val="00293967"/>
    <w:rsid w:val="0029478F"/>
    <w:rsid w:val="002A237D"/>
    <w:rsid w:val="002A4C53"/>
    <w:rsid w:val="002A650A"/>
    <w:rsid w:val="002A693B"/>
    <w:rsid w:val="002A718E"/>
    <w:rsid w:val="002A7945"/>
    <w:rsid w:val="002B0672"/>
    <w:rsid w:val="002B0FF1"/>
    <w:rsid w:val="002B2433"/>
    <w:rsid w:val="002B247F"/>
    <w:rsid w:val="002B2483"/>
    <w:rsid w:val="002B2737"/>
    <w:rsid w:val="002B27F6"/>
    <w:rsid w:val="002B61F6"/>
    <w:rsid w:val="002C1316"/>
    <w:rsid w:val="002C145D"/>
    <w:rsid w:val="002C2C3E"/>
    <w:rsid w:val="002C533E"/>
    <w:rsid w:val="002C7D1D"/>
    <w:rsid w:val="002D027F"/>
    <w:rsid w:val="002D0937"/>
    <w:rsid w:val="002D3F03"/>
    <w:rsid w:val="002D7A85"/>
    <w:rsid w:val="002D7B60"/>
    <w:rsid w:val="002E19D6"/>
    <w:rsid w:val="002E1A8D"/>
    <w:rsid w:val="002E2371"/>
    <w:rsid w:val="002E281D"/>
    <w:rsid w:val="002E32E9"/>
    <w:rsid w:val="002E364F"/>
    <w:rsid w:val="002E3B3B"/>
    <w:rsid w:val="002E4F3F"/>
    <w:rsid w:val="002E7DC6"/>
    <w:rsid w:val="002F1AE7"/>
    <w:rsid w:val="002F2006"/>
    <w:rsid w:val="002F2633"/>
    <w:rsid w:val="002F3AE1"/>
    <w:rsid w:val="002F4761"/>
    <w:rsid w:val="002F5086"/>
    <w:rsid w:val="002F5C79"/>
    <w:rsid w:val="003019E2"/>
    <w:rsid w:val="00303337"/>
    <w:rsid w:val="00304948"/>
    <w:rsid w:val="00306862"/>
    <w:rsid w:val="003102B1"/>
    <w:rsid w:val="0031228B"/>
    <w:rsid w:val="0031413F"/>
    <w:rsid w:val="00314727"/>
    <w:rsid w:val="003148BB"/>
    <w:rsid w:val="00314911"/>
    <w:rsid w:val="00317976"/>
    <w:rsid w:val="0032445A"/>
    <w:rsid w:val="00333853"/>
    <w:rsid w:val="00335D88"/>
    <w:rsid w:val="00340280"/>
    <w:rsid w:val="003404B2"/>
    <w:rsid w:val="0034080D"/>
    <w:rsid w:val="003409EF"/>
    <w:rsid w:val="00342444"/>
    <w:rsid w:val="003442DB"/>
    <w:rsid w:val="00345569"/>
    <w:rsid w:val="00355EA9"/>
    <w:rsid w:val="003578DE"/>
    <w:rsid w:val="00360464"/>
    <w:rsid w:val="00366EBE"/>
    <w:rsid w:val="003732D8"/>
    <w:rsid w:val="003734E0"/>
    <w:rsid w:val="0037782F"/>
    <w:rsid w:val="003805DB"/>
    <w:rsid w:val="00380F5E"/>
    <w:rsid w:val="003827C2"/>
    <w:rsid w:val="0038333E"/>
    <w:rsid w:val="003854ED"/>
    <w:rsid w:val="00385969"/>
    <w:rsid w:val="003872A4"/>
    <w:rsid w:val="0038742A"/>
    <w:rsid w:val="003924A7"/>
    <w:rsid w:val="00394A52"/>
    <w:rsid w:val="00395DE3"/>
    <w:rsid w:val="00396257"/>
    <w:rsid w:val="00396929"/>
    <w:rsid w:val="00397EB8"/>
    <w:rsid w:val="003A0940"/>
    <w:rsid w:val="003A4FD0"/>
    <w:rsid w:val="003A5245"/>
    <w:rsid w:val="003A66BF"/>
    <w:rsid w:val="003A69D1"/>
    <w:rsid w:val="003A7705"/>
    <w:rsid w:val="003A77F1"/>
    <w:rsid w:val="003B1545"/>
    <w:rsid w:val="003C0D97"/>
    <w:rsid w:val="003C409D"/>
    <w:rsid w:val="003C5A14"/>
    <w:rsid w:val="003C5BA6"/>
    <w:rsid w:val="003C65E1"/>
    <w:rsid w:val="003C6ABD"/>
    <w:rsid w:val="003D2432"/>
    <w:rsid w:val="003E04E3"/>
    <w:rsid w:val="003E51E1"/>
    <w:rsid w:val="003E53C3"/>
    <w:rsid w:val="003E57FD"/>
    <w:rsid w:val="003F0C27"/>
    <w:rsid w:val="003F0E85"/>
    <w:rsid w:val="003F561B"/>
    <w:rsid w:val="003F6047"/>
    <w:rsid w:val="00400471"/>
    <w:rsid w:val="00405D77"/>
    <w:rsid w:val="0040625A"/>
    <w:rsid w:val="00407DBA"/>
    <w:rsid w:val="00410098"/>
    <w:rsid w:val="004100EA"/>
    <w:rsid w:val="00410C55"/>
    <w:rsid w:val="00413ADD"/>
    <w:rsid w:val="00415145"/>
    <w:rsid w:val="00416854"/>
    <w:rsid w:val="00417725"/>
    <w:rsid w:val="00424992"/>
    <w:rsid w:val="00424A9E"/>
    <w:rsid w:val="00431621"/>
    <w:rsid w:val="004335EC"/>
    <w:rsid w:val="00433BDB"/>
    <w:rsid w:val="00435662"/>
    <w:rsid w:val="00437B82"/>
    <w:rsid w:val="00437F26"/>
    <w:rsid w:val="004432F8"/>
    <w:rsid w:val="00444097"/>
    <w:rsid w:val="00444857"/>
    <w:rsid w:val="00445487"/>
    <w:rsid w:val="00446553"/>
    <w:rsid w:val="004509A1"/>
    <w:rsid w:val="00454769"/>
    <w:rsid w:val="00466991"/>
    <w:rsid w:val="0047064C"/>
    <w:rsid w:val="00471270"/>
    <w:rsid w:val="00473F1F"/>
    <w:rsid w:val="004774FF"/>
    <w:rsid w:val="004868B8"/>
    <w:rsid w:val="00491D1C"/>
    <w:rsid w:val="004A0FE9"/>
    <w:rsid w:val="004A1A72"/>
    <w:rsid w:val="004A276F"/>
    <w:rsid w:val="004A345B"/>
    <w:rsid w:val="004A42E1"/>
    <w:rsid w:val="004A56B8"/>
    <w:rsid w:val="004B162C"/>
    <w:rsid w:val="004B2219"/>
    <w:rsid w:val="004B2401"/>
    <w:rsid w:val="004B505B"/>
    <w:rsid w:val="004B68FF"/>
    <w:rsid w:val="004C0870"/>
    <w:rsid w:val="004C10B0"/>
    <w:rsid w:val="004C2AED"/>
    <w:rsid w:val="004C3DBE"/>
    <w:rsid w:val="004C44F2"/>
    <w:rsid w:val="004C5C96"/>
    <w:rsid w:val="004D06A4"/>
    <w:rsid w:val="004F1A81"/>
    <w:rsid w:val="004F5670"/>
    <w:rsid w:val="004F5678"/>
    <w:rsid w:val="004F5D44"/>
    <w:rsid w:val="00500143"/>
    <w:rsid w:val="00500AAE"/>
    <w:rsid w:val="0050337B"/>
    <w:rsid w:val="00503E2A"/>
    <w:rsid w:val="00503F35"/>
    <w:rsid w:val="0050550B"/>
    <w:rsid w:val="005102AE"/>
    <w:rsid w:val="0051220F"/>
    <w:rsid w:val="00512B6E"/>
    <w:rsid w:val="0051306C"/>
    <w:rsid w:val="00513654"/>
    <w:rsid w:val="00513D0F"/>
    <w:rsid w:val="005140C4"/>
    <w:rsid w:val="00517857"/>
    <w:rsid w:val="005218D9"/>
    <w:rsid w:val="005240EF"/>
    <w:rsid w:val="00527B09"/>
    <w:rsid w:val="00527F80"/>
    <w:rsid w:val="00531443"/>
    <w:rsid w:val="00534943"/>
    <w:rsid w:val="00534BE0"/>
    <w:rsid w:val="00536186"/>
    <w:rsid w:val="00536901"/>
    <w:rsid w:val="0053794B"/>
    <w:rsid w:val="00540DB9"/>
    <w:rsid w:val="00541290"/>
    <w:rsid w:val="00541886"/>
    <w:rsid w:val="005422EA"/>
    <w:rsid w:val="005428E1"/>
    <w:rsid w:val="005442B9"/>
    <w:rsid w:val="00544997"/>
    <w:rsid w:val="00544CBB"/>
    <w:rsid w:val="0054571A"/>
    <w:rsid w:val="005518C8"/>
    <w:rsid w:val="005537BD"/>
    <w:rsid w:val="005563CC"/>
    <w:rsid w:val="005569BC"/>
    <w:rsid w:val="0056012A"/>
    <w:rsid w:val="0056312E"/>
    <w:rsid w:val="00566C86"/>
    <w:rsid w:val="00567A02"/>
    <w:rsid w:val="0057021E"/>
    <w:rsid w:val="00572FF5"/>
    <w:rsid w:val="0057315F"/>
    <w:rsid w:val="00576104"/>
    <w:rsid w:val="00577605"/>
    <w:rsid w:val="00581457"/>
    <w:rsid w:val="0058489B"/>
    <w:rsid w:val="005856D2"/>
    <w:rsid w:val="005871D4"/>
    <w:rsid w:val="005928D1"/>
    <w:rsid w:val="00592D62"/>
    <w:rsid w:val="005A0AD1"/>
    <w:rsid w:val="005A1727"/>
    <w:rsid w:val="005A1B89"/>
    <w:rsid w:val="005B0DEE"/>
    <w:rsid w:val="005B253A"/>
    <w:rsid w:val="005B5A0D"/>
    <w:rsid w:val="005C0AFC"/>
    <w:rsid w:val="005C67C8"/>
    <w:rsid w:val="005D0249"/>
    <w:rsid w:val="005D6E8C"/>
    <w:rsid w:val="005E1FE2"/>
    <w:rsid w:val="005E20B2"/>
    <w:rsid w:val="005E33E1"/>
    <w:rsid w:val="005E775D"/>
    <w:rsid w:val="005F04BD"/>
    <w:rsid w:val="005F066E"/>
    <w:rsid w:val="005F06C5"/>
    <w:rsid w:val="005F100C"/>
    <w:rsid w:val="005F5113"/>
    <w:rsid w:val="005F68DA"/>
    <w:rsid w:val="00600686"/>
    <w:rsid w:val="0060281F"/>
    <w:rsid w:val="006039BC"/>
    <w:rsid w:val="0060773B"/>
    <w:rsid w:val="006103AC"/>
    <w:rsid w:val="00614465"/>
    <w:rsid w:val="006157B5"/>
    <w:rsid w:val="0061664A"/>
    <w:rsid w:val="006169C8"/>
    <w:rsid w:val="00616EBB"/>
    <w:rsid w:val="00620592"/>
    <w:rsid w:val="00623423"/>
    <w:rsid w:val="0062430E"/>
    <w:rsid w:val="00626024"/>
    <w:rsid w:val="006263AE"/>
    <w:rsid w:val="00626FC6"/>
    <w:rsid w:val="00627A39"/>
    <w:rsid w:val="006303B4"/>
    <w:rsid w:val="0063309C"/>
    <w:rsid w:val="00633CF7"/>
    <w:rsid w:val="00633D3D"/>
    <w:rsid w:val="006348A6"/>
    <w:rsid w:val="00634A53"/>
    <w:rsid w:val="00636AB9"/>
    <w:rsid w:val="00641703"/>
    <w:rsid w:val="006431A6"/>
    <w:rsid w:val="006451EE"/>
    <w:rsid w:val="006459F6"/>
    <w:rsid w:val="006501AD"/>
    <w:rsid w:val="00650361"/>
    <w:rsid w:val="00651BFA"/>
    <w:rsid w:val="00651EF8"/>
    <w:rsid w:val="00654475"/>
    <w:rsid w:val="006552A2"/>
    <w:rsid w:val="00657A61"/>
    <w:rsid w:val="0066093D"/>
    <w:rsid w:val="00661A50"/>
    <w:rsid w:val="006625CF"/>
    <w:rsid w:val="00663561"/>
    <w:rsid w:val="00664763"/>
    <w:rsid w:val="00665A4B"/>
    <w:rsid w:val="00665D0A"/>
    <w:rsid w:val="006744B2"/>
    <w:rsid w:val="00674D0B"/>
    <w:rsid w:val="00676210"/>
    <w:rsid w:val="006767D3"/>
    <w:rsid w:val="0068303F"/>
    <w:rsid w:val="00684BC4"/>
    <w:rsid w:val="0068741A"/>
    <w:rsid w:val="00692E2A"/>
    <w:rsid w:val="006943A8"/>
    <w:rsid w:val="0069482B"/>
    <w:rsid w:val="006A3340"/>
    <w:rsid w:val="006A5370"/>
    <w:rsid w:val="006A5631"/>
    <w:rsid w:val="006A5DEE"/>
    <w:rsid w:val="006A76F2"/>
    <w:rsid w:val="006B164F"/>
    <w:rsid w:val="006C10B1"/>
    <w:rsid w:val="006C21EC"/>
    <w:rsid w:val="006C380C"/>
    <w:rsid w:val="006C3EAE"/>
    <w:rsid w:val="006C441F"/>
    <w:rsid w:val="006C5665"/>
    <w:rsid w:val="006D03CB"/>
    <w:rsid w:val="006D7EFB"/>
    <w:rsid w:val="006E2544"/>
    <w:rsid w:val="006E54C2"/>
    <w:rsid w:val="006E6672"/>
    <w:rsid w:val="006E6722"/>
    <w:rsid w:val="006F0854"/>
    <w:rsid w:val="006F188E"/>
    <w:rsid w:val="006F2773"/>
    <w:rsid w:val="006F3B81"/>
    <w:rsid w:val="006F7CEF"/>
    <w:rsid w:val="00701DB8"/>
    <w:rsid w:val="007027B9"/>
    <w:rsid w:val="007114EE"/>
    <w:rsid w:val="00715E88"/>
    <w:rsid w:val="00721848"/>
    <w:rsid w:val="0072413C"/>
    <w:rsid w:val="00726546"/>
    <w:rsid w:val="00727BC1"/>
    <w:rsid w:val="0073003A"/>
    <w:rsid w:val="007322BD"/>
    <w:rsid w:val="00734CAA"/>
    <w:rsid w:val="00737411"/>
    <w:rsid w:val="007418EA"/>
    <w:rsid w:val="007454AF"/>
    <w:rsid w:val="00746D05"/>
    <w:rsid w:val="007476C3"/>
    <w:rsid w:val="007538EE"/>
    <w:rsid w:val="0075533C"/>
    <w:rsid w:val="007554EA"/>
    <w:rsid w:val="00756B25"/>
    <w:rsid w:val="00756B2D"/>
    <w:rsid w:val="00757581"/>
    <w:rsid w:val="007611A0"/>
    <w:rsid w:val="00761C3B"/>
    <w:rsid w:val="007637BF"/>
    <w:rsid w:val="00764A22"/>
    <w:rsid w:val="00766FC6"/>
    <w:rsid w:val="00774907"/>
    <w:rsid w:val="007756D9"/>
    <w:rsid w:val="00777061"/>
    <w:rsid w:val="007806CC"/>
    <w:rsid w:val="0078070A"/>
    <w:rsid w:val="007817A5"/>
    <w:rsid w:val="00784F0D"/>
    <w:rsid w:val="00785BA4"/>
    <w:rsid w:val="00791D40"/>
    <w:rsid w:val="00793B47"/>
    <w:rsid w:val="0079434B"/>
    <w:rsid w:val="00794A5A"/>
    <w:rsid w:val="00796D3F"/>
    <w:rsid w:val="007970D6"/>
    <w:rsid w:val="00797456"/>
    <w:rsid w:val="007A1683"/>
    <w:rsid w:val="007A4130"/>
    <w:rsid w:val="007A4A4E"/>
    <w:rsid w:val="007A5C12"/>
    <w:rsid w:val="007A5FCD"/>
    <w:rsid w:val="007A61BE"/>
    <w:rsid w:val="007A7A50"/>
    <w:rsid w:val="007A7CB0"/>
    <w:rsid w:val="007B0A24"/>
    <w:rsid w:val="007B3A07"/>
    <w:rsid w:val="007B48FD"/>
    <w:rsid w:val="007B6593"/>
    <w:rsid w:val="007B68A3"/>
    <w:rsid w:val="007C055E"/>
    <w:rsid w:val="007C2541"/>
    <w:rsid w:val="007C5215"/>
    <w:rsid w:val="007C7D99"/>
    <w:rsid w:val="007D6383"/>
    <w:rsid w:val="007D66A8"/>
    <w:rsid w:val="007E003F"/>
    <w:rsid w:val="007E0B2C"/>
    <w:rsid w:val="007E26D6"/>
    <w:rsid w:val="007E31B4"/>
    <w:rsid w:val="007E5C26"/>
    <w:rsid w:val="007E718A"/>
    <w:rsid w:val="007F2AC9"/>
    <w:rsid w:val="007F4F77"/>
    <w:rsid w:val="0080032C"/>
    <w:rsid w:val="00802756"/>
    <w:rsid w:val="0080712E"/>
    <w:rsid w:val="0081058C"/>
    <w:rsid w:val="00811C68"/>
    <w:rsid w:val="00812F59"/>
    <w:rsid w:val="008164F2"/>
    <w:rsid w:val="00821395"/>
    <w:rsid w:val="008230CB"/>
    <w:rsid w:val="00824D98"/>
    <w:rsid w:val="00830E26"/>
    <w:rsid w:val="00833730"/>
    <w:rsid w:val="00835E00"/>
    <w:rsid w:val="00843576"/>
    <w:rsid w:val="00843B64"/>
    <w:rsid w:val="008445D8"/>
    <w:rsid w:val="00845065"/>
    <w:rsid w:val="008465E3"/>
    <w:rsid w:val="008478FC"/>
    <w:rsid w:val="0085171F"/>
    <w:rsid w:val="008520C8"/>
    <w:rsid w:val="00852E56"/>
    <w:rsid w:val="00855D9C"/>
    <w:rsid w:val="00855F33"/>
    <w:rsid w:val="0085746B"/>
    <w:rsid w:val="00861A0D"/>
    <w:rsid w:val="00865A27"/>
    <w:rsid w:val="00867BFF"/>
    <w:rsid w:val="00871729"/>
    <w:rsid w:val="00873CBF"/>
    <w:rsid w:val="00873D90"/>
    <w:rsid w:val="00875CDC"/>
    <w:rsid w:val="00882A2C"/>
    <w:rsid w:val="0088480A"/>
    <w:rsid w:val="00886752"/>
    <w:rsid w:val="0088757A"/>
    <w:rsid w:val="00890C57"/>
    <w:rsid w:val="008918FF"/>
    <w:rsid w:val="008925F2"/>
    <w:rsid w:val="00893CF2"/>
    <w:rsid w:val="008957DD"/>
    <w:rsid w:val="00895C25"/>
    <w:rsid w:val="00897D98"/>
    <w:rsid w:val="008A6DF2"/>
    <w:rsid w:val="008A7807"/>
    <w:rsid w:val="008B159C"/>
    <w:rsid w:val="008B199F"/>
    <w:rsid w:val="008B2F5A"/>
    <w:rsid w:val="008B37DC"/>
    <w:rsid w:val="008B4CC9"/>
    <w:rsid w:val="008B6D51"/>
    <w:rsid w:val="008C5393"/>
    <w:rsid w:val="008C6742"/>
    <w:rsid w:val="008D0B06"/>
    <w:rsid w:val="008D5BCC"/>
    <w:rsid w:val="008D7C99"/>
    <w:rsid w:val="008D7F72"/>
    <w:rsid w:val="008E0FCB"/>
    <w:rsid w:val="008E340B"/>
    <w:rsid w:val="008F0079"/>
    <w:rsid w:val="008F42BA"/>
    <w:rsid w:val="008F5905"/>
    <w:rsid w:val="008F68CE"/>
    <w:rsid w:val="009021BD"/>
    <w:rsid w:val="00903512"/>
    <w:rsid w:val="0092178C"/>
    <w:rsid w:val="0092574B"/>
    <w:rsid w:val="00925D83"/>
    <w:rsid w:val="00927912"/>
    <w:rsid w:val="00930B88"/>
    <w:rsid w:val="00933AC1"/>
    <w:rsid w:val="00934F7F"/>
    <w:rsid w:val="00936099"/>
    <w:rsid w:val="009369C6"/>
    <w:rsid w:val="00940DCC"/>
    <w:rsid w:val="0094179A"/>
    <w:rsid w:val="009434DF"/>
    <w:rsid w:val="0094459E"/>
    <w:rsid w:val="00944DBC"/>
    <w:rsid w:val="0094649C"/>
    <w:rsid w:val="00947E03"/>
    <w:rsid w:val="00950908"/>
    <w:rsid w:val="00950977"/>
    <w:rsid w:val="00951A7B"/>
    <w:rsid w:val="009564A6"/>
    <w:rsid w:val="009642B5"/>
    <w:rsid w:val="00967621"/>
    <w:rsid w:val="00967E6A"/>
    <w:rsid w:val="00971A42"/>
    <w:rsid w:val="009761A8"/>
    <w:rsid w:val="009821A7"/>
    <w:rsid w:val="00983D1E"/>
    <w:rsid w:val="00990F34"/>
    <w:rsid w:val="00993832"/>
    <w:rsid w:val="00994ADE"/>
    <w:rsid w:val="009A48FF"/>
    <w:rsid w:val="009B0B83"/>
    <w:rsid w:val="009B423E"/>
    <w:rsid w:val="009B4293"/>
    <w:rsid w:val="009B4A0F"/>
    <w:rsid w:val="009B5900"/>
    <w:rsid w:val="009C0596"/>
    <w:rsid w:val="009C11D2"/>
    <w:rsid w:val="009C1565"/>
    <w:rsid w:val="009C267A"/>
    <w:rsid w:val="009C3D85"/>
    <w:rsid w:val="009C6C70"/>
    <w:rsid w:val="009C7AFF"/>
    <w:rsid w:val="009D0815"/>
    <w:rsid w:val="009D0B63"/>
    <w:rsid w:val="009D2ED3"/>
    <w:rsid w:val="009D4FDE"/>
    <w:rsid w:val="009E08B9"/>
    <w:rsid w:val="009E307E"/>
    <w:rsid w:val="009F188E"/>
    <w:rsid w:val="009F4C98"/>
    <w:rsid w:val="009F58E4"/>
    <w:rsid w:val="009F7011"/>
    <w:rsid w:val="009F7E87"/>
    <w:rsid w:val="00A003D4"/>
    <w:rsid w:val="00A00BD5"/>
    <w:rsid w:val="00A0212E"/>
    <w:rsid w:val="00A02CF6"/>
    <w:rsid w:val="00A02DE6"/>
    <w:rsid w:val="00A03486"/>
    <w:rsid w:val="00A04ABF"/>
    <w:rsid w:val="00A07870"/>
    <w:rsid w:val="00A07E13"/>
    <w:rsid w:val="00A07F19"/>
    <w:rsid w:val="00A133F1"/>
    <w:rsid w:val="00A1348D"/>
    <w:rsid w:val="00A135C2"/>
    <w:rsid w:val="00A1448F"/>
    <w:rsid w:val="00A16A5D"/>
    <w:rsid w:val="00A16DD3"/>
    <w:rsid w:val="00A225A7"/>
    <w:rsid w:val="00A232EE"/>
    <w:rsid w:val="00A271D3"/>
    <w:rsid w:val="00A31818"/>
    <w:rsid w:val="00A3181A"/>
    <w:rsid w:val="00A32884"/>
    <w:rsid w:val="00A34745"/>
    <w:rsid w:val="00A40FC9"/>
    <w:rsid w:val="00A4175F"/>
    <w:rsid w:val="00A44411"/>
    <w:rsid w:val="00A4527C"/>
    <w:rsid w:val="00A45E17"/>
    <w:rsid w:val="00A469FA"/>
    <w:rsid w:val="00A47813"/>
    <w:rsid w:val="00A51A0C"/>
    <w:rsid w:val="00A534FF"/>
    <w:rsid w:val="00A54F27"/>
    <w:rsid w:val="00A55B01"/>
    <w:rsid w:val="00A56B5B"/>
    <w:rsid w:val="00A571F3"/>
    <w:rsid w:val="00A603FF"/>
    <w:rsid w:val="00A60D1F"/>
    <w:rsid w:val="00A653CB"/>
    <w:rsid w:val="00A657DD"/>
    <w:rsid w:val="00A666A6"/>
    <w:rsid w:val="00A675FD"/>
    <w:rsid w:val="00A719FA"/>
    <w:rsid w:val="00A71BBD"/>
    <w:rsid w:val="00A71DA8"/>
    <w:rsid w:val="00A72437"/>
    <w:rsid w:val="00A73C3E"/>
    <w:rsid w:val="00A7428A"/>
    <w:rsid w:val="00A742A5"/>
    <w:rsid w:val="00A776D6"/>
    <w:rsid w:val="00A80611"/>
    <w:rsid w:val="00A82514"/>
    <w:rsid w:val="00A843FD"/>
    <w:rsid w:val="00A92CD0"/>
    <w:rsid w:val="00A97E27"/>
    <w:rsid w:val="00AA06E3"/>
    <w:rsid w:val="00AA20D6"/>
    <w:rsid w:val="00AA4688"/>
    <w:rsid w:val="00AA76AB"/>
    <w:rsid w:val="00AB3735"/>
    <w:rsid w:val="00AB5340"/>
    <w:rsid w:val="00AB7EC7"/>
    <w:rsid w:val="00AC0A89"/>
    <w:rsid w:val="00AC1073"/>
    <w:rsid w:val="00AC29AD"/>
    <w:rsid w:val="00AC7C96"/>
    <w:rsid w:val="00AD04F9"/>
    <w:rsid w:val="00AD0D47"/>
    <w:rsid w:val="00AD28D1"/>
    <w:rsid w:val="00AD6D74"/>
    <w:rsid w:val="00AE237D"/>
    <w:rsid w:val="00AE3288"/>
    <w:rsid w:val="00AE502A"/>
    <w:rsid w:val="00AE7AE1"/>
    <w:rsid w:val="00AF127B"/>
    <w:rsid w:val="00AF1B79"/>
    <w:rsid w:val="00AF2335"/>
    <w:rsid w:val="00AF3FBC"/>
    <w:rsid w:val="00AF6281"/>
    <w:rsid w:val="00AF7C07"/>
    <w:rsid w:val="00B05D7B"/>
    <w:rsid w:val="00B10467"/>
    <w:rsid w:val="00B10E49"/>
    <w:rsid w:val="00B11447"/>
    <w:rsid w:val="00B1147B"/>
    <w:rsid w:val="00B115BB"/>
    <w:rsid w:val="00B120B5"/>
    <w:rsid w:val="00B123B9"/>
    <w:rsid w:val="00B133F1"/>
    <w:rsid w:val="00B20F08"/>
    <w:rsid w:val="00B2156E"/>
    <w:rsid w:val="00B224F9"/>
    <w:rsid w:val="00B22C93"/>
    <w:rsid w:val="00B23C7E"/>
    <w:rsid w:val="00B242C7"/>
    <w:rsid w:val="00B24A20"/>
    <w:rsid w:val="00B26538"/>
    <w:rsid w:val="00B27589"/>
    <w:rsid w:val="00B277B8"/>
    <w:rsid w:val="00B3195F"/>
    <w:rsid w:val="00B35B44"/>
    <w:rsid w:val="00B40282"/>
    <w:rsid w:val="00B405B7"/>
    <w:rsid w:val="00B50361"/>
    <w:rsid w:val="00B52222"/>
    <w:rsid w:val="00B54FE7"/>
    <w:rsid w:val="00B55A5E"/>
    <w:rsid w:val="00B56632"/>
    <w:rsid w:val="00B61D82"/>
    <w:rsid w:val="00B66901"/>
    <w:rsid w:val="00B67B52"/>
    <w:rsid w:val="00B704F7"/>
    <w:rsid w:val="00B70C1E"/>
    <w:rsid w:val="00B71E6D"/>
    <w:rsid w:val="00B72070"/>
    <w:rsid w:val="00B779E1"/>
    <w:rsid w:val="00B820D7"/>
    <w:rsid w:val="00B82AFB"/>
    <w:rsid w:val="00B82C30"/>
    <w:rsid w:val="00B83543"/>
    <w:rsid w:val="00B83A74"/>
    <w:rsid w:val="00B91EE1"/>
    <w:rsid w:val="00B94BE0"/>
    <w:rsid w:val="00B953A0"/>
    <w:rsid w:val="00B95829"/>
    <w:rsid w:val="00B95FB0"/>
    <w:rsid w:val="00BA0090"/>
    <w:rsid w:val="00BA043B"/>
    <w:rsid w:val="00BA04E5"/>
    <w:rsid w:val="00BA1A67"/>
    <w:rsid w:val="00BA69E8"/>
    <w:rsid w:val="00BB72D2"/>
    <w:rsid w:val="00BB7EA0"/>
    <w:rsid w:val="00BC2E15"/>
    <w:rsid w:val="00BE0C02"/>
    <w:rsid w:val="00BE1EBD"/>
    <w:rsid w:val="00BE22C7"/>
    <w:rsid w:val="00BE530B"/>
    <w:rsid w:val="00BE5B5F"/>
    <w:rsid w:val="00BE6E6A"/>
    <w:rsid w:val="00BF064C"/>
    <w:rsid w:val="00BF0679"/>
    <w:rsid w:val="00BF152D"/>
    <w:rsid w:val="00BF1F2E"/>
    <w:rsid w:val="00BF40DF"/>
    <w:rsid w:val="00BF5322"/>
    <w:rsid w:val="00BF662C"/>
    <w:rsid w:val="00C00DE2"/>
    <w:rsid w:val="00C10C4D"/>
    <w:rsid w:val="00C114CD"/>
    <w:rsid w:val="00C1159F"/>
    <w:rsid w:val="00C1404C"/>
    <w:rsid w:val="00C2502D"/>
    <w:rsid w:val="00C26F55"/>
    <w:rsid w:val="00C30C63"/>
    <w:rsid w:val="00C3105C"/>
    <w:rsid w:val="00C32EE1"/>
    <w:rsid w:val="00C33018"/>
    <w:rsid w:val="00C34B7D"/>
    <w:rsid w:val="00C34CAA"/>
    <w:rsid w:val="00C36B8B"/>
    <w:rsid w:val="00C41532"/>
    <w:rsid w:val="00C415C1"/>
    <w:rsid w:val="00C42D05"/>
    <w:rsid w:val="00C42E91"/>
    <w:rsid w:val="00C4343C"/>
    <w:rsid w:val="00C459DD"/>
    <w:rsid w:val="00C47DBF"/>
    <w:rsid w:val="00C552FF"/>
    <w:rsid w:val="00C5575D"/>
    <w:rsid w:val="00C558DA"/>
    <w:rsid w:val="00C55AF3"/>
    <w:rsid w:val="00C61877"/>
    <w:rsid w:val="00C64FC5"/>
    <w:rsid w:val="00C66C0B"/>
    <w:rsid w:val="00C66C8D"/>
    <w:rsid w:val="00C66CDC"/>
    <w:rsid w:val="00C7214C"/>
    <w:rsid w:val="00C72607"/>
    <w:rsid w:val="00C73A98"/>
    <w:rsid w:val="00C75069"/>
    <w:rsid w:val="00C76479"/>
    <w:rsid w:val="00C77CEF"/>
    <w:rsid w:val="00C81164"/>
    <w:rsid w:val="00C84080"/>
    <w:rsid w:val="00C84759"/>
    <w:rsid w:val="00C87456"/>
    <w:rsid w:val="00C90A38"/>
    <w:rsid w:val="00C90B6B"/>
    <w:rsid w:val="00C92B57"/>
    <w:rsid w:val="00C9427F"/>
    <w:rsid w:val="00C9545E"/>
    <w:rsid w:val="00C95EBA"/>
    <w:rsid w:val="00C96821"/>
    <w:rsid w:val="00C978AF"/>
    <w:rsid w:val="00C979A3"/>
    <w:rsid w:val="00CA1CBD"/>
    <w:rsid w:val="00CA22CD"/>
    <w:rsid w:val="00CA34FE"/>
    <w:rsid w:val="00CA6C7F"/>
    <w:rsid w:val="00CB0A97"/>
    <w:rsid w:val="00CB27E0"/>
    <w:rsid w:val="00CB30A6"/>
    <w:rsid w:val="00CB7857"/>
    <w:rsid w:val="00CC10A6"/>
    <w:rsid w:val="00CC1142"/>
    <w:rsid w:val="00CC1797"/>
    <w:rsid w:val="00CC201A"/>
    <w:rsid w:val="00CD1D1C"/>
    <w:rsid w:val="00CD27E6"/>
    <w:rsid w:val="00CD46A3"/>
    <w:rsid w:val="00CD5161"/>
    <w:rsid w:val="00CD5EB8"/>
    <w:rsid w:val="00CD6881"/>
    <w:rsid w:val="00CD7044"/>
    <w:rsid w:val="00CD7FCF"/>
    <w:rsid w:val="00CE08B9"/>
    <w:rsid w:val="00CE404F"/>
    <w:rsid w:val="00CE425E"/>
    <w:rsid w:val="00CE460C"/>
    <w:rsid w:val="00CE524C"/>
    <w:rsid w:val="00CE780F"/>
    <w:rsid w:val="00CF141F"/>
    <w:rsid w:val="00CF196E"/>
    <w:rsid w:val="00CF2DE5"/>
    <w:rsid w:val="00CF30B9"/>
    <w:rsid w:val="00CF42BB"/>
    <w:rsid w:val="00CF4777"/>
    <w:rsid w:val="00CF7092"/>
    <w:rsid w:val="00D038BF"/>
    <w:rsid w:val="00D067BB"/>
    <w:rsid w:val="00D10157"/>
    <w:rsid w:val="00D108D2"/>
    <w:rsid w:val="00D1352A"/>
    <w:rsid w:val="00D13D48"/>
    <w:rsid w:val="00D1436E"/>
    <w:rsid w:val="00D16159"/>
    <w:rsid w:val="00D169AF"/>
    <w:rsid w:val="00D2125B"/>
    <w:rsid w:val="00D21E5D"/>
    <w:rsid w:val="00D2433F"/>
    <w:rsid w:val="00D25249"/>
    <w:rsid w:val="00D26E61"/>
    <w:rsid w:val="00D27E9A"/>
    <w:rsid w:val="00D30049"/>
    <w:rsid w:val="00D31CC5"/>
    <w:rsid w:val="00D35B55"/>
    <w:rsid w:val="00D402A6"/>
    <w:rsid w:val="00D40CC2"/>
    <w:rsid w:val="00D41218"/>
    <w:rsid w:val="00D4196D"/>
    <w:rsid w:val="00D44172"/>
    <w:rsid w:val="00D50B60"/>
    <w:rsid w:val="00D537AB"/>
    <w:rsid w:val="00D55D38"/>
    <w:rsid w:val="00D604A0"/>
    <w:rsid w:val="00D61672"/>
    <w:rsid w:val="00D63B8C"/>
    <w:rsid w:val="00D63C48"/>
    <w:rsid w:val="00D665E7"/>
    <w:rsid w:val="00D67434"/>
    <w:rsid w:val="00D739CC"/>
    <w:rsid w:val="00D75221"/>
    <w:rsid w:val="00D773EA"/>
    <w:rsid w:val="00D8093D"/>
    <w:rsid w:val="00D8108C"/>
    <w:rsid w:val="00D8365F"/>
    <w:rsid w:val="00D83B2C"/>
    <w:rsid w:val="00D842AE"/>
    <w:rsid w:val="00D86EFF"/>
    <w:rsid w:val="00D9211C"/>
    <w:rsid w:val="00D92DE0"/>
    <w:rsid w:val="00D92FEF"/>
    <w:rsid w:val="00D93A0F"/>
    <w:rsid w:val="00D93BFF"/>
    <w:rsid w:val="00D94D33"/>
    <w:rsid w:val="00D9695E"/>
    <w:rsid w:val="00D97247"/>
    <w:rsid w:val="00DA045D"/>
    <w:rsid w:val="00DA1BCA"/>
    <w:rsid w:val="00DA3752"/>
    <w:rsid w:val="00DA3EA9"/>
    <w:rsid w:val="00DA60D8"/>
    <w:rsid w:val="00DB3D5F"/>
    <w:rsid w:val="00DB58FE"/>
    <w:rsid w:val="00DC1A1C"/>
    <w:rsid w:val="00DC1A57"/>
    <w:rsid w:val="00DC4533"/>
    <w:rsid w:val="00DC46FF"/>
    <w:rsid w:val="00DC5254"/>
    <w:rsid w:val="00DD0F1A"/>
    <w:rsid w:val="00DD1A4F"/>
    <w:rsid w:val="00DD3107"/>
    <w:rsid w:val="00DD33D0"/>
    <w:rsid w:val="00DD706A"/>
    <w:rsid w:val="00DD7C2C"/>
    <w:rsid w:val="00DE1B24"/>
    <w:rsid w:val="00DE31A9"/>
    <w:rsid w:val="00DE4A80"/>
    <w:rsid w:val="00DE7F32"/>
    <w:rsid w:val="00DF17EE"/>
    <w:rsid w:val="00DF1E4C"/>
    <w:rsid w:val="00DF48D3"/>
    <w:rsid w:val="00DF4DE2"/>
    <w:rsid w:val="00DF5893"/>
    <w:rsid w:val="00E0199B"/>
    <w:rsid w:val="00E047DA"/>
    <w:rsid w:val="00E064AF"/>
    <w:rsid w:val="00E06797"/>
    <w:rsid w:val="00E07703"/>
    <w:rsid w:val="00E1265B"/>
    <w:rsid w:val="00E134F8"/>
    <w:rsid w:val="00E13B48"/>
    <w:rsid w:val="00E1404F"/>
    <w:rsid w:val="00E14463"/>
    <w:rsid w:val="00E14717"/>
    <w:rsid w:val="00E14928"/>
    <w:rsid w:val="00E153D2"/>
    <w:rsid w:val="00E157CD"/>
    <w:rsid w:val="00E16967"/>
    <w:rsid w:val="00E21C83"/>
    <w:rsid w:val="00E24ADA"/>
    <w:rsid w:val="00E25FCF"/>
    <w:rsid w:val="00E269A8"/>
    <w:rsid w:val="00E2781F"/>
    <w:rsid w:val="00E27E39"/>
    <w:rsid w:val="00E30BCD"/>
    <w:rsid w:val="00E31270"/>
    <w:rsid w:val="00E327D4"/>
    <w:rsid w:val="00E32F59"/>
    <w:rsid w:val="00E34622"/>
    <w:rsid w:val="00E40926"/>
    <w:rsid w:val="00E46D9A"/>
    <w:rsid w:val="00E477FF"/>
    <w:rsid w:val="00E54C0B"/>
    <w:rsid w:val="00E55AA9"/>
    <w:rsid w:val="00E565FF"/>
    <w:rsid w:val="00E6090D"/>
    <w:rsid w:val="00E62F83"/>
    <w:rsid w:val="00E6359E"/>
    <w:rsid w:val="00E65388"/>
    <w:rsid w:val="00E7169D"/>
    <w:rsid w:val="00E7205C"/>
    <w:rsid w:val="00E72DE1"/>
    <w:rsid w:val="00E75472"/>
    <w:rsid w:val="00E77342"/>
    <w:rsid w:val="00E8325F"/>
    <w:rsid w:val="00E8396C"/>
    <w:rsid w:val="00E85B7D"/>
    <w:rsid w:val="00E8655E"/>
    <w:rsid w:val="00E9121B"/>
    <w:rsid w:val="00E92894"/>
    <w:rsid w:val="00E959DE"/>
    <w:rsid w:val="00E972FA"/>
    <w:rsid w:val="00E97881"/>
    <w:rsid w:val="00EA0406"/>
    <w:rsid w:val="00EA0AE2"/>
    <w:rsid w:val="00EA1C9D"/>
    <w:rsid w:val="00EA2ACC"/>
    <w:rsid w:val="00EA39E5"/>
    <w:rsid w:val="00EA4E60"/>
    <w:rsid w:val="00EA5E98"/>
    <w:rsid w:val="00EA675C"/>
    <w:rsid w:val="00EA685D"/>
    <w:rsid w:val="00EB2848"/>
    <w:rsid w:val="00EB3900"/>
    <w:rsid w:val="00EB3E88"/>
    <w:rsid w:val="00EC1896"/>
    <w:rsid w:val="00EC5A46"/>
    <w:rsid w:val="00EC63E2"/>
    <w:rsid w:val="00ED026F"/>
    <w:rsid w:val="00ED1AA6"/>
    <w:rsid w:val="00ED2769"/>
    <w:rsid w:val="00ED38C0"/>
    <w:rsid w:val="00EE75D9"/>
    <w:rsid w:val="00EF22B3"/>
    <w:rsid w:val="00EF354F"/>
    <w:rsid w:val="00EF35A2"/>
    <w:rsid w:val="00F0084E"/>
    <w:rsid w:val="00F02075"/>
    <w:rsid w:val="00F03B69"/>
    <w:rsid w:val="00F07A50"/>
    <w:rsid w:val="00F113DA"/>
    <w:rsid w:val="00F116F3"/>
    <w:rsid w:val="00F13C7D"/>
    <w:rsid w:val="00F21AFC"/>
    <w:rsid w:val="00F23065"/>
    <w:rsid w:val="00F24586"/>
    <w:rsid w:val="00F25DC6"/>
    <w:rsid w:val="00F277EB"/>
    <w:rsid w:val="00F3485F"/>
    <w:rsid w:val="00F34BA2"/>
    <w:rsid w:val="00F368E0"/>
    <w:rsid w:val="00F3709A"/>
    <w:rsid w:val="00F373D4"/>
    <w:rsid w:val="00F37DC8"/>
    <w:rsid w:val="00F439B3"/>
    <w:rsid w:val="00F43AE6"/>
    <w:rsid w:val="00F45037"/>
    <w:rsid w:val="00F460BE"/>
    <w:rsid w:val="00F471F6"/>
    <w:rsid w:val="00F51020"/>
    <w:rsid w:val="00F52737"/>
    <w:rsid w:val="00F53503"/>
    <w:rsid w:val="00F56735"/>
    <w:rsid w:val="00F56B98"/>
    <w:rsid w:val="00F61341"/>
    <w:rsid w:val="00F615F9"/>
    <w:rsid w:val="00F650C3"/>
    <w:rsid w:val="00F65D85"/>
    <w:rsid w:val="00F66C46"/>
    <w:rsid w:val="00F67D05"/>
    <w:rsid w:val="00F75DED"/>
    <w:rsid w:val="00F766F1"/>
    <w:rsid w:val="00F76728"/>
    <w:rsid w:val="00F8091E"/>
    <w:rsid w:val="00F821AE"/>
    <w:rsid w:val="00F83388"/>
    <w:rsid w:val="00F84BD7"/>
    <w:rsid w:val="00F8615C"/>
    <w:rsid w:val="00F874E0"/>
    <w:rsid w:val="00F87847"/>
    <w:rsid w:val="00F93BE5"/>
    <w:rsid w:val="00F969E5"/>
    <w:rsid w:val="00FA0C56"/>
    <w:rsid w:val="00FA1993"/>
    <w:rsid w:val="00FA205D"/>
    <w:rsid w:val="00FA500A"/>
    <w:rsid w:val="00FA6BB0"/>
    <w:rsid w:val="00FB1585"/>
    <w:rsid w:val="00FB23D0"/>
    <w:rsid w:val="00FB3251"/>
    <w:rsid w:val="00FB6D04"/>
    <w:rsid w:val="00FB7826"/>
    <w:rsid w:val="00FB7982"/>
    <w:rsid w:val="00FC0D95"/>
    <w:rsid w:val="00FC1138"/>
    <w:rsid w:val="00FC1C3D"/>
    <w:rsid w:val="00FC29F3"/>
    <w:rsid w:val="00FC55FC"/>
    <w:rsid w:val="00FD0889"/>
    <w:rsid w:val="00FD456E"/>
    <w:rsid w:val="00FD5860"/>
    <w:rsid w:val="00FD6E8D"/>
    <w:rsid w:val="00FD7A9F"/>
    <w:rsid w:val="00FE186C"/>
    <w:rsid w:val="00FE352D"/>
    <w:rsid w:val="00FE40EB"/>
    <w:rsid w:val="00FE4D02"/>
    <w:rsid w:val="00FE64CF"/>
    <w:rsid w:val="00FE7D62"/>
    <w:rsid w:val="00FF0933"/>
    <w:rsid w:val="00FF0ACF"/>
    <w:rsid w:val="00FF1E39"/>
    <w:rsid w:val="00FF2D73"/>
    <w:rsid w:val="00FF3694"/>
    <w:rsid w:val="00FF3819"/>
    <w:rsid w:val="00FF5EE2"/>
    <w:rsid w:val="00FF6D49"/>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0D97"/>
    <w:pPr>
      <w:spacing w:after="0" w:line="240" w:lineRule="auto"/>
    </w:pPr>
    <w:rPr>
      <w:rFonts w:ascii="Times New Roman" w:eastAsia="SimSun" w:hAnsi="Times New Roman" w:cs="Times New Roman"/>
      <w:lang w:val="fr-CA" w:eastAsia="zh-CN"/>
    </w:rPr>
  </w:style>
  <w:style w:type="paragraph" w:styleId="Heading1">
    <w:name w:val="heading 1"/>
    <w:basedOn w:val="Normal"/>
    <w:next w:val="Normalnumber"/>
    <w:link w:val="Heading1Char"/>
    <w:rsid w:val="003C0D97"/>
    <w:pPr>
      <w:keepNext/>
      <w:spacing w:before="240" w:after="120"/>
      <w:ind w:left="1247" w:hanging="680"/>
      <w:outlineLvl w:val="0"/>
    </w:pPr>
    <w:rPr>
      <w:b/>
      <w:sz w:val="28"/>
    </w:rPr>
  </w:style>
  <w:style w:type="paragraph" w:styleId="Heading2">
    <w:name w:val="heading 2"/>
    <w:basedOn w:val="Normal"/>
    <w:next w:val="Normalnumber"/>
    <w:link w:val="Heading2Char"/>
    <w:rsid w:val="003C0D97"/>
    <w:pPr>
      <w:keepNext/>
      <w:spacing w:before="240" w:after="120"/>
      <w:ind w:left="1247" w:hanging="680"/>
      <w:outlineLvl w:val="1"/>
    </w:pPr>
    <w:rPr>
      <w:b/>
      <w:sz w:val="24"/>
      <w:szCs w:val="24"/>
    </w:rPr>
  </w:style>
  <w:style w:type="paragraph" w:styleId="Heading3">
    <w:name w:val="heading 3"/>
    <w:basedOn w:val="Normal"/>
    <w:next w:val="Normalnumber"/>
    <w:link w:val="Heading3Char"/>
    <w:rsid w:val="003C0D97"/>
    <w:pPr>
      <w:spacing w:after="120"/>
      <w:ind w:left="1247" w:hanging="680"/>
      <w:outlineLvl w:val="2"/>
    </w:pPr>
    <w:rPr>
      <w:b/>
    </w:rPr>
  </w:style>
  <w:style w:type="paragraph" w:styleId="Heading4">
    <w:name w:val="heading 4"/>
    <w:basedOn w:val="Heading3"/>
    <w:next w:val="Normalnumber"/>
    <w:link w:val="Heading4Char"/>
    <w:rsid w:val="003C0D97"/>
    <w:pPr>
      <w:keepNext/>
      <w:outlineLvl w:val="3"/>
    </w:pPr>
  </w:style>
  <w:style w:type="paragraph" w:styleId="Heading5">
    <w:name w:val="heading 5"/>
    <w:basedOn w:val="Normal"/>
    <w:next w:val="Normal"/>
    <w:link w:val="Heading5Char"/>
    <w:rsid w:val="003C0D97"/>
    <w:pPr>
      <w:keepNext/>
      <w:outlineLvl w:val="4"/>
    </w:pPr>
    <w:rPr>
      <w:rFonts w:ascii="Univers" w:hAnsi="Univers"/>
      <w:b/>
      <w:sz w:val="24"/>
    </w:rPr>
  </w:style>
  <w:style w:type="paragraph" w:styleId="Heading6">
    <w:name w:val="heading 6"/>
    <w:basedOn w:val="Normal"/>
    <w:next w:val="Normal"/>
    <w:link w:val="Heading6Char"/>
    <w:rsid w:val="003C0D97"/>
    <w:pPr>
      <w:keepNext/>
      <w:ind w:left="578"/>
      <w:outlineLvl w:val="5"/>
    </w:pPr>
    <w:rPr>
      <w:b/>
      <w:bCs/>
      <w:sz w:val="24"/>
    </w:rPr>
  </w:style>
  <w:style w:type="paragraph" w:styleId="Heading7">
    <w:name w:val="heading 7"/>
    <w:basedOn w:val="Normal"/>
    <w:next w:val="Normal"/>
    <w:link w:val="Heading7Char"/>
    <w:rsid w:val="003C0D97"/>
    <w:pPr>
      <w:keepNext/>
      <w:widowControl w:val="0"/>
      <w:jc w:val="center"/>
      <w:outlineLvl w:val="6"/>
    </w:pPr>
    <w:rPr>
      <w:snapToGrid w:val="0"/>
      <w:u w:val="single"/>
    </w:rPr>
  </w:style>
  <w:style w:type="paragraph" w:styleId="Heading8">
    <w:name w:val="heading 8"/>
    <w:basedOn w:val="Normal"/>
    <w:next w:val="Normal"/>
    <w:link w:val="Heading8Char"/>
    <w:rsid w:val="003C0D97"/>
    <w:pPr>
      <w:keepNext/>
      <w:widowControl w:val="0"/>
      <w:tabs>
        <w:tab w:val="left" w:pos="-1440"/>
        <w:tab w:val="left" w:pos="-720"/>
        <w:tab w:val="num" w:pos="720"/>
      </w:tabs>
      <w:suppressAutoHyphens/>
      <w:ind w:left="720" w:hanging="720"/>
      <w:jc w:val="center"/>
      <w:outlineLvl w:val="7"/>
    </w:pPr>
    <w:rPr>
      <w:snapToGrid w:val="0"/>
      <w:u w:val="single"/>
    </w:rPr>
  </w:style>
  <w:style w:type="paragraph" w:styleId="Heading9">
    <w:name w:val="heading 9"/>
    <w:basedOn w:val="Normal"/>
    <w:next w:val="Normal"/>
    <w:link w:val="Heading9Char"/>
    <w:rsid w:val="003C0D97"/>
    <w:pPr>
      <w:keepNext/>
      <w:widowControl w:val="0"/>
      <w:suppressAutoHyphens/>
      <w:ind w:left="360" w:hanging="360"/>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3C0D97"/>
    <w:pPr>
      <w:spacing w:before="40" w:after="40" w:line="240" w:lineRule="auto"/>
    </w:pPr>
    <w:rPr>
      <w:rFonts w:ascii="Times New Roman" w:eastAsia="Times New Roman" w:hAnsi="Times New Roman" w:cs="Times New Roman"/>
      <w:sz w:val="18"/>
      <w:szCs w:val="18"/>
      <w:lang w:val="en-US"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semiHidden/>
    <w:rsid w:val="003C0D97"/>
    <w:pPr>
      <w:ind w:left="1000"/>
    </w:pPr>
    <w:rPr>
      <w:sz w:val="18"/>
      <w:szCs w:val="18"/>
    </w:rPr>
  </w:style>
  <w:style w:type="paragraph" w:styleId="TOC7">
    <w:name w:val="toc 7"/>
    <w:basedOn w:val="Normal"/>
    <w:next w:val="Normal"/>
    <w:autoRedefine/>
    <w:semiHidden/>
    <w:rsid w:val="003C0D97"/>
    <w:pPr>
      <w:ind w:left="1200"/>
    </w:pPr>
    <w:rPr>
      <w:sz w:val="18"/>
      <w:szCs w:val="18"/>
    </w:rPr>
  </w:style>
  <w:style w:type="paragraph" w:styleId="TOC8">
    <w:name w:val="toc 8"/>
    <w:basedOn w:val="Normal"/>
    <w:next w:val="Normal"/>
    <w:autoRedefine/>
    <w:semiHidden/>
    <w:rsid w:val="003C0D97"/>
    <w:pPr>
      <w:ind w:left="1400"/>
    </w:pPr>
    <w:rPr>
      <w:sz w:val="18"/>
      <w:szCs w:val="18"/>
    </w:rPr>
  </w:style>
  <w:style w:type="paragraph" w:styleId="TOC9">
    <w:name w:val="toc 9"/>
    <w:basedOn w:val="Normal"/>
    <w:next w:val="Normal"/>
    <w:autoRedefine/>
    <w:semiHidden/>
    <w:rsid w:val="003C0D97"/>
    <w:pPr>
      <w:ind w:left="1600"/>
    </w:pPr>
    <w:rPr>
      <w:sz w:val="18"/>
      <w:szCs w:val="18"/>
    </w:rPr>
  </w:style>
  <w:style w:type="paragraph" w:customStyle="1" w:styleId="Titlefigure">
    <w:name w:val="Title_figure"/>
    <w:basedOn w:val="Titletable"/>
    <w:next w:val="NormalNonumber"/>
    <w:qFormat/>
    <w:rsid w:val="003C0D97"/>
    <w:rPr>
      <w:bCs w:val="0"/>
    </w:rPr>
  </w:style>
  <w:style w:type="paragraph" w:styleId="TableofFigures">
    <w:name w:val="table of figures"/>
    <w:basedOn w:val="Normal"/>
    <w:next w:val="Normal"/>
    <w:autoRedefine/>
    <w:semiHidden/>
    <w:rsid w:val="003C0D97"/>
    <w:pPr>
      <w:ind w:left="1814" w:hanging="567"/>
    </w:pPr>
  </w:style>
  <w:style w:type="paragraph" w:customStyle="1" w:styleId="CH1">
    <w:name w:val="CH1"/>
    <w:basedOn w:val="Normal-pool"/>
    <w:next w:val="CH2"/>
    <w:qFormat/>
    <w:rsid w:val="003C0D97"/>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qFormat/>
    <w:rsid w:val="003C0D97"/>
    <w:pPr>
      <w:keepNext/>
      <w:keepLines/>
      <w:tabs>
        <w:tab w:val="right" w:pos="851"/>
      </w:tabs>
      <w:suppressAutoHyphens/>
      <w:spacing w:before="240" w:after="120"/>
      <w:ind w:left="1247" w:right="284" w:hanging="1247"/>
    </w:pPr>
    <w:rPr>
      <w:b/>
      <w:sz w:val="24"/>
      <w:szCs w:val="24"/>
    </w:rPr>
  </w:style>
  <w:style w:type="paragraph" w:customStyle="1" w:styleId="CH3">
    <w:name w:val="CH3"/>
    <w:basedOn w:val="Normal"/>
    <w:next w:val="Normalnumber"/>
    <w:rsid w:val="003C0D97"/>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b/>
      <w:lang w:eastAsia="en-US"/>
    </w:rPr>
  </w:style>
  <w:style w:type="paragraph" w:customStyle="1" w:styleId="CH4">
    <w:name w:val="CH4"/>
    <w:basedOn w:val="Normal"/>
    <w:next w:val="Normalnumber"/>
    <w:rsid w:val="003C0D97"/>
    <w:pPr>
      <w:keepNext/>
      <w:keepLines/>
      <w:tabs>
        <w:tab w:val="right" w:pos="851"/>
        <w:tab w:val="left" w:pos="1247"/>
        <w:tab w:val="left" w:pos="1814"/>
        <w:tab w:val="left" w:pos="2381"/>
        <w:tab w:val="left" w:pos="2948"/>
        <w:tab w:val="left" w:pos="3515"/>
        <w:tab w:val="left" w:pos="4082"/>
      </w:tabs>
      <w:suppressAutoHyphens/>
      <w:spacing w:before="120" w:after="120"/>
      <w:ind w:left="1247" w:right="284" w:hanging="1247"/>
    </w:pPr>
    <w:rPr>
      <w:b/>
      <w:lang w:eastAsia="en-US"/>
    </w:rPr>
  </w:style>
  <w:style w:type="table" w:customStyle="1" w:styleId="Footertable">
    <w:name w:val="Footer_table"/>
    <w:basedOn w:val="TableNormal"/>
    <w:semiHidden/>
    <w:rsid w:val="003C0D97"/>
    <w:pPr>
      <w:spacing w:after="0" w:line="240" w:lineRule="auto"/>
    </w:pPr>
    <w:rPr>
      <w:rFonts w:ascii="Arial" w:eastAsia="SimSun" w:hAnsi="Arial" w:cs="Times New Roman"/>
      <w:sz w:val="16"/>
      <w:lang w:val="fr-FR"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3C0D97"/>
    <w:pPr>
      <w:keepNext/>
      <w:keepLines/>
      <w:tabs>
        <w:tab w:val="right" w:pos="851"/>
      </w:tabs>
      <w:suppressAutoHyphens/>
      <w:spacing w:before="120" w:after="120"/>
      <w:ind w:left="1247" w:right="284" w:hanging="1247"/>
    </w:pPr>
    <w:rPr>
      <w:b/>
    </w:rPr>
  </w:style>
  <w:style w:type="paragraph" w:customStyle="1" w:styleId="Footerpool">
    <w:name w:val="Footer_pool"/>
    <w:basedOn w:val="Normal"/>
    <w:next w:val="Normal"/>
    <w:semiHidden/>
    <w:rsid w:val="003C0D97"/>
    <w:pPr>
      <w:tabs>
        <w:tab w:val="left" w:pos="4321"/>
        <w:tab w:val="right" w:pos="8641"/>
      </w:tabs>
      <w:spacing w:before="60" w:after="120"/>
    </w:pPr>
    <w:rPr>
      <w:b/>
      <w:sz w:val="18"/>
    </w:rPr>
  </w:style>
  <w:style w:type="paragraph" w:customStyle="1" w:styleId="Headerpool">
    <w:name w:val="Header_pool"/>
    <w:basedOn w:val="Normal"/>
    <w:next w:val="Normal"/>
    <w:semiHidden/>
    <w:rsid w:val="003C0D97"/>
    <w:pPr>
      <w:pBdr>
        <w:bottom w:val="single" w:sz="4" w:space="1" w:color="auto"/>
      </w:pBdr>
      <w:tabs>
        <w:tab w:val="center" w:pos="4536"/>
        <w:tab w:val="right" w:pos="9072"/>
      </w:tabs>
      <w:spacing w:after="120"/>
    </w:pPr>
    <w:rPr>
      <w:b/>
      <w:sz w:val="18"/>
    </w:rPr>
  </w:style>
  <w:style w:type="paragraph" w:customStyle="1" w:styleId="Normalpool">
    <w:name w:val="Normal_pool"/>
    <w:autoRedefine/>
    <w:semiHidden/>
    <w:rsid w:val="00B24A20"/>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lang w:val="fr-CA" w:eastAsia="en-US"/>
    </w:rPr>
  </w:style>
  <w:style w:type="paragraph" w:customStyle="1" w:styleId="Footer-pool">
    <w:name w:val="Footer-pool"/>
    <w:basedOn w:val="Normal-pool"/>
    <w:next w:val="Normal-pool"/>
    <w:rsid w:val="003C0D97"/>
    <w:pPr>
      <w:tabs>
        <w:tab w:val="left" w:pos="4321"/>
        <w:tab w:val="right" w:pos="8641"/>
      </w:tabs>
      <w:spacing w:before="60" w:after="120"/>
    </w:pPr>
    <w:rPr>
      <w:b/>
      <w:sz w:val="18"/>
    </w:rPr>
  </w:style>
  <w:style w:type="paragraph" w:customStyle="1" w:styleId="Header-pool">
    <w:name w:val="Header-pool"/>
    <w:basedOn w:val="Normal-pool"/>
    <w:next w:val="Normal-pool"/>
    <w:rsid w:val="003C0D97"/>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3C0D97"/>
    <w:pPr>
      <w:tabs>
        <w:tab w:val="left" w:pos="1247"/>
        <w:tab w:val="left" w:pos="1814"/>
        <w:tab w:val="left" w:pos="2381"/>
        <w:tab w:val="left" w:pos="2948"/>
        <w:tab w:val="left" w:pos="3515"/>
        <w:tab w:val="left" w:pos="4082"/>
      </w:tabs>
      <w:spacing w:after="0" w:line="240" w:lineRule="auto"/>
    </w:pPr>
    <w:rPr>
      <w:rFonts w:ascii="Times New Roman" w:eastAsia="SimSun" w:hAnsi="Times New Roman" w:cs="Times New Roman"/>
      <w:lang w:val="fr-CA" w:eastAsia="en-US"/>
    </w:rPr>
  </w:style>
  <w:style w:type="character" w:styleId="FootnoteReference">
    <w:name w:val="footnote reference"/>
    <w:rsid w:val="003C0D97"/>
    <w:rPr>
      <w:rFonts w:ascii="Times New Roman" w:hAnsi="Times New Roman"/>
      <w:color w:val="auto"/>
      <w:sz w:val="20"/>
      <w:szCs w:val="18"/>
      <w:vertAlign w:val="superscript"/>
    </w:rPr>
  </w:style>
  <w:style w:type="paragraph" w:styleId="FootnoteText">
    <w:name w:val="footnote text"/>
    <w:basedOn w:val="Normal"/>
    <w:link w:val="FootnoteTextChar"/>
    <w:rsid w:val="003C0D97"/>
    <w:pPr>
      <w:tabs>
        <w:tab w:val="left" w:pos="1247"/>
        <w:tab w:val="left" w:pos="1814"/>
        <w:tab w:val="left" w:pos="2381"/>
        <w:tab w:val="left" w:pos="2948"/>
        <w:tab w:val="left" w:pos="3515"/>
        <w:tab w:val="left" w:pos="4082"/>
      </w:tabs>
      <w:spacing w:before="20" w:after="40"/>
      <w:ind w:left="1247"/>
    </w:pPr>
    <w:rPr>
      <w:sz w:val="18"/>
      <w:lang w:eastAsia="en-US"/>
    </w:rPr>
  </w:style>
  <w:style w:type="character" w:customStyle="1" w:styleId="Normal-poolChar">
    <w:name w:val="Normal-pool Char"/>
    <w:link w:val="Normal-pool"/>
    <w:rsid w:val="00DE1B24"/>
    <w:rPr>
      <w:rFonts w:ascii="Times New Roman" w:eastAsia="SimSun" w:hAnsi="Times New Roman" w:cs="Times New Roman"/>
      <w:lang w:val="fr-CA" w:eastAsia="en-US"/>
    </w:rPr>
  </w:style>
  <w:style w:type="table" w:customStyle="1" w:styleId="AATable">
    <w:name w:val="AA_Table"/>
    <w:basedOn w:val="TableNormal"/>
    <w:semiHidden/>
    <w:rsid w:val="003C0D97"/>
    <w:pPr>
      <w:spacing w:after="0" w:line="240" w:lineRule="auto"/>
    </w:pPr>
    <w:rPr>
      <w:rFonts w:ascii="Times New Roman" w:eastAsia="SimSun" w:hAnsi="Times New Roman" w:cs="Times New Roman"/>
      <w:lang w:val="fr-FR"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qFormat/>
    <w:rsid w:val="003C0D97"/>
    <w:pPr>
      <w:keepNext/>
      <w:keepLines/>
      <w:suppressAutoHyphens/>
      <w:ind w:right="5103"/>
    </w:pPr>
    <w:rPr>
      <w:b/>
    </w:rPr>
  </w:style>
  <w:style w:type="paragraph" w:customStyle="1" w:styleId="AATitle2">
    <w:name w:val="AA_Title2"/>
    <w:basedOn w:val="AATitle"/>
    <w:qFormat/>
    <w:rsid w:val="003C0D97"/>
    <w:pPr>
      <w:tabs>
        <w:tab w:val="clear" w:pos="4082"/>
      </w:tabs>
      <w:spacing w:before="120" w:after="120"/>
      <w:ind w:right="4536"/>
    </w:pPr>
  </w:style>
  <w:style w:type="paragraph" w:customStyle="1" w:styleId="BBTitle">
    <w:name w:val="BB_Title"/>
    <w:basedOn w:val="Normal-pool"/>
    <w:qFormat/>
    <w:rsid w:val="003C0D97"/>
    <w:pPr>
      <w:keepNext/>
      <w:keepLines/>
      <w:suppressAutoHyphens/>
      <w:spacing w:before="320" w:after="240"/>
      <w:ind w:left="1247" w:right="567"/>
    </w:pPr>
    <w:rPr>
      <w:b/>
      <w:sz w:val="28"/>
      <w:szCs w:val="28"/>
    </w:rPr>
  </w:style>
  <w:style w:type="paragraph" w:styleId="Footer">
    <w:name w:val="footer"/>
    <w:basedOn w:val="Normal"/>
    <w:link w:val="FooterChar"/>
    <w:rsid w:val="003C0D97"/>
    <w:pPr>
      <w:tabs>
        <w:tab w:val="left" w:pos="1247"/>
        <w:tab w:val="left" w:pos="1814"/>
        <w:tab w:val="left" w:pos="2381"/>
        <w:tab w:val="left" w:pos="2948"/>
        <w:tab w:val="left" w:pos="3515"/>
        <w:tab w:val="center" w:pos="4320"/>
        <w:tab w:val="right" w:pos="8640"/>
      </w:tabs>
      <w:spacing w:before="60" w:after="120"/>
    </w:pPr>
    <w:rPr>
      <w:sz w:val="18"/>
      <w:lang w:eastAsia="en-US"/>
    </w:rPr>
  </w:style>
  <w:style w:type="paragraph" w:styleId="Header">
    <w:name w:val="header"/>
    <w:basedOn w:val="Normal"/>
    <w:link w:val="HeaderChar"/>
    <w:semiHidden/>
    <w:rsid w:val="003C0D97"/>
    <w:pPr>
      <w:pBdr>
        <w:bottom w:val="single" w:sz="4" w:space="1" w:color="auto"/>
      </w:pBdr>
      <w:tabs>
        <w:tab w:val="center" w:pos="4536"/>
        <w:tab w:val="right" w:pos="9072"/>
      </w:tabs>
      <w:spacing w:after="120"/>
    </w:pPr>
    <w:rPr>
      <w:b/>
      <w:sz w:val="18"/>
    </w:rPr>
  </w:style>
  <w:style w:type="character" w:styleId="Hyperlink">
    <w:name w:val="Hyperlink"/>
    <w:unhideWhenUsed/>
    <w:rsid w:val="003C0D97"/>
    <w:rPr>
      <w:rFonts w:ascii="Times New Roman" w:hAnsi="Times New Roman"/>
      <w:color w:val="auto"/>
      <w:sz w:val="20"/>
      <w:szCs w:val="20"/>
      <w:u w:val="none"/>
      <w:lang w:val="fr-CA"/>
    </w:rPr>
  </w:style>
  <w:style w:type="numbering" w:customStyle="1" w:styleId="Normallist">
    <w:name w:val="Normal_list"/>
    <w:basedOn w:val="NoList"/>
    <w:rsid w:val="003C0D97"/>
    <w:pPr>
      <w:numPr>
        <w:numId w:val="1"/>
      </w:numPr>
    </w:pPr>
  </w:style>
  <w:style w:type="paragraph" w:customStyle="1" w:styleId="NormalNonumber">
    <w:name w:val="Normal_No_number"/>
    <w:basedOn w:val="Normal-pool"/>
    <w:qFormat/>
    <w:rsid w:val="003C0D97"/>
    <w:pPr>
      <w:spacing w:after="120"/>
      <w:ind w:left="1247"/>
    </w:pPr>
  </w:style>
  <w:style w:type="paragraph" w:customStyle="1" w:styleId="Normalnumber">
    <w:name w:val="Normal_number"/>
    <w:basedOn w:val="Normal-pool"/>
    <w:link w:val="NormalnumberChar"/>
    <w:qFormat/>
    <w:rsid w:val="003C0D97"/>
    <w:pPr>
      <w:numPr>
        <w:numId w:val="9"/>
      </w:numPr>
      <w:spacing w:after="120"/>
    </w:pPr>
    <w:rPr>
      <w:rFonts w:eastAsia="Times New Roman"/>
    </w:rPr>
  </w:style>
  <w:style w:type="paragraph" w:customStyle="1" w:styleId="Titletable">
    <w:name w:val="Title_table"/>
    <w:basedOn w:val="Normal-pool"/>
    <w:qFormat/>
    <w:rsid w:val="003C0D97"/>
    <w:pPr>
      <w:keepNext/>
      <w:keepLines/>
      <w:suppressAutoHyphens/>
      <w:spacing w:after="60"/>
      <w:ind w:left="1247"/>
    </w:pPr>
    <w:rPr>
      <w:b/>
      <w:bCs/>
    </w:rPr>
  </w:style>
  <w:style w:type="paragraph" w:styleId="TOC1">
    <w:name w:val="toc 1"/>
    <w:basedOn w:val="Normal"/>
    <w:next w:val="Normal"/>
    <w:unhideWhenUsed/>
    <w:rsid w:val="003C0D97"/>
    <w:pPr>
      <w:tabs>
        <w:tab w:val="left" w:pos="1247"/>
        <w:tab w:val="left" w:pos="1814"/>
        <w:tab w:val="right" w:leader="dot" w:pos="9486"/>
      </w:tabs>
      <w:spacing w:before="240"/>
      <w:ind w:left="1814" w:hanging="567"/>
    </w:pPr>
    <w:rPr>
      <w:bCs/>
      <w:lang w:eastAsia="en-US"/>
    </w:rPr>
  </w:style>
  <w:style w:type="paragraph" w:styleId="TOC2">
    <w:name w:val="toc 2"/>
    <w:basedOn w:val="Normal"/>
    <w:next w:val="Normal"/>
    <w:unhideWhenUsed/>
    <w:rsid w:val="003C0D97"/>
    <w:pPr>
      <w:tabs>
        <w:tab w:val="left" w:pos="1247"/>
        <w:tab w:val="left" w:pos="2381"/>
        <w:tab w:val="right" w:leader="dot" w:pos="9486"/>
      </w:tabs>
      <w:ind w:left="2381" w:hanging="567"/>
    </w:pPr>
    <w:rPr>
      <w:lang w:eastAsia="en-US"/>
    </w:rPr>
  </w:style>
  <w:style w:type="paragraph" w:styleId="TOC3">
    <w:name w:val="toc 3"/>
    <w:basedOn w:val="Normal"/>
    <w:next w:val="Normal"/>
    <w:unhideWhenUsed/>
    <w:rsid w:val="003C0D97"/>
    <w:pPr>
      <w:tabs>
        <w:tab w:val="left" w:pos="1247"/>
        <w:tab w:val="left" w:pos="4082"/>
        <w:tab w:val="right" w:leader="dot" w:pos="9486"/>
      </w:tabs>
      <w:ind w:left="2948" w:hanging="567"/>
    </w:pPr>
    <w:rPr>
      <w:iCs/>
      <w:lang w:eastAsia="en-US"/>
    </w:rPr>
  </w:style>
  <w:style w:type="paragraph" w:styleId="TOC4">
    <w:name w:val="toc 4"/>
    <w:basedOn w:val="Normal"/>
    <w:next w:val="Normal"/>
    <w:unhideWhenUsed/>
    <w:rsid w:val="003C0D97"/>
    <w:pPr>
      <w:tabs>
        <w:tab w:val="left" w:pos="1000"/>
        <w:tab w:val="left" w:pos="1247"/>
        <w:tab w:val="left" w:pos="4082"/>
        <w:tab w:val="right" w:leader="dot" w:pos="9486"/>
      </w:tabs>
      <w:ind w:left="3515" w:hanging="567"/>
    </w:pPr>
    <w:rPr>
      <w:szCs w:val="18"/>
      <w:lang w:eastAsia="en-US"/>
    </w:rPr>
  </w:style>
  <w:style w:type="paragraph" w:styleId="TOC5">
    <w:name w:val="toc 5"/>
    <w:basedOn w:val="Normal-pool"/>
    <w:next w:val="Normal-pool"/>
    <w:semiHidden/>
    <w:rsid w:val="003C0D97"/>
    <w:pPr>
      <w:ind w:left="800"/>
    </w:pPr>
    <w:rPr>
      <w:sz w:val="18"/>
      <w:szCs w:val="18"/>
    </w:rPr>
  </w:style>
  <w:style w:type="paragraph" w:customStyle="1" w:styleId="ZZAnxheader">
    <w:name w:val="ZZ_Anx_header"/>
    <w:basedOn w:val="Normal-pool"/>
    <w:qFormat/>
    <w:rsid w:val="003C0D97"/>
    <w:rPr>
      <w:b/>
      <w:bCs/>
      <w:sz w:val="28"/>
      <w:szCs w:val="22"/>
    </w:rPr>
  </w:style>
  <w:style w:type="paragraph" w:customStyle="1" w:styleId="ZZAnxtitle">
    <w:name w:val="ZZ_Anx_title"/>
    <w:basedOn w:val="Normal-pool"/>
    <w:qFormat/>
    <w:rsid w:val="003C0D97"/>
    <w:pPr>
      <w:spacing w:before="360" w:after="120"/>
      <w:ind w:left="1247"/>
    </w:pPr>
    <w:rPr>
      <w:b/>
      <w:bCs/>
      <w:sz w:val="28"/>
      <w:szCs w:val="26"/>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6D03CB"/>
    <w:rPr>
      <w:rFonts w:ascii="Times New Roman" w:eastAsia="Times New Roman" w:hAnsi="Times New Roman" w:cs="Times New Roman"/>
      <w:lang w:val="fr-CA" w:eastAsia="en-US"/>
    </w:rPr>
  </w:style>
  <w:style w:type="character" w:customStyle="1" w:styleId="FootnoteTextChar">
    <w:name w:val="Footnote Text Char"/>
    <w:basedOn w:val="DefaultParagraphFont"/>
    <w:link w:val="FootnoteText"/>
    <w:rsid w:val="00B24A20"/>
    <w:rPr>
      <w:rFonts w:ascii="Times New Roman" w:eastAsia="SimSun" w:hAnsi="Times New Roman" w:cs="Times New Roman"/>
      <w:sz w:val="18"/>
      <w:lang w:val="fr-CA" w:eastAsia="en-US"/>
    </w:rPr>
  </w:style>
  <w:style w:type="character" w:customStyle="1" w:styleId="CH2Char">
    <w:name w:val="CH2 Char"/>
    <w:link w:val="CH2"/>
    <w:locked/>
    <w:rsid w:val="00E14928"/>
    <w:rPr>
      <w:rFonts w:ascii="Times New Roman" w:eastAsia="SimSun" w:hAnsi="Times New Roman" w:cs="Times New Roman"/>
      <w:b/>
      <w:sz w:val="24"/>
      <w:szCs w:val="24"/>
      <w:lang w:val="fr-CA" w:eastAsia="en-US"/>
    </w:rPr>
  </w:style>
  <w:style w:type="table" w:styleId="TableGrid">
    <w:name w:val="Table Grid"/>
    <w:basedOn w:val="TableNormal"/>
    <w:rsid w:val="003C0D97"/>
    <w:pPr>
      <w:spacing w:after="0" w:line="240" w:lineRule="auto"/>
    </w:pPr>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styleId="UnresolvedMention">
    <w:name w:val="Unresolved Mention"/>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rsid w:val="00B24A20"/>
    <w:rPr>
      <w:rFonts w:ascii="Times New Roman" w:eastAsia="SimSun" w:hAnsi="Times New Roman" w:cs="Times New Roman"/>
      <w:sz w:val="18"/>
      <w:lang w:val="fr-CA" w:eastAsia="en-US"/>
    </w:rPr>
  </w:style>
  <w:style w:type="character" w:customStyle="1" w:styleId="Heading1Char">
    <w:name w:val="Heading 1 Char"/>
    <w:basedOn w:val="DefaultParagraphFont"/>
    <w:link w:val="Heading1"/>
    <w:rsid w:val="00B24A20"/>
    <w:rPr>
      <w:rFonts w:ascii="Times New Roman" w:eastAsia="SimSun" w:hAnsi="Times New Roman" w:cs="Times New Roman"/>
      <w:b/>
      <w:sz w:val="28"/>
      <w:lang w:val="fr-CA" w:eastAsia="zh-CN"/>
    </w:rPr>
  </w:style>
  <w:style w:type="character" w:customStyle="1" w:styleId="Heading2Char">
    <w:name w:val="Heading 2 Char"/>
    <w:basedOn w:val="DefaultParagraphFont"/>
    <w:link w:val="Heading2"/>
    <w:rsid w:val="00B24A20"/>
    <w:rPr>
      <w:rFonts w:ascii="Times New Roman" w:eastAsia="SimSun" w:hAnsi="Times New Roman" w:cs="Times New Roman"/>
      <w:b/>
      <w:sz w:val="24"/>
      <w:szCs w:val="24"/>
      <w:lang w:val="fr-CA" w:eastAsia="zh-CN"/>
    </w:rPr>
  </w:style>
  <w:style w:type="character" w:customStyle="1" w:styleId="Heading3Char">
    <w:name w:val="Heading 3 Char"/>
    <w:basedOn w:val="DefaultParagraphFont"/>
    <w:link w:val="Heading3"/>
    <w:rsid w:val="00B24A20"/>
    <w:rPr>
      <w:rFonts w:ascii="Times New Roman" w:eastAsia="SimSun" w:hAnsi="Times New Roman" w:cs="Times New Roman"/>
      <w:b/>
      <w:lang w:val="fr-CA" w:eastAsia="zh-CN"/>
    </w:rPr>
  </w:style>
  <w:style w:type="character" w:customStyle="1" w:styleId="Heading4Char">
    <w:name w:val="Heading 4 Char"/>
    <w:basedOn w:val="DefaultParagraphFont"/>
    <w:link w:val="Heading4"/>
    <w:rsid w:val="00B24A20"/>
    <w:rPr>
      <w:rFonts w:ascii="Times New Roman" w:eastAsia="SimSun" w:hAnsi="Times New Roman" w:cs="Times New Roman"/>
      <w:b/>
      <w:lang w:val="fr-CA" w:eastAsia="zh-CN"/>
    </w:rPr>
  </w:style>
  <w:style w:type="character" w:customStyle="1" w:styleId="Heading5Char">
    <w:name w:val="Heading 5 Char"/>
    <w:basedOn w:val="DefaultParagraphFont"/>
    <w:link w:val="Heading5"/>
    <w:rsid w:val="00B24A20"/>
    <w:rPr>
      <w:rFonts w:ascii="Univers" w:eastAsia="SimSun" w:hAnsi="Univers" w:cs="Times New Roman"/>
      <w:b/>
      <w:sz w:val="24"/>
      <w:lang w:val="fr-CA" w:eastAsia="zh-CN"/>
    </w:rPr>
  </w:style>
  <w:style w:type="character" w:customStyle="1" w:styleId="Heading6Char">
    <w:name w:val="Heading 6 Char"/>
    <w:basedOn w:val="DefaultParagraphFont"/>
    <w:link w:val="Heading6"/>
    <w:rsid w:val="00B24A20"/>
    <w:rPr>
      <w:rFonts w:ascii="Times New Roman" w:eastAsia="SimSun" w:hAnsi="Times New Roman" w:cs="Times New Roman"/>
      <w:b/>
      <w:bCs/>
      <w:sz w:val="24"/>
      <w:lang w:val="fr-CA" w:eastAsia="zh-CN"/>
    </w:rPr>
  </w:style>
  <w:style w:type="character" w:customStyle="1" w:styleId="Heading7Char">
    <w:name w:val="Heading 7 Char"/>
    <w:basedOn w:val="DefaultParagraphFont"/>
    <w:link w:val="Heading7"/>
    <w:rsid w:val="00B24A20"/>
    <w:rPr>
      <w:rFonts w:ascii="Times New Roman" w:eastAsia="SimSun" w:hAnsi="Times New Roman" w:cs="Times New Roman"/>
      <w:snapToGrid w:val="0"/>
      <w:u w:val="single"/>
      <w:lang w:val="fr-CA" w:eastAsia="zh-CN"/>
    </w:rPr>
  </w:style>
  <w:style w:type="character" w:customStyle="1" w:styleId="Heading8Char">
    <w:name w:val="Heading 8 Char"/>
    <w:basedOn w:val="DefaultParagraphFont"/>
    <w:link w:val="Heading8"/>
    <w:rsid w:val="00B24A20"/>
    <w:rPr>
      <w:rFonts w:ascii="Times New Roman" w:eastAsia="SimSun" w:hAnsi="Times New Roman" w:cs="Times New Roman"/>
      <w:snapToGrid w:val="0"/>
      <w:u w:val="single"/>
      <w:lang w:val="fr-CA" w:eastAsia="zh-CN"/>
    </w:rPr>
  </w:style>
  <w:style w:type="character" w:customStyle="1" w:styleId="Heading9Char">
    <w:name w:val="Heading 9 Char"/>
    <w:basedOn w:val="DefaultParagraphFont"/>
    <w:link w:val="Heading9"/>
    <w:rsid w:val="00B24A20"/>
    <w:rPr>
      <w:rFonts w:ascii="Times New Roman" w:eastAsia="SimSun" w:hAnsi="Times New Roman" w:cs="Times New Roman"/>
      <w:snapToGrid w:val="0"/>
      <w:u w:val="single"/>
      <w:lang w:val="fr-CA" w:eastAsia="zh-CN"/>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SimSun" w:hAnsi="Times New Roman" w:cs="Times New Roman"/>
      <w:b/>
      <w:sz w:val="18"/>
      <w:lang w:val="fr-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term.un.org/DGAACS/unterm.nsf/WebView/89752D0EE42F5EDF852575EC006B64B1?OpenDocumen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2021-05-05T10:34:26+00:00</Uploaded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2.xml><?xml version="1.0" encoding="utf-8"?>
<ds:datastoreItem xmlns:ds="http://schemas.openxmlformats.org/officeDocument/2006/customXml" ds:itemID="{4C83DD1B-5F4D-4695-905D-DB2B58C44378}">
  <ds:schemaRefs>
    <ds:schemaRef ds:uri="http://purl.org/dc/dcmitype/"/>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a5a030b7-a207-4454-9836-0151be6a4cb9"/>
    <ds:schemaRef ds:uri="d171b53f-1e97-4759-80c4-d294f18acbad"/>
  </ds:schemaRefs>
</ds:datastoreItem>
</file>

<file path=customXml/itemProps3.xml><?xml version="1.0" encoding="utf-8"?>
<ds:datastoreItem xmlns:ds="http://schemas.openxmlformats.org/officeDocument/2006/customXml" ds:itemID="{1CB54A68-EDDB-4CE5-B72F-10CC966FD2B1}">
  <ds:schemaRefs>
    <ds:schemaRef ds:uri="http://schemas.openxmlformats.org/officeDocument/2006/bibliography"/>
  </ds:schemaRefs>
</ds:datastoreItem>
</file>

<file path=customXml/itemProps4.xml><?xml version="1.0" encoding="utf-8"?>
<ds:datastoreItem xmlns:ds="http://schemas.openxmlformats.org/officeDocument/2006/customXml" ds:itemID="{D79A9CBE-B898-45EC-B7B2-D9745D016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1b53f-1e97-4759-80c4-d294f18acbad"/>
    <ds:schemaRef ds:uri="a5a030b7-a207-4454-9836-0151be6a4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2238</Words>
  <Characters>12760</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Olga Rasmus</cp:lastModifiedBy>
  <cp:revision>2</cp:revision>
  <cp:lastPrinted>2021-04-26T13:50:00Z</cp:lastPrinted>
  <dcterms:created xsi:type="dcterms:W3CDTF">2021-05-05T10:34:00Z</dcterms:created>
  <dcterms:modified xsi:type="dcterms:W3CDTF">2021-05-05T10:34:00Z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Maite.Suengas</vt:lpwstr>
  </property>
  <property fmtid="{D5CDD505-2E9C-101B-9397-08002B2CF9AE}" pid="5" name="GeneratedDate">
    <vt:lpwstr>04/29/2021 05:11:34</vt:lpwstr>
  </property>
  <property fmtid="{D5CDD505-2E9C-101B-9397-08002B2CF9AE}" pid="6" name="OriginalDocID">
    <vt:lpwstr>4d260826-07e1-44e9-969f-86c9903725b7</vt:lpwstr>
  </property>
</Properties>
</file>