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"/>
        <w:gridCol w:w="1469"/>
        <w:gridCol w:w="475"/>
        <w:gridCol w:w="256"/>
        <w:gridCol w:w="1697"/>
        <w:gridCol w:w="958"/>
        <w:gridCol w:w="717"/>
        <w:gridCol w:w="2029"/>
        <w:gridCol w:w="601"/>
        <w:gridCol w:w="1224"/>
        <w:gridCol w:w="35"/>
      </w:tblGrid>
      <w:tr w:rsidR="00F40897" w:rsidRPr="00C06A42" w14:paraId="7C54D207" w14:textId="77777777" w:rsidTr="00DA19EA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456EA313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24"/>
                <w:szCs w:val="24"/>
                <w:lang w:val="ru-RU"/>
              </w:rPr>
            </w:pP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4072DEF4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5575B23" wp14:editId="3350430E">
                  <wp:extent cx="1038225" cy="438150"/>
                  <wp:effectExtent l="0" t="0" r="9525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00252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59C5C8CC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5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292934F2" wp14:editId="2CE0FEFB">
                  <wp:extent cx="532130" cy="443442"/>
                  <wp:effectExtent l="0" t="0" r="127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60" cy="44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13B51F1E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  <w:r w:rsidRPr="00203A54">
              <w:rPr>
                <w:noProof/>
                <w:lang w:eastAsia="en-GB"/>
              </w:rPr>
              <w:drawing>
                <wp:inline distT="0" distB="0" distL="0" distR="0" wp14:anchorId="4EA2BF92" wp14:editId="549C1C74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14:paraId="26776FAE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F043F60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7100258E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03FC74DF" wp14:editId="071C439D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2DADB711" w14:textId="77777777" w:rsidR="00F40897" w:rsidRPr="00C06A42" w:rsidRDefault="00F40897" w:rsidP="0051510A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F40897" w:rsidRPr="00C06A42" w14:paraId="798D3118" w14:textId="77777777" w:rsidTr="00DA19EA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47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41FD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7307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7DE" w14:textId="65D5FE3B" w:rsidR="00F40897" w:rsidRPr="005D0D31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en-US"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>
              <w:rPr>
                <w:lang w:val="en-US"/>
              </w:rPr>
              <w:t>8</w:t>
            </w:r>
            <w:r>
              <w:t>/</w:t>
            </w:r>
            <w:r w:rsidR="004040D2">
              <w:t>3</w:t>
            </w:r>
          </w:p>
        </w:tc>
      </w:tr>
      <w:tr w:rsidR="00F40897" w:rsidRPr="00A13C72" w14:paraId="64B45615" w14:textId="77777777" w:rsidTr="00DA19EA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5091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5AA524" wp14:editId="4A7E3E61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A56B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AC12" w14:textId="69EA6C89" w:rsidR="00F40897" w:rsidRPr="00F40897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CA"/>
              </w:rPr>
            </w:pPr>
            <w:r w:rsidRPr="00F40897">
              <w:rPr>
                <w:lang w:val="en-CA"/>
              </w:rPr>
              <w:t>Distr.: General</w:t>
            </w:r>
            <w:r w:rsidRPr="00F40897">
              <w:rPr>
                <w:lang w:val="en-CA"/>
              </w:rPr>
              <w:br/>
            </w:r>
            <w:r>
              <w:rPr>
                <w:lang w:val="en-US"/>
              </w:rPr>
              <w:t>1</w:t>
            </w:r>
            <w:r w:rsidR="00B47B90">
              <w:rPr>
                <w:lang w:val="en-US"/>
              </w:rPr>
              <w:t>2</w:t>
            </w:r>
            <w:r w:rsidRPr="00F40897">
              <w:rPr>
                <w:lang w:val="en-CA"/>
              </w:rPr>
              <w:t xml:space="preserve"> </w:t>
            </w:r>
            <w:r w:rsidR="00B47B90">
              <w:rPr>
                <w:lang w:val="en-US"/>
              </w:rPr>
              <w:t>March</w:t>
            </w:r>
            <w:r w:rsidRPr="00F40897">
              <w:rPr>
                <w:lang w:val="en-CA"/>
              </w:rPr>
              <w:t xml:space="preserve"> 202</w:t>
            </w:r>
            <w:r w:rsidR="00B47B90">
              <w:rPr>
                <w:lang w:val="en-CA"/>
              </w:rPr>
              <w:t>1</w:t>
            </w:r>
          </w:p>
          <w:p w14:paraId="4B102334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4523549D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7771D2E3" w14:textId="77777777" w:rsidR="00F40897" w:rsidRPr="00C06A42" w:rsidRDefault="00F40897" w:rsidP="0051510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C06A42">
              <w:rPr>
                <w:lang w:val="en-US"/>
              </w:rPr>
              <w:t>Original: English</w:t>
            </w:r>
          </w:p>
        </w:tc>
      </w:tr>
    </w:tbl>
    <w:p w14:paraId="2CB9B462" w14:textId="77777777" w:rsidR="00C95B00" w:rsidRPr="003367DD" w:rsidRDefault="00C95B00" w:rsidP="0051510A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967"/>
        <w:rPr>
          <w:lang w:val="ru-RU"/>
        </w:rPr>
      </w:pPr>
      <w:r>
        <w:rPr>
          <w:bCs/>
          <w:lang w:val="ru-RU"/>
        </w:rPr>
        <w:t>Пленум Межправительственной научно-политической платформы по биоразнообразию и экосистемным услугам</w:t>
      </w:r>
    </w:p>
    <w:p w14:paraId="6B49E6D8" w14:textId="77777777" w:rsidR="00C95B00" w:rsidRPr="003367DD" w:rsidRDefault="00C95B00" w:rsidP="0051510A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>
        <w:rPr>
          <w:bCs/>
          <w:lang w:val="ru-RU"/>
        </w:rPr>
        <w:t>Восьмая сессия</w:t>
      </w:r>
    </w:p>
    <w:p w14:paraId="47E03A95" w14:textId="28683F61" w:rsidR="00DC5E14" w:rsidRPr="00B47B90" w:rsidRDefault="00DC5E14" w:rsidP="0051510A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bCs/>
          <w:lang w:val="ru-RU"/>
        </w:rPr>
      </w:pPr>
      <w:r w:rsidRPr="00B47B90">
        <w:rPr>
          <w:b w:val="0"/>
          <w:bCs/>
          <w:lang w:val="ru-RU"/>
        </w:rPr>
        <w:t>В онлайн</w:t>
      </w:r>
      <w:r w:rsidR="00A556A4" w:rsidRPr="008A1BD5">
        <w:rPr>
          <w:b w:val="0"/>
          <w:bCs/>
          <w:lang w:val="ru-RU"/>
        </w:rPr>
        <w:t>-</w:t>
      </w:r>
      <w:r w:rsidRPr="00B47B90">
        <w:rPr>
          <w:b w:val="0"/>
          <w:bCs/>
          <w:lang w:val="ru-RU"/>
        </w:rPr>
        <w:t>режиме, 14</w:t>
      </w:r>
      <w:r w:rsidR="00391395">
        <w:rPr>
          <w:b w:val="0"/>
          <w:bCs/>
          <w:lang w:val="ru-RU"/>
        </w:rPr>
        <w:t>-</w:t>
      </w:r>
      <w:r w:rsidRPr="00B47B90">
        <w:rPr>
          <w:b w:val="0"/>
          <w:bCs/>
          <w:lang w:val="ru-RU"/>
        </w:rPr>
        <w:t>24 июня 2021 года</w:t>
      </w:r>
    </w:p>
    <w:p w14:paraId="00344F7B" w14:textId="1F81985B" w:rsidR="00DC5E14" w:rsidRPr="00B47B90" w:rsidRDefault="00DC5E14" w:rsidP="001864D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bCs/>
          <w:lang w:val="ru-RU"/>
        </w:rPr>
      </w:pPr>
      <w:r w:rsidRPr="00B47B90">
        <w:rPr>
          <w:b w:val="0"/>
          <w:bCs/>
          <w:lang w:val="ru-RU"/>
        </w:rPr>
        <w:t>Пункт 7 a) предварительной повестки дня</w:t>
      </w:r>
      <w:r w:rsidR="00714F6B" w:rsidRPr="00B47B90">
        <w:rPr>
          <w:b w:val="0"/>
          <w:bCs/>
          <w:lang w:val="ru-RU"/>
        </w:rPr>
        <w:footnoteReference w:customMarkFollows="1" w:id="1"/>
        <w:t>*</w:t>
      </w:r>
    </w:p>
    <w:p w14:paraId="71D9E3FE" w14:textId="0F6E1C21" w:rsidR="00DC5E14" w:rsidRPr="003367DD" w:rsidRDefault="00DC5E14" w:rsidP="001864D2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 w:after="120"/>
        <w:ind w:right="1701"/>
        <w:rPr>
          <w:lang w:val="ru-RU"/>
        </w:rPr>
      </w:pPr>
      <w:r>
        <w:rPr>
          <w:bCs/>
          <w:lang w:val="ru-RU"/>
        </w:rPr>
        <w:t>Доклад об аналитическом исследовании для тематической оценки взаимосвязей между биоразнообразием, водными ресурсами, продовольствием и здоровьем</w:t>
      </w:r>
    </w:p>
    <w:p w14:paraId="4F0C7DF6" w14:textId="4BAF4EEE" w:rsidR="00DC5E14" w:rsidRPr="00AB49AE" w:rsidRDefault="00DC5E14" w:rsidP="00AB49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  <w:lang w:val="ru-RU"/>
        </w:rPr>
      </w:pPr>
      <w:r w:rsidRPr="00AB49AE">
        <w:rPr>
          <w:b/>
          <w:bCs/>
          <w:sz w:val="28"/>
          <w:szCs w:val="28"/>
          <w:lang w:val="ru-RU"/>
        </w:rPr>
        <w:t xml:space="preserve">Доклад об аналитическом исследовании </w:t>
      </w:r>
      <w:r w:rsidR="00B00166">
        <w:rPr>
          <w:b/>
          <w:bCs/>
          <w:sz w:val="28"/>
          <w:szCs w:val="28"/>
          <w:lang w:val="ru-RU"/>
        </w:rPr>
        <w:t xml:space="preserve">для </w:t>
      </w:r>
      <w:r w:rsidRPr="00AB49AE">
        <w:rPr>
          <w:b/>
          <w:bCs/>
          <w:sz w:val="28"/>
          <w:szCs w:val="28"/>
          <w:lang w:val="ru-RU"/>
        </w:rPr>
        <w:t>оценки взаимосвязей между биоразнообразием, климатом, водными ресурсами, продовольствием, энергией и здоровьем (</w:t>
      </w:r>
      <w:r w:rsidR="00F91B80" w:rsidRPr="00AB49AE">
        <w:rPr>
          <w:b/>
          <w:bCs/>
          <w:sz w:val="28"/>
          <w:szCs w:val="28"/>
          <w:lang w:val="ru-RU"/>
        </w:rPr>
        <w:t>«</w:t>
      </w:r>
      <w:r w:rsidRPr="00AB49AE">
        <w:rPr>
          <w:b/>
          <w:bCs/>
          <w:sz w:val="28"/>
          <w:szCs w:val="28"/>
          <w:lang w:val="ru-RU"/>
        </w:rPr>
        <w:t>оценк</w:t>
      </w:r>
      <w:r w:rsidR="00F601CD">
        <w:rPr>
          <w:b/>
          <w:bCs/>
          <w:sz w:val="28"/>
          <w:szCs w:val="28"/>
          <w:lang w:val="ru-RU"/>
        </w:rPr>
        <w:t>а</w:t>
      </w:r>
      <w:r w:rsidRPr="00AB49AE">
        <w:rPr>
          <w:b/>
          <w:bCs/>
          <w:sz w:val="28"/>
          <w:szCs w:val="28"/>
          <w:lang w:val="ru-RU"/>
        </w:rPr>
        <w:t xml:space="preserve"> </w:t>
      </w:r>
      <w:r w:rsidR="00F601CD">
        <w:rPr>
          <w:b/>
          <w:bCs/>
          <w:sz w:val="28"/>
          <w:szCs w:val="28"/>
          <w:lang w:val="ru-RU"/>
        </w:rPr>
        <w:t>совокупности</w:t>
      </w:r>
      <w:r w:rsidR="00F91B80" w:rsidRPr="00AB49AE">
        <w:rPr>
          <w:b/>
          <w:bCs/>
          <w:sz w:val="28"/>
          <w:szCs w:val="28"/>
          <w:lang w:val="ru-RU"/>
        </w:rPr>
        <w:t>»</w:t>
      </w:r>
      <w:r w:rsidRPr="00AB49AE">
        <w:rPr>
          <w:b/>
          <w:bCs/>
          <w:sz w:val="28"/>
          <w:szCs w:val="28"/>
          <w:lang w:val="ru-RU"/>
        </w:rPr>
        <w:t>)</w:t>
      </w:r>
      <w:r w:rsidR="00C01D25" w:rsidRPr="00AB49AE">
        <w:rPr>
          <w:b/>
          <w:bCs/>
          <w:sz w:val="28"/>
          <w:szCs w:val="28"/>
          <w:lang w:val="ru-RU"/>
        </w:rPr>
        <w:footnoteReference w:customMarkFollows="1" w:id="2"/>
        <w:t>**</w:t>
      </w:r>
    </w:p>
    <w:p w14:paraId="2D4923CE" w14:textId="4FBBAAFB" w:rsidR="00DC5E14" w:rsidRPr="00AB49AE" w:rsidRDefault="00DC5E14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  <w:lang w:val="ru-RU"/>
        </w:rPr>
      </w:pPr>
      <w:r w:rsidRPr="00AB49AE">
        <w:rPr>
          <w:b/>
          <w:bCs/>
          <w:sz w:val="24"/>
          <w:szCs w:val="24"/>
          <w:lang w:val="ru-RU"/>
        </w:rPr>
        <w:tab/>
        <w:t xml:space="preserve">Записка секретариата </w:t>
      </w:r>
    </w:p>
    <w:p w14:paraId="69EF5CB7" w14:textId="432399E5" w:rsidR="00DC5E14" w:rsidRPr="001864D2" w:rsidRDefault="00AB49AE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1.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На своей седьмой сессии в пункте 2 a) раздела II решения МПБЭУ-7/1 Пленум утвердил процесс проведения аналитического исследования для тематической оценки взаимосвязей между биоразнообразием, водными ресурсами, продовольствием и здоровьем (</w:t>
      </w:r>
      <w:r w:rsidR="00F91B80" w:rsidRPr="001864D2">
        <w:rPr>
          <w:lang w:val="ru-RU"/>
        </w:rPr>
        <w:t>«</w:t>
      </w:r>
      <w:r w:rsidR="00DC5E14" w:rsidRPr="001864D2">
        <w:rPr>
          <w:lang w:val="ru-RU"/>
        </w:rPr>
        <w:t>оценк</w:t>
      </w:r>
      <w:r w:rsidR="00B57E03">
        <w:rPr>
          <w:lang w:val="ru-RU"/>
        </w:rPr>
        <w:t>а</w:t>
      </w:r>
      <w:r w:rsidR="00DC5E14" w:rsidRPr="001864D2">
        <w:rPr>
          <w:lang w:val="ru-RU"/>
        </w:rPr>
        <w:t xml:space="preserve"> </w:t>
      </w:r>
      <w:r w:rsidR="00B57E03">
        <w:rPr>
          <w:lang w:val="ru-RU"/>
        </w:rPr>
        <w:t>совокупности</w:t>
      </w:r>
      <w:r w:rsidR="00F91B80" w:rsidRPr="001864D2">
        <w:rPr>
          <w:lang w:val="ru-RU"/>
        </w:rPr>
        <w:t>»</w:t>
      </w:r>
      <w:r w:rsidR="00DC5E14" w:rsidRPr="001864D2">
        <w:rPr>
          <w:lang w:val="ru-RU"/>
        </w:rPr>
        <w:t>) в соответствии с процедурами подготовки итоговых материалов Платформы, изложенными в приложении I к решению МПБЭУ-3/3, и на основе первоначального доклада об аналитическом исследовании для оценки, изложенном в разделе I добавления II к документу</w:t>
      </w:r>
      <w:r>
        <w:rPr>
          <w:lang w:val="en-GB"/>
        </w:rPr>
        <w:t> </w:t>
      </w:r>
      <w:r w:rsidR="00DC5E14" w:rsidRPr="001864D2">
        <w:rPr>
          <w:lang w:val="ru-RU"/>
        </w:rPr>
        <w:t xml:space="preserve">IPBES/7/6. </w:t>
      </w:r>
    </w:p>
    <w:p w14:paraId="1EC4D23E" w14:textId="5DD75106" w:rsidR="00DC5E14" w:rsidRPr="001864D2" w:rsidRDefault="00AB49AE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2.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Учитывая чрезвычайные обстоятельства</w:t>
      </w:r>
      <w:r w:rsidR="006D5E99">
        <w:rPr>
          <w:lang w:val="ru-RU"/>
        </w:rPr>
        <w:t xml:space="preserve"> в связи с</w:t>
      </w:r>
      <w:r w:rsidR="00DC5E14" w:rsidRPr="001864D2">
        <w:rPr>
          <w:lang w:val="ru-RU"/>
        </w:rPr>
        <w:t xml:space="preserve"> новым коронавирусом и роль, которую МПБЭУ может </w:t>
      </w:r>
      <w:r w:rsidR="004B1119">
        <w:rPr>
          <w:lang w:val="ru-RU"/>
        </w:rPr>
        <w:t>и</w:t>
      </w:r>
      <w:r w:rsidR="004B1119" w:rsidRPr="001864D2">
        <w:rPr>
          <w:lang w:val="ru-RU"/>
        </w:rPr>
        <w:t xml:space="preserve">грать </w:t>
      </w:r>
      <w:r w:rsidR="00DC5E14" w:rsidRPr="001864D2">
        <w:rPr>
          <w:lang w:val="ru-RU"/>
        </w:rPr>
        <w:t>в укреплении базы знаний о</w:t>
      </w:r>
      <w:r w:rsidR="00A556A4" w:rsidRPr="001864D2">
        <w:rPr>
          <w:lang w:val="ru-RU"/>
        </w:rPr>
        <w:t xml:space="preserve">б относящихся к </w:t>
      </w:r>
      <w:r w:rsidR="00DC5E14" w:rsidRPr="001864D2">
        <w:rPr>
          <w:lang w:val="ru-RU"/>
        </w:rPr>
        <w:t>биоразнообрази</w:t>
      </w:r>
      <w:r w:rsidR="00A556A4" w:rsidRPr="001864D2">
        <w:rPr>
          <w:lang w:val="ru-RU"/>
        </w:rPr>
        <w:t xml:space="preserve">ю </w:t>
      </w:r>
      <w:r w:rsidR="00F71AF9">
        <w:rPr>
          <w:lang w:val="ru-RU"/>
        </w:rPr>
        <w:t>взаимо</w:t>
      </w:r>
      <w:r w:rsidR="00A556A4" w:rsidRPr="001864D2">
        <w:rPr>
          <w:lang w:val="ru-RU"/>
        </w:rPr>
        <w:t>свя</w:t>
      </w:r>
      <w:r w:rsidR="0036375C" w:rsidRPr="001864D2">
        <w:rPr>
          <w:lang w:val="ru-RU"/>
        </w:rPr>
        <w:t>зях</w:t>
      </w:r>
      <w:r w:rsidR="00F71AF9">
        <w:rPr>
          <w:lang w:val="ru-RU"/>
        </w:rPr>
        <w:t xml:space="preserve"> между</w:t>
      </w:r>
      <w:r w:rsidR="00DC5E14" w:rsidRPr="001864D2">
        <w:rPr>
          <w:lang w:val="ru-RU"/>
        </w:rPr>
        <w:t xml:space="preserve"> текущей и будущи</w:t>
      </w:r>
      <w:r w:rsidR="00F71AF9">
        <w:rPr>
          <w:lang w:val="ru-RU"/>
        </w:rPr>
        <w:t>ми</w:t>
      </w:r>
      <w:r w:rsidR="00DC5E14" w:rsidRPr="001864D2">
        <w:rPr>
          <w:lang w:val="ru-RU"/>
        </w:rPr>
        <w:t xml:space="preserve"> пандеми</w:t>
      </w:r>
      <w:r w:rsidR="00F71AF9">
        <w:rPr>
          <w:lang w:val="ru-RU"/>
        </w:rPr>
        <w:t>ями</w:t>
      </w:r>
      <w:r w:rsidR="00DC5E14" w:rsidRPr="001864D2">
        <w:rPr>
          <w:lang w:val="ru-RU"/>
        </w:rPr>
        <w:t xml:space="preserve">, включая COVID-19, а также в </w:t>
      </w:r>
      <w:r w:rsidR="0036375C" w:rsidRPr="001864D2">
        <w:rPr>
          <w:lang w:val="ru-RU"/>
        </w:rPr>
        <w:t xml:space="preserve">обеспечении </w:t>
      </w:r>
      <w:r w:rsidR="00DC5E14" w:rsidRPr="001864D2">
        <w:rPr>
          <w:lang w:val="ru-RU"/>
        </w:rPr>
        <w:t>широкой общественно</w:t>
      </w:r>
      <w:r w:rsidR="00113CA3">
        <w:rPr>
          <w:lang w:val="ru-RU"/>
        </w:rPr>
        <w:t xml:space="preserve">й </w:t>
      </w:r>
      <w:r w:rsidR="00E239F0">
        <w:rPr>
          <w:lang w:val="ru-RU"/>
        </w:rPr>
        <w:t>гласности</w:t>
      </w:r>
      <w:r w:rsidR="00DC5E14" w:rsidRPr="001864D2">
        <w:rPr>
          <w:lang w:val="ru-RU"/>
        </w:rPr>
        <w:t>, Бюро МПБЭУ и М</w:t>
      </w:r>
      <w:r w:rsidR="002A0372" w:rsidRPr="001864D2">
        <w:rPr>
          <w:lang w:val="ru-RU"/>
        </w:rPr>
        <w:t>ного</w:t>
      </w:r>
      <w:r w:rsidR="00DC5E14" w:rsidRPr="001864D2">
        <w:rPr>
          <w:lang w:val="ru-RU"/>
        </w:rPr>
        <w:t xml:space="preserve">дисциплинарная группа экспертов приняли решение </w:t>
      </w:r>
      <w:r w:rsidR="0036375C" w:rsidRPr="001864D2">
        <w:rPr>
          <w:lang w:val="ru-RU"/>
        </w:rPr>
        <w:t>об</w:t>
      </w:r>
      <w:r w:rsidR="00DC5E14" w:rsidRPr="001864D2">
        <w:rPr>
          <w:lang w:val="ru-RU"/>
        </w:rPr>
        <w:t xml:space="preserve"> организ</w:t>
      </w:r>
      <w:r w:rsidR="0036375C" w:rsidRPr="001864D2">
        <w:rPr>
          <w:lang w:val="ru-RU"/>
        </w:rPr>
        <w:t xml:space="preserve">ации </w:t>
      </w:r>
      <w:r w:rsidR="00DC5E14" w:rsidRPr="001864D2">
        <w:rPr>
          <w:lang w:val="ru-RU"/>
        </w:rPr>
        <w:t>в рамках Платформы виртуальн</w:t>
      </w:r>
      <w:r w:rsidR="0036375C" w:rsidRPr="001864D2">
        <w:rPr>
          <w:lang w:val="ru-RU"/>
        </w:rPr>
        <w:t>ого</w:t>
      </w:r>
      <w:r w:rsidR="00DC5E14" w:rsidRPr="001864D2">
        <w:rPr>
          <w:lang w:val="ru-RU"/>
        </w:rPr>
        <w:t xml:space="preserve"> семинар</w:t>
      </w:r>
      <w:r w:rsidR="0036375C" w:rsidRPr="001864D2">
        <w:rPr>
          <w:lang w:val="ru-RU"/>
        </w:rPr>
        <w:t>а</w:t>
      </w:r>
      <w:r w:rsidR="001775F3">
        <w:rPr>
          <w:lang w:val="ru-RU"/>
        </w:rPr>
        <w:noBreakHyphen/>
      </w:r>
      <w:r w:rsidR="00DC5E14" w:rsidRPr="001864D2">
        <w:rPr>
          <w:lang w:val="ru-RU"/>
        </w:rPr>
        <w:t>практикум</w:t>
      </w:r>
      <w:r w:rsidR="0036375C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по </w:t>
      </w:r>
      <w:r w:rsidR="00E239F0">
        <w:rPr>
          <w:lang w:val="ru-RU"/>
        </w:rPr>
        <w:t>взаимо</w:t>
      </w:r>
      <w:r w:rsidR="00DC5E14" w:rsidRPr="001864D2">
        <w:rPr>
          <w:lang w:val="ru-RU"/>
        </w:rPr>
        <w:t>связям между биоразнообразием и пандемиями. Семинар</w:t>
      </w:r>
      <w:r w:rsidR="001775F3">
        <w:rPr>
          <w:lang w:val="ru-RU"/>
        </w:rPr>
        <w:noBreakHyphen/>
      </w:r>
      <w:r w:rsidR="00DC5E14" w:rsidRPr="001864D2">
        <w:rPr>
          <w:lang w:val="ru-RU"/>
        </w:rPr>
        <w:t xml:space="preserve">практикум проводился в онлайновом режиме с 27 по 31 июля 2020 года как </w:t>
      </w:r>
      <w:r w:rsidR="00F91B80" w:rsidRPr="001864D2">
        <w:rPr>
          <w:lang w:val="ru-RU"/>
        </w:rPr>
        <w:t>«</w:t>
      </w:r>
      <w:r w:rsidR="00CC598B">
        <w:rPr>
          <w:lang w:val="ru-RU"/>
        </w:rPr>
        <w:t>с</w:t>
      </w:r>
      <w:r w:rsidR="00DC5E14" w:rsidRPr="001864D2">
        <w:rPr>
          <w:lang w:val="ru-RU"/>
        </w:rPr>
        <w:t>еминар</w:t>
      </w:r>
      <w:r w:rsidR="000C5F0A">
        <w:rPr>
          <w:lang w:val="ru-RU"/>
        </w:rPr>
        <w:noBreakHyphen/>
      </w:r>
      <w:r w:rsidR="00DC5E14" w:rsidRPr="001864D2">
        <w:rPr>
          <w:lang w:val="ru-RU"/>
        </w:rPr>
        <w:t>практикум Платформы</w:t>
      </w:r>
      <w:r w:rsidR="00F91B80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</w:t>
      </w:r>
      <w:r w:rsidR="0036375C" w:rsidRPr="001864D2">
        <w:rPr>
          <w:lang w:val="ru-RU"/>
        </w:rPr>
        <w:t>согласно</w:t>
      </w:r>
      <w:r w:rsidR="00DC5E14" w:rsidRPr="001864D2">
        <w:rPr>
          <w:lang w:val="ru-RU"/>
        </w:rPr>
        <w:t xml:space="preserve"> процедурам МПБЭУ</w:t>
      </w:r>
      <w:r w:rsidR="00DC5E14" w:rsidRPr="00AB49AE">
        <w:rPr>
          <w:rFonts w:eastAsia="MS Mincho"/>
          <w:vertAlign w:val="superscript"/>
          <w:lang w:val="ru-RU"/>
        </w:rPr>
        <w:footnoteReference w:id="3"/>
      </w:r>
      <w:r w:rsidR="00F91B80" w:rsidRPr="001864D2">
        <w:rPr>
          <w:lang w:val="ru-RU"/>
        </w:rPr>
        <w:t>.</w:t>
      </w:r>
      <w:r w:rsidR="00DC5E14" w:rsidRPr="001864D2">
        <w:rPr>
          <w:lang w:val="ru-RU"/>
        </w:rPr>
        <w:t xml:space="preserve"> Доклад по итогам семинара</w:t>
      </w:r>
      <w:r w:rsidR="001775F3">
        <w:rPr>
          <w:lang w:val="ru-RU"/>
        </w:rPr>
        <w:noBreakHyphen/>
      </w:r>
      <w:r w:rsidR="00DC5E14" w:rsidRPr="001864D2">
        <w:rPr>
          <w:lang w:val="ru-RU"/>
        </w:rPr>
        <w:t>практикума содерж</w:t>
      </w:r>
      <w:r w:rsidR="00B2554D" w:rsidRPr="001864D2">
        <w:rPr>
          <w:lang w:val="ru-RU"/>
        </w:rPr>
        <w:t>ит</w:t>
      </w:r>
      <w:r w:rsidR="00DC5E14" w:rsidRPr="001864D2">
        <w:rPr>
          <w:lang w:val="ru-RU"/>
        </w:rPr>
        <w:t xml:space="preserve"> информацию о связанных со здоровьем аспектах аналитического исследования </w:t>
      </w:r>
      <w:r w:rsidR="00B04487">
        <w:rPr>
          <w:lang w:val="ru-RU"/>
        </w:rPr>
        <w:t xml:space="preserve">для </w:t>
      </w:r>
      <w:r w:rsidR="00DC5E14" w:rsidRPr="001864D2">
        <w:rPr>
          <w:lang w:val="ru-RU"/>
        </w:rPr>
        <w:t xml:space="preserve">оценки </w:t>
      </w:r>
      <w:r w:rsidR="00996046">
        <w:rPr>
          <w:lang w:val="ru-RU"/>
        </w:rPr>
        <w:t>совокупности</w:t>
      </w:r>
      <w:r w:rsidR="00996046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 будет </w:t>
      </w:r>
      <w:r w:rsidR="009B372D">
        <w:rPr>
          <w:lang w:val="ru-RU"/>
        </w:rPr>
        <w:t>иметься</w:t>
      </w:r>
      <w:r w:rsidR="009B372D" w:rsidRPr="001864D2">
        <w:rPr>
          <w:lang w:val="ru-RU"/>
        </w:rPr>
        <w:t xml:space="preserve"> </w:t>
      </w:r>
      <w:r w:rsidR="00DC5E14" w:rsidRPr="001864D2">
        <w:rPr>
          <w:lang w:val="ru-RU"/>
        </w:rPr>
        <w:t>в качестве дополнительного материала для этой оценки. Доклад будет представлен в документе</w:t>
      </w:r>
      <w:r>
        <w:rPr>
          <w:lang w:val="en-GB"/>
        </w:rPr>
        <w:t> </w:t>
      </w:r>
      <w:r w:rsidR="00DC5E14" w:rsidRPr="001864D2">
        <w:rPr>
          <w:lang w:val="ru-RU"/>
        </w:rPr>
        <w:t xml:space="preserve">IPBES/8/INF/5. </w:t>
      </w:r>
    </w:p>
    <w:p w14:paraId="7FC24E5D" w14:textId="284C4838" w:rsidR="00DC5E14" w:rsidRPr="001864D2" w:rsidRDefault="00AB49AE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3.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Бюро МПБЭУ и </w:t>
      </w:r>
      <w:r w:rsidR="002A0372" w:rsidRPr="001864D2">
        <w:rPr>
          <w:lang w:val="ru-RU"/>
        </w:rPr>
        <w:t>Много</w:t>
      </w:r>
      <w:r w:rsidR="00DC5E14" w:rsidRPr="001864D2">
        <w:rPr>
          <w:lang w:val="ru-RU"/>
        </w:rPr>
        <w:t>дисциплинарная группа экспертов также договорились</w:t>
      </w:r>
      <w:r w:rsidR="00421D96">
        <w:rPr>
          <w:lang w:val="ru-RU"/>
        </w:rPr>
        <w:t xml:space="preserve"> об организации</w:t>
      </w:r>
      <w:r w:rsidR="00663868">
        <w:rPr>
          <w:lang w:val="ru-RU"/>
        </w:rPr>
        <w:t xml:space="preserve"> совместного </w:t>
      </w:r>
      <w:r w:rsidR="00663868" w:rsidRPr="001864D2">
        <w:rPr>
          <w:lang w:val="ru-RU"/>
        </w:rPr>
        <w:t>семинара-практикума по</w:t>
      </w:r>
      <w:r w:rsidR="00663868">
        <w:rPr>
          <w:lang w:val="ru-RU"/>
        </w:rPr>
        <w:t xml:space="preserve"> вопросам</w:t>
      </w:r>
      <w:r w:rsidR="00663868" w:rsidRPr="001864D2">
        <w:rPr>
          <w:lang w:val="ru-RU"/>
        </w:rPr>
        <w:t xml:space="preserve"> биоразнообрази</w:t>
      </w:r>
      <w:r w:rsidR="000D25A6">
        <w:rPr>
          <w:lang w:val="ru-RU"/>
        </w:rPr>
        <w:t>я</w:t>
      </w:r>
      <w:r w:rsidR="00663868" w:rsidRPr="001864D2">
        <w:rPr>
          <w:lang w:val="ru-RU"/>
        </w:rPr>
        <w:t xml:space="preserve"> и изменени</w:t>
      </w:r>
      <w:r w:rsidR="000D25A6">
        <w:rPr>
          <w:lang w:val="ru-RU"/>
        </w:rPr>
        <w:t xml:space="preserve">я </w:t>
      </w:r>
      <w:r w:rsidR="00663868" w:rsidRPr="001864D2">
        <w:rPr>
          <w:lang w:val="ru-RU"/>
        </w:rPr>
        <w:t>климата</w:t>
      </w:r>
      <w:r w:rsidR="000D25A6" w:rsidRPr="00AB49AE">
        <w:rPr>
          <w:rFonts w:eastAsia="MS Mincho"/>
          <w:vertAlign w:val="superscript"/>
          <w:lang w:val="ru-RU"/>
        </w:rPr>
        <w:footnoteReference w:id="4"/>
      </w:r>
      <w:r w:rsidR="00DC5E14" w:rsidRPr="001864D2">
        <w:rPr>
          <w:lang w:val="ru-RU"/>
        </w:rPr>
        <w:t xml:space="preserve"> </w:t>
      </w:r>
      <w:r w:rsidR="00E5226A" w:rsidRPr="001864D2">
        <w:rPr>
          <w:lang w:val="ru-RU"/>
        </w:rPr>
        <w:t>с Межправительственной группой экспертов по изменению климата</w:t>
      </w:r>
      <w:r w:rsidR="00DC5E14" w:rsidRPr="001864D2">
        <w:rPr>
          <w:lang w:val="ru-RU"/>
        </w:rPr>
        <w:t>. Семинар</w:t>
      </w:r>
      <w:r w:rsidR="009919B9">
        <w:rPr>
          <w:lang w:val="ru-RU"/>
        </w:rPr>
        <w:noBreakHyphen/>
      </w:r>
      <w:r w:rsidR="00DC5E14" w:rsidRPr="001864D2">
        <w:rPr>
          <w:lang w:val="ru-RU"/>
        </w:rPr>
        <w:t>практикум прошел в онлайновом режиме с 14 по 17 декабря 202</w:t>
      </w:r>
      <w:r w:rsidR="00E5226A" w:rsidRPr="001864D2">
        <w:rPr>
          <w:lang w:val="ru-RU"/>
        </w:rPr>
        <w:t>0</w:t>
      </w:r>
      <w:r w:rsidR="00DC5E14" w:rsidRPr="001864D2">
        <w:rPr>
          <w:lang w:val="ru-RU"/>
        </w:rPr>
        <w:t xml:space="preserve"> года, и доклад по его итогам, ставший информационной основой для аналитического исследования </w:t>
      </w:r>
      <w:r w:rsidR="005A568E">
        <w:rPr>
          <w:lang w:val="ru-RU"/>
        </w:rPr>
        <w:t xml:space="preserve">для </w:t>
      </w:r>
      <w:r w:rsidR="00DC5E14" w:rsidRPr="001864D2">
        <w:rPr>
          <w:lang w:val="ru-RU"/>
        </w:rPr>
        <w:t xml:space="preserve">оценки </w:t>
      </w:r>
      <w:r w:rsidR="00996046">
        <w:rPr>
          <w:lang w:val="ru-RU"/>
        </w:rPr>
        <w:lastRenderedPageBreak/>
        <w:t>совокупности</w:t>
      </w:r>
      <w:r w:rsidR="00DC5E14" w:rsidRPr="001864D2">
        <w:rPr>
          <w:lang w:val="ru-RU"/>
        </w:rPr>
        <w:t xml:space="preserve">, будет </w:t>
      </w:r>
      <w:r w:rsidR="00517B28">
        <w:rPr>
          <w:lang w:val="ru-RU"/>
        </w:rPr>
        <w:t>иметься</w:t>
      </w:r>
      <w:r w:rsidR="00517B28" w:rsidRPr="001864D2">
        <w:rPr>
          <w:lang w:val="ru-RU"/>
        </w:rPr>
        <w:t xml:space="preserve"> </w:t>
      </w:r>
      <w:r w:rsidR="00DC5E14" w:rsidRPr="001864D2">
        <w:rPr>
          <w:lang w:val="ru-RU"/>
        </w:rPr>
        <w:t>в качестве дополнительного материала для этой оценки. Доклад будет представлен в документе IPBES/8/INF/20.</w:t>
      </w:r>
    </w:p>
    <w:p w14:paraId="5C454EAE" w14:textId="1B907CBE" w:rsidR="00DC5E14" w:rsidRPr="001864D2" w:rsidRDefault="005F588E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3056DD">
        <w:rPr>
          <w:lang w:val="ru-RU"/>
        </w:rPr>
        <w:t>4.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настоящей записке </w:t>
      </w:r>
      <w:r w:rsidR="00E5226A" w:rsidRPr="001864D2">
        <w:rPr>
          <w:lang w:val="ru-RU"/>
        </w:rPr>
        <w:t>изложен</w:t>
      </w:r>
      <w:r w:rsidR="00DC5E14" w:rsidRPr="001864D2">
        <w:rPr>
          <w:lang w:val="ru-RU"/>
        </w:rPr>
        <w:t xml:space="preserve"> доклад об аналитическом исследовании, представленный Пленуму </w:t>
      </w:r>
      <w:r w:rsidR="002A0372" w:rsidRPr="001864D2">
        <w:rPr>
          <w:lang w:val="ru-RU"/>
        </w:rPr>
        <w:t>Много</w:t>
      </w:r>
      <w:r w:rsidR="00DC5E14" w:rsidRPr="001864D2">
        <w:rPr>
          <w:lang w:val="ru-RU"/>
        </w:rPr>
        <w:t xml:space="preserve">дисциплинарной группой экспертов. Информация о процессе проведения аналитического исследования </w:t>
      </w:r>
      <w:r w:rsidR="00E5226A" w:rsidRPr="001864D2">
        <w:rPr>
          <w:lang w:val="ru-RU"/>
        </w:rPr>
        <w:t>содержится</w:t>
      </w:r>
      <w:r w:rsidR="00DC5E14" w:rsidRPr="001864D2">
        <w:rPr>
          <w:lang w:val="ru-RU"/>
        </w:rPr>
        <w:t xml:space="preserve"> в документе IPBES/8/INF/4. </w:t>
      </w:r>
    </w:p>
    <w:p w14:paraId="69E83DA7" w14:textId="049B70B9" w:rsidR="00DC5E14" w:rsidRPr="005F588E" w:rsidRDefault="00F91B80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F588E">
        <w:rPr>
          <w:b/>
          <w:bCs/>
          <w:sz w:val="28"/>
          <w:szCs w:val="28"/>
          <w:lang w:val="ru-RU"/>
        </w:rPr>
        <w:tab/>
        <w:t>I.</w:t>
      </w:r>
      <w:r w:rsidRPr="005F588E">
        <w:rPr>
          <w:b/>
          <w:bCs/>
          <w:sz w:val="28"/>
          <w:szCs w:val="28"/>
          <w:lang w:val="ru-RU"/>
        </w:rPr>
        <w:tab/>
      </w:r>
      <w:r w:rsidR="00A37FD0" w:rsidRPr="005F588E">
        <w:rPr>
          <w:b/>
          <w:bCs/>
          <w:sz w:val="28"/>
          <w:szCs w:val="28"/>
          <w:lang w:val="ru-RU"/>
        </w:rPr>
        <w:t>Сфера охвата</w:t>
      </w:r>
      <w:r w:rsidR="00E953D0" w:rsidRPr="005F588E">
        <w:rPr>
          <w:b/>
          <w:bCs/>
          <w:sz w:val="28"/>
          <w:szCs w:val="28"/>
          <w:lang w:val="ru-RU"/>
        </w:rPr>
        <w:t xml:space="preserve">, </w:t>
      </w:r>
      <w:r w:rsidR="00A37FD0" w:rsidRPr="005F588E">
        <w:rPr>
          <w:b/>
          <w:bCs/>
          <w:sz w:val="28"/>
          <w:szCs w:val="28"/>
          <w:lang w:val="ru-RU"/>
        </w:rPr>
        <w:t>исследуемый временной период</w:t>
      </w:r>
      <w:r w:rsidR="00E953D0" w:rsidRPr="005F588E">
        <w:rPr>
          <w:b/>
          <w:bCs/>
          <w:sz w:val="28"/>
          <w:szCs w:val="28"/>
          <w:lang w:val="ru-RU"/>
        </w:rPr>
        <w:t xml:space="preserve"> и географический охват, политический контекст, всеобъемлющие вопросы и методологический подход</w:t>
      </w:r>
    </w:p>
    <w:p w14:paraId="0D9224B6" w14:textId="25EBB987" w:rsidR="00DC5E14" w:rsidRPr="002856B1" w:rsidRDefault="00F91B80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Gulim"/>
          <w:b/>
          <w:bCs/>
          <w:sz w:val="24"/>
          <w:szCs w:val="24"/>
          <w:lang w:val="ru-RU"/>
        </w:rPr>
      </w:pPr>
      <w:r w:rsidRPr="002856B1">
        <w:rPr>
          <w:rFonts w:eastAsia="Gulim"/>
          <w:b/>
          <w:bCs/>
          <w:sz w:val="24"/>
          <w:szCs w:val="24"/>
          <w:lang w:val="ru-RU"/>
        </w:rPr>
        <w:tab/>
        <w:t>A.</w:t>
      </w:r>
      <w:r w:rsidRPr="002856B1">
        <w:rPr>
          <w:rFonts w:eastAsia="Gulim"/>
          <w:b/>
          <w:bCs/>
          <w:sz w:val="24"/>
          <w:szCs w:val="24"/>
          <w:lang w:val="ru-RU"/>
        </w:rPr>
        <w:tab/>
      </w:r>
      <w:r w:rsidR="00A37FD0" w:rsidRPr="002856B1">
        <w:rPr>
          <w:b/>
          <w:bCs/>
          <w:sz w:val="24"/>
          <w:szCs w:val="24"/>
          <w:lang w:val="ru-RU"/>
        </w:rPr>
        <w:t>Сфера охвата</w:t>
      </w:r>
    </w:p>
    <w:p w14:paraId="3A9702F4" w14:textId="4B741DF1" w:rsidR="00DC5E14" w:rsidRPr="001864D2" w:rsidRDefault="005F588E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5.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Настоящий документ был подготовлен для рассмотрения на восьмой сессии Пленума во исполнение решения МПБЭУ-7/1, в котором был утвержден процесс проведения аналитического исследования для тематической оценки взаимосвязей между биоразнообразием, водными ресурсами, продовольствием и здоровьем. </w:t>
      </w:r>
      <w:r w:rsidR="00CB3600" w:rsidRPr="001864D2">
        <w:rPr>
          <w:lang w:val="ru-RU"/>
        </w:rPr>
        <w:t>Согласно</w:t>
      </w:r>
      <w:r w:rsidR="00DC5E14" w:rsidRPr="001864D2">
        <w:rPr>
          <w:lang w:val="ru-RU"/>
        </w:rPr>
        <w:t xml:space="preserve"> первичном</w:t>
      </w:r>
      <w:r w:rsidR="00CB3600" w:rsidRPr="001864D2">
        <w:rPr>
          <w:lang w:val="ru-RU"/>
        </w:rPr>
        <w:t>у</w:t>
      </w:r>
      <w:r w:rsidR="00DC5E14" w:rsidRPr="001864D2">
        <w:rPr>
          <w:lang w:val="ru-RU"/>
        </w:rPr>
        <w:t xml:space="preserve"> доклад</w:t>
      </w:r>
      <w:r w:rsidR="00CB3600" w:rsidRPr="001864D2">
        <w:rPr>
          <w:lang w:val="ru-RU"/>
        </w:rPr>
        <w:t>у</w:t>
      </w:r>
      <w:r w:rsidR="00DC5E14" w:rsidRPr="001864D2">
        <w:rPr>
          <w:lang w:val="ru-RU"/>
        </w:rPr>
        <w:t xml:space="preserve"> об аналитическом исследовании</w:t>
      </w:r>
      <w:r w:rsidR="00DC5E14" w:rsidRPr="002856B1">
        <w:rPr>
          <w:rFonts w:eastAsia="MS Mincho"/>
          <w:vertAlign w:val="superscript"/>
          <w:lang w:val="ru-RU"/>
        </w:rPr>
        <w:footnoteReference w:id="5"/>
      </w:r>
      <w:r w:rsidR="00DC5E14" w:rsidRPr="001864D2">
        <w:rPr>
          <w:lang w:val="ru-RU"/>
        </w:rPr>
        <w:t xml:space="preserve"> задача данной оценки заключается в том, чтобы </w:t>
      </w:r>
      <w:r w:rsidR="00CB3600" w:rsidRPr="001864D2">
        <w:rPr>
          <w:lang w:val="ru-RU"/>
        </w:rPr>
        <w:t>«</w:t>
      </w:r>
      <w:r w:rsidR="00DC5E14" w:rsidRPr="001864D2">
        <w:rPr>
          <w:lang w:val="ru-RU"/>
        </w:rPr>
        <w:t>обеспечить хорошее состояние здоровья для всех посредством продовольственной и водной безопасности, в том числе за счет более широкого использования биоразнообразия, избегая при этом негативного воздействия на биоразнообразие, качество воды и климат, причем в контексте глобальных изменений, включая изменение климата</w:t>
      </w:r>
      <w:r w:rsidR="00CB3600" w:rsidRPr="001864D2">
        <w:rPr>
          <w:lang w:val="ru-RU"/>
        </w:rPr>
        <w:t>»</w:t>
      </w:r>
      <w:r w:rsidR="00DC5E14" w:rsidRPr="001864D2">
        <w:rPr>
          <w:lang w:val="ru-RU"/>
        </w:rPr>
        <w:t>. М</w:t>
      </w:r>
      <w:r w:rsidR="002A0372" w:rsidRPr="001864D2">
        <w:rPr>
          <w:lang w:val="ru-RU"/>
        </w:rPr>
        <w:t>ногоди</w:t>
      </w:r>
      <w:r w:rsidR="00DC5E14" w:rsidRPr="001864D2">
        <w:rPr>
          <w:lang w:val="ru-RU"/>
        </w:rPr>
        <w:t xml:space="preserve">сциплинарная группа экспертов предлагает включить в </w:t>
      </w:r>
      <w:r w:rsidR="000770A3" w:rsidRPr="001864D2">
        <w:rPr>
          <w:lang w:val="ru-RU"/>
        </w:rPr>
        <w:t>сферу охвата</w:t>
      </w:r>
      <w:r w:rsidR="00CB3600" w:rsidRPr="001864D2">
        <w:rPr>
          <w:lang w:val="ru-RU"/>
        </w:rPr>
        <w:t xml:space="preserve"> энергию</w:t>
      </w:r>
      <w:r w:rsidR="00DC5E14" w:rsidRPr="001864D2">
        <w:rPr>
          <w:lang w:val="ru-RU"/>
        </w:rPr>
        <w:t>, с тем чтобы в оценке можно было в полной мере учитывать синергию и компромиссы, связанные с изменением климата. В соответствии с этим, а также с учетом того, что биоразнообразие и обеспечиваемый природой вклад на благо человека имеют основополагающее значение для поддержания этих тесных взаимосвязей</w:t>
      </w:r>
      <w:r w:rsidR="00277BE6">
        <w:rPr>
          <w:lang w:val="ru-RU"/>
        </w:rPr>
        <w:t xml:space="preserve"> в</w:t>
      </w:r>
      <w:r w:rsidR="00C30910">
        <w:rPr>
          <w:lang w:val="ru-RU"/>
        </w:rPr>
        <w:t>н</w:t>
      </w:r>
      <w:r w:rsidR="00277BE6">
        <w:rPr>
          <w:lang w:val="ru-RU"/>
        </w:rPr>
        <w:t>утри совокупности</w:t>
      </w:r>
      <w:r w:rsidR="00DC5E14" w:rsidRPr="001864D2">
        <w:rPr>
          <w:lang w:val="ru-RU"/>
        </w:rPr>
        <w:t xml:space="preserve">, взаимосвязь и взаимозависимость между климатом, водными ресурсами, продовольствием, энергией и здоровьем будут рассматриваться </w:t>
      </w:r>
      <w:r w:rsidR="00CB3600" w:rsidRPr="001864D2">
        <w:rPr>
          <w:lang w:val="ru-RU"/>
        </w:rPr>
        <w:t xml:space="preserve">в оценке </w:t>
      </w:r>
      <w:r w:rsidR="00DC5E14" w:rsidRPr="001864D2">
        <w:rPr>
          <w:lang w:val="ru-RU"/>
        </w:rPr>
        <w:t xml:space="preserve">через призму их связи с биоразнообразием и обеспечиваемым природой вкладом на благо человека, с тем чтобы </w:t>
      </w:r>
      <w:r w:rsidR="006E299F" w:rsidRPr="001864D2">
        <w:rPr>
          <w:lang w:val="ru-RU"/>
        </w:rPr>
        <w:t>представить</w:t>
      </w:r>
      <w:r w:rsidR="00DC5E14" w:rsidRPr="001864D2">
        <w:rPr>
          <w:lang w:val="ru-RU"/>
        </w:rPr>
        <w:t xml:space="preserve"> осуществимые варианты политических мер для реализации Концепции в области биоразнообразия на период до 2050 года, целей в области устойчивого развития и других соответствующих многосторонних целей. </w:t>
      </w:r>
    </w:p>
    <w:p w14:paraId="4E592441" w14:textId="494F0DF5" w:rsidR="00DC5E14" w:rsidRPr="001864D2" w:rsidRDefault="005D53DD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6.</w:t>
      </w:r>
      <w:r w:rsidRPr="003056DD">
        <w:rPr>
          <w:lang w:val="ru-RU"/>
        </w:rPr>
        <w:tab/>
      </w:r>
      <w:r w:rsidR="006E299F" w:rsidRPr="001864D2">
        <w:rPr>
          <w:lang w:val="ru-RU"/>
        </w:rPr>
        <w:t>В д</w:t>
      </w:r>
      <w:r w:rsidR="00DC5E14" w:rsidRPr="001864D2">
        <w:rPr>
          <w:lang w:val="ru-RU"/>
        </w:rPr>
        <w:t>оклад</w:t>
      </w:r>
      <w:r w:rsidR="006E299F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будет содержать</w:t>
      </w:r>
      <w:r w:rsidR="006E299F" w:rsidRPr="001864D2">
        <w:rPr>
          <w:lang w:val="ru-RU"/>
        </w:rPr>
        <w:t>ся</w:t>
      </w:r>
      <w:r w:rsidR="00DC5E14" w:rsidRPr="001864D2">
        <w:rPr>
          <w:lang w:val="ru-RU"/>
        </w:rPr>
        <w:t xml:space="preserve"> оценк</w:t>
      </w:r>
      <w:r w:rsidR="006E299F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состояния знаний о прошлых, </w:t>
      </w:r>
      <w:r w:rsidR="00BB5772">
        <w:rPr>
          <w:lang w:val="ru-RU"/>
        </w:rPr>
        <w:t>современных</w:t>
      </w:r>
      <w:r w:rsidR="00BB5772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 возможных будущих тенденциях в этих многоуровневых взаимосвязях с акцентом на биоразнообразие и обеспечиваемый природой вклад на благо человека с целью </w:t>
      </w:r>
      <w:r w:rsidR="006E299F" w:rsidRPr="001864D2">
        <w:rPr>
          <w:lang w:val="ru-RU"/>
        </w:rPr>
        <w:t>подготовки</w:t>
      </w:r>
      <w:r w:rsidR="00DC5E14" w:rsidRPr="001864D2">
        <w:rPr>
          <w:lang w:val="ru-RU"/>
        </w:rPr>
        <w:t xml:space="preserve"> информационной базы для разработки политики и мер. Существуют тесная взаимосвязь и взаимозависимость между согласованными на глобальном уровне целями в </w:t>
      </w:r>
      <w:r w:rsidR="004B38B0" w:rsidRPr="001864D2">
        <w:rPr>
          <w:lang w:val="ru-RU"/>
        </w:rPr>
        <w:t>области</w:t>
      </w:r>
      <w:r w:rsidR="00DC5E14" w:rsidRPr="001864D2">
        <w:rPr>
          <w:lang w:val="ru-RU"/>
        </w:rPr>
        <w:t xml:space="preserve"> продовольственной и водной безопасности, здоровья для всех, доступной и </w:t>
      </w:r>
      <w:r w:rsidR="00662E9D">
        <w:rPr>
          <w:lang w:val="ru-RU"/>
        </w:rPr>
        <w:t>«</w:t>
      </w:r>
      <w:r w:rsidR="00DC5E14" w:rsidRPr="001864D2">
        <w:rPr>
          <w:lang w:val="ru-RU"/>
        </w:rPr>
        <w:t>чистой</w:t>
      </w:r>
      <w:r w:rsidR="00662E9D">
        <w:rPr>
          <w:lang w:val="ru-RU"/>
        </w:rPr>
        <w:t>»</w:t>
      </w:r>
      <w:r w:rsidR="00DC5E14" w:rsidRPr="001864D2">
        <w:rPr>
          <w:lang w:val="ru-RU"/>
        </w:rPr>
        <w:t xml:space="preserve"> энергии, </w:t>
      </w:r>
      <w:r w:rsidR="00D014A5">
        <w:rPr>
          <w:lang w:val="ru-RU"/>
        </w:rPr>
        <w:t>охраны</w:t>
      </w:r>
      <w:r w:rsidR="00D014A5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биоразнообразия на суше и в океане и борьбы с изменением климата, </w:t>
      </w:r>
      <w:r w:rsidR="004B38B0" w:rsidRPr="001864D2">
        <w:rPr>
          <w:lang w:val="ru-RU"/>
        </w:rPr>
        <w:t>как и между</w:t>
      </w:r>
      <w:r w:rsidR="00DC5E14" w:rsidRPr="001864D2">
        <w:rPr>
          <w:lang w:val="ru-RU"/>
        </w:rPr>
        <w:t xml:space="preserve"> </w:t>
      </w:r>
      <w:r w:rsidR="004B38B0" w:rsidRPr="001864D2">
        <w:rPr>
          <w:lang w:val="ru-RU"/>
        </w:rPr>
        <w:t>другими</w:t>
      </w:r>
      <w:r w:rsidR="00DC5E14" w:rsidRPr="001864D2">
        <w:rPr>
          <w:lang w:val="ru-RU"/>
        </w:rPr>
        <w:t xml:space="preserve"> цел</w:t>
      </w:r>
      <w:r w:rsidR="004B38B0" w:rsidRPr="001864D2">
        <w:rPr>
          <w:lang w:val="ru-RU"/>
        </w:rPr>
        <w:t>ями</w:t>
      </w:r>
      <w:r w:rsidR="00DC5E14" w:rsidRPr="001864D2">
        <w:rPr>
          <w:lang w:val="ru-RU"/>
        </w:rPr>
        <w:t xml:space="preserve"> в области устойчивого развития. Цели в области устойчивого развития рассматриваются как «комплексные и неделимые», обеспечивающие баланс между экономическими, социальными и экологическими аспектами устойчивого развития. Аналогичным образом, также признается взаимосвязь целей Рио-де-Жанейрских конвенций и других соответствующих многосторонних соглашений и международных </w:t>
      </w:r>
      <w:r w:rsidR="00803AA9">
        <w:rPr>
          <w:lang w:val="ru-RU"/>
        </w:rPr>
        <w:t>механизмов</w:t>
      </w:r>
      <w:r w:rsidR="00DC5E14" w:rsidRPr="001864D2">
        <w:rPr>
          <w:lang w:val="ru-RU"/>
        </w:rPr>
        <w:t xml:space="preserve">. Взаимодополняемость и компромиссы между этими соглашениями и </w:t>
      </w:r>
      <w:r w:rsidR="002A06A9">
        <w:rPr>
          <w:lang w:val="ru-RU"/>
        </w:rPr>
        <w:t>механизмами</w:t>
      </w:r>
      <w:r w:rsidR="002A06A9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будут оцениваться в контексте </w:t>
      </w:r>
      <w:r w:rsidR="00754F2B">
        <w:rPr>
          <w:lang w:val="ru-RU"/>
        </w:rPr>
        <w:t>нексусного</w:t>
      </w:r>
      <w:r w:rsidR="00754F2B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подхода. </w:t>
      </w:r>
    </w:p>
    <w:p w14:paraId="4CD0B4BE" w14:textId="78D746B1" w:rsidR="00DC5E14" w:rsidRPr="001864D2" w:rsidRDefault="005D53DD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7.</w:t>
      </w:r>
      <w:r w:rsidRPr="003056DD">
        <w:rPr>
          <w:lang w:val="ru-RU"/>
        </w:rPr>
        <w:tab/>
      </w:r>
      <w:r w:rsidR="00D86DC4" w:rsidRPr="001864D2">
        <w:rPr>
          <w:lang w:val="ru-RU"/>
        </w:rPr>
        <w:t xml:space="preserve">В частности, в </w:t>
      </w:r>
      <w:r w:rsidR="00DC5E14" w:rsidRPr="001864D2">
        <w:rPr>
          <w:lang w:val="ru-RU"/>
        </w:rPr>
        <w:t>оценк</w:t>
      </w:r>
      <w:r w:rsidR="004B38B0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будут изучаться критически важные связи между биоразнообразием и здоровьем человека. Будет оцениваться то, каким образом инфекционные заболевания возникают из микробного разнообразия, встречающегося в природе</w:t>
      </w:r>
      <w:r w:rsidR="00DC5E14" w:rsidRPr="005D53DD">
        <w:rPr>
          <w:rFonts w:eastAsia="MS Mincho"/>
          <w:vertAlign w:val="superscript"/>
          <w:lang w:val="ru-RU"/>
        </w:rPr>
        <w:footnoteReference w:id="6"/>
      </w:r>
      <w:r w:rsidR="00DC5E14" w:rsidRPr="001864D2">
        <w:rPr>
          <w:lang w:val="ru-RU"/>
        </w:rPr>
        <w:t xml:space="preserve">, и как </w:t>
      </w:r>
      <w:r w:rsidR="00DC5E14" w:rsidRPr="001864D2">
        <w:rPr>
          <w:lang w:val="ru-RU"/>
        </w:rPr>
        <w:lastRenderedPageBreak/>
        <w:t>деятельность человека вызывает их распространение</w:t>
      </w:r>
      <w:r w:rsidR="00DC5E14" w:rsidRPr="009938AB">
        <w:rPr>
          <w:rFonts w:eastAsia="MS Mincho"/>
          <w:vertAlign w:val="superscript"/>
          <w:lang w:val="ru-RU"/>
        </w:rPr>
        <w:footnoteReference w:id="7"/>
      </w:r>
      <w:r w:rsidR="00DC5E14" w:rsidRPr="001864D2">
        <w:rPr>
          <w:lang w:val="ru-RU"/>
        </w:rPr>
        <w:t xml:space="preserve">. В ней будет рассматриваться </w:t>
      </w:r>
      <w:r w:rsidR="00EE113A" w:rsidRPr="001864D2">
        <w:rPr>
          <w:lang w:val="ru-RU"/>
        </w:rPr>
        <w:t>то,</w:t>
      </w:r>
      <w:r w:rsidR="00DC5E14" w:rsidRPr="001864D2">
        <w:rPr>
          <w:lang w:val="ru-RU"/>
        </w:rPr>
        <w:t xml:space="preserve"> как природ</w:t>
      </w:r>
      <w:r w:rsidR="00C507B8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созда</w:t>
      </w:r>
      <w:r w:rsidR="00C507B8" w:rsidRPr="001864D2">
        <w:rPr>
          <w:lang w:val="ru-RU"/>
        </w:rPr>
        <w:t xml:space="preserve">ет </w:t>
      </w:r>
      <w:r w:rsidR="00DC5E14" w:rsidRPr="001864D2">
        <w:rPr>
          <w:lang w:val="ru-RU"/>
        </w:rPr>
        <w:t xml:space="preserve">натуральные лекарственные средства и </w:t>
      </w:r>
      <w:r w:rsidR="0000733D">
        <w:rPr>
          <w:lang w:val="ru-RU"/>
        </w:rPr>
        <w:t>препараты</w:t>
      </w:r>
      <w:r w:rsidR="00DC5E14" w:rsidRPr="001864D2">
        <w:rPr>
          <w:lang w:val="ru-RU"/>
        </w:rPr>
        <w:t xml:space="preserve">, а также </w:t>
      </w:r>
      <w:r w:rsidR="003A49B7" w:rsidRPr="001864D2">
        <w:rPr>
          <w:lang w:val="ru-RU"/>
        </w:rPr>
        <w:t>вдохновляет на</w:t>
      </w:r>
      <w:r w:rsidR="00DC5E14" w:rsidRPr="001864D2">
        <w:rPr>
          <w:lang w:val="ru-RU"/>
        </w:rPr>
        <w:t xml:space="preserve"> </w:t>
      </w:r>
      <w:r w:rsidR="00EE113A" w:rsidRPr="001864D2">
        <w:rPr>
          <w:lang w:val="ru-RU"/>
        </w:rPr>
        <w:t>создани</w:t>
      </w:r>
      <w:r w:rsidR="003A49B7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синтетических </w:t>
      </w:r>
      <w:r w:rsidR="00EE113A" w:rsidRPr="001864D2">
        <w:rPr>
          <w:lang w:val="ru-RU"/>
        </w:rPr>
        <w:t>продуктов</w:t>
      </w:r>
      <w:r w:rsidR="00DC5E14" w:rsidRPr="009938AB">
        <w:rPr>
          <w:rFonts w:eastAsia="MS Mincho"/>
          <w:vertAlign w:val="superscript"/>
          <w:lang w:val="ru-RU"/>
        </w:rPr>
        <w:footnoteReference w:id="8"/>
      </w:r>
      <w:r w:rsidR="00DC5E14" w:rsidRPr="001864D2">
        <w:rPr>
          <w:lang w:val="ru-RU"/>
        </w:rPr>
        <w:t xml:space="preserve">. </w:t>
      </w:r>
    </w:p>
    <w:p w14:paraId="7DB2C2C6" w14:textId="44CB9497" w:rsidR="00DC5E14" w:rsidRPr="001864D2" w:rsidRDefault="005D53DD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8.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Для целей настоящей оценки биоразнообразие определяется как </w:t>
      </w:r>
      <w:r w:rsidR="00F91B80" w:rsidRPr="001864D2">
        <w:rPr>
          <w:lang w:val="ru-RU"/>
        </w:rPr>
        <w:t>«</w:t>
      </w:r>
      <w:r w:rsidR="00DC5E14" w:rsidRPr="001864D2">
        <w:rPr>
          <w:lang w:val="ru-RU"/>
        </w:rPr>
        <w:t xml:space="preserve">вариабельность живых организмов из всех источников, включая наземные, морские и иные водные экосистемы и экологические комплексы, частью которых они являются. </w:t>
      </w:r>
      <w:r w:rsidR="00EE113A" w:rsidRPr="001864D2">
        <w:rPr>
          <w:lang w:val="ru-RU"/>
        </w:rPr>
        <w:t xml:space="preserve">Сюда </w:t>
      </w:r>
      <w:r w:rsidR="00DC5E14" w:rsidRPr="001864D2">
        <w:rPr>
          <w:lang w:val="ru-RU"/>
        </w:rPr>
        <w:t>входят вариации генетических, фенотипических, филогенетических и функциональных признаков, а также изменение численности и пространственно-временного распределения как внутри видов, биологических сообществ и экосистем, так и между ними</w:t>
      </w:r>
      <w:r w:rsidR="00F91B80" w:rsidRPr="001864D2">
        <w:rPr>
          <w:lang w:val="ru-RU"/>
        </w:rPr>
        <w:t>»</w:t>
      </w:r>
      <w:r w:rsidR="00DC5E14" w:rsidRPr="009938AB">
        <w:rPr>
          <w:rFonts w:eastAsia="MS Mincho"/>
          <w:vertAlign w:val="superscript"/>
          <w:lang w:val="ru-RU"/>
        </w:rPr>
        <w:footnoteReference w:id="9"/>
      </w:r>
      <w:r w:rsidR="00DC5E14" w:rsidRPr="001864D2">
        <w:rPr>
          <w:lang w:val="ru-RU"/>
        </w:rPr>
        <w:t xml:space="preserve">; в понятие </w:t>
      </w:r>
      <w:r w:rsidR="00F91B80" w:rsidRPr="001864D2">
        <w:rPr>
          <w:lang w:val="ru-RU"/>
        </w:rPr>
        <w:t>«</w:t>
      </w:r>
      <w:r w:rsidR="00DC5E14" w:rsidRPr="001864D2">
        <w:rPr>
          <w:lang w:val="ru-RU"/>
        </w:rPr>
        <w:t>климат</w:t>
      </w:r>
      <w:r w:rsidR="00F91B80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входит глобальная климатическая система и ее взаимодействие с деятельностью человека, включая выбросы парниковых газов и смягчение их последствий, а также адаптацию к климату; </w:t>
      </w:r>
      <w:r w:rsidR="00F91B80" w:rsidRPr="001864D2">
        <w:rPr>
          <w:lang w:val="ru-RU"/>
        </w:rPr>
        <w:t>«</w:t>
      </w:r>
      <w:r w:rsidR="00DC5E14" w:rsidRPr="001864D2">
        <w:rPr>
          <w:lang w:val="ru-RU"/>
        </w:rPr>
        <w:t>водные ресурсы</w:t>
      </w:r>
      <w:r w:rsidR="00F91B80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включа</w:t>
      </w:r>
      <w:r w:rsidR="00EE113A" w:rsidRPr="001864D2">
        <w:rPr>
          <w:lang w:val="ru-RU"/>
        </w:rPr>
        <w:t>ю</w:t>
      </w:r>
      <w:r w:rsidR="00DC5E14" w:rsidRPr="001864D2">
        <w:rPr>
          <w:lang w:val="ru-RU"/>
        </w:rPr>
        <w:t xml:space="preserve">т в себя все формы поверхностных и грунтовых вод, а также биофизические и антропогенные процессы и системы, которые регулируют их качество, количество, распределение и использование; </w:t>
      </w:r>
      <w:r w:rsidR="00F91B80" w:rsidRPr="001864D2">
        <w:rPr>
          <w:lang w:val="ru-RU"/>
        </w:rPr>
        <w:t>«</w:t>
      </w:r>
      <w:r w:rsidR="00DC5E14" w:rsidRPr="001864D2">
        <w:rPr>
          <w:lang w:val="ru-RU"/>
        </w:rPr>
        <w:t>продовольствие</w:t>
      </w:r>
      <w:r w:rsidR="00F91B80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включает в себя </w:t>
      </w:r>
      <w:r w:rsidR="00EE113A" w:rsidRPr="001864D2">
        <w:rPr>
          <w:lang w:val="ru-RU"/>
        </w:rPr>
        <w:t>полную</w:t>
      </w:r>
      <w:r w:rsidR="00DC5E14" w:rsidRPr="001864D2">
        <w:rPr>
          <w:lang w:val="ru-RU"/>
        </w:rPr>
        <w:t xml:space="preserve"> производственно</w:t>
      </w:r>
      <w:r w:rsidR="005500E2">
        <w:rPr>
          <w:lang w:val="ru-RU"/>
        </w:rPr>
        <w:noBreakHyphen/>
      </w:r>
      <w:r w:rsidR="00DC5E14" w:rsidRPr="001864D2">
        <w:rPr>
          <w:lang w:val="ru-RU"/>
        </w:rPr>
        <w:t>сбытовую цеп</w:t>
      </w:r>
      <w:r w:rsidR="005500E2">
        <w:rPr>
          <w:lang w:val="ru-RU"/>
        </w:rPr>
        <w:t>ь</w:t>
      </w:r>
      <w:r w:rsidR="00DC5E14" w:rsidRPr="001864D2">
        <w:rPr>
          <w:lang w:val="ru-RU"/>
        </w:rPr>
        <w:t xml:space="preserve"> для всех продуктов питания из культивируемых и диких </w:t>
      </w:r>
      <w:r w:rsidR="00EE113A" w:rsidRPr="001864D2">
        <w:rPr>
          <w:lang w:val="ru-RU"/>
        </w:rPr>
        <w:t>видов</w:t>
      </w:r>
      <w:r w:rsidR="00DC5E14" w:rsidRPr="001864D2">
        <w:rPr>
          <w:lang w:val="ru-RU"/>
        </w:rPr>
        <w:t xml:space="preserve">, начиная от производства и заканчивая потреблением и утилизацией; </w:t>
      </w:r>
      <w:r w:rsidR="00F91B80" w:rsidRPr="001864D2">
        <w:rPr>
          <w:lang w:val="ru-RU"/>
        </w:rPr>
        <w:t>«</w:t>
      </w:r>
      <w:r w:rsidR="00DC5E14" w:rsidRPr="001864D2">
        <w:rPr>
          <w:lang w:val="ru-RU"/>
        </w:rPr>
        <w:t>энергия</w:t>
      </w:r>
      <w:r w:rsidR="00F91B80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включает в себя </w:t>
      </w:r>
      <w:r w:rsidR="00EE113A" w:rsidRPr="001864D2">
        <w:rPr>
          <w:lang w:val="ru-RU"/>
        </w:rPr>
        <w:t>полную</w:t>
      </w:r>
      <w:r w:rsidR="00DC5E14" w:rsidRPr="001864D2">
        <w:rPr>
          <w:lang w:val="ru-RU"/>
        </w:rPr>
        <w:t xml:space="preserve"> производственно-сбытовую цеп</w:t>
      </w:r>
      <w:r w:rsidR="007F3821">
        <w:rPr>
          <w:lang w:val="ru-RU"/>
        </w:rPr>
        <w:t xml:space="preserve">ь </w:t>
      </w:r>
      <w:r w:rsidR="00DC5E14" w:rsidRPr="001864D2">
        <w:rPr>
          <w:lang w:val="ru-RU"/>
        </w:rPr>
        <w:t xml:space="preserve">всех возобновляемых и невозобновляемых источников энергии, включая добычу, производство, распределение, утилизацию и последствия; </w:t>
      </w:r>
      <w:r w:rsidR="00F91B80" w:rsidRPr="001864D2">
        <w:rPr>
          <w:lang w:val="ru-RU"/>
        </w:rPr>
        <w:t>«</w:t>
      </w:r>
      <w:r w:rsidR="00DC5E14" w:rsidRPr="001864D2">
        <w:rPr>
          <w:lang w:val="ru-RU"/>
        </w:rPr>
        <w:t>здоровье</w:t>
      </w:r>
      <w:r w:rsidR="00F91B80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включает в себя физическое и психическое здоровье и благополучие человека, а также системы, связанные с профилактикой и лечением болезней, а также контролем над ними. </w:t>
      </w:r>
    </w:p>
    <w:p w14:paraId="4DE71965" w14:textId="4834F72B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9.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оценке будут </w:t>
      </w:r>
      <w:r w:rsidR="00B258EC" w:rsidRPr="001864D2">
        <w:rPr>
          <w:lang w:val="ru-RU"/>
        </w:rPr>
        <w:t>отмечены</w:t>
      </w:r>
      <w:r w:rsidR="00DC5E14" w:rsidRPr="001864D2">
        <w:rPr>
          <w:lang w:val="ru-RU"/>
        </w:rPr>
        <w:t xml:space="preserve"> пороговые значения, примеры обратной связи и устойчивость взаимосвязей</w:t>
      </w:r>
      <w:r w:rsidR="003C041D">
        <w:rPr>
          <w:lang w:val="ru-RU"/>
        </w:rPr>
        <w:t xml:space="preserve"> внутри совокупности</w:t>
      </w:r>
      <w:r w:rsidR="00DC5E14" w:rsidRPr="001864D2">
        <w:rPr>
          <w:lang w:val="ru-RU"/>
        </w:rPr>
        <w:t>, а также возможности, синергия и компромиссы между различными вариантами мер реагирования. В оценк</w:t>
      </w:r>
      <w:r w:rsidR="0082134A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будут рассматриваться синергия и компромиссы в свете широко определяемого круга последствий, включая социальные (например, с точки зрения культуры, религии, здравоохранения, управления, власти, гендерных </w:t>
      </w:r>
      <w:r w:rsidR="0082134A" w:rsidRPr="001864D2">
        <w:rPr>
          <w:lang w:val="ru-RU"/>
        </w:rPr>
        <w:t>вопросов</w:t>
      </w:r>
      <w:r w:rsidR="00DC5E14" w:rsidRPr="001864D2">
        <w:rPr>
          <w:lang w:val="ru-RU"/>
        </w:rPr>
        <w:t>, равенства, безопасности), экономические (например, с точки зрения средств к существованию, доход</w:t>
      </w:r>
      <w:r w:rsidR="00A72AE2" w:rsidRPr="001864D2">
        <w:rPr>
          <w:lang w:val="ru-RU"/>
        </w:rPr>
        <w:t>а</w:t>
      </w:r>
      <w:r w:rsidR="00DC5E14" w:rsidRPr="001864D2">
        <w:rPr>
          <w:lang w:val="ru-RU"/>
        </w:rPr>
        <w:t xml:space="preserve">, занятости, распределения, равенства) и экологические (например, с точки зрения снижения численности </w:t>
      </w:r>
      <w:r w:rsidR="00872F51">
        <w:rPr>
          <w:lang w:val="ru-RU"/>
        </w:rPr>
        <w:t>популяций</w:t>
      </w:r>
      <w:r w:rsidR="00DC5E14" w:rsidRPr="001864D2">
        <w:rPr>
          <w:lang w:val="ru-RU"/>
        </w:rPr>
        <w:t>, риска вымирания, состояния экосистем, связности, климатических условий, состояния водных ресурсов). П</w:t>
      </w:r>
      <w:r w:rsidR="00A72AE2" w:rsidRPr="001864D2">
        <w:rPr>
          <w:lang w:val="ru-RU"/>
        </w:rPr>
        <w:t xml:space="preserve">о </w:t>
      </w:r>
      <w:r w:rsidR="00DC5E14" w:rsidRPr="001864D2">
        <w:rPr>
          <w:lang w:val="ru-RU"/>
        </w:rPr>
        <w:t xml:space="preserve">возможности такой анализ будет количественным. Особое внимание будет уделяться вариантам реагирования, в которых учитываются эти элементы </w:t>
      </w:r>
      <w:r w:rsidR="003C041D">
        <w:rPr>
          <w:lang w:val="ru-RU"/>
        </w:rPr>
        <w:t xml:space="preserve">совокупности </w:t>
      </w:r>
      <w:r w:rsidR="00DC5E14" w:rsidRPr="001864D2">
        <w:rPr>
          <w:lang w:val="ru-RU"/>
        </w:rPr>
        <w:t>и их различные масштабы.</w:t>
      </w:r>
    </w:p>
    <w:p w14:paraId="35C60E16" w14:textId="5BD883B8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10.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В оценке будет проанализирована роль наиболее важных факторов изменений, как косвенных (</w:t>
      </w:r>
      <w:r w:rsidR="00A72AE2" w:rsidRPr="001864D2">
        <w:rPr>
          <w:lang w:val="ru-RU"/>
        </w:rPr>
        <w:t>т.е.</w:t>
      </w:r>
      <w:r w:rsidR="00DC5E14" w:rsidRPr="001864D2">
        <w:rPr>
          <w:lang w:val="ru-RU"/>
        </w:rPr>
        <w:t xml:space="preserve"> общественные ценности, модели производства и потребления, демографи</w:t>
      </w:r>
      <w:r w:rsidR="00A72AE2" w:rsidRPr="001864D2">
        <w:rPr>
          <w:lang w:val="ru-RU"/>
        </w:rPr>
        <w:t>я</w:t>
      </w:r>
      <w:r w:rsidR="00DC5E14" w:rsidRPr="001864D2">
        <w:rPr>
          <w:lang w:val="ru-RU"/>
        </w:rPr>
        <w:t>, технологи</w:t>
      </w:r>
      <w:r w:rsidR="00A72AE2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и культур</w:t>
      </w:r>
      <w:r w:rsidR="00A72AE2" w:rsidRPr="001864D2">
        <w:rPr>
          <w:lang w:val="ru-RU"/>
        </w:rPr>
        <w:t>а</w:t>
      </w:r>
      <w:r w:rsidR="00DC5E14" w:rsidRPr="001864D2">
        <w:rPr>
          <w:lang w:val="ru-RU"/>
        </w:rPr>
        <w:t>, а также управление), так и прямых (</w:t>
      </w:r>
      <w:r w:rsidR="00A72AE2" w:rsidRPr="001864D2">
        <w:rPr>
          <w:lang w:val="ru-RU"/>
        </w:rPr>
        <w:t>т.е.</w:t>
      </w:r>
      <w:r w:rsidR="00DC5E14" w:rsidRPr="001864D2">
        <w:rPr>
          <w:lang w:val="ru-RU"/>
        </w:rPr>
        <w:t xml:space="preserve"> изменени</w:t>
      </w:r>
      <w:r w:rsidR="00A72AE2" w:rsidRPr="001864D2">
        <w:rPr>
          <w:lang w:val="ru-RU"/>
        </w:rPr>
        <w:t xml:space="preserve">е </w:t>
      </w:r>
      <w:r w:rsidR="00DC5E14" w:rsidRPr="001864D2">
        <w:rPr>
          <w:lang w:val="ru-RU"/>
        </w:rPr>
        <w:t>в землепользовании и использовании моря, эксплуатаци</w:t>
      </w:r>
      <w:r w:rsidR="00A72AE2" w:rsidRPr="001864D2">
        <w:rPr>
          <w:lang w:val="ru-RU"/>
        </w:rPr>
        <w:t>я</w:t>
      </w:r>
      <w:r w:rsidR="00DC5E14" w:rsidRPr="001864D2">
        <w:rPr>
          <w:lang w:val="ru-RU"/>
        </w:rPr>
        <w:t>, загрязнение, инвазивные виды и изменение климата)</w:t>
      </w:r>
      <w:r w:rsidR="00687DAD" w:rsidRPr="009938AB">
        <w:rPr>
          <w:rFonts w:eastAsia="MS Mincho"/>
          <w:vertAlign w:val="superscript"/>
          <w:lang w:val="ru-RU"/>
        </w:rPr>
        <w:footnoteReference w:id="10"/>
      </w:r>
      <w:r w:rsidR="00DC5E14" w:rsidRPr="001864D2">
        <w:rPr>
          <w:lang w:val="ru-RU"/>
        </w:rPr>
        <w:t xml:space="preserve">, роль как формальных, так и неформальных учреждений, а также последствия </w:t>
      </w:r>
      <w:r w:rsidR="00A72AE2" w:rsidRPr="001864D2">
        <w:rPr>
          <w:lang w:val="ru-RU"/>
        </w:rPr>
        <w:t xml:space="preserve">использования </w:t>
      </w:r>
      <w:r w:rsidR="00DC5E14" w:rsidRPr="001864D2">
        <w:rPr>
          <w:lang w:val="ru-RU"/>
        </w:rPr>
        <w:t>моделей производства, предложения и потребления (включая связанность на удалении) для природы, обеспечиваемого природой вклада на благо человека и достойного качеств</w:t>
      </w:r>
      <w:r w:rsidR="00A72AE2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жизни. </w:t>
      </w:r>
    </w:p>
    <w:p w14:paraId="0A172608" w14:textId="76CBB9E3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11.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Процесс оценки и ее результаты будут опираться на четыре функции Платформы и способствовать их реализации</w:t>
      </w:r>
      <w:r w:rsidR="00DC5E14" w:rsidRPr="009938AB">
        <w:rPr>
          <w:rFonts w:eastAsia="MS Mincho"/>
          <w:vertAlign w:val="superscript"/>
          <w:lang w:val="ru-RU"/>
        </w:rPr>
        <w:footnoteReference w:id="11"/>
      </w:r>
      <w:r w:rsidR="00DC5E14" w:rsidRPr="001864D2">
        <w:rPr>
          <w:lang w:val="ru-RU"/>
        </w:rPr>
        <w:t>.</w:t>
      </w:r>
    </w:p>
    <w:p w14:paraId="351AB1B0" w14:textId="24651296" w:rsidR="00DC5E14" w:rsidRPr="000A09A2" w:rsidRDefault="00566757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+mn-ea"/>
          <w:b/>
          <w:bCs/>
          <w:sz w:val="24"/>
          <w:szCs w:val="24"/>
          <w:lang w:val="ru-RU"/>
        </w:rPr>
      </w:pPr>
      <w:r w:rsidRPr="000A09A2">
        <w:rPr>
          <w:rFonts w:eastAsia="+mn-ea"/>
          <w:b/>
          <w:bCs/>
          <w:sz w:val="24"/>
          <w:szCs w:val="24"/>
          <w:lang w:val="ru-RU"/>
        </w:rPr>
        <w:tab/>
        <w:t>B.</w:t>
      </w:r>
      <w:r w:rsidRPr="000A09A2">
        <w:rPr>
          <w:rFonts w:eastAsia="+mn-ea"/>
          <w:b/>
          <w:bCs/>
          <w:sz w:val="24"/>
          <w:szCs w:val="24"/>
          <w:lang w:val="ru-RU"/>
        </w:rPr>
        <w:tab/>
      </w:r>
      <w:r w:rsidR="00DA19EA" w:rsidRPr="000A09A2">
        <w:rPr>
          <w:b/>
          <w:bCs/>
          <w:sz w:val="24"/>
          <w:szCs w:val="24"/>
          <w:lang w:val="ru-RU"/>
        </w:rPr>
        <w:t>Исследуемый временной период</w:t>
      </w:r>
      <w:r w:rsidR="00E953D0" w:rsidRPr="000A09A2">
        <w:rPr>
          <w:b/>
          <w:bCs/>
          <w:sz w:val="24"/>
          <w:szCs w:val="24"/>
          <w:lang w:val="ru-RU"/>
        </w:rPr>
        <w:t xml:space="preserve"> и географический охват</w:t>
      </w:r>
    </w:p>
    <w:p w14:paraId="5C1F69EE" w14:textId="24D4229C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8F08AD">
        <w:rPr>
          <w:lang w:val="ru-RU"/>
        </w:rPr>
        <w:t>12.</w:t>
      </w:r>
      <w:r w:rsidRPr="008F08AD">
        <w:rPr>
          <w:lang w:val="ru-RU"/>
        </w:rPr>
        <w:tab/>
      </w:r>
      <w:r w:rsidR="003D4CCA">
        <w:rPr>
          <w:lang w:val="ru-RU"/>
        </w:rPr>
        <w:t>Н</w:t>
      </w:r>
      <w:r w:rsidR="00A72AE2" w:rsidRPr="001864D2">
        <w:rPr>
          <w:lang w:val="ru-RU"/>
        </w:rPr>
        <w:t>астоящ</w:t>
      </w:r>
      <w:r w:rsidR="003D4CCA">
        <w:rPr>
          <w:lang w:val="ru-RU"/>
        </w:rPr>
        <w:t>ая</w:t>
      </w:r>
      <w:r w:rsidR="00DC5E14" w:rsidRPr="001864D2">
        <w:rPr>
          <w:lang w:val="ru-RU"/>
        </w:rPr>
        <w:t xml:space="preserve"> оценк</w:t>
      </w:r>
      <w:r w:rsidR="00951F6F">
        <w:rPr>
          <w:lang w:val="ru-RU"/>
        </w:rPr>
        <w:t>а будет иметь глобальный охват</w:t>
      </w:r>
      <w:r w:rsidR="00DC5E14" w:rsidRPr="001864D2">
        <w:rPr>
          <w:lang w:val="ru-RU"/>
        </w:rPr>
        <w:t xml:space="preserve">, </w:t>
      </w:r>
      <w:r w:rsidR="00951F6F">
        <w:rPr>
          <w:lang w:val="ru-RU"/>
        </w:rPr>
        <w:t xml:space="preserve">при этом </w:t>
      </w:r>
      <w:r w:rsidR="00DC5E14" w:rsidRPr="001864D2">
        <w:rPr>
          <w:lang w:val="ru-RU"/>
        </w:rPr>
        <w:t>в ней будут о</w:t>
      </w:r>
      <w:r w:rsidR="00951F6F">
        <w:rPr>
          <w:lang w:val="ru-RU"/>
        </w:rPr>
        <w:t>тмечаться</w:t>
      </w:r>
      <w:r w:rsidR="00DC5E14" w:rsidRPr="001864D2">
        <w:rPr>
          <w:lang w:val="ru-RU"/>
        </w:rPr>
        <w:t xml:space="preserve"> региональные сходства и различия и </w:t>
      </w:r>
      <w:r w:rsidR="00951F6F">
        <w:rPr>
          <w:lang w:val="ru-RU"/>
        </w:rPr>
        <w:t xml:space="preserve">будут </w:t>
      </w:r>
      <w:r w:rsidR="00DC5E14" w:rsidRPr="001864D2">
        <w:rPr>
          <w:lang w:val="ru-RU"/>
        </w:rPr>
        <w:t xml:space="preserve">представлены наземные, пресноводные и морские системы. </w:t>
      </w:r>
    </w:p>
    <w:p w14:paraId="3C2FA3C1" w14:textId="4D0FB694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13.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Анализируемые временные рамки будут охватывать </w:t>
      </w:r>
      <w:r w:rsidR="00903086" w:rsidRPr="001864D2">
        <w:rPr>
          <w:lang w:val="ru-RU"/>
        </w:rPr>
        <w:t>состояние</w:t>
      </w:r>
      <w:r w:rsidR="00DC5E14" w:rsidRPr="001864D2">
        <w:rPr>
          <w:lang w:val="ru-RU"/>
        </w:rPr>
        <w:t xml:space="preserve"> дел в прошлом (за последние 50</w:t>
      </w:r>
      <w:r w:rsidR="009938AB">
        <w:rPr>
          <w:lang w:val="en-GB"/>
        </w:rPr>
        <w:t> </w:t>
      </w:r>
      <w:r w:rsidR="00DC5E14" w:rsidRPr="001864D2">
        <w:rPr>
          <w:lang w:val="ru-RU"/>
        </w:rPr>
        <w:t xml:space="preserve">лет) и настоящем, а также </w:t>
      </w:r>
      <w:r w:rsidR="00903086" w:rsidRPr="001864D2">
        <w:rPr>
          <w:lang w:val="ru-RU"/>
        </w:rPr>
        <w:t>вероятные</w:t>
      </w:r>
      <w:r w:rsidR="00DC5E14" w:rsidRPr="001864D2">
        <w:rPr>
          <w:lang w:val="ru-RU"/>
        </w:rPr>
        <w:t xml:space="preserve"> варианты развития событий в будущем </w:t>
      </w:r>
      <w:r w:rsidR="00DC5E14" w:rsidRPr="001864D2">
        <w:rPr>
          <w:lang w:val="ru-RU"/>
        </w:rPr>
        <w:lastRenderedPageBreak/>
        <w:t>вплоть до 2050</w:t>
      </w:r>
      <w:r w:rsidR="009938AB">
        <w:rPr>
          <w:lang w:val="en-GB"/>
        </w:rPr>
        <w:t> </w:t>
      </w:r>
      <w:r w:rsidR="00DC5E14" w:rsidRPr="001864D2">
        <w:rPr>
          <w:lang w:val="ru-RU"/>
        </w:rPr>
        <w:t xml:space="preserve">года с акцентом на различные периоды, которые </w:t>
      </w:r>
      <w:r w:rsidR="00903086" w:rsidRPr="001864D2">
        <w:rPr>
          <w:lang w:val="ru-RU"/>
        </w:rPr>
        <w:t>включают</w:t>
      </w:r>
      <w:r w:rsidR="00DC5E14" w:rsidRPr="001864D2">
        <w:rPr>
          <w:lang w:val="ru-RU"/>
        </w:rPr>
        <w:t xml:space="preserve"> основны</w:t>
      </w:r>
      <w:r w:rsidR="00903086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целевы</w:t>
      </w:r>
      <w:r w:rsidR="00903086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дат</w:t>
      </w:r>
      <w:r w:rsidR="00903086" w:rsidRPr="001864D2">
        <w:rPr>
          <w:lang w:val="ru-RU"/>
        </w:rPr>
        <w:t>ы</w:t>
      </w:r>
      <w:r w:rsidR="00DC5E14" w:rsidRPr="001864D2">
        <w:rPr>
          <w:lang w:val="ru-RU"/>
        </w:rPr>
        <w:t>, связанны</w:t>
      </w:r>
      <w:r w:rsidR="00903086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с </w:t>
      </w:r>
      <w:r w:rsidR="00D4251E" w:rsidRPr="00D4251E">
        <w:rPr>
          <w:lang w:val="ru-RU"/>
        </w:rPr>
        <w:t>систем</w:t>
      </w:r>
      <w:r w:rsidR="00D4251E">
        <w:rPr>
          <w:lang w:val="ru-RU"/>
        </w:rPr>
        <w:t>ой</w:t>
      </w:r>
      <w:r w:rsidR="00D4251E" w:rsidRPr="00D4251E">
        <w:rPr>
          <w:lang w:val="ru-RU"/>
        </w:rPr>
        <w:t xml:space="preserve"> глобальных мероприятий в сфере</w:t>
      </w:r>
      <w:r w:rsidR="00D4251E">
        <w:rPr>
          <w:lang w:val="ru-RU"/>
        </w:rPr>
        <w:t xml:space="preserve"> </w:t>
      </w:r>
      <w:r w:rsidR="00DC5E14" w:rsidRPr="001864D2">
        <w:rPr>
          <w:lang w:val="ru-RU"/>
        </w:rPr>
        <w:t>биоразнообразия на период после 2020 года</w:t>
      </w:r>
      <w:r w:rsidR="00903086" w:rsidRPr="00CA2258" w:rsidDel="009A59D4">
        <w:rPr>
          <w:rFonts w:eastAsia="MS Mincho"/>
          <w:vertAlign w:val="superscript"/>
          <w:lang w:val="ru-RU"/>
        </w:rPr>
        <w:footnoteReference w:id="12"/>
      </w:r>
      <w:r w:rsidR="00DC5E14" w:rsidRPr="001864D2">
        <w:rPr>
          <w:lang w:val="ru-RU"/>
        </w:rPr>
        <w:t xml:space="preserve"> и целями в области устойчивого развития. Для понимания роли ключевых факторов, которые возникли или были инициированы более 50 лет назад и которые, несомненно, важны с точки зрения будущих вариантов реагирования, возможно, </w:t>
      </w:r>
      <w:r w:rsidR="00903086" w:rsidRPr="001864D2">
        <w:rPr>
          <w:lang w:val="ru-RU"/>
        </w:rPr>
        <w:t>будет необходимо</w:t>
      </w:r>
      <w:r w:rsidR="00DC5E14" w:rsidRPr="001864D2">
        <w:rPr>
          <w:lang w:val="ru-RU"/>
        </w:rPr>
        <w:t xml:space="preserve"> рассмотреть более </w:t>
      </w:r>
      <w:r w:rsidR="00903086" w:rsidRPr="001864D2">
        <w:rPr>
          <w:lang w:val="ru-RU"/>
        </w:rPr>
        <w:t>длительные</w:t>
      </w:r>
      <w:r w:rsidR="00DC5E14" w:rsidRPr="001864D2">
        <w:rPr>
          <w:lang w:val="ru-RU"/>
        </w:rPr>
        <w:t xml:space="preserve"> </w:t>
      </w:r>
      <w:r w:rsidR="007A6ECC">
        <w:rPr>
          <w:lang w:val="ru-RU"/>
        </w:rPr>
        <w:t>исторические промежутки времени</w:t>
      </w:r>
      <w:r w:rsidR="00DC5E14" w:rsidRPr="001864D2">
        <w:rPr>
          <w:lang w:val="ru-RU"/>
        </w:rPr>
        <w:t>. Бо</w:t>
      </w:r>
      <w:r w:rsidR="0093301D" w:rsidRPr="001864D2">
        <w:rPr>
          <w:lang w:val="ru-RU"/>
        </w:rPr>
        <w:t xml:space="preserve">лее продолжительные отрезки </w:t>
      </w:r>
      <w:r w:rsidR="00DC5E14" w:rsidRPr="001864D2">
        <w:rPr>
          <w:lang w:val="ru-RU"/>
        </w:rPr>
        <w:t xml:space="preserve">времени в будущем </w:t>
      </w:r>
      <w:r w:rsidR="0093301D" w:rsidRPr="001864D2">
        <w:rPr>
          <w:lang w:val="ru-RU"/>
        </w:rPr>
        <w:t>вплоть</w:t>
      </w:r>
      <w:r w:rsidR="00DC5E14" w:rsidRPr="001864D2">
        <w:rPr>
          <w:lang w:val="ru-RU"/>
        </w:rPr>
        <w:t xml:space="preserve"> до 2100 года будут рассматриваться в случае, если они </w:t>
      </w:r>
      <w:r w:rsidR="0093301D" w:rsidRPr="001864D2">
        <w:rPr>
          <w:lang w:val="ru-RU"/>
        </w:rPr>
        <w:t>способствуют</w:t>
      </w:r>
      <w:r w:rsidR="00DC5E14" w:rsidRPr="001864D2">
        <w:rPr>
          <w:lang w:val="ru-RU"/>
        </w:rPr>
        <w:t xml:space="preserve"> </w:t>
      </w:r>
      <w:r w:rsidR="0093301D" w:rsidRPr="001864D2">
        <w:rPr>
          <w:lang w:val="ru-RU"/>
        </w:rPr>
        <w:t>получению актуальных</w:t>
      </w:r>
      <w:r w:rsidR="00DC5E14" w:rsidRPr="001864D2">
        <w:rPr>
          <w:lang w:val="ru-RU"/>
        </w:rPr>
        <w:t xml:space="preserve"> знаний о долгосрочных последствиях взаимодействий</w:t>
      </w:r>
      <w:r w:rsidR="003C041D">
        <w:rPr>
          <w:lang w:val="ru-RU"/>
        </w:rPr>
        <w:t xml:space="preserve"> внутри совокупности</w:t>
      </w:r>
      <w:r w:rsidR="00DC5E14" w:rsidRPr="001864D2">
        <w:rPr>
          <w:lang w:val="ru-RU"/>
        </w:rPr>
        <w:t xml:space="preserve"> или долговременной устойчивости вариантов реагирования. </w:t>
      </w:r>
    </w:p>
    <w:p w14:paraId="0AAA0A38" w14:textId="340F5004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14.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Оценка будет проводиться в течение примерно трех лет, что позволит эффективно использовать ее в качестве информационной основы для обзора хода </w:t>
      </w:r>
      <w:r w:rsidR="0093301D" w:rsidRPr="001864D2">
        <w:rPr>
          <w:lang w:val="ru-RU"/>
        </w:rPr>
        <w:t>осуществления</w:t>
      </w:r>
      <w:r w:rsidR="00DC5E14" w:rsidRPr="001864D2">
        <w:rPr>
          <w:lang w:val="ru-RU"/>
        </w:rPr>
        <w:t xml:space="preserve"> </w:t>
      </w:r>
      <w:r w:rsidR="00A8763F" w:rsidRPr="00A8763F">
        <w:rPr>
          <w:lang w:val="ru-RU"/>
        </w:rPr>
        <w:t>систем</w:t>
      </w:r>
      <w:r w:rsidR="00A8763F">
        <w:rPr>
          <w:lang w:val="ru-RU"/>
        </w:rPr>
        <w:t>ы</w:t>
      </w:r>
      <w:r w:rsidR="00A8763F" w:rsidRPr="00A8763F">
        <w:rPr>
          <w:lang w:val="ru-RU"/>
        </w:rPr>
        <w:t xml:space="preserve"> глобальных мероприятий в сфере</w:t>
      </w:r>
      <w:r w:rsidR="00DC5E14" w:rsidRPr="001864D2">
        <w:rPr>
          <w:lang w:val="ru-RU"/>
        </w:rPr>
        <w:t xml:space="preserve"> биоразнообразия на период после 2020 года, Повестки дня в области устойчивого развития на период до 2030 года и Парижского соглашения об изменении климата, а также для </w:t>
      </w:r>
      <w:r w:rsidR="00475E05">
        <w:rPr>
          <w:lang w:val="ru-RU"/>
        </w:rPr>
        <w:t>содействия</w:t>
      </w:r>
      <w:r w:rsidR="00DC5E14" w:rsidRPr="001864D2">
        <w:rPr>
          <w:lang w:val="ru-RU"/>
        </w:rPr>
        <w:t xml:space="preserve"> это</w:t>
      </w:r>
      <w:r w:rsidR="00475E05">
        <w:rPr>
          <w:lang w:val="ru-RU"/>
        </w:rPr>
        <w:t>му</w:t>
      </w:r>
      <w:r w:rsidR="00DC5E14" w:rsidRPr="001864D2">
        <w:rPr>
          <w:lang w:val="ru-RU"/>
        </w:rPr>
        <w:t xml:space="preserve"> обзор</w:t>
      </w:r>
      <w:r w:rsidR="00B873AA">
        <w:rPr>
          <w:lang w:val="ru-RU"/>
        </w:rPr>
        <w:t>у</w:t>
      </w:r>
      <w:r w:rsidR="00DC5E14" w:rsidRPr="001864D2">
        <w:rPr>
          <w:lang w:val="ru-RU"/>
        </w:rPr>
        <w:t xml:space="preserve">. </w:t>
      </w:r>
    </w:p>
    <w:p w14:paraId="3856B76C" w14:textId="4A98121B" w:rsidR="00DC5E14" w:rsidRPr="000A09A2" w:rsidRDefault="00566757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+mn-ea"/>
          <w:b/>
          <w:bCs/>
          <w:sz w:val="24"/>
          <w:szCs w:val="24"/>
          <w:lang w:val="ru-RU"/>
        </w:rPr>
      </w:pPr>
      <w:r w:rsidRPr="000A09A2">
        <w:rPr>
          <w:rFonts w:eastAsia="+mn-ea"/>
          <w:b/>
          <w:bCs/>
          <w:sz w:val="24"/>
          <w:szCs w:val="24"/>
          <w:lang w:val="ru-RU"/>
        </w:rPr>
        <w:tab/>
        <w:t>C.</w:t>
      </w:r>
      <w:r w:rsidRPr="000A09A2">
        <w:rPr>
          <w:rFonts w:eastAsia="+mn-ea"/>
          <w:b/>
          <w:bCs/>
          <w:sz w:val="24"/>
          <w:szCs w:val="24"/>
          <w:lang w:val="ru-RU"/>
        </w:rPr>
        <w:tab/>
      </w:r>
      <w:r w:rsidR="00E953D0" w:rsidRPr="000A09A2">
        <w:rPr>
          <w:b/>
          <w:bCs/>
          <w:sz w:val="24"/>
          <w:szCs w:val="24"/>
          <w:lang w:val="ru-RU"/>
        </w:rPr>
        <w:t xml:space="preserve">Политический контекст </w:t>
      </w:r>
    </w:p>
    <w:p w14:paraId="71C78319" w14:textId="54E1C1CD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3056DD">
        <w:rPr>
          <w:lang w:val="ru-RU"/>
        </w:rPr>
        <w:t>15.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Эта оценка будет способствовать формированию более </w:t>
      </w:r>
      <w:r w:rsidR="00513D92">
        <w:rPr>
          <w:lang w:val="ru-RU"/>
        </w:rPr>
        <w:t>полной</w:t>
      </w:r>
      <w:r w:rsidR="00513D92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базы знаний для директивных органов в целях принятия научно обоснованных решений в контексте Концепции в области биоразнообразия на период после 2050 года, </w:t>
      </w:r>
      <w:r w:rsidR="00513D92" w:rsidRPr="00A8763F">
        <w:rPr>
          <w:lang w:val="ru-RU"/>
        </w:rPr>
        <w:t>систем</w:t>
      </w:r>
      <w:r w:rsidR="00513D92">
        <w:rPr>
          <w:lang w:val="ru-RU"/>
        </w:rPr>
        <w:t>ы</w:t>
      </w:r>
      <w:r w:rsidR="00513D92" w:rsidRPr="00A8763F">
        <w:rPr>
          <w:lang w:val="ru-RU"/>
        </w:rPr>
        <w:t xml:space="preserve"> глобальных мероприятий в сфере</w:t>
      </w:r>
      <w:r w:rsidR="00DC5E14" w:rsidRPr="001864D2">
        <w:rPr>
          <w:lang w:val="ru-RU"/>
        </w:rPr>
        <w:t xml:space="preserve"> биоразнообразия на период после 2020 года и ее целевых задач, а также национальных стратегий и планов действий в области биоразнообразия, определяемого на национальном уровне вклада и долгосрочных стратегий</w:t>
      </w:r>
      <w:r w:rsidR="003313F8">
        <w:rPr>
          <w:lang w:val="ru-RU"/>
        </w:rPr>
        <w:t xml:space="preserve">, предусмотренных </w:t>
      </w:r>
      <w:r w:rsidR="00DC5E14" w:rsidRPr="001864D2">
        <w:rPr>
          <w:lang w:val="ru-RU"/>
        </w:rPr>
        <w:t xml:space="preserve">Парижским </w:t>
      </w:r>
      <w:r w:rsidR="00DC5E14" w:rsidRPr="00D44132">
        <w:rPr>
          <w:lang w:val="ru-RU"/>
        </w:rPr>
        <w:t>соглашением</w:t>
      </w:r>
      <w:r w:rsidR="00A64508" w:rsidRPr="00D44132">
        <w:rPr>
          <w:lang w:val="ru-RU"/>
        </w:rPr>
        <w:t xml:space="preserve">, </w:t>
      </w:r>
      <w:r w:rsidR="00DC5E14" w:rsidRPr="00D44132">
        <w:rPr>
          <w:lang w:val="ru-RU"/>
        </w:rPr>
        <w:t>и Повестк</w:t>
      </w:r>
      <w:r w:rsidR="00213E6C" w:rsidRPr="00D44132">
        <w:rPr>
          <w:lang w:val="ru-RU"/>
        </w:rPr>
        <w:t>и</w:t>
      </w:r>
      <w:r w:rsidR="00DC5E14" w:rsidRPr="001864D2">
        <w:rPr>
          <w:lang w:val="ru-RU"/>
        </w:rPr>
        <w:t xml:space="preserve"> дня в области устойчивого развития на период до 2030 года. </w:t>
      </w:r>
    </w:p>
    <w:p w14:paraId="0DFD4042" w14:textId="125EB0D4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16.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В число предполагаемых пользователей входят правительства, многосторонние природоохранные соглашения (включая, среди прочего, Конвенцию о биологическом разнообразии, Конвенцию о международной торговле видами дикой фауны и флоры, находящимися под угрозой исчезновения, Рамсарскую конвенцию о водно-болотных угодьях, Конвенцию по сохранению мигрирующих видов диких животных, Конвенцию Организации Объединенных Наций по борьбе с опустыниванием, Рамочную конвенцию Организации Объединенных Наций об изменении климата, связанные с океаном процессы в рамках Генеральной Ассамблеи Организации Объединенных Наций), другие многосторонние природоохранные организации, научные организации, частный сектор и гражданское общество, включая коренные народы и местные общины, а также неправительственные организации. Ожидается также, что эта оценка послужит информационной основой для других национальных, региональных и глобальных стратегий в области сохранения и устойчивого использования биоразнообразия и экосистем и их вклада на благо человека. Эта оценка также обеспечит руковод</w:t>
      </w:r>
      <w:r w:rsidR="00120D40" w:rsidRPr="001864D2">
        <w:rPr>
          <w:lang w:val="ru-RU"/>
        </w:rPr>
        <w:t>ящие указания</w:t>
      </w:r>
      <w:r w:rsidR="00DC5E14" w:rsidRPr="001864D2">
        <w:rPr>
          <w:lang w:val="ru-RU"/>
        </w:rPr>
        <w:t xml:space="preserve"> по повышению сопротивляемости к пандемиям </w:t>
      </w:r>
      <w:r w:rsidR="00937DF8">
        <w:rPr>
          <w:lang w:val="ru-RU"/>
        </w:rPr>
        <w:t>с акцентом</w:t>
      </w:r>
      <w:r w:rsidR="00DC5E14" w:rsidRPr="001864D2">
        <w:rPr>
          <w:lang w:val="ru-RU"/>
        </w:rPr>
        <w:t xml:space="preserve"> на роль биоразнообразия и восстановлени</w:t>
      </w:r>
      <w:r w:rsidR="00A05F3F">
        <w:rPr>
          <w:lang w:val="ru-RU"/>
        </w:rPr>
        <w:t>я</w:t>
      </w:r>
      <w:r w:rsidR="00DC5E14" w:rsidRPr="001864D2">
        <w:rPr>
          <w:lang w:val="ru-RU"/>
        </w:rPr>
        <w:t xml:space="preserve"> экосистемных функций </w:t>
      </w:r>
      <w:r w:rsidR="00A05F3F">
        <w:rPr>
          <w:lang w:val="ru-RU"/>
        </w:rPr>
        <w:t xml:space="preserve">в деле </w:t>
      </w:r>
      <w:r w:rsidR="00DC5E14" w:rsidRPr="001864D2">
        <w:rPr>
          <w:lang w:val="ru-RU"/>
        </w:rPr>
        <w:t>их предотвращени</w:t>
      </w:r>
      <w:r w:rsidR="00A05F3F">
        <w:rPr>
          <w:lang w:val="ru-RU"/>
        </w:rPr>
        <w:t>я</w:t>
      </w:r>
      <w:r w:rsidR="00DC5E14" w:rsidRPr="001864D2">
        <w:rPr>
          <w:lang w:val="ru-RU"/>
        </w:rPr>
        <w:t>.</w:t>
      </w:r>
    </w:p>
    <w:p w14:paraId="4796E64A" w14:textId="1B6DFFC4" w:rsidR="00DC5E14" w:rsidRPr="000A09A2" w:rsidRDefault="00566757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Gulim"/>
          <w:b/>
          <w:bCs/>
          <w:sz w:val="24"/>
          <w:szCs w:val="24"/>
          <w:lang w:val="ru-RU"/>
        </w:rPr>
      </w:pPr>
      <w:r w:rsidRPr="000A09A2">
        <w:rPr>
          <w:rFonts w:eastAsia="Gulim"/>
          <w:b/>
          <w:bCs/>
          <w:sz w:val="24"/>
          <w:szCs w:val="24"/>
          <w:lang w:val="ru-RU"/>
        </w:rPr>
        <w:tab/>
        <w:t>D.</w:t>
      </w:r>
      <w:r w:rsidRPr="000A09A2">
        <w:rPr>
          <w:rFonts w:eastAsia="Gulim"/>
          <w:b/>
          <w:bCs/>
          <w:sz w:val="24"/>
          <w:szCs w:val="24"/>
          <w:lang w:val="ru-RU"/>
        </w:rPr>
        <w:tab/>
      </w:r>
      <w:r w:rsidR="00E953D0" w:rsidRPr="000A09A2">
        <w:rPr>
          <w:b/>
          <w:bCs/>
          <w:sz w:val="24"/>
          <w:szCs w:val="24"/>
          <w:lang w:val="ru-RU"/>
        </w:rPr>
        <w:t>Всеобъемлющие вопросы</w:t>
      </w:r>
    </w:p>
    <w:p w14:paraId="030D7536" w14:textId="2D1A2B95" w:rsidR="00DC5E14" w:rsidRPr="001864D2" w:rsidRDefault="000A09A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17.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Оценка будет направлена, в частности, на решение следующих вопросов, актуальных для лиц, принимающих решения, которые имеют дело со сложными взаимодействиями между элементами</w:t>
      </w:r>
      <w:r w:rsidR="008F413F">
        <w:rPr>
          <w:lang w:val="ru-RU"/>
        </w:rPr>
        <w:t xml:space="preserve"> совокупности</w:t>
      </w:r>
      <w:r w:rsidR="00DC5E14" w:rsidRPr="001864D2">
        <w:rPr>
          <w:lang w:val="ru-RU"/>
        </w:rPr>
        <w:t>; прям</w:t>
      </w:r>
      <w:r w:rsidR="00981BB5">
        <w:rPr>
          <w:lang w:val="ru-RU"/>
        </w:rPr>
        <w:t>ая</w:t>
      </w:r>
      <w:r w:rsidR="00DC5E14" w:rsidRPr="001864D2">
        <w:rPr>
          <w:lang w:val="ru-RU"/>
        </w:rPr>
        <w:t xml:space="preserve"> линейн</w:t>
      </w:r>
      <w:r w:rsidR="00981BB5">
        <w:rPr>
          <w:lang w:val="ru-RU"/>
        </w:rPr>
        <w:t>ая</w:t>
      </w:r>
      <w:r w:rsidR="00DC5E14" w:rsidRPr="001864D2">
        <w:rPr>
          <w:lang w:val="ru-RU"/>
        </w:rPr>
        <w:t xml:space="preserve"> связ</w:t>
      </w:r>
      <w:r w:rsidR="00981BB5">
        <w:rPr>
          <w:lang w:val="ru-RU"/>
        </w:rPr>
        <w:t>ь</w:t>
      </w:r>
      <w:r w:rsidR="00DC5E14" w:rsidRPr="001864D2">
        <w:rPr>
          <w:lang w:val="ru-RU"/>
        </w:rPr>
        <w:t xml:space="preserve"> между этими вопросами и главами оценки</w:t>
      </w:r>
      <w:r w:rsidR="00981BB5">
        <w:rPr>
          <w:lang w:val="ru-RU"/>
        </w:rPr>
        <w:t xml:space="preserve"> отсутствует</w:t>
      </w:r>
      <w:r w:rsidR="00DC5E14" w:rsidRPr="001864D2">
        <w:rPr>
          <w:lang w:val="ru-RU"/>
        </w:rPr>
        <w:t>:</w:t>
      </w:r>
    </w:p>
    <w:p w14:paraId="3656414E" w14:textId="4C697069" w:rsidR="00DC5E14" w:rsidRPr="001864D2" w:rsidRDefault="00CA2258" w:rsidP="00CA22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a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Pr="001864D2">
        <w:rPr>
          <w:lang w:val="ru-RU"/>
        </w:rPr>
        <w:t xml:space="preserve">Каким </w:t>
      </w:r>
      <w:r w:rsidR="00DC5E14" w:rsidRPr="001864D2">
        <w:rPr>
          <w:lang w:val="ru-RU"/>
        </w:rPr>
        <w:t xml:space="preserve">образом </w:t>
      </w:r>
      <w:r w:rsidR="00120D40" w:rsidRPr="001864D2">
        <w:rPr>
          <w:lang w:val="ru-RU"/>
        </w:rPr>
        <w:t xml:space="preserve">применяемые ранее </w:t>
      </w:r>
      <w:r w:rsidR="00DC5E14" w:rsidRPr="001864D2">
        <w:rPr>
          <w:lang w:val="ru-RU"/>
        </w:rPr>
        <w:t xml:space="preserve">и </w:t>
      </w:r>
      <w:r w:rsidR="00E50361">
        <w:rPr>
          <w:lang w:val="ru-RU"/>
        </w:rPr>
        <w:t>современные</w:t>
      </w:r>
      <w:r w:rsidR="00E50361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подходы к производству и использованию водных ресурсов, продовольствия и энергии, а также их взаимодействие оказывают влияние на биоразнообразие и обеспечиваемый природой вклад на благо человека, включая обездоленные группы населения и коренные народы и местные общины, и взаимодействуют с ними? Каким образом изменение климата будет </w:t>
      </w:r>
      <w:r w:rsidR="00441A76" w:rsidRPr="001864D2">
        <w:rPr>
          <w:lang w:val="ru-RU"/>
        </w:rPr>
        <w:t>взаимодействовать с</w:t>
      </w:r>
      <w:r w:rsidR="00DC5E14" w:rsidRPr="001864D2">
        <w:rPr>
          <w:lang w:val="ru-RU"/>
        </w:rPr>
        <w:t xml:space="preserve"> элемент</w:t>
      </w:r>
      <w:r w:rsidR="00441A76" w:rsidRPr="001864D2">
        <w:rPr>
          <w:lang w:val="ru-RU"/>
        </w:rPr>
        <w:t>ами</w:t>
      </w:r>
      <w:r w:rsidR="00DC5E14" w:rsidRPr="001864D2">
        <w:rPr>
          <w:lang w:val="ru-RU"/>
        </w:rPr>
        <w:t xml:space="preserve"> </w:t>
      </w:r>
      <w:r w:rsidR="008F413F">
        <w:rPr>
          <w:lang w:val="ru-RU"/>
        </w:rPr>
        <w:t xml:space="preserve">совокупности </w:t>
      </w:r>
      <w:r w:rsidR="00DC5E14" w:rsidRPr="001864D2">
        <w:rPr>
          <w:lang w:val="ru-RU"/>
        </w:rPr>
        <w:t xml:space="preserve">и </w:t>
      </w:r>
      <w:r w:rsidR="00441A76" w:rsidRPr="001864D2">
        <w:rPr>
          <w:lang w:val="ru-RU"/>
        </w:rPr>
        <w:t>трансформировать</w:t>
      </w:r>
      <w:r w:rsidR="00DC5E14" w:rsidRPr="001864D2">
        <w:rPr>
          <w:lang w:val="ru-RU"/>
        </w:rPr>
        <w:t xml:space="preserve"> их роль? Какова роль </w:t>
      </w:r>
      <w:r w:rsidR="00441A76" w:rsidRPr="001864D2">
        <w:rPr>
          <w:lang w:val="ru-RU"/>
        </w:rPr>
        <w:t>вариантов</w:t>
      </w:r>
      <w:r w:rsidR="00DC5E14" w:rsidRPr="001864D2">
        <w:rPr>
          <w:lang w:val="ru-RU"/>
        </w:rPr>
        <w:t xml:space="preserve"> использования культуры в этом взаимодействии?</w:t>
      </w:r>
    </w:p>
    <w:p w14:paraId="26141905" w14:textId="13FA2E11" w:rsidR="00DC5E14" w:rsidRPr="001864D2" w:rsidRDefault="00CA2258" w:rsidP="00CA22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b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Какова роль биоразнообразия и обеспечиваемого природой вклада на благо здоровья и благополучия человека? Каким образом эта роль реализуется посредством и</w:t>
      </w:r>
      <w:r w:rsidR="00511C6D">
        <w:rPr>
          <w:lang w:val="ru-RU"/>
        </w:rPr>
        <w:t xml:space="preserve"> </w:t>
      </w:r>
      <w:r w:rsidR="00DC5E14" w:rsidRPr="001864D2">
        <w:rPr>
          <w:lang w:val="ru-RU"/>
        </w:rPr>
        <w:t>(или) зависит от производства и поставок водных ресурсов, продовольствия или энергии, потребления, изменения климата и</w:t>
      </w:r>
      <w:r w:rsidR="00CD2FD4">
        <w:rPr>
          <w:lang w:val="ru-RU"/>
        </w:rPr>
        <w:t xml:space="preserve"> </w:t>
      </w:r>
      <w:r w:rsidR="00DC5E14" w:rsidRPr="001864D2">
        <w:rPr>
          <w:lang w:val="ru-RU"/>
        </w:rPr>
        <w:t>(или) их взаимодействия?</w:t>
      </w:r>
    </w:p>
    <w:p w14:paraId="6C108A76" w14:textId="465CFFD6" w:rsidR="00DC5E14" w:rsidRPr="001864D2" w:rsidRDefault="00CA2258" w:rsidP="00CA22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lastRenderedPageBreak/>
        <w:t>c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Каким образом можно обеспечить максимальную синергию между целями в области устойчивого развития, </w:t>
      </w:r>
      <w:r w:rsidR="00441A76" w:rsidRPr="001864D2">
        <w:rPr>
          <w:lang w:val="ru-RU"/>
        </w:rPr>
        <w:t xml:space="preserve">с тем </w:t>
      </w:r>
      <w:r w:rsidR="00DC5E14" w:rsidRPr="001864D2">
        <w:rPr>
          <w:lang w:val="ru-RU"/>
        </w:rPr>
        <w:t xml:space="preserve">чтобы </w:t>
      </w:r>
      <w:r w:rsidR="00BE764A">
        <w:rPr>
          <w:lang w:val="ru-RU"/>
        </w:rPr>
        <w:t>увеличить</w:t>
      </w:r>
      <w:r w:rsidR="00BE764A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биоразнообразие и </w:t>
      </w:r>
      <w:r w:rsidR="00441A76" w:rsidRPr="001864D2">
        <w:rPr>
          <w:lang w:val="ru-RU"/>
        </w:rPr>
        <w:t>устранить</w:t>
      </w:r>
      <w:r w:rsidR="00DC5E14" w:rsidRPr="001864D2">
        <w:rPr>
          <w:lang w:val="ru-RU"/>
        </w:rPr>
        <w:t xml:space="preserve"> противоречия между развитием и сохранением биоразнообразия?</w:t>
      </w:r>
    </w:p>
    <w:p w14:paraId="519CD32B" w14:textId="117B5B8C" w:rsidR="00DC5E14" w:rsidRPr="001864D2" w:rsidRDefault="00CA2258" w:rsidP="00CA22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d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Каковы различные варианты политики</w:t>
      </w:r>
      <w:r w:rsidR="003403FB">
        <w:rPr>
          <w:lang w:val="ru-RU"/>
        </w:rPr>
        <w:t xml:space="preserve"> или </w:t>
      </w:r>
      <w:r w:rsidR="00DC5E14" w:rsidRPr="001864D2">
        <w:rPr>
          <w:lang w:val="ru-RU"/>
        </w:rPr>
        <w:t>управления и финанс</w:t>
      </w:r>
      <w:r w:rsidR="00441A76" w:rsidRPr="001864D2">
        <w:rPr>
          <w:lang w:val="ru-RU"/>
        </w:rPr>
        <w:t>ирования</w:t>
      </w:r>
      <w:r w:rsidR="00DC5E14" w:rsidRPr="001864D2">
        <w:rPr>
          <w:lang w:val="ru-RU"/>
        </w:rPr>
        <w:t xml:space="preserve"> для сохранения и устойчивого использования биоразнообразия, обеспечения вклада природы на благо человека и для его здоровья при одновременном внедрении комплексной и устойчивой системы водных ресурсов, продовольствия и энергии? Каким образом эти варианты политики</w:t>
      </w:r>
      <w:r w:rsidR="00696E8F">
        <w:rPr>
          <w:lang w:val="ru-RU"/>
        </w:rPr>
        <w:t xml:space="preserve"> или </w:t>
      </w:r>
      <w:r w:rsidR="00DC5E14" w:rsidRPr="001864D2">
        <w:rPr>
          <w:lang w:val="ru-RU"/>
        </w:rPr>
        <w:t xml:space="preserve">управления могут также повысить устойчивость к изменению климата и </w:t>
      </w:r>
      <w:r w:rsidR="00880022">
        <w:rPr>
          <w:lang w:val="ru-RU"/>
        </w:rPr>
        <w:t>уменьшить</w:t>
      </w:r>
      <w:r w:rsidR="00880022" w:rsidRPr="001864D2">
        <w:rPr>
          <w:lang w:val="ru-RU"/>
        </w:rPr>
        <w:t xml:space="preserve"> </w:t>
      </w:r>
      <w:r w:rsidR="00DC5E14" w:rsidRPr="001864D2">
        <w:rPr>
          <w:lang w:val="ru-RU"/>
        </w:rPr>
        <w:t>выбросы парниковых газов?</w:t>
      </w:r>
    </w:p>
    <w:p w14:paraId="085DEDAB" w14:textId="4671F50A" w:rsidR="00DC5E14" w:rsidRPr="001864D2" w:rsidRDefault="00CA2258" w:rsidP="00CA22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Каковы компоненты успешной</w:t>
      </w:r>
      <w:r w:rsidR="00DC5E14" w:rsidRPr="00CA2258">
        <w:rPr>
          <w:rFonts w:eastAsia="MS Mincho"/>
          <w:vertAlign w:val="superscript"/>
          <w:lang w:val="ru-RU"/>
        </w:rPr>
        <w:footnoteReference w:id="13"/>
      </w:r>
      <w:r w:rsidR="00DC5E14" w:rsidRPr="001864D2">
        <w:rPr>
          <w:lang w:val="ru-RU"/>
        </w:rPr>
        <w:t xml:space="preserve"> интегрированной системы </w:t>
      </w:r>
      <w:r w:rsidR="00B009F4">
        <w:rPr>
          <w:lang w:val="ru-RU"/>
        </w:rPr>
        <w:t xml:space="preserve">регулирования </w:t>
      </w:r>
      <w:r w:rsidR="003620E0">
        <w:rPr>
          <w:lang w:val="ru-RU"/>
        </w:rPr>
        <w:t>комплекса «</w:t>
      </w:r>
      <w:r w:rsidR="00DC5E14" w:rsidRPr="001864D2">
        <w:rPr>
          <w:lang w:val="ru-RU"/>
        </w:rPr>
        <w:t>водны</w:t>
      </w:r>
      <w:r w:rsidR="003620E0">
        <w:rPr>
          <w:lang w:val="ru-RU"/>
        </w:rPr>
        <w:t>е</w:t>
      </w:r>
      <w:r w:rsidR="006445B1" w:rsidRPr="001864D2">
        <w:rPr>
          <w:lang w:val="ru-RU"/>
        </w:rPr>
        <w:t xml:space="preserve"> ресурс</w:t>
      </w:r>
      <w:r w:rsidR="003620E0">
        <w:rPr>
          <w:lang w:val="ru-RU"/>
        </w:rPr>
        <w:t xml:space="preserve">ы – </w:t>
      </w:r>
      <w:r w:rsidR="00DC5E14" w:rsidRPr="001864D2">
        <w:rPr>
          <w:lang w:val="ru-RU"/>
        </w:rPr>
        <w:t>продовольств</w:t>
      </w:r>
      <w:r w:rsidR="006445B1" w:rsidRPr="001864D2">
        <w:rPr>
          <w:lang w:val="ru-RU"/>
        </w:rPr>
        <w:t>ие</w:t>
      </w:r>
      <w:r w:rsidR="003620E0">
        <w:rPr>
          <w:lang w:val="ru-RU"/>
        </w:rPr>
        <w:t xml:space="preserve"> – </w:t>
      </w:r>
      <w:r w:rsidR="00DC5E14" w:rsidRPr="001864D2">
        <w:rPr>
          <w:lang w:val="ru-RU"/>
        </w:rPr>
        <w:t>энерг</w:t>
      </w:r>
      <w:r w:rsidR="006445B1" w:rsidRPr="001864D2">
        <w:rPr>
          <w:lang w:val="ru-RU"/>
        </w:rPr>
        <w:t>и</w:t>
      </w:r>
      <w:r w:rsidR="003620E0">
        <w:rPr>
          <w:lang w:val="ru-RU"/>
        </w:rPr>
        <w:t>я»</w:t>
      </w:r>
      <w:r w:rsidR="00DC5E14" w:rsidRPr="001864D2">
        <w:rPr>
          <w:lang w:val="ru-RU"/>
        </w:rPr>
        <w:t xml:space="preserve">, </w:t>
      </w:r>
      <w:r w:rsidR="00966197">
        <w:rPr>
          <w:lang w:val="ru-RU"/>
        </w:rPr>
        <w:t>предназначенной для</w:t>
      </w:r>
      <w:r w:rsidR="00DC5E14" w:rsidRPr="001864D2">
        <w:rPr>
          <w:lang w:val="ru-RU"/>
        </w:rPr>
        <w:t xml:space="preserve"> миним</w:t>
      </w:r>
      <w:r w:rsidR="00966197">
        <w:rPr>
          <w:lang w:val="ru-RU"/>
        </w:rPr>
        <w:t>изации</w:t>
      </w:r>
      <w:r w:rsidR="00DC5E14" w:rsidRPr="001864D2">
        <w:rPr>
          <w:lang w:val="ru-RU"/>
        </w:rPr>
        <w:t xml:space="preserve"> негативны</w:t>
      </w:r>
      <w:r w:rsidR="00966197">
        <w:rPr>
          <w:lang w:val="ru-RU"/>
        </w:rPr>
        <w:t>х</w:t>
      </w:r>
      <w:r w:rsidR="00DC5E14" w:rsidRPr="001864D2">
        <w:rPr>
          <w:lang w:val="ru-RU"/>
        </w:rPr>
        <w:t xml:space="preserve"> последстви</w:t>
      </w:r>
      <w:r w:rsidR="00966197">
        <w:rPr>
          <w:lang w:val="ru-RU"/>
        </w:rPr>
        <w:t>й</w:t>
      </w:r>
      <w:r w:rsidR="00DC5E14" w:rsidRPr="001864D2">
        <w:rPr>
          <w:lang w:val="ru-RU"/>
        </w:rPr>
        <w:t xml:space="preserve"> с точки зрения биоразнообразия, обеспечиваемого природой вклада на благо человека, изменения климата и здоровья человека? Каким образом биоразнообразие может способствовать повышению устойчивости и адаптируемости систем производства продовольствия и биоэнергии? Как можно измерить прогресс в деле предоставления равного и устойчивого доступа к соответствующим компонентам биоразнообразия и обеспечиваемого природой вклада </w:t>
      </w:r>
      <w:r w:rsidR="006445B1" w:rsidRPr="001864D2">
        <w:rPr>
          <w:lang w:val="ru-RU"/>
        </w:rPr>
        <w:t>на благо человека</w:t>
      </w:r>
      <w:r w:rsidR="00DC5E14" w:rsidRPr="001864D2">
        <w:rPr>
          <w:lang w:val="ru-RU"/>
        </w:rPr>
        <w:t xml:space="preserve">, в том числе среди коренных народов и местных общин? Какие показатели можно использовать для контроля прогресса в достижении целей и выполнении задач, насколько эффективны показатели </w:t>
      </w:r>
      <w:r w:rsidR="001C3869">
        <w:rPr>
          <w:lang w:val="ru-RU"/>
        </w:rPr>
        <w:t>механизма</w:t>
      </w:r>
      <w:r w:rsidR="001C3869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мониторинга </w:t>
      </w:r>
      <w:r w:rsidR="00A97B11">
        <w:rPr>
          <w:lang w:val="ru-RU"/>
        </w:rPr>
        <w:t>для</w:t>
      </w:r>
      <w:r w:rsidR="00596040">
        <w:rPr>
          <w:lang w:val="ru-RU"/>
        </w:rPr>
        <w:t xml:space="preserve"> </w:t>
      </w:r>
      <w:r w:rsidR="0046706A">
        <w:rPr>
          <w:lang w:val="ru-RU"/>
        </w:rPr>
        <w:t>систем</w:t>
      </w:r>
      <w:r w:rsidR="00A97B11">
        <w:rPr>
          <w:lang w:val="ru-RU"/>
        </w:rPr>
        <w:t>ы</w:t>
      </w:r>
      <w:r w:rsidR="0046706A">
        <w:rPr>
          <w:lang w:val="ru-RU"/>
        </w:rPr>
        <w:t xml:space="preserve"> глобальных мероприятий в сфере </w:t>
      </w:r>
      <w:r w:rsidR="00DC5E14" w:rsidRPr="001864D2">
        <w:rPr>
          <w:lang w:val="ru-RU"/>
        </w:rPr>
        <w:t>биоразнообразия на период после 2020 года и Повестки дня на период до 2030 года с точки зрения выявления взаимосвязей</w:t>
      </w:r>
      <w:r w:rsidR="000C4F12">
        <w:rPr>
          <w:lang w:val="ru-RU"/>
        </w:rPr>
        <w:t xml:space="preserve"> внутри совокупности</w:t>
      </w:r>
      <w:r w:rsidR="00DC5E14" w:rsidRPr="001864D2">
        <w:rPr>
          <w:lang w:val="ru-RU"/>
        </w:rPr>
        <w:t xml:space="preserve"> и какие </w:t>
      </w:r>
      <w:r w:rsidR="000C4F12">
        <w:rPr>
          <w:lang w:val="ru-RU"/>
        </w:rPr>
        <w:t xml:space="preserve">имеются </w:t>
      </w:r>
      <w:r w:rsidR="00DC5E14" w:rsidRPr="001864D2">
        <w:rPr>
          <w:lang w:val="ru-RU"/>
        </w:rPr>
        <w:t>варианты повышения их эффективности?</w:t>
      </w:r>
    </w:p>
    <w:p w14:paraId="167372D2" w14:textId="3619E1D6" w:rsidR="00DC5E14" w:rsidRPr="00CA2258" w:rsidRDefault="00566757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Gulim"/>
          <w:b/>
          <w:bCs/>
          <w:sz w:val="24"/>
          <w:szCs w:val="24"/>
          <w:lang w:val="ru-RU"/>
        </w:rPr>
      </w:pPr>
      <w:r w:rsidRPr="00CA2258">
        <w:rPr>
          <w:rFonts w:eastAsia="Gulim"/>
          <w:b/>
          <w:bCs/>
          <w:sz w:val="24"/>
          <w:szCs w:val="24"/>
          <w:lang w:val="ru-RU"/>
        </w:rPr>
        <w:tab/>
        <w:t>E.</w:t>
      </w:r>
      <w:r w:rsidRPr="00CA2258">
        <w:rPr>
          <w:rFonts w:eastAsia="Gulim"/>
          <w:b/>
          <w:bCs/>
          <w:sz w:val="24"/>
          <w:szCs w:val="24"/>
          <w:lang w:val="ru-RU"/>
        </w:rPr>
        <w:tab/>
      </w:r>
      <w:r w:rsidR="00E953D0" w:rsidRPr="00CA2258">
        <w:rPr>
          <w:b/>
          <w:bCs/>
          <w:sz w:val="24"/>
          <w:szCs w:val="24"/>
          <w:lang w:val="ru-RU"/>
        </w:rPr>
        <w:t>Методологический подход</w:t>
      </w:r>
    </w:p>
    <w:p w14:paraId="66089085" w14:textId="705ABF3F" w:rsidR="00DC5E14" w:rsidRPr="001864D2" w:rsidRDefault="00CA225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18.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Оценк</w:t>
      </w:r>
      <w:r w:rsidR="006445B1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будет проводить</w:t>
      </w:r>
      <w:r w:rsidR="006445B1" w:rsidRPr="001864D2">
        <w:rPr>
          <w:lang w:val="ru-RU"/>
        </w:rPr>
        <w:t>ся</w:t>
      </w:r>
      <w:r w:rsidR="00DC5E14" w:rsidRPr="001864D2">
        <w:rPr>
          <w:lang w:val="ru-RU"/>
        </w:rPr>
        <w:t xml:space="preserve"> групп</w:t>
      </w:r>
      <w:r w:rsidR="006445B1" w:rsidRPr="001864D2">
        <w:rPr>
          <w:lang w:val="ru-RU"/>
        </w:rPr>
        <w:t>ой</w:t>
      </w:r>
      <w:r w:rsidR="00DC5E14" w:rsidRPr="001864D2">
        <w:rPr>
          <w:lang w:val="ru-RU"/>
        </w:rPr>
        <w:t xml:space="preserve"> экспертов в соответствии с процедурами подготовки итоговых материалов Платформы. Она будет включать резюме для директивных органов и </w:t>
      </w:r>
      <w:r w:rsidR="006445B1" w:rsidRPr="001864D2">
        <w:rPr>
          <w:lang w:val="ru-RU"/>
        </w:rPr>
        <w:t>несколько</w:t>
      </w:r>
      <w:r w:rsidR="00DC5E14" w:rsidRPr="001864D2">
        <w:rPr>
          <w:lang w:val="ru-RU"/>
        </w:rPr>
        <w:t xml:space="preserve"> глав, которые будут представлены Пленуму для утверждения и принятия</w:t>
      </w:r>
      <w:r w:rsidR="00576A8A">
        <w:rPr>
          <w:lang w:val="ru-RU"/>
        </w:rPr>
        <w:t>,</w:t>
      </w:r>
      <w:r w:rsidR="005F1AB3" w:rsidRPr="001864D2">
        <w:rPr>
          <w:lang w:val="ru-RU"/>
        </w:rPr>
        <w:t xml:space="preserve"> </w:t>
      </w:r>
      <w:r w:rsidR="00DC5E14" w:rsidRPr="001864D2">
        <w:rPr>
          <w:lang w:val="ru-RU"/>
        </w:rPr>
        <w:t>соответственно.</w:t>
      </w:r>
    </w:p>
    <w:p w14:paraId="719D1AED" w14:textId="6EA78D01" w:rsidR="00DC5E14" w:rsidRPr="001864D2" w:rsidRDefault="00CA225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19.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Оценка будет по</w:t>
      </w:r>
      <w:r w:rsidR="00566757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возможности максимально достоверной, легитимной и основанной на многочисленных </w:t>
      </w:r>
      <w:r w:rsidR="005F1AB3" w:rsidRPr="001864D2">
        <w:rPr>
          <w:lang w:val="ru-RU"/>
        </w:rPr>
        <w:t>источниках</w:t>
      </w:r>
      <w:r w:rsidR="00DC5E14" w:rsidRPr="001864D2">
        <w:rPr>
          <w:lang w:val="ru-RU"/>
        </w:rPr>
        <w:t xml:space="preserve">. В резюме для директивных органов будут освещены основные связанные с политикой выводы и не носящие предписывающего характера варианты политики, предназначенные для широкого круга конечных пользователей, некоторые из которых упомянуты выше, а также будет отражен всеобъемлющий анализ текущего состояния систем научных и иных знаний (включая знания коренного и местного населения), представленный в главах. </w:t>
      </w:r>
    </w:p>
    <w:p w14:paraId="331EE36B" w14:textId="61BB1C16" w:rsidR="00DC5E14" w:rsidRPr="001864D2" w:rsidRDefault="00CA225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20.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Оценка, согласно соответствующим процедурам Платформы, будет основываться на имеющихся источниках: данных (включая, в соответствующих случаях, национальные данные), научной литературе и неофициальных публикациях, а также на других формах знаний и языках (по мере возможности), включая знания коренного и местного населения. </w:t>
      </w:r>
    </w:p>
    <w:p w14:paraId="43075A4F" w14:textId="546DE21C" w:rsidR="00DC5E14" w:rsidRPr="001864D2" w:rsidRDefault="00CA225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21.</w:t>
      </w:r>
      <w:r w:rsidRPr="003056DD">
        <w:rPr>
          <w:lang w:val="ru-RU"/>
        </w:rPr>
        <w:tab/>
      </w:r>
      <w:r w:rsidR="005F1AB3" w:rsidRPr="001864D2">
        <w:rPr>
          <w:lang w:val="ru-RU"/>
        </w:rPr>
        <w:t>О</w:t>
      </w:r>
      <w:r w:rsidR="00DC5E14" w:rsidRPr="001864D2">
        <w:rPr>
          <w:lang w:val="ru-RU"/>
        </w:rPr>
        <w:t xml:space="preserve">ценка будет </w:t>
      </w:r>
      <w:r w:rsidR="005F1AB3" w:rsidRPr="001864D2">
        <w:rPr>
          <w:lang w:val="ru-RU"/>
        </w:rPr>
        <w:t>опираться</w:t>
      </w:r>
      <w:r w:rsidR="00DC5E14" w:rsidRPr="001864D2">
        <w:rPr>
          <w:lang w:val="ru-RU"/>
        </w:rPr>
        <w:t xml:space="preserve"> на результат</w:t>
      </w:r>
      <w:r w:rsidR="005F1AB3" w:rsidRPr="001864D2">
        <w:rPr>
          <w:lang w:val="ru-RU"/>
        </w:rPr>
        <w:t>ы</w:t>
      </w:r>
      <w:r w:rsidR="00DC5E14" w:rsidRPr="001864D2">
        <w:rPr>
          <w:lang w:val="ru-RU"/>
        </w:rPr>
        <w:t xml:space="preserve"> предыдущей и текущей работы МПБЭУ, включая оценки МПБЭУ (методологические, тематические, региональные и глобальные), и дополнять их. В качестве дополнительного материала при подготовке оценки будут рассматриваться доклады семинара-практикума МПБЭУ по биоразнообразию и пандемиям и совместного семинара-практикума </w:t>
      </w:r>
      <w:r w:rsidR="00124CF3" w:rsidRPr="001864D2">
        <w:rPr>
          <w:lang w:val="ru-RU"/>
        </w:rPr>
        <w:t>МПБЭУ</w:t>
      </w:r>
      <w:r w:rsidR="00124CF3">
        <w:rPr>
          <w:lang w:val="ru-RU"/>
        </w:rPr>
        <w:t xml:space="preserve"> и </w:t>
      </w:r>
      <w:r w:rsidR="00124CF3" w:rsidRPr="001864D2">
        <w:rPr>
          <w:lang w:val="ru-RU"/>
        </w:rPr>
        <w:t xml:space="preserve">МГЭИК </w:t>
      </w:r>
      <w:r w:rsidR="00DC5E14" w:rsidRPr="001864D2">
        <w:rPr>
          <w:lang w:val="ru-RU"/>
        </w:rPr>
        <w:t xml:space="preserve">по </w:t>
      </w:r>
      <w:r w:rsidR="00124CF3">
        <w:rPr>
          <w:lang w:val="ru-RU"/>
        </w:rPr>
        <w:t xml:space="preserve">вопросам </w:t>
      </w:r>
      <w:r w:rsidR="00DC5E14" w:rsidRPr="001864D2">
        <w:rPr>
          <w:lang w:val="ru-RU"/>
        </w:rPr>
        <w:t>климат</w:t>
      </w:r>
      <w:r w:rsidR="00124CF3">
        <w:rPr>
          <w:lang w:val="ru-RU"/>
        </w:rPr>
        <w:t>а</w:t>
      </w:r>
      <w:r w:rsidR="00DC5E14" w:rsidRPr="001864D2">
        <w:rPr>
          <w:lang w:val="ru-RU"/>
        </w:rPr>
        <w:t xml:space="preserve"> и биоразнообрази</w:t>
      </w:r>
      <w:r w:rsidR="00124CF3">
        <w:rPr>
          <w:lang w:val="ru-RU"/>
        </w:rPr>
        <w:t>я</w:t>
      </w:r>
      <w:r w:rsidR="00DC5E14" w:rsidRPr="001864D2">
        <w:rPr>
          <w:lang w:val="ru-RU"/>
        </w:rPr>
        <w:t>. В оценке будут также использоваться имеющиеся данные и информация, которыми располагают глобальные, региональные, субрегиональные и национальные учреждения, включая</w:t>
      </w:r>
      <w:r w:rsidR="005F1AB3" w:rsidRPr="001864D2">
        <w:rPr>
          <w:lang w:val="ru-RU"/>
        </w:rPr>
        <w:t>, среди прочих,</w:t>
      </w:r>
      <w:r w:rsidR="00DC5E14" w:rsidRPr="001864D2">
        <w:rPr>
          <w:lang w:val="ru-RU"/>
        </w:rPr>
        <w:t xml:space="preserve"> соответствующие многосторонние природоохранные соглашения и межправительственные организации. В оценке будут использоваться существующие, а также новые сценарии и модели, </w:t>
      </w:r>
      <w:r w:rsidR="005F1AB3" w:rsidRPr="001864D2">
        <w:rPr>
          <w:lang w:val="ru-RU"/>
        </w:rPr>
        <w:t>разработка</w:t>
      </w:r>
      <w:r w:rsidR="00DC5E14" w:rsidRPr="001864D2">
        <w:rPr>
          <w:lang w:val="ru-RU"/>
        </w:rPr>
        <w:t xml:space="preserve"> которых может быть активизирован</w:t>
      </w:r>
      <w:r w:rsidR="005F1AB3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в рамках последующей деятельности по итогам оценки сценариев и моделей </w:t>
      </w:r>
      <w:r w:rsidR="00BB717D">
        <w:rPr>
          <w:lang w:val="ru-RU"/>
        </w:rPr>
        <w:t xml:space="preserve">использования </w:t>
      </w:r>
      <w:r w:rsidR="00DC5E14" w:rsidRPr="001864D2">
        <w:rPr>
          <w:lang w:val="ru-RU"/>
        </w:rPr>
        <w:t>биоразнообразия и экосистемных услуг</w:t>
      </w:r>
      <w:r w:rsidR="005F1AB3" w:rsidRPr="001864D2">
        <w:rPr>
          <w:lang w:val="ru-RU"/>
        </w:rPr>
        <w:t xml:space="preserve">, проводимой </w:t>
      </w:r>
      <w:r w:rsidR="00DC5E14" w:rsidRPr="001864D2">
        <w:rPr>
          <w:lang w:val="ru-RU"/>
        </w:rPr>
        <w:t>МПБЭУ</w:t>
      </w:r>
      <w:r w:rsidR="00DC5E14" w:rsidRPr="00CA2258">
        <w:rPr>
          <w:vertAlign w:val="superscript"/>
          <w:lang w:val="ru-RU"/>
        </w:rPr>
        <w:footnoteReference w:id="14"/>
      </w:r>
      <w:r w:rsidR="00DC5E14" w:rsidRPr="001864D2">
        <w:rPr>
          <w:lang w:val="ru-RU"/>
        </w:rPr>
        <w:t>.</w:t>
      </w:r>
    </w:p>
    <w:p w14:paraId="0C206BC2" w14:textId="6EA9B628" w:rsidR="00DC5E14" w:rsidRPr="001864D2" w:rsidRDefault="00D019CA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22.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</w:t>
      </w:r>
      <w:r w:rsidR="00B55BEE">
        <w:rPr>
          <w:lang w:val="ru-RU"/>
        </w:rPr>
        <w:t xml:space="preserve">процессе </w:t>
      </w:r>
      <w:r w:rsidR="00DC5E14" w:rsidRPr="001864D2">
        <w:rPr>
          <w:lang w:val="ru-RU"/>
        </w:rPr>
        <w:t>оценк</w:t>
      </w:r>
      <w:r w:rsidR="00B55BEE">
        <w:rPr>
          <w:lang w:val="ru-RU"/>
        </w:rPr>
        <w:t>и</w:t>
      </w:r>
      <w:r w:rsidR="00DC5E14" w:rsidRPr="001864D2">
        <w:rPr>
          <w:lang w:val="ru-RU"/>
        </w:rPr>
        <w:t xml:space="preserve"> будут выявлены основные пробелы в знаниях </w:t>
      </w:r>
      <w:r w:rsidR="001642F5" w:rsidRPr="001864D2">
        <w:rPr>
          <w:lang w:val="ru-RU"/>
        </w:rPr>
        <w:t xml:space="preserve">и области, в которых необходимо накопить знания </w:t>
      </w:r>
      <w:r w:rsidR="00DC5E14" w:rsidRPr="001864D2">
        <w:rPr>
          <w:lang w:val="ru-RU"/>
        </w:rPr>
        <w:t xml:space="preserve">в отношении потенциала, политики и инструментов поддержки </w:t>
      </w:r>
      <w:r w:rsidR="00DC5E14" w:rsidRPr="001864D2">
        <w:rPr>
          <w:lang w:val="ru-RU"/>
        </w:rPr>
        <w:lastRenderedPageBreak/>
        <w:t xml:space="preserve">политики, а также будут предложены варианты и решения для устранения таких пробелов в соответствующих масштабах. </w:t>
      </w:r>
    </w:p>
    <w:p w14:paraId="52D2A9E6" w14:textId="68A78D08" w:rsidR="00DC5E14" w:rsidRPr="001864D2" w:rsidRDefault="00D019CA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23.</w:t>
      </w:r>
      <w:r w:rsidRPr="003056DD">
        <w:rPr>
          <w:lang w:val="ru-RU"/>
        </w:rPr>
        <w:tab/>
      </w:r>
      <w:r w:rsidR="00C85DF4" w:rsidRPr="001864D2">
        <w:rPr>
          <w:lang w:val="ru-RU"/>
        </w:rPr>
        <w:t>Ц</w:t>
      </w:r>
      <w:r w:rsidR="00DC5E14" w:rsidRPr="001864D2">
        <w:rPr>
          <w:lang w:val="ru-RU"/>
        </w:rPr>
        <w:t xml:space="preserve">елевая группа по вопросам знаний коренного и местного населения будет оказывать поддержку в реализации подхода к признанию знаний коренного и местного населения и работе с ними </w:t>
      </w:r>
      <w:r w:rsidR="00C85DF4" w:rsidRPr="001864D2">
        <w:rPr>
          <w:lang w:val="ru-RU"/>
        </w:rPr>
        <w:t>при проведении оценки</w:t>
      </w:r>
      <w:r w:rsidR="00DC5E14" w:rsidRPr="001864D2">
        <w:rPr>
          <w:lang w:val="ru-RU"/>
        </w:rPr>
        <w:t xml:space="preserve"> </w:t>
      </w:r>
      <w:r w:rsidR="00C85DF4" w:rsidRPr="001864D2">
        <w:rPr>
          <w:lang w:val="ru-RU"/>
        </w:rPr>
        <w:t xml:space="preserve">в рамках </w:t>
      </w:r>
      <w:r w:rsidR="00DC5E14" w:rsidRPr="001864D2">
        <w:rPr>
          <w:lang w:val="ru-RU"/>
        </w:rPr>
        <w:t xml:space="preserve">МПБЭУ. Целевая группа по </w:t>
      </w:r>
      <w:r w:rsidR="005F019F">
        <w:rPr>
          <w:lang w:val="ru-RU"/>
        </w:rPr>
        <w:t xml:space="preserve">вопросам </w:t>
      </w:r>
      <w:r w:rsidR="00DC5E14" w:rsidRPr="001864D2">
        <w:rPr>
          <w:lang w:val="ru-RU"/>
        </w:rPr>
        <w:t>знани</w:t>
      </w:r>
      <w:r w:rsidR="005F019F">
        <w:rPr>
          <w:lang w:val="ru-RU"/>
        </w:rPr>
        <w:t>й</w:t>
      </w:r>
      <w:r w:rsidR="00DC5E14" w:rsidRPr="001864D2">
        <w:rPr>
          <w:lang w:val="ru-RU"/>
        </w:rPr>
        <w:t xml:space="preserve"> и данны</w:t>
      </w:r>
      <w:r w:rsidR="005F019F">
        <w:rPr>
          <w:lang w:val="ru-RU"/>
        </w:rPr>
        <w:t>х</w:t>
      </w:r>
      <w:r w:rsidR="00DC5E14" w:rsidRPr="001864D2">
        <w:rPr>
          <w:lang w:val="ru-RU"/>
        </w:rPr>
        <w:t xml:space="preserve"> будет оказывать поддержку работе, связанной с данными и знаниями, </w:t>
      </w:r>
      <w:r w:rsidR="00C85DF4" w:rsidRPr="001864D2">
        <w:rPr>
          <w:lang w:val="ru-RU"/>
        </w:rPr>
        <w:t>о чем</w:t>
      </w:r>
      <w:r w:rsidR="00DC5E14" w:rsidRPr="001864D2">
        <w:rPr>
          <w:lang w:val="ru-RU"/>
        </w:rPr>
        <w:t xml:space="preserve"> подробно указано в разделе III ниже. Целевая группа по вопросам сценариев и моделей будет оказывать поддержку </w:t>
      </w:r>
      <w:r w:rsidR="006577EE" w:rsidRPr="001864D2">
        <w:rPr>
          <w:lang w:val="ru-RU"/>
        </w:rPr>
        <w:t xml:space="preserve">в работе </w:t>
      </w:r>
      <w:r w:rsidR="00DC5E14" w:rsidRPr="001864D2">
        <w:rPr>
          <w:lang w:val="ru-RU"/>
        </w:rPr>
        <w:t>автор</w:t>
      </w:r>
      <w:r w:rsidR="006577EE" w:rsidRPr="001864D2">
        <w:rPr>
          <w:lang w:val="ru-RU"/>
        </w:rPr>
        <w:t>ов</w:t>
      </w:r>
      <w:r w:rsidR="00DC5E14" w:rsidRPr="001864D2">
        <w:rPr>
          <w:lang w:val="ru-RU"/>
        </w:rPr>
        <w:t xml:space="preserve">, в частности над главой 4. Целевая группа по </w:t>
      </w:r>
      <w:r w:rsidR="008D7690">
        <w:rPr>
          <w:lang w:val="ru-RU"/>
        </w:rPr>
        <w:t xml:space="preserve">вопросам инструментов политики </w:t>
      </w:r>
      <w:r w:rsidR="00DC5E14" w:rsidRPr="001864D2">
        <w:rPr>
          <w:lang w:val="ru-RU"/>
        </w:rPr>
        <w:t xml:space="preserve">проведет работу по повышению политической актуальности оценки и, после ее утверждения, </w:t>
      </w:r>
      <w:r w:rsidR="006577EE" w:rsidRPr="001864D2">
        <w:rPr>
          <w:lang w:val="ru-RU"/>
        </w:rPr>
        <w:t xml:space="preserve">по </w:t>
      </w:r>
      <w:r w:rsidR="00DC5E14" w:rsidRPr="001864D2">
        <w:rPr>
          <w:lang w:val="ru-RU"/>
        </w:rPr>
        <w:t xml:space="preserve">обеспечению ее использования в процессе принятия решений. Наконец, целевая группа по вопросам создания потенциала будет </w:t>
      </w:r>
      <w:r w:rsidR="00FC7261">
        <w:rPr>
          <w:lang w:val="ru-RU"/>
        </w:rPr>
        <w:t>вести</w:t>
      </w:r>
      <w:r w:rsidR="00FC7261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контроль за осуществлением мер по созданию потенциала, о которых говорится в разделе V ниже. </w:t>
      </w:r>
    </w:p>
    <w:p w14:paraId="76CCADC6" w14:textId="7057F0ED" w:rsidR="00DC5E14" w:rsidRPr="001864D2" w:rsidRDefault="00D019CA" w:rsidP="00D019C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3056DD">
        <w:rPr>
          <w:lang w:val="ru-RU"/>
        </w:rPr>
        <w:t>24.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Учитывая потенциально </w:t>
      </w:r>
      <w:r w:rsidR="006577EE" w:rsidRPr="001864D2">
        <w:rPr>
          <w:lang w:val="ru-RU"/>
        </w:rPr>
        <w:t>тесные связи</w:t>
      </w:r>
      <w:r w:rsidR="00DC5E14" w:rsidRPr="001864D2">
        <w:rPr>
          <w:lang w:val="ru-RU"/>
        </w:rPr>
        <w:t xml:space="preserve"> между запланированной оценкой </w:t>
      </w:r>
      <w:r w:rsidR="002C567A">
        <w:rPr>
          <w:lang w:val="ru-RU"/>
        </w:rPr>
        <w:t>совокупности</w:t>
      </w:r>
      <w:r w:rsidR="002C567A" w:rsidRPr="001864D2">
        <w:rPr>
          <w:lang w:val="ru-RU"/>
        </w:rPr>
        <w:t xml:space="preserve"> </w:t>
      </w:r>
      <w:r w:rsidR="006577EE" w:rsidRPr="001864D2">
        <w:rPr>
          <w:lang w:val="ru-RU"/>
        </w:rPr>
        <w:t xml:space="preserve">в рамках </w:t>
      </w:r>
      <w:r w:rsidR="00D66AE9" w:rsidRPr="001864D2">
        <w:rPr>
          <w:lang w:val="ru-RU"/>
        </w:rPr>
        <w:t>М</w:t>
      </w:r>
      <w:r w:rsidR="00D66AE9">
        <w:rPr>
          <w:lang w:val="ru-RU"/>
        </w:rPr>
        <w:t>П</w:t>
      </w:r>
      <w:r w:rsidR="00D66AE9" w:rsidRPr="001864D2">
        <w:rPr>
          <w:lang w:val="ru-RU"/>
        </w:rPr>
        <w:t xml:space="preserve">БЭУ </w:t>
      </w:r>
      <w:r w:rsidR="00DC5E14" w:rsidRPr="001864D2">
        <w:rPr>
          <w:lang w:val="ru-RU"/>
        </w:rPr>
        <w:t>и оценкой преобраз</w:t>
      </w:r>
      <w:r w:rsidR="00D66AE9">
        <w:rPr>
          <w:lang w:val="ru-RU"/>
        </w:rPr>
        <w:t>овательных</w:t>
      </w:r>
      <w:r w:rsidR="00DC5E14" w:rsidRPr="001864D2">
        <w:rPr>
          <w:lang w:val="ru-RU"/>
        </w:rPr>
        <w:t xml:space="preserve"> изменений (тематическ</w:t>
      </w:r>
      <w:r w:rsidR="00D66AE9">
        <w:rPr>
          <w:lang w:val="ru-RU"/>
        </w:rPr>
        <w:t>ая</w:t>
      </w:r>
      <w:r w:rsidR="00DC5E14" w:rsidRPr="001864D2">
        <w:rPr>
          <w:lang w:val="ru-RU"/>
        </w:rPr>
        <w:t xml:space="preserve"> оценк</w:t>
      </w:r>
      <w:r w:rsidR="00D66AE9">
        <w:rPr>
          <w:lang w:val="ru-RU"/>
        </w:rPr>
        <w:t>а</w:t>
      </w:r>
      <w:r w:rsidR="00DC5E14" w:rsidRPr="001864D2">
        <w:rPr>
          <w:lang w:val="ru-RU"/>
        </w:rPr>
        <w:t xml:space="preserve">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года, IPBES/8/4), в целях обеспечения взаимодополняемости и синергии и недопущения дублирования сферы охвата и усилий </w:t>
      </w:r>
      <w:r w:rsidR="006577EE" w:rsidRPr="001864D2">
        <w:rPr>
          <w:lang w:val="ru-RU"/>
        </w:rPr>
        <w:t xml:space="preserve">будут обеспечиваться тесная координация и </w:t>
      </w:r>
      <w:r w:rsidR="005474DA">
        <w:rPr>
          <w:lang w:val="ru-RU"/>
        </w:rPr>
        <w:t>с</w:t>
      </w:r>
      <w:r w:rsidR="006577EE" w:rsidRPr="001864D2">
        <w:rPr>
          <w:lang w:val="ru-RU"/>
        </w:rPr>
        <w:t xml:space="preserve">одействие </w:t>
      </w:r>
      <w:r w:rsidR="00DC5E14" w:rsidRPr="001864D2">
        <w:rPr>
          <w:lang w:val="ru-RU"/>
        </w:rPr>
        <w:t>между обоими процессами оценки на этапе их проведения. Эти две оценки будут носить взаимодополняющий характер, причем оценка преобраз</w:t>
      </w:r>
      <w:r w:rsidR="000F3A23">
        <w:rPr>
          <w:lang w:val="ru-RU"/>
        </w:rPr>
        <w:t>овательных</w:t>
      </w:r>
      <w:r w:rsidR="00DC5E14" w:rsidRPr="001864D2">
        <w:rPr>
          <w:lang w:val="ru-RU"/>
        </w:rPr>
        <w:t xml:space="preserve"> изменений будет посвящена определяющим факторам преобраз</w:t>
      </w:r>
      <w:r w:rsidR="0085059D">
        <w:rPr>
          <w:lang w:val="ru-RU"/>
        </w:rPr>
        <w:t>овательных</w:t>
      </w:r>
      <w:r w:rsidR="00DC5E14" w:rsidRPr="001864D2">
        <w:rPr>
          <w:lang w:val="ru-RU"/>
        </w:rPr>
        <w:t xml:space="preserve"> изменений, а оценка </w:t>
      </w:r>
      <w:r w:rsidR="00613066">
        <w:rPr>
          <w:lang w:val="ru-RU"/>
        </w:rPr>
        <w:t>совокупности</w:t>
      </w:r>
      <w:r w:rsidR="00613066" w:rsidRPr="001864D2">
        <w:rPr>
          <w:lang w:val="ru-RU"/>
        </w:rPr>
        <w:t xml:space="preserve"> </w:t>
      </w:r>
      <w:r w:rsidR="00DC5E14" w:rsidRPr="001864D2">
        <w:rPr>
          <w:lang w:val="ru-RU"/>
        </w:rPr>
        <w:t>– вариантам преодоления компромиссов и обеспечения синергии между биоразнообразием, водными ресурсами, продовольствием, климатом, энергией и здоровьем.</w:t>
      </w:r>
    </w:p>
    <w:p w14:paraId="2533813D" w14:textId="22A394D2" w:rsidR="00DC5E14" w:rsidRPr="005F588E" w:rsidRDefault="00566757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F588E">
        <w:rPr>
          <w:b/>
          <w:bCs/>
          <w:sz w:val="28"/>
          <w:szCs w:val="28"/>
          <w:lang w:val="ru-RU"/>
        </w:rPr>
        <w:tab/>
        <w:t>I</w:t>
      </w:r>
      <w:r w:rsidR="00A13C72">
        <w:rPr>
          <w:b/>
          <w:bCs/>
          <w:sz w:val="28"/>
          <w:szCs w:val="28"/>
          <w:lang w:val="en-US"/>
        </w:rPr>
        <w:t>I</w:t>
      </w:r>
      <w:r w:rsidRPr="005F588E">
        <w:rPr>
          <w:b/>
          <w:bCs/>
          <w:sz w:val="28"/>
          <w:szCs w:val="28"/>
          <w:lang w:val="ru-RU"/>
        </w:rPr>
        <w:t>.</w:t>
      </w:r>
      <w:r w:rsidRPr="005F588E">
        <w:rPr>
          <w:b/>
          <w:bCs/>
          <w:sz w:val="28"/>
          <w:szCs w:val="28"/>
          <w:lang w:val="ru-RU"/>
        </w:rPr>
        <w:tab/>
      </w:r>
      <w:r w:rsidR="00E953D0" w:rsidRPr="005F588E">
        <w:rPr>
          <w:b/>
          <w:bCs/>
          <w:sz w:val="28"/>
          <w:szCs w:val="28"/>
          <w:lang w:val="ru-RU"/>
        </w:rPr>
        <w:t>Обзор глав</w:t>
      </w:r>
    </w:p>
    <w:p w14:paraId="43F1C1D3" w14:textId="0318FAFA" w:rsidR="00DC5E14" w:rsidRPr="001864D2" w:rsidRDefault="00D019CA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25.</w:t>
      </w:r>
      <w:r w:rsidRPr="003056DD">
        <w:rPr>
          <w:lang w:val="ru-RU"/>
        </w:rPr>
        <w:tab/>
      </w:r>
      <w:r w:rsidR="00DC5E14" w:rsidRPr="003056DD">
        <w:rPr>
          <w:lang w:val="ru-RU"/>
        </w:rPr>
        <w:t xml:space="preserve">Устойчивые системы водных ресурсов, продовольствия, энергии и здоровья </w:t>
      </w:r>
      <w:r w:rsidR="00E14BC8" w:rsidRPr="003056DD">
        <w:rPr>
          <w:lang w:val="ru-RU"/>
        </w:rPr>
        <w:t xml:space="preserve">взаимодействуют </w:t>
      </w:r>
      <w:r w:rsidR="00DC5E14" w:rsidRPr="003056DD">
        <w:rPr>
          <w:lang w:val="ru-RU"/>
        </w:rPr>
        <w:t xml:space="preserve">с биоразнообразием, экосистемами и обеспечиваемым природой вкладом на благо человека. </w:t>
      </w:r>
      <w:r w:rsidR="000E7CC5" w:rsidRPr="001864D2">
        <w:rPr>
          <w:lang w:val="ru-RU"/>
        </w:rPr>
        <w:t>Б</w:t>
      </w:r>
      <w:r w:rsidR="00DC5E14" w:rsidRPr="001864D2">
        <w:rPr>
          <w:lang w:val="ru-RU"/>
        </w:rPr>
        <w:t>иоразнообразие, водны</w:t>
      </w:r>
      <w:r w:rsidR="000E7CC5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ресурс</w:t>
      </w:r>
      <w:r w:rsidR="000E7CC5" w:rsidRPr="001864D2">
        <w:rPr>
          <w:lang w:val="ru-RU"/>
        </w:rPr>
        <w:t>ы</w:t>
      </w:r>
      <w:r w:rsidR="00DC5E14" w:rsidRPr="001864D2">
        <w:rPr>
          <w:lang w:val="ru-RU"/>
        </w:rPr>
        <w:t>, продовольствие, энерги</w:t>
      </w:r>
      <w:r w:rsidR="000E7CC5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и здоровье</w:t>
      </w:r>
      <w:r w:rsidR="000E7CC5" w:rsidRPr="001864D2">
        <w:rPr>
          <w:lang w:val="ru-RU"/>
        </w:rPr>
        <w:t xml:space="preserve"> в своей совокупности</w:t>
      </w:r>
      <w:r w:rsidR="00DC5E14" w:rsidRPr="001864D2">
        <w:rPr>
          <w:lang w:val="ru-RU"/>
        </w:rPr>
        <w:t xml:space="preserve"> также </w:t>
      </w:r>
      <w:r w:rsidR="00E14BC8" w:rsidRPr="001864D2">
        <w:rPr>
          <w:lang w:val="ru-RU"/>
        </w:rPr>
        <w:t xml:space="preserve">взаимосвязаны </w:t>
      </w:r>
      <w:r w:rsidR="00DC5E14" w:rsidRPr="001864D2">
        <w:rPr>
          <w:lang w:val="ru-RU"/>
        </w:rPr>
        <w:t xml:space="preserve">с изменением климата и, в частности, с тем, как </w:t>
      </w:r>
      <w:r w:rsidR="00E14BC8" w:rsidRPr="001864D2">
        <w:rPr>
          <w:lang w:val="ru-RU"/>
        </w:rPr>
        <w:t>происходит</w:t>
      </w:r>
      <w:r w:rsidR="00DC5E14" w:rsidRPr="001864D2">
        <w:rPr>
          <w:lang w:val="ru-RU"/>
        </w:rPr>
        <w:t xml:space="preserve"> </w:t>
      </w:r>
      <w:r w:rsidR="00E14BC8" w:rsidRPr="001864D2">
        <w:rPr>
          <w:lang w:val="ru-RU"/>
        </w:rPr>
        <w:t>смягчение</w:t>
      </w:r>
      <w:r w:rsidR="00DC5E14" w:rsidRPr="001864D2">
        <w:rPr>
          <w:lang w:val="ru-RU"/>
        </w:rPr>
        <w:t xml:space="preserve"> последстви</w:t>
      </w:r>
      <w:r w:rsidR="00E14BC8" w:rsidRPr="001864D2">
        <w:rPr>
          <w:lang w:val="ru-RU"/>
        </w:rPr>
        <w:t xml:space="preserve">й </w:t>
      </w:r>
      <w:r w:rsidR="00DC5E14" w:rsidRPr="001864D2">
        <w:rPr>
          <w:lang w:val="ru-RU"/>
        </w:rPr>
        <w:t>выбросов и разр</w:t>
      </w:r>
      <w:r w:rsidR="00E14BC8" w:rsidRPr="001864D2">
        <w:rPr>
          <w:lang w:val="ru-RU"/>
        </w:rPr>
        <w:t>аботка</w:t>
      </w:r>
      <w:r w:rsidR="00DC5E14" w:rsidRPr="001864D2">
        <w:rPr>
          <w:lang w:val="ru-RU"/>
        </w:rPr>
        <w:t xml:space="preserve"> вариант</w:t>
      </w:r>
      <w:r w:rsidR="00E14BC8" w:rsidRPr="001864D2">
        <w:rPr>
          <w:lang w:val="ru-RU"/>
        </w:rPr>
        <w:t>ов</w:t>
      </w:r>
      <w:r w:rsidR="00DC5E14" w:rsidRPr="001864D2">
        <w:rPr>
          <w:lang w:val="ru-RU"/>
        </w:rPr>
        <w:t xml:space="preserve"> адаптации к изменению климата. </w:t>
      </w:r>
      <w:r w:rsidR="005B4E87" w:rsidRPr="001864D2">
        <w:rPr>
          <w:lang w:val="ru-RU"/>
        </w:rPr>
        <w:t>В</w:t>
      </w:r>
      <w:r w:rsidR="00DC5E14" w:rsidRPr="001864D2">
        <w:rPr>
          <w:lang w:val="ru-RU"/>
        </w:rPr>
        <w:t xml:space="preserve"> </w:t>
      </w:r>
      <w:r w:rsidR="0085059D">
        <w:rPr>
          <w:lang w:val="ru-RU"/>
        </w:rPr>
        <w:t>нексусных</w:t>
      </w:r>
      <w:r w:rsidR="0085059D" w:rsidRPr="001864D2">
        <w:rPr>
          <w:lang w:val="ru-RU"/>
        </w:rPr>
        <w:t xml:space="preserve"> </w:t>
      </w:r>
      <w:r w:rsidR="00DC5E14" w:rsidRPr="001864D2">
        <w:rPr>
          <w:lang w:val="ru-RU"/>
        </w:rPr>
        <w:t>подход</w:t>
      </w:r>
      <w:r w:rsidR="005B4E87" w:rsidRPr="001864D2">
        <w:rPr>
          <w:lang w:val="ru-RU"/>
        </w:rPr>
        <w:t>ах</w:t>
      </w:r>
      <w:r w:rsidR="00DC5E14" w:rsidRPr="001864D2">
        <w:rPr>
          <w:lang w:val="ru-RU"/>
        </w:rPr>
        <w:t xml:space="preserve"> учитыва</w:t>
      </w:r>
      <w:r w:rsidR="005B4E87" w:rsidRPr="001864D2">
        <w:rPr>
          <w:lang w:val="ru-RU"/>
        </w:rPr>
        <w:t>е</w:t>
      </w:r>
      <w:r w:rsidR="00DC5E14" w:rsidRPr="001864D2">
        <w:rPr>
          <w:lang w:val="ru-RU"/>
        </w:rPr>
        <w:t xml:space="preserve">тся </w:t>
      </w:r>
      <w:r w:rsidR="005B4E87" w:rsidRPr="001864D2">
        <w:rPr>
          <w:lang w:val="ru-RU"/>
        </w:rPr>
        <w:t xml:space="preserve">как </w:t>
      </w:r>
      <w:r w:rsidR="00DC5E14" w:rsidRPr="001864D2">
        <w:rPr>
          <w:lang w:val="ru-RU"/>
        </w:rPr>
        <w:t>взаимодействие между различными секторами</w:t>
      </w:r>
      <w:r w:rsidR="005B4E87" w:rsidRPr="001864D2">
        <w:rPr>
          <w:lang w:val="ru-RU"/>
        </w:rPr>
        <w:t>, так</w:t>
      </w:r>
      <w:r w:rsidR="00DC5E14" w:rsidRPr="001864D2">
        <w:rPr>
          <w:lang w:val="ru-RU"/>
        </w:rPr>
        <w:t xml:space="preserve"> и </w:t>
      </w:r>
      <w:r w:rsidR="005D0CFA">
        <w:rPr>
          <w:lang w:val="ru-RU"/>
        </w:rPr>
        <w:t>суммарное</w:t>
      </w:r>
      <w:r w:rsidR="005D0CFA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воздействие разного рода факторов, которые лежат в основе целей в области устойчивого развития и других соответствующих многосторонних целей, отражая их комплексный, неделимый и взаимосвязанный характер. </w:t>
      </w:r>
    </w:p>
    <w:p w14:paraId="2CA58C20" w14:textId="549BF732" w:rsidR="00DC5E14" w:rsidRPr="001864D2" w:rsidRDefault="00D019CA" w:rsidP="00D019C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3056DD">
        <w:rPr>
          <w:lang w:val="ru-RU"/>
        </w:rPr>
        <w:t>26.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Оценка будет состоять из двух частей: часть I будет посвящена определению </w:t>
      </w:r>
      <w:r w:rsidR="00613066">
        <w:rPr>
          <w:lang w:val="ru-RU"/>
        </w:rPr>
        <w:t>параметров совокупности</w:t>
      </w:r>
      <w:r w:rsidR="00DC5E14" w:rsidRPr="001864D2">
        <w:rPr>
          <w:lang w:val="ru-RU"/>
        </w:rPr>
        <w:t>, а часть II – способам достижения устойчивого будущего. Часть I будет включать четыре главы, часть II – восемь, каждая из которых будет содержать общее резюме.</w:t>
      </w:r>
    </w:p>
    <w:p w14:paraId="65FD849C" w14:textId="67539A2B" w:rsidR="00DC5E14" w:rsidRPr="00D019CA" w:rsidRDefault="00DC5E14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  <w:lang w:val="ru-RU"/>
        </w:rPr>
      </w:pPr>
      <w:r w:rsidRPr="00D019CA">
        <w:rPr>
          <w:b/>
          <w:bCs/>
          <w:sz w:val="28"/>
          <w:szCs w:val="28"/>
          <w:lang w:val="ru-RU"/>
        </w:rPr>
        <w:t xml:space="preserve">Часть I. Определение </w:t>
      </w:r>
      <w:r w:rsidR="006F2556">
        <w:rPr>
          <w:b/>
          <w:bCs/>
          <w:sz w:val="28"/>
          <w:szCs w:val="28"/>
          <w:lang w:val="ru-RU"/>
        </w:rPr>
        <w:t>параметров</w:t>
      </w:r>
      <w:r w:rsidR="006F2556" w:rsidRPr="00D019CA">
        <w:rPr>
          <w:b/>
          <w:bCs/>
          <w:sz w:val="28"/>
          <w:szCs w:val="28"/>
          <w:lang w:val="ru-RU"/>
        </w:rPr>
        <w:t xml:space="preserve"> </w:t>
      </w:r>
      <w:r w:rsidR="00613066">
        <w:rPr>
          <w:b/>
          <w:bCs/>
          <w:sz w:val="28"/>
          <w:szCs w:val="28"/>
          <w:lang w:val="ru-RU"/>
        </w:rPr>
        <w:t>совокупности</w:t>
      </w:r>
    </w:p>
    <w:p w14:paraId="49D53E78" w14:textId="2B0BF7B0" w:rsidR="00DC5E14" w:rsidRPr="001864D2" w:rsidRDefault="0035702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27.</w:t>
      </w:r>
      <w:r w:rsidRPr="003056DD">
        <w:rPr>
          <w:lang w:val="ru-RU"/>
        </w:rPr>
        <w:tab/>
      </w:r>
      <w:r w:rsidR="00DC5E14" w:rsidRPr="00C80367">
        <w:rPr>
          <w:b/>
          <w:bCs/>
          <w:lang w:val="ru-RU"/>
        </w:rPr>
        <w:t>Глава 1</w:t>
      </w:r>
      <w:r w:rsidR="007878CB" w:rsidRPr="00C80367">
        <w:rPr>
          <w:b/>
          <w:bCs/>
          <w:lang w:val="ru-RU"/>
        </w:rPr>
        <w:t>.</w:t>
      </w:r>
      <w:r w:rsidR="00DC5E14" w:rsidRPr="00C80367">
        <w:rPr>
          <w:b/>
          <w:bCs/>
          <w:lang w:val="ru-RU"/>
        </w:rPr>
        <w:t xml:space="preserve"> </w:t>
      </w:r>
      <w:r w:rsidR="007878CB" w:rsidRPr="00C80367">
        <w:rPr>
          <w:b/>
          <w:bCs/>
          <w:lang w:val="ru-RU"/>
        </w:rPr>
        <w:t>В</w:t>
      </w:r>
      <w:r w:rsidR="00DC5E14" w:rsidRPr="00C80367">
        <w:rPr>
          <w:b/>
          <w:bCs/>
          <w:lang w:val="ru-RU"/>
        </w:rPr>
        <w:t>в</w:t>
      </w:r>
      <w:r w:rsidR="00DC2AA1" w:rsidRPr="00C80367">
        <w:rPr>
          <w:b/>
          <w:bCs/>
          <w:lang w:val="ru-RU"/>
        </w:rPr>
        <w:t xml:space="preserve">одная информация о </w:t>
      </w:r>
      <w:r w:rsidR="0031673D">
        <w:rPr>
          <w:b/>
          <w:bCs/>
          <w:lang w:val="ru-RU"/>
        </w:rPr>
        <w:t>совокупности</w:t>
      </w:r>
      <w:r w:rsidR="00DC2AA1" w:rsidRPr="001864D2">
        <w:rPr>
          <w:lang w:val="ru-RU"/>
        </w:rPr>
        <w:t>.</w:t>
      </w:r>
      <w:r w:rsidR="00DC5E14" w:rsidRPr="001864D2">
        <w:rPr>
          <w:lang w:val="ru-RU"/>
        </w:rPr>
        <w:t xml:space="preserve"> В главе 1 будут</w:t>
      </w:r>
      <w:r w:rsidR="00A248DA" w:rsidRPr="001864D2">
        <w:rPr>
          <w:lang w:val="ru-RU"/>
        </w:rPr>
        <w:t xml:space="preserve"> </w:t>
      </w:r>
      <w:r w:rsidR="00C22671">
        <w:rPr>
          <w:lang w:val="ru-RU"/>
        </w:rPr>
        <w:t>приведены</w:t>
      </w:r>
      <w:r w:rsidR="00C22671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общие рамки оценки, определены элементы </w:t>
      </w:r>
      <w:r w:rsidR="00E33463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, включая их социальные, экономические и экологические аспекты, а также отражены взаимосвязь и взаимозависимость между элементами (биоразнообразие, климат и системы, относящиеся к водным ресурсам, продовольствию, энергии и здоровью) в различных масштабах и географических регионах. В главе 1 будет </w:t>
      </w:r>
      <w:r w:rsidR="00DC2AA1" w:rsidRPr="001864D2">
        <w:rPr>
          <w:lang w:val="ru-RU"/>
        </w:rPr>
        <w:t xml:space="preserve">представлено </w:t>
      </w:r>
      <w:r w:rsidR="00DC5E14" w:rsidRPr="001864D2">
        <w:rPr>
          <w:lang w:val="ru-RU"/>
        </w:rPr>
        <w:t xml:space="preserve">объяснение значимости оценки </w:t>
      </w:r>
      <w:r w:rsidR="00AF5249">
        <w:rPr>
          <w:lang w:val="ru-RU"/>
        </w:rPr>
        <w:t xml:space="preserve">совокупности </w:t>
      </w:r>
      <w:r w:rsidR="007159B7">
        <w:rPr>
          <w:lang w:val="ru-RU"/>
        </w:rPr>
        <w:t>для политики</w:t>
      </w:r>
      <w:r w:rsidR="00DC5E14" w:rsidRPr="001864D2">
        <w:rPr>
          <w:lang w:val="ru-RU"/>
        </w:rPr>
        <w:t xml:space="preserve">, </w:t>
      </w:r>
      <w:r w:rsidR="00DC2AA1" w:rsidRPr="001864D2">
        <w:rPr>
          <w:lang w:val="ru-RU"/>
        </w:rPr>
        <w:t>приведена</w:t>
      </w:r>
      <w:r w:rsidR="00DC5E14" w:rsidRPr="001864D2">
        <w:rPr>
          <w:lang w:val="ru-RU"/>
        </w:rPr>
        <w:t xml:space="preserve"> </w:t>
      </w:r>
      <w:r w:rsidR="00A248DA" w:rsidRPr="001864D2">
        <w:rPr>
          <w:lang w:val="ru-RU"/>
        </w:rPr>
        <w:t>«</w:t>
      </w:r>
      <w:r w:rsidR="00DC5E14" w:rsidRPr="001864D2">
        <w:rPr>
          <w:lang w:val="ru-RU"/>
        </w:rPr>
        <w:t>дорожная карта</w:t>
      </w:r>
      <w:r w:rsidR="00A248DA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и общее обоснование последовательности глав в оценке, а также определены связанные с политикой ключевые вопросы, имеющие отношение к оценке </w:t>
      </w:r>
      <w:r w:rsidR="00AF5249">
        <w:rPr>
          <w:lang w:val="ru-RU"/>
        </w:rPr>
        <w:t>совокупности</w:t>
      </w:r>
      <w:r w:rsidR="00AF5249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(см. раздел D). В этой главе </w:t>
      </w:r>
      <w:r w:rsidR="00DC2AA1" w:rsidRPr="001864D2">
        <w:rPr>
          <w:lang w:val="ru-RU"/>
        </w:rPr>
        <w:t>будет сформирована</w:t>
      </w:r>
      <w:r w:rsidR="00DC5E14" w:rsidRPr="001864D2">
        <w:rPr>
          <w:lang w:val="ru-RU"/>
        </w:rPr>
        <w:t xml:space="preserve"> концептуальная основа для оценки </w:t>
      </w:r>
      <w:r w:rsidR="001E64CC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, связанная с </w:t>
      </w:r>
      <w:r w:rsidR="00732A33">
        <w:rPr>
          <w:lang w:val="ru-RU"/>
        </w:rPr>
        <w:t>системой понятий</w:t>
      </w:r>
      <w:r w:rsidR="00DC5E14" w:rsidRPr="001864D2">
        <w:rPr>
          <w:lang w:val="ru-RU"/>
        </w:rPr>
        <w:t xml:space="preserve"> МПБЭУ, включая связи с обеспечиваемым природой вкладом на благо человека и достойным качеством жизни. В главе также буд</w:t>
      </w:r>
      <w:r w:rsidR="00CF6FA8">
        <w:rPr>
          <w:lang w:val="ru-RU"/>
        </w:rPr>
        <w:t>у</w:t>
      </w:r>
      <w:r w:rsidR="00DC5E14" w:rsidRPr="001864D2">
        <w:rPr>
          <w:lang w:val="ru-RU"/>
        </w:rPr>
        <w:t xml:space="preserve">т обсуждаться важность показателей в контексте </w:t>
      </w:r>
      <w:r w:rsidR="00765D54">
        <w:rPr>
          <w:lang w:val="ru-RU"/>
        </w:rPr>
        <w:t>совокупности</w:t>
      </w:r>
      <w:r w:rsidR="00765D54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 эффективность механизмов мониторинга </w:t>
      </w:r>
      <w:r w:rsidR="00A97B11">
        <w:rPr>
          <w:lang w:val="ru-RU"/>
        </w:rPr>
        <w:t xml:space="preserve">для </w:t>
      </w:r>
      <w:r w:rsidR="004D1D10" w:rsidRPr="00A8763F">
        <w:rPr>
          <w:lang w:val="ru-RU"/>
        </w:rPr>
        <w:t>систем</w:t>
      </w:r>
      <w:r w:rsidR="004D1D10">
        <w:rPr>
          <w:lang w:val="ru-RU"/>
        </w:rPr>
        <w:t>ы</w:t>
      </w:r>
      <w:r w:rsidR="004D1D10" w:rsidRPr="00A8763F">
        <w:rPr>
          <w:lang w:val="ru-RU"/>
        </w:rPr>
        <w:t xml:space="preserve"> глобальных мероприятий в сфере</w:t>
      </w:r>
      <w:r w:rsidR="00DC5E14" w:rsidRPr="001864D2">
        <w:rPr>
          <w:lang w:val="ru-RU"/>
        </w:rPr>
        <w:t xml:space="preserve"> биоразнообразия на период после 2020 года и Повестки дня на период до 2030 года на предмет выявления </w:t>
      </w:r>
      <w:r w:rsidR="00D71EA6">
        <w:rPr>
          <w:lang w:val="ru-RU"/>
        </w:rPr>
        <w:t>взаимодействий внутри совокупности</w:t>
      </w:r>
      <w:r w:rsidR="00DC5E14" w:rsidRPr="001864D2">
        <w:rPr>
          <w:lang w:val="ru-RU"/>
        </w:rPr>
        <w:t>.</w:t>
      </w:r>
    </w:p>
    <w:p w14:paraId="14CA6DB8" w14:textId="30E228E4" w:rsidR="00DC5E14" w:rsidRPr="001864D2" w:rsidRDefault="0035702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28.</w:t>
      </w:r>
      <w:r w:rsidRPr="003056DD">
        <w:rPr>
          <w:lang w:val="ru-RU"/>
        </w:rPr>
        <w:tab/>
      </w:r>
      <w:r w:rsidR="00DC5E14" w:rsidRPr="00357028">
        <w:rPr>
          <w:b/>
          <w:bCs/>
          <w:lang w:val="ru-RU"/>
        </w:rPr>
        <w:t>Глава 2</w:t>
      </w:r>
      <w:r w:rsidR="007878CB" w:rsidRPr="00357028">
        <w:rPr>
          <w:b/>
          <w:bCs/>
          <w:lang w:val="ru-RU"/>
        </w:rPr>
        <w:t>.</w:t>
      </w:r>
      <w:r w:rsidR="00DC5E14" w:rsidRPr="00357028">
        <w:rPr>
          <w:b/>
          <w:bCs/>
          <w:lang w:val="ru-RU"/>
        </w:rPr>
        <w:t xml:space="preserve"> </w:t>
      </w:r>
      <w:r w:rsidR="007878CB" w:rsidRPr="00357028">
        <w:rPr>
          <w:b/>
          <w:bCs/>
          <w:lang w:val="ru-RU"/>
        </w:rPr>
        <w:t>П</w:t>
      </w:r>
      <w:r w:rsidR="00DC5E14" w:rsidRPr="00357028">
        <w:rPr>
          <w:b/>
          <w:bCs/>
          <w:lang w:val="ru-RU"/>
        </w:rPr>
        <w:t>оложение дел и отмечавшиеся в прошлом тенденции в отношении основных взаимодействий в</w:t>
      </w:r>
      <w:r w:rsidR="00F92E92">
        <w:rPr>
          <w:b/>
          <w:bCs/>
          <w:lang w:val="ru-RU"/>
        </w:rPr>
        <w:t>нутри совокупности</w:t>
      </w:r>
      <w:r w:rsidR="00DC5E14" w:rsidRPr="001864D2">
        <w:rPr>
          <w:lang w:val="ru-RU"/>
        </w:rPr>
        <w:t xml:space="preserve">. В главе 2 будет дана оценка глобальным и региональным тенденциям и текущему положению дел в отношении ключевых аспектов двустороннего взаимодействия между биоразнообразием и каждым элементом этой </w:t>
      </w:r>
      <w:r w:rsidR="008070B8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. В этой главе предусмотрен отдельный раздел для каждого двустороннего </w:t>
      </w:r>
      <w:r w:rsidR="00DC5E14" w:rsidRPr="001864D2">
        <w:rPr>
          <w:lang w:val="ru-RU"/>
        </w:rPr>
        <w:lastRenderedPageBreak/>
        <w:t xml:space="preserve">взаимодействия, включая: a) биоразнообразие и климат; b) биоразнообразие и водные ресурсы; c) биоразнообразие и продовольствие; d) биоразнообразие и энергия; e) биоразнообразие и здоровье. </w:t>
      </w:r>
      <w:bookmarkStart w:id="0" w:name="_Hlk36841649"/>
      <w:bookmarkEnd w:id="0"/>
    </w:p>
    <w:p w14:paraId="34DFE371" w14:textId="25E6B990" w:rsidR="00DC5E14" w:rsidRPr="001864D2" w:rsidRDefault="0035702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29.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В рамках каждого раздела будут представлены описание и по возможности количественная</w:t>
      </w:r>
      <w:r w:rsidR="00523EA9" w:rsidRPr="001864D2">
        <w:rPr>
          <w:lang w:val="ru-RU"/>
        </w:rPr>
        <w:t xml:space="preserve"> оценка взаимодействий</w:t>
      </w:r>
      <w:r w:rsidR="00DC5E14" w:rsidRPr="001864D2">
        <w:rPr>
          <w:lang w:val="ru-RU"/>
        </w:rPr>
        <w:t xml:space="preserve"> с точки зрения их экологических, социальных и экономических издержек и выгод. В каждом разделе будут обобщены всеобъемлющие идеи, которые могут способствовать совершенствованию процесса принятия решений, а отмечавшиеся в прошлом тенденции в важных взаимодействиях будут соотнесены с факторами (прямым и косвенным), определя</w:t>
      </w:r>
      <w:r w:rsidR="00523EA9" w:rsidRPr="001864D2">
        <w:rPr>
          <w:lang w:val="ru-RU"/>
        </w:rPr>
        <w:t>ющими</w:t>
      </w:r>
      <w:r w:rsidR="00DC5E14" w:rsidRPr="001864D2">
        <w:rPr>
          <w:lang w:val="ru-RU"/>
        </w:rPr>
        <w:t xml:space="preserve">, какие прошлые действия, решения, политика или учреждения способствовали или не способствовали продвижению элементов </w:t>
      </w:r>
      <w:r w:rsidR="00316067">
        <w:rPr>
          <w:lang w:val="ru-RU"/>
        </w:rPr>
        <w:t>совокупности</w:t>
      </w:r>
      <w:r w:rsidR="00316067" w:rsidRPr="001864D2">
        <w:rPr>
          <w:lang w:val="ru-RU"/>
        </w:rPr>
        <w:t xml:space="preserve"> </w:t>
      </w:r>
      <w:r w:rsidR="00523EA9" w:rsidRPr="001864D2">
        <w:rPr>
          <w:lang w:val="ru-RU"/>
        </w:rPr>
        <w:t>относительно</w:t>
      </w:r>
      <w:r w:rsidR="00DC5E14" w:rsidRPr="001864D2">
        <w:rPr>
          <w:lang w:val="ru-RU"/>
        </w:rPr>
        <w:t xml:space="preserve"> целей в области устойчивого развития в различных масштабах. Роли формальных и неформальных институтов (например, общи</w:t>
      </w:r>
      <w:r w:rsidR="00583F08" w:rsidRPr="001864D2">
        <w:rPr>
          <w:lang w:val="ru-RU"/>
        </w:rPr>
        <w:t>х</w:t>
      </w:r>
      <w:r w:rsidR="00DC5E14" w:rsidRPr="001864D2">
        <w:rPr>
          <w:lang w:val="ru-RU"/>
        </w:rPr>
        <w:t xml:space="preserve"> правил, ценност</w:t>
      </w:r>
      <w:r w:rsidR="00583F08" w:rsidRPr="001864D2">
        <w:rPr>
          <w:lang w:val="ru-RU"/>
        </w:rPr>
        <w:t>ей</w:t>
      </w:r>
      <w:r w:rsidR="00DC5E14" w:rsidRPr="001864D2">
        <w:rPr>
          <w:lang w:val="ru-RU"/>
        </w:rPr>
        <w:t>, обыча</w:t>
      </w:r>
      <w:r w:rsidR="00583F08" w:rsidRPr="001864D2">
        <w:rPr>
          <w:lang w:val="ru-RU"/>
        </w:rPr>
        <w:t>ев</w:t>
      </w:r>
      <w:r w:rsidR="00DC5E14" w:rsidRPr="001864D2">
        <w:rPr>
          <w:lang w:val="ru-RU"/>
        </w:rPr>
        <w:t xml:space="preserve"> и культурн</w:t>
      </w:r>
      <w:r w:rsidR="00583F08" w:rsidRPr="001864D2">
        <w:rPr>
          <w:lang w:val="ru-RU"/>
        </w:rPr>
        <w:t>ой</w:t>
      </w:r>
      <w:r w:rsidR="00DC5E14" w:rsidRPr="001864D2">
        <w:rPr>
          <w:lang w:val="ru-RU"/>
        </w:rPr>
        <w:t xml:space="preserve"> практик</w:t>
      </w:r>
      <w:r w:rsidR="00583F08" w:rsidRPr="001864D2">
        <w:rPr>
          <w:lang w:val="ru-RU"/>
        </w:rPr>
        <w:t>и</w:t>
      </w:r>
      <w:r w:rsidR="00DC5E14" w:rsidRPr="001864D2">
        <w:rPr>
          <w:lang w:val="ru-RU"/>
        </w:rPr>
        <w:t xml:space="preserve">), связанных с любой из систем </w:t>
      </w:r>
      <w:r w:rsidR="00092FF1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, будут описаны </w:t>
      </w:r>
      <w:r w:rsidR="00523EA9" w:rsidRPr="001864D2">
        <w:rPr>
          <w:lang w:val="ru-RU"/>
        </w:rPr>
        <w:t xml:space="preserve">в каждом разделе </w:t>
      </w:r>
      <w:r w:rsidR="00583F08" w:rsidRPr="001864D2">
        <w:rPr>
          <w:lang w:val="ru-RU"/>
        </w:rPr>
        <w:t xml:space="preserve">посредством </w:t>
      </w:r>
      <w:r w:rsidR="00DC5E14" w:rsidRPr="001864D2">
        <w:rPr>
          <w:lang w:val="ru-RU"/>
        </w:rPr>
        <w:t xml:space="preserve">анализа и </w:t>
      </w:r>
      <w:r w:rsidR="00583F08" w:rsidRPr="001864D2">
        <w:rPr>
          <w:lang w:val="ru-RU"/>
        </w:rPr>
        <w:t>обобщения</w:t>
      </w:r>
      <w:r w:rsidR="00DC5E14" w:rsidRPr="001864D2">
        <w:rPr>
          <w:lang w:val="ru-RU"/>
        </w:rPr>
        <w:t>. В дополнение к углубленной оценке двустороннего взаимодействия в каждом разделе также будет дано краткое указание на наиболее важные прошлые и текущие взаимодействия более высокого порядка (трехсторонние или многосторонние), включающие каждые парные взаимодействия, которые будут более подробно рассматриваться в главе 3.</w:t>
      </w:r>
    </w:p>
    <w:p w14:paraId="0C25375A" w14:textId="67EFEE21" w:rsidR="00DC5E14" w:rsidRPr="001864D2" w:rsidRDefault="0035702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30.</w:t>
      </w:r>
      <w:r w:rsidRPr="003056DD">
        <w:rPr>
          <w:lang w:val="ru-RU"/>
        </w:rPr>
        <w:tab/>
      </w:r>
      <w:r w:rsidR="00DC5E14" w:rsidRPr="00357028">
        <w:rPr>
          <w:b/>
          <w:bCs/>
          <w:lang w:val="ru-RU"/>
        </w:rPr>
        <w:t>Глава 3</w:t>
      </w:r>
      <w:r w:rsidR="007878CB" w:rsidRPr="00357028">
        <w:rPr>
          <w:b/>
          <w:bCs/>
          <w:lang w:val="ru-RU"/>
        </w:rPr>
        <w:t>.</w:t>
      </w:r>
      <w:r w:rsidR="00DC5E14" w:rsidRPr="00357028">
        <w:rPr>
          <w:b/>
          <w:bCs/>
          <w:lang w:val="ru-RU"/>
        </w:rPr>
        <w:t xml:space="preserve"> </w:t>
      </w:r>
      <w:r w:rsidR="007878CB" w:rsidRPr="00357028">
        <w:rPr>
          <w:b/>
          <w:bCs/>
          <w:lang w:val="ru-RU"/>
        </w:rPr>
        <w:t>П</w:t>
      </w:r>
      <w:r w:rsidR="00DC5E14" w:rsidRPr="00357028">
        <w:rPr>
          <w:b/>
          <w:bCs/>
          <w:lang w:val="ru-RU"/>
        </w:rPr>
        <w:t>оложение дел и отмечавшиеся в прошлом тенденции в отношении сложных взаимодействий в</w:t>
      </w:r>
      <w:r w:rsidR="007E1E6F">
        <w:rPr>
          <w:b/>
          <w:bCs/>
          <w:lang w:val="ru-RU"/>
        </w:rPr>
        <w:t>нутри совокупности</w:t>
      </w:r>
      <w:r w:rsidR="00DC5E14" w:rsidRPr="001864D2">
        <w:rPr>
          <w:lang w:val="ru-RU"/>
        </w:rPr>
        <w:t xml:space="preserve">. В главе 3 будет дана оценка глобальным и региональным тенденциям и текущему положению дел в области взаимодействия более высокого порядка между биоразнообразием, климатом, водными ресурсами, продовольствием, энергией и здоровьем. Опираясь на главу 2, в которой эта </w:t>
      </w:r>
      <w:r w:rsidR="00680E20">
        <w:rPr>
          <w:lang w:val="ru-RU"/>
        </w:rPr>
        <w:t>совокупность</w:t>
      </w:r>
      <w:r w:rsidR="00680E20" w:rsidRPr="001864D2">
        <w:rPr>
          <w:lang w:val="ru-RU"/>
        </w:rPr>
        <w:t xml:space="preserve"> </w:t>
      </w:r>
      <w:r w:rsidR="00DC5E14" w:rsidRPr="001864D2">
        <w:rPr>
          <w:lang w:val="ru-RU"/>
        </w:rPr>
        <w:t>рассматривается через призму двустороннего взаимодействия</w:t>
      </w:r>
      <w:r w:rsidR="00C10EC7" w:rsidRPr="001864D2">
        <w:rPr>
          <w:lang w:val="ru-RU"/>
        </w:rPr>
        <w:t xml:space="preserve"> между отдельными системами</w:t>
      </w:r>
      <w:r w:rsidR="00DC5E14" w:rsidRPr="001864D2">
        <w:rPr>
          <w:lang w:val="ru-RU"/>
        </w:rPr>
        <w:t xml:space="preserve">, в этой главе будет сделан акцент на трехсторонние и многосторонние взаимодействия (например, биоразнообразие – продовольствие – здоровье, биоразнообразие – климат – водные ресурсы – энергия). </w:t>
      </w:r>
      <w:r w:rsidR="000E5C6F" w:rsidRPr="001864D2">
        <w:rPr>
          <w:lang w:val="ru-RU"/>
        </w:rPr>
        <w:t>П</w:t>
      </w:r>
      <w:r w:rsidR="00DC5E14" w:rsidRPr="001864D2">
        <w:rPr>
          <w:lang w:val="ru-RU"/>
        </w:rPr>
        <w:t>онимани</w:t>
      </w:r>
      <w:r w:rsidR="000E5C6F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этой </w:t>
      </w:r>
      <w:r w:rsidR="005D4E1F">
        <w:rPr>
          <w:lang w:val="ru-RU"/>
        </w:rPr>
        <w:t>совокупности</w:t>
      </w:r>
      <w:r w:rsidR="005D4E1F" w:rsidRPr="001864D2">
        <w:rPr>
          <w:lang w:val="ru-RU"/>
        </w:rPr>
        <w:t xml:space="preserve"> </w:t>
      </w:r>
      <w:r w:rsidR="00FC0C54">
        <w:rPr>
          <w:lang w:val="ru-RU"/>
        </w:rPr>
        <w:t xml:space="preserve">представляется сложным, </w:t>
      </w:r>
      <w:r w:rsidR="00DC5E14" w:rsidRPr="001864D2">
        <w:rPr>
          <w:lang w:val="ru-RU"/>
        </w:rPr>
        <w:t>но необходим</w:t>
      </w:r>
      <w:r w:rsidR="00FC0C54">
        <w:rPr>
          <w:lang w:val="ru-RU"/>
        </w:rPr>
        <w:t>ым</w:t>
      </w:r>
      <w:r w:rsidR="00DC5E14" w:rsidRPr="001864D2">
        <w:rPr>
          <w:lang w:val="ru-RU"/>
        </w:rPr>
        <w:t xml:space="preserve"> для эффективного </w:t>
      </w:r>
      <w:r w:rsidR="003C3216">
        <w:rPr>
          <w:lang w:val="ru-RU"/>
        </w:rPr>
        <w:t xml:space="preserve">регулирования </w:t>
      </w:r>
      <w:r w:rsidR="00DC5E14" w:rsidRPr="001864D2">
        <w:rPr>
          <w:lang w:val="ru-RU"/>
        </w:rPr>
        <w:t>вопрос</w:t>
      </w:r>
      <w:r w:rsidR="003C3216">
        <w:rPr>
          <w:lang w:val="ru-RU"/>
        </w:rPr>
        <w:t>ов</w:t>
      </w:r>
      <w:r w:rsidR="00DC5E14" w:rsidRPr="001864D2">
        <w:rPr>
          <w:lang w:val="ru-RU"/>
        </w:rPr>
        <w:t xml:space="preserve"> биоразнообразия и развития. В главе будут соотнесены отмечавшиеся в прошлом тенденции в важных взаимодействиях и факторы (прямые и косвенные), что будет определять, какие прошлые действия, решения, политика или учреждения </w:t>
      </w:r>
      <w:r w:rsidR="00B90C18">
        <w:rPr>
          <w:lang w:val="ru-RU"/>
        </w:rPr>
        <w:t>влияли на</w:t>
      </w:r>
      <w:r w:rsidR="00B90C18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элементы </w:t>
      </w:r>
      <w:r w:rsidR="00A86F4E">
        <w:rPr>
          <w:lang w:val="ru-RU"/>
        </w:rPr>
        <w:t>совокупности</w:t>
      </w:r>
      <w:r w:rsidR="00A86F4E" w:rsidRPr="001864D2">
        <w:rPr>
          <w:lang w:val="ru-RU"/>
        </w:rPr>
        <w:t xml:space="preserve"> </w:t>
      </w:r>
      <w:r w:rsidR="00B90C18">
        <w:rPr>
          <w:lang w:val="ru-RU"/>
        </w:rPr>
        <w:t>применительно к</w:t>
      </w:r>
      <w:r w:rsidR="00DC5E14" w:rsidRPr="001864D2">
        <w:rPr>
          <w:lang w:val="ru-RU"/>
        </w:rPr>
        <w:t xml:space="preserve"> цел</w:t>
      </w:r>
      <w:r w:rsidR="00B90C18">
        <w:rPr>
          <w:lang w:val="ru-RU"/>
        </w:rPr>
        <w:t>ям</w:t>
      </w:r>
      <w:r w:rsidR="00DC5E14" w:rsidRPr="001864D2">
        <w:rPr>
          <w:lang w:val="ru-RU"/>
        </w:rPr>
        <w:t xml:space="preserve"> в области устойчивого развития. В главе будет дана оценка потенциальной синергии и компромиссам между этими многочисленными аспектами </w:t>
      </w:r>
      <w:r w:rsidR="000A26D7">
        <w:rPr>
          <w:lang w:val="ru-RU"/>
        </w:rPr>
        <w:t>совокупности</w:t>
      </w:r>
      <w:r w:rsidR="000A26D7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 определены </w:t>
      </w:r>
      <w:r w:rsidR="00D97D1E" w:rsidRPr="001864D2">
        <w:rPr>
          <w:lang w:val="ru-RU"/>
        </w:rPr>
        <w:t>трудности</w:t>
      </w:r>
      <w:r w:rsidR="00DC5E14" w:rsidRPr="001864D2">
        <w:rPr>
          <w:lang w:val="ru-RU"/>
        </w:rPr>
        <w:t xml:space="preserve">, возможности и методы работы с ними на основе целостного подхода, а не через призму каждой системы </w:t>
      </w:r>
      <w:r w:rsidR="00D97D1E" w:rsidRPr="001864D2">
        <w:rPr>
          <w:lang w:val="ru-RU"/>
        </w:rPr>
        <w:t>в отдельности</w:t>
      </w:r>
      <w:r w:rsidR="00DC5E14" w:rsidRPr="001864D2">
        <w:rPr>
          <w:lang w:val="ru-RU"/>
        </w:rPr>
        <w:t>. В главе не стоит задача оценить все возможные взаимодействия более высокого порядка. Вместо этого в ней будет определ</w:t>
      </w:r>
      <w:r w:rsidR="00D97D1E" w:rsidRPr="001864D2">
        <w:rPr>
          <w:lang w:val="ru-RU"/>
        </w:rPr>
        <w:t>ено</w:t>
      </w:r>
      <w:r w:rsidR="00DC5E14" w:rsidRPr="001864D2">
        <w:rPr>
          <w:lang w:val="ru-RU"/>
        </w:rPr>
        <w:t xml:space="preserve"> и подробно рассм</w:t>
      </w:r>
      <w:r w:rsidR="00D97D1E" w:rsidRPr="001864D2">
        <w:rPr>
          <w:lang w:val="ru-RU"/>
        </w:rPr>
        <w:t xml:space="preserve">отрено </w:t>
      </w:r>
      <w:r w:rsidR="00DC5E14" w:rsidRPr="001864D2">
        <w:rPr>
          <w:lang w:val="ru-RU"/>
        </w:rPr>
        <w:t>подмножество взаимодействий, которые</w:t>
      </w:r>
      <w:r w:rsidR="003653C9">
        <w:rPr>
          <w:lang w:val="ru-RU"/>
        </w:rPr>
        <w:t xml:space="preserve"> могут являться </w:t>
      </w:r>
      <w:r w:rsidR="00DC5E14" w:rsidRPr="001864D2">
        <w:rPr>
          <w:lang w:val="ru-RU"/>
        </w:rPr>
        <w:t xml:space="preserve">наиболее </w:t>
      </w:r>
      <w:r w:rsidR="003653C9">
        <w:rPr>
          <w:lang w:val="ru-RU"/>
        </w:rPr>
        <w:t>важными</w:t>
      </w:r>
      <w:r w:rsidR="003653C9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для формирования </w:t>
      </w:r>
      <w:r w:rsidR="006B07DF">
        <w:rPr>
          <w:lang w:val="ru-RU"/>
        </w:rPr>
        <w:t>совокупности</w:t>
      </w:r>
      <w:r w:rsidR="006B07DF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 наиболее </w:t>
      </w:r>
      <w:r w:rsidR="00072818">
        <w:rPr>
          <w:lang w:val="ru-RU"/>
        </w:rPr>
        <w:t>значимыми для</w:t>
      </w:r>
      <w:r w:rsidR="00DC5E14" w:rsidRPr="001864D2">
        <w:rPr>
          <w:lang w:val="ru-RU"/>
        </w:rPr>
        <w:t xml:space="preserve"> вариантов реагирования. При этом в этой главе будет определен ряд всеобъемлющих </w:t>
      </w:r>
      <w:r w:rsidR="009B27C4" w:rsidRPr="001864D2">
        <w:rPr>
          <w:lang w:val="ru-RU"/>
        </w:rPr>
        <w:t>взаимоотношений</w:t>
      </w:r>
      <w:r w:rsidR="00DC5E14" w:rsidRPr="001864D2">
        <w:rPr>
          <w:lang w:val="ru-RU"/>
        </w:rPr>
        <w:t xml:space="preserve">, которые могут быть последовательно изучены </w:t>
      </w:r>
      <w:r w:rsidR="009B27C4" w:rsidRPr="001864D2">
        <w:rPr>
          <w:lang w:val="ru-RU"/>
        </w:rPr>
        <w:t xml:space="preserve">с помощью </w:t>
      </w:r>
      <w:r w:rsidR="00DC5E14" w:rsidRPr="001864D2">
        <w:rPr>
          <w:lang w:val="ru-RU"/>
        </w:rPr>
        <w:t xml:space="preserve">сценариев, представленных в главе 4. </w:t>
      </w:r>
    </w:p>
    <w:p w14:paraId="0AC92E3F" w14:textId="62A52D98" w:rsidR="00DC5E14" w:rsidRPr="001864D2" w:rsidRDefault="00357028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31.</w:t>
      </w:r>
      <w:r w:rsidRPr="003056DD">
        <w:rPr>
          <w:lang w:val="ru-RU"/>
        </w:rPr>
        <w:tab/>
      </w:r>
      <w:r w:rsidR="00DC5E14" w:rsidRPr="00357028">
        <w:rPr>
          <w:b/>
          <w:bCs/>
          <w:lang w:val="ru-RU"/>
        </w:rPr>
        <w:t>Глава 4</w:t>
      </w:r>
      <w:r w:rsidR="007878CB" w:rsidRPr="00357028">
        <w:rPr>
          <w:b/>
          <w:bCs/>
          <w:lang w:val="ru-RU"/>
        </w:rPr>
        <w:t>.</w:t>
      </w:r>
      <w:r w:rsidR="00DC5E14" w:rsidRPr="00357028">
        <w:rPr>
          <w:b/>
          <w:bCs/>
          <w:lang w:val="ru-RU"/>
        </w:rPr>
        <w:t xml:space="preserve"> </w:t>
      </w:r>
      <w:r w:rsidR="0075603D" w:rsidRPr="00357028">
        <w:rPr>
          <w:b/>
          <w:bCs/>
          <w:lang w:val="ru-RU"/>
        </w:rPr>
        <w:t>Будущие в</w:t>
      </w:r>
      <w:r w:rsidR="00DC5E14" w:rsidRPr="00357028">
        <w:rPr>
          <w:b/>
          <w:bCs/>
          <w:lang w:val="ru-RU"/>
        </w:rPr>
        <w:t>заимо</w:t>
      </w:r>
      <w:r w:rsidR="00CF4024">
        <w:rPr>
          <w:b/>
          <w:bCs/>
          <w:lang w:val="ru-RU"/>
        </w:rPr>
        <w:t xml:space="preserve">действия внутри совокупности </w:t>
      </w:r>
      <w:r w:rsidR="000A5F2A">
        <w:rPr>
          <w:b/>
          <w:bCs/>
          <w:lang w:val="ru-RU"/>
        </w:rPr>
        <w:t>«</w:t>
      </w:r>
      <w:r w:rsidR="00DC5E14" w:rsidRPr="00357028">
        <w:rPr>
          <w:b/>
          <w:bCs/>
          <w:lang w:val="ru-RU"/>
        </w:rPr>
        <w:t>биоразнообразие</w:t>
      </w:r>
      <w:r w:rsidR="000A5F2A">
        <w:rPr>
          <w:b/>
          <w:bCs/>
          <w:lang w:val="ru-RU"/>
        </w:rPr>
        <w:t xml:space="preserve"> </w:t>
      </w:r>
      <w:r w:rsidR="00CD7832" w:rsidRPr="00A13C72">
        <w:rPr>
          <w:b/>
          <w:bCs/>
          <w:lang w:val="ru-RU"/>
        </w:rPr>
        <w:t>–</w:t>
      </w:r>
      <w:r w:rsidR="00DC5E14" w:rsidRPr="00357028">
        <w:rPr>
          <w:b/>
          <w:bCs/>
          <w:lang w:val="ru-RU"/>
        </w:rPr>
        <w:t xml:space="preserve"> климат</w:t>
      </w:r>
      <w:r w:rsidR="00CD7832">
        <w:rPr>
          <w:b/>
          <w:bCs/>
          <w:lang w:val="en-GB"/>
        </w:rPr>
        <w:t> </w:t>
      </w:r>
      <w:r w:rsidR="00CD7832" w:rsidRPr="00A13C72">
        <w:rPr>
          <w:b/>
          <w:bCs/>
          <w:lang w:val="ru-RU"/>
        </w:rPr>
        <w:t>–</w:t>
      </w:r>
      <w:r w:rsidR="00DC5E14" w:rsidRPr="00357028">
        <w:rPr>
          <w:b/>
          <w:bCs/>
          <w:lang w:val="ru-RU"/>
        </w:rPr>
        <w:t xml:space="preserve"> водны</w:t>
      </w:r>
      <w:r w:rsidR="000A5F2A">
        <w:rPr>
          <w:b/>
          <w:bCs/>
          <w:lang w:val="ru-RU"/>
        </w:rPr>
        <w:t>е</w:t>
      </w:r>
      <w:r w:rsidR="00DC5E14" w:rsidRPr="00357028">
        <w:rPr>
          <w:b/>
          <w:bCs/>
          <w:lang w:val="ru-RU"/>
        </w:rPr>
        <w:t xml:space="preserve"> ресурс</w:t>
      </w:r>
      <w:r w:rsidR="000A5F2A">
        <w:rPr>
          <w:b/>
          <w:bCs/>
          <w:lang w:val="ru-RU"/>
        </w:rPr>
        <w:t xml:space="preserve">ы </w:t>
      </w:r>
      <w:r w:rsidR="008F1EBC">
        <w:rPr>
          <w:b/>
          <w:bCs/>
          <w:lang w:val="ru-RU"/>
        </w:rPr>
        <w:t>–</w:t>
      </w:r>
      <w:r w:rsidR="00DC5E14" w:rsidRPr="00357028">
        <w:rPr>
          <w:b/>
          <w:bCs/>
          <w:lang w:val="ru-RU"/>
        </w:rPr>
        <w:t xml:space="preserve"> продовольствие</w:t>
      </w:r>
      <w:r w:rsidR="008F1EBC">
        <w:rPr>
          <w:b/>
          <w:bCs/>
          <w:lang w:val="ru-RU"/>
        </w:rPr>
        <w:t xml:space="preserve"> </w:t>
      </w:r>
      <w:r w:rsidR="00CD7832" w:rsidRPr="00A13C72">
        <w:rPr>
          <w:b/>
          <w:bCs/>
          <w:lang w:val="ru-RU"/>
        </w:rPr>
        <w:t>–</w:t>
      </w:r>
      <w:r w:rsidR="008F1EBC">
        <w:rPr>
          <w:b/>
          <w:bCs/>
          <w:lang w:val="ru-RU"/>
        </w:rPr>
        <w:t xml:space="preserve"> </w:t>
      </w:r>
      <w:r w:rsidR="00DC5E14" w:rsidRPr="00357028">
        <w:rPr>
          <w:b/>
          <w:bCs/>
          <w:lang w:val="ru-RU"/>
        </w:rPr>
        <w:t>энерги</w:t>
      </w:r>
      <w:r w:rsidR="008F1EBC">
        <w:rPr>
          <w:b/>
          <w:bCs/>
          <w:lang w:val="ru-RU"/>
        </w:rPr>
        <w:t>я</w:t>
      </w:r>
      <w:r w:rsidR="00DC5E14" w:rsidRPr="00357028">
        <w:rPr>
          <w:b/>
          <w:bCs/>
          <w:lang w:val="ru-RU"/>
        </w:rPr>
        <w:t xml:space="preserve"> </w:t>
      </w:r>
      <w:r w:rsidR="00CD7832" w:rsidRPr="00A13C72">
        <w:rPr>
          <w:b/>
          <w:bCs/>
          <w:lang w:val="ru-RU"/>
        </w:rPr>
        <w:t>–</w:t>
      </w:r>
      <w:r w:rsidR="00DC5E14" w:rsidRPr="00357028">
        <w:rPr>
          <w:b/>
          <w:bCs/>
          <w:lang w:val="ru-RU"/>
        </w:rPr>
        <w:t xml:space="preserve"> здоровье</w:t>
      </w:r>
      <w:r w:rsidR="008F1EBC">
        <w:rPr>
          <w:b/>
          <w:bCs/>
          <w:lang w:val="ru-RU"/>
        </w:rPr>
        <w:t>»</w:t>
      </w:r>
      <w:r w:rsidR="00DC5E14" w:rsidRPr="001864D2">
        <w:rPr>
          <w:lang w:val="ru-RU"/>
        </w:rPr>
        <w:t>. В главе 4 будет дана оценка различным типам сценариев (исследовательски</w:t>
      </w:r>
      <w:r w:rsidR="009B27C4" w:rsidRPr="001864D2">
        <w:rPr>
          <w:lang w:val="ru-RU"/>
        </w:rPr>
        <w:t>м</w:t>
      </w:r>
      <w:r w:rsidR="00DC5E14" w:rsidRPr="001864D2">
        <w:rPr>
          <w:lang w:val="ru-RU"/>
        </w:rPr>
        <w:t xml:space="preserve">, для проверки политики и </w:t>
      </w:r>
      <w:r w:rsidR="00814F8F">
        <w:rPr>
          <w:lang w:val="ru-RU"/>
        </w:rPr>
        <w:t xml:space="preserve">выбора </w:t>
      </w:r>
      <w:r w:rsidR="00DC5E14" w:rsidRPr="001864D2">
        <w:rPr>
          <w:lang w:val="ru-RU"/>
        </w:rPr>
        <w:t>цел</w:t>
      </w:r>
      <w:r w:rsidR="00814F8F">
        <w:rPr>
          <w:lang w:val="ru-RU"/>
        </w:rPr>
        <w:t>и</w:t>
      </w:r>
      <w:r w:rsidR="00DC5E14" w:rsidRPr="001864D2">
        <w:rPr>
          <w:lang w:val="ru-RU"/>
        </w:rPr>
        <w:t>, которые определены в соответствии с Оценкой сценариев и моделей МПБЭУ), представляющи</w:t>
      </w:r>
      <w:r w:rsidR="009B27C4" w:rsidRPr="001864D2">
        <w:rPr>
          <w:lang w:val="ru-RU"/>
        </w:rPr>
        <w:t>м</w:t>
      </w:r>
      <w:r w:rsidR="00DC5E14" w:rsidRPr="001864D2">
        <w:rPr>
          <w:lang w:val="ru-RU"/>
        </w:rPr>
        <w:t xml:space="preserve"> собой вероятные варианты развития событий в будущем в отношении </w:t>
      </w:r>
      <w:r w:rsidR="001054F6">
        <w:rPr>
          <w:lang w:val="ru-RU"/>
        </w:rPr>
        <w:t>проблематики совокупности</w:t>
      </w:r>
      <w:r w:rsidR="00DC5E14" w:rsidRPr="001864D2">
        <w:rPr>
          <w:lang w:val="ru-RU"/>
        </w:rPr>
        <w:t>, рассматриваем</w:t>
      </w:r>
      <w:r w:rsidR="001054F6">
        <w:rPr>
          <w:lang w:val="ru-RU"/>
        </w:rPr>
        <w:t>ой</w:t>
      </w:r>
      <w:r w:rsidR="00DC5E14" w:rsidRPr="001864D2">
        <w:rPr>
          <w:lang w:val="ru-RU"/>
        </w:rPr>
        <w:t xml:space="preserve"> в </w:t>
      </w:r>
      <w:r w:rsidR="00506F7E">
        <w:rPr>
          <w:lang w:val="ru-RU"/>
        </w:rPr>
        <w:t>процессе</w:t>
      </w:r>
      <w:r w:rsidR="00506F7E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этой оценки. </w:t>
      </w:r>
      <w:r w:rsidR="00FC5D4D" w:rsidRPr="001864D2">
        <w:rPr>
          <w:lang w:val="ru-RU"/>
        </w:rPr>
        <w:t>В этой главе о</w:t>
      </w:r>
      <w:r w:rsidR="00DC5E14" w:rsidRPr="001864D2">
        <w:rPr>
          <w:lang w:val="ru-RU"/>
        </w:rPr>
        <w:t xml:space="preserve">сновное внимание будет уделяться сценариям, в которых на комплексной основе учитываются многочисленные взаимодействия между этими аспектами и </w:t>
      </w:r>
      <w:r w:rsidR="001C4937" w:rsidRPr="001864D2">
        <w:rPr>
          <w:lang w:val="ru-RU"/>
        </w:rPr>
        <w:t>их реакцией</w:t>
      </w:r>
      <w:r w:rsidR="00DC5E14" w:rsidRPr="001864D2">
        <w:rPr>
          <w:lang w:val="ru-RU"/>
        </w:rPr>
        <w:t xml:space="preserve"> на основные факторы перемен (например, население и экономический рост), </w:t>
      </w:r>
      <w:r w:rsidR="001C4937" w:rsidRPr="001864D2">
        <w:rPr>
          <w:lang w:val="ru-RU"/>
        </w:rPr>
        <w:t xml:space="preserve">которые </w:t>
      </w:r>
      <w:r w:rsidR="00DC5E14" w:rsidRPr="001864D2">
        <w:rPr>
          <w:lang w:val="ru-RU"/>
        </w:rPr>
        <w:t>определен</w:t>
      </w:r>
      <w:r w:rsidR="001C4937" w:rsidRPr="001864D2">
        <w:rPr>
          <w:lang w:val="ru-RU"/>
        </w:rPr>
        <w:t>ы</w:t>
      </w:r>
      <w:r w:rsidR="00DC5E14" w:rsidRPr="001864D2">
        <w:rPr>
          <w:lang w:val="ru-RU"/>
        </w:rPr>
        <w:t xml:space="preserve"> в главе 3 как наиболее </w:t>
      </w:r>
      <w:r w:rsidR="001C4937" w:rsidRPr="001864D2">
        <w:rPr>
          <w:lang w:val="ru-RU"/>
        </w:rPr>
        <w:t>эффективные</w:t>
      </w:r>
      <w:r w:rsidR="00DC5E14" w:rsidRPr="001864D2">
        <w:rPr>
          <w:lang w:val="ru-RU"/>
        </w:rPr>
        <w:t xml:space="preserve"> и актуальные с точки зрения вариантов реагирования. Несмотря на то, что в этой главе будет рассматриваться ряд исследовательских сценариев, которые, вероятно, будут иметь положительные и отрицательные последствия для биоразнообразия в будущем, более пристальное внимание будет уделяться анализу и сравнению сценариев, представляющих </w:t>
      </w:r>
      <w:r w:rsidR="001C4937" w:rsidRPr="001864D2">
        <w:rPr>
          <w:lang w:val="ru-RU"/>
        </w:rPr>
        <w:t xml:space="preserve">собой </w:t>
      </w:r>
      <w:r w:rsidR="000F2040">
        <w:rPr>
          <w:lang w:val="ru-RU"/>
        </w:rPr>
        <w:t xml:space="preserve">траектории </w:t>
      </w:r>
      <w:r w:rsidR="00F277B3">
        <w:rPr>
          <w:lang w:val="ru-RU"/>
        </w:rPr>
        <w:t>движения</w:t>
      </w:r>
      <w:r w:rsidR="000F2040" w:rsidRPr="001864D2">
        <w:rPr>
          <w:lang w:val="ru-RU"/>
        </w:rPr>
        <w:t xml:space="preserve"> </w:t>
      </w:r>
      <w:r w:rsidR="001C4937" w:rsidRPr="001864D2">
        <w:rPr>
          <w:lang w:val="ru-RU"/>
        </w:rPr>
        <w:t xml:space="preserve">к </w:t>
      </w:r>
      <w:r w:rsidR="00DC5E14" w:rsidRPr="001864D2">
        <w:rPr>
          <w:lang w:val="ru-RU"/>
        </w:rPr>
        <w:t>устойчив</w:t>
      </w:r>
      <w:r w:rsidR="00F277B3">
        <w:rPr>
          <w:lang w:val="ru-RU"/>
        </w:rPr>
        <w:t>ым</w:t>
      </w:r>
      <w:r w:rsidR="005E4B3D">
        <w:rPr>
          <w:lang w:val="ru-RU"/>
        </w:rPr>
        <w:t xml:space="preserve"> вариантам</w:t>
      </w:r>
      <w:r w:rsidR="00DC5E14" w:rsidRPr="001864D2">
        <w:rPr>
          <w:lang w:val="ru-RU"/>
        </w:rPr>
        <w:t xml:space="preserve"> будуще</w:t>
      </w:r>
      <w:r w:rsidR="005E4B3D">
        <w:rPr>
          <w:lang w:val="ru-RU"/>
        </w:rPr>
        <w:t>го</w:t>
      </w:r>
      <w:r w:rsidR="00DC5E14" w:rsidRPr="001864D2">
        <w:rPr>
          <w:lang w:val="ru-RU"/>
        </w:rPr>
        <w:t xml:space="preserve">, речь о которых пойдет далее в главах 5-11. Хотя </w:t>
      </w:r>
      <w:r w:rsidR="001C4937" w:rsidRPr="001864D2">
        <w:rPr>
          <w:lang w:val="ru-RU"/>
        </w:rPr>
        <w:t>исследуемый временной период</w:t>
      </w:r>
      <w:r w:rsidR="00DC5E14" w:rsidRPr="001864D2">
        <w:rPr>
          <w:lang w:val="ru-RU"/>
        </w:rPr>
        <w:t xml:space="preserve"> буд</w:t>
      </w:r>
      <w:r w:rsidR="00363101">
        <w:rPr>
          <w:lang w:val="ru-RU"/>
        </w:rPr>
        <w:t>е</w:t>
      </w:r>
      <w:r w:rsidR="00DC5E14" w:rsidRPr="001864D2">
        <w:rPr>
          <w:lang w:val="ru-RU"/>
        </w:rPr>
        <w:t xml:space="preserve">т ориентирован на сценарии, охватывающие </w:t>
      </w:r>
      <w:r w:rsidR="001C4937" w:rsidRPr="001864D2">
        <w:rPr>
          <w:lang w:val="ru-RU"/>
        </w:rPr>
        <w:t>отрезок</w:t>
      </w:r>
      <w:r w:rsidR="00DC5E14" w:rsidRPr="001864D2">
        <w:rPr>
          <w:lang w:val="ru-RU"/>
        </w:rPr>
        <w:t xml:space="preserve"> </w:t>
      </w:r>
      <w:r w:rsidR="000770A3" w:rsidRPr="001864D2">
        <w:rPr>
          <w:lang w:val="ru-RU"/>
        </w:rPr>
        <w:t xml:space="preserve">времени </w:t>
      </w:r>
      <w:r w:rsidR="00DC5E14" w:rsidRPr="001864D2">
        <w:rPr>
          <w:lang w:val="ru-RU"/>
        </w:rPr>
        <w:t xml:space="preserve">с 2030 по 2050 год (в увязке с соответствующими политическими целями, включая цели в области устойчивого развития и Концепцию в области биоразнообразия на период до 2050 года), более длительные временные горизонты вплоть до 2100 года также будут рассматриваться в случае, если они </w:t>
      </w:r>
      <w:r w:rsidR="000770A3" w:rsidRPr="001864D2">
        <w:rPr>
          <w:lang w:val="ru-RU"/>
        </w:rPr>
        <w:t>привносят</w:t>
      </w:r>
      <w:r w:rsidR="00DC5E14" w:rsidRPr="001864D2">
        <w:rPr>
          <w:lang w:val="ru-RU"/>
        </w:rPr>
        <w:t xml:space="preserve"> соответствующи</w:t>
      </w:r>
      <w:r w:rsidR="000770A3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знани</w:t>
      </w:r>
      <w:r w:rsidR="000770A3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о долгосрочных последствиях взаимодействий </w:t>
      </w:r>
      <w:r w:rsidR="00A9369D">
        <w:rPr>
          <w:lang w:val="ru-RU"/>
        </w:rPr>
        <w:t xml:space="preserve">внутри совокупности </w:t>
      </w:r>
      <w:r w:rsidR="00DC5E14" w:rsidRPr="001864D2">
        <w:rPr>
          <w:lang w:val="ru-RU"/>
        </w:rPr>
        <w:t xml:space="preserve">или долговременной устойчивости вариантов реагирования. Будет рассматриваться возможность проведения </w:t>
      </w:r>
      <w:r w:rsidR="00DC5E14" w:rsidRPr="001864D2">
        <w:rPr>
          <w:lang w:val="ru-RU"/>
        </w:rPr>
        <w:lastRenderedPageBreak/>
        <w:t>количественных и</w:t>
      </w:r>
      <w:r w:rsidR="00660609">
        <w:rPr>
          <w:lang w:val="ru-RU"/>
        </w:rPr>
        <w:t xml:space="preserve"> </w:t>
      </w:r>
      <w:r w:rsidR="00DC5E14" w:rsidRPr="001864D2">
        <w:rPr>
          <w:lang w:val="ru-RU"/>
        </w:rPr>
        <w:t>(или) качественных исследований сценариев</w:t>
      </w:r>
      <w:r w:rsidR="000770A3" w:rsidRPr="001864D2">
        <w:rPr>
          <w:lang w:val="ru-RU"/>
        </w:rPr>
        <w:t xml:space="preserve"> в</w:t>
      </w:r>
      <w:r w:rsidR="00DC5E14" w:rsidRPr="001864D2">
        <w:rPr>
          <w:lang w:val="ru-RU"/>
        </w:rPr>
        <w:t xml:space="preserve"> масштаб</w:t>
      </w:r>
      <w:r w:rsidR="000770A3" w:rsidRPr="001864D2">
        <w:rPr>
          <w:lang w:val="ru-RU"/>
        </w:rPr>
        <w:t>ах,</w:t>
      </w:r>
      <w:r w:rsidR="00DC5E14" w:rsidRPr="001864D2">
        <w:rPr>
          <w:lang w:val="ru-RU"/>
        </w:rPr>
        <w:t xml:space="preserve"> варьирую</w:t>
      </w:r>
      <w:r w:rsidR="000770A3" w:rsidRPr="001864D2">
        <w:rPr>
          <w:lang w:val="ru-RU"/>
        </w:rPr>
        <w:t>щих</w:t>
      </w:r>
      <w:r w:rsidR="00DC5E14" w:rsidRPr="001864D2">
        <w:rPr>
          <w:lang w:val="ru-RU"/>
        </w:rPr>
        <w:t>ся от глобальных до национальных (и, в соответствующих случаях, субнациональных).</w:t>
      </w:r>
    </w:p>
    <w:p w14:paraId="62FFE35A" w14:textId="4AD0E3D6" w:rsidR="00DC5E14" w:rsidRPr="001864D2" w:rsidRDefault="005C0F42" w:rsidP="005C0F4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3056DD">
        <w:rPr>
          <w:lang w:val="ru-RU"/>
        </w:rPr>
        <w:t>32.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этой главе будет освещаться широкий спектр прямых и косвенных факторов изменения биоразнообразия (см. пункт 10), которые рассматриваются в рамках сценариев, </w:t>
      </w:r>
      <w:r w:rsidR="00586832">
        <w:rPr>
          <w:lang w:val="ru-RU"/>
        </w:rPr>
        <w:t>влияющих на совокупность</w:t>
      </w:r>
      <w:r w:rsidR="00586832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или формирующих </w:t>
      </w:r>
      <w:r w:rsidR="00586832">
        <w:rPr>
          <w:lang w:val="ru-RU"/>
        </w:rPr>
        <w:t>ее</w:t>
      </w:r>
      <w:r w:rsidR="00DC5E14" w:rsidRPr="001864D2">
        <w:rPr>
          <w:lang w:val="ru-RU"/>
        </w:rPr>
        <w:t>, включая то, каким образом эти факторы будут меняться с течением времени в будущем. В этой главе также будут учитываться альтернативные мировоззрения и видения будущего, в том числе те, которые заложены в знаниях коренного и местного населения. В эту главу будет включен анализ того, какие взаимо</w:t>
      </w:r>
      <w:r w:rsidR="008825F4">
        <w:rPr>
          <w:lang w:val="ru-RU"/>
        </w:rPr>
        <w:t>действия внутри совокупности</w:t>
      </w:r>
      <w:r w:rsidR="00DC5E14" w:rsidRPr="001864D2">
        <w:rPr>
          <w:lang w:val="ru-RU"/>
        </w:rPr>
        <w:t xml:space="preserve"> наиболее важны с точки зрения определения способов достижения многочисленных согласованных на международном уровне политических целей (например, </w:t>
      </w:r>
      <w:r w:rsidR="00726B30">
        <w:rPr>
          <w:lang w:val="ru-RU"/>
        </w:rPr>
        <w:t xml:space="preserve">системы глобальных мероприятий в сфере </w:t>
      </w:r>
      <w:r w:rsidR="00DC5E14" w:rsidRPr="001864D2">
        <w:rPr>
          <w:lang w:val="ru-RU"/>
        </w:rPr>
        <w:t>биоразнообразия на период после 2020</w:t>
      </w:r>
      <w:r w:rsidR="000B1CF2">
        <w:rPr>
          <w:lang w:val="en-GB"/>
        </w:rPr>
        <w:t> </w:t>
      </w:r>
      <w:r w:rsidR="00DC5E14" w:rsidRPr="001864D2">
        <w:rPr>
          <w:lang w:val="ru-RU"/>
        </w:rPr>
        <w:t>года, Парижского соглашения и целей в области устойчивого развития)</w:t>
      </w:r>
      <w:r w:rsidR="00CD286B" w:rsidRPr="001864D2">
        <w:rPr>
          <w:lang w:val="ru-RU"/>
        </w:rPr>
        <w:t xml:space="preserve">, сводя при этом к </w:t>
      </w:r>
      <w:r w:rsidR="00DC5E14" w:rsidRPr="001864D2">
        <w:rPr>
          <w:lang w:val="ru-RU"/>
        </w:rPr>
        <w:t>минимуму компромисс</w:t>
      </w:r>
      <w:r w:rsidR="00CD286B" w:rsidRPr="001864D2">
        <w:rPr>
          <w:lang w:val="ru-RU"/>
        </w:rPr>
        <w:t>ы</w:t>
      </w:r>
      <w:r w:rsidR="00DC5E14" w:rsidRPr="001864D2">
        <w:rPr>
          <w:lang w:val="ru-RU"/>
        </w:rPr>
        <w:t>. В ней буд</w:t>
      </w:r>
      <w:r w:rsidR="0008191A" w:rsidRPr="001864D2">
        <w:rPr>
          <w:lang w:val="ru-RU"/>
        </w:rPr>
        <w:t>у</w:t>
      </w:r>
      <w:r w:rsidR="00DC5E14" w:rsidRPr="001864D2">
        <w:rPr>
          <w:lang w:val="ru-RU"/>
        </w:rPr>
        <w:t xml:space="preserve">т показаны </w:t>
      </w:r>
      <w:r w:rsidR="0056722E">
        <w:rPr>
          <w:lang w:val="ru-RU"/>
        </w:rPr>
        <w:t>траектории</w:t>
      </w:r>
      <w:r w:rsidR="00DC5E14" w:rsidRPr="001864D2">
        <w:rPr>
          <w:lang w:val="ru-RU"/>
        </w:rPr>
        <w:t>, приводя</w:t>
      </w:r>
      <w:r w:rsidR="0008191A" w:rsidRPr="001864D2">
        <w:rPr>
          <w:lang w:val="ru-RU"/>
        </w:rPr>
        <w:t>щие</w:t>
      </w:r>
      <w:r w:rsidR="00DC5E14" w:rsidRPr="001864D2">
        <w:rPr>
          <w:lang w:val="ru-RU"/>
        </w:rPr>
        <w:t xml:space="preserve"> к </w:t>
      </w:r>
      <w:r w:rsidR="000E3165">
        <w:rPr>
          <w:lang w:val="ru-RU"/>
        </w:rPr>
        <w:t xml:space="preserve">максимально приближенным </w:t>
      </w:r>
      <w:r w:rsidR="00A375DE">
        <w:rPr>
          <w:lang w:val="ru-RU"/>
        </w:rPr>
        <w:t xml:space="preserve">к целям политики </w:t>
      </w:r>
      <w:r w:rsidR="000E3165">
        <w:rPr>
          <w:lang w:val="ru-RU"/>
        </w:rPr>
        <w:t xml:space="preserve">и максимально </w:t>
      </w:r>
      <w:r w:rsidR="00A375DE">
        <w:rPr>
          <w:lang w:val="ru-RU"/>
        </w:rPr>
        <w:t xml:space="preserve">удаленным от них </w:t>
      </w:r>
      <w:r w:rsidR="00DC5E14" w:rsidRPr="001864D2">
        <w:rPr>
          <w:lang w:val="ru-RU"/>
        </w:rPr>
        <w:t xml:space="preserve">результатам. Наконец, в ней будут обсуждаться неопределенности и ограничения, </w:t>
      </w:r>
      <w:r w:rsidR="00624732">
        <w:rPr>
          <w:lang w:val="ru-RU"/>
        </w:rPr>
        <w:t xml:space="preserve">характерные </w:t>
      </w:r>
      <w:r w:rsidR="004C1B9C">
        <w:rPr>
          <w:lang w:val="ru-RU"/>
        </w:rPr>
        <w:t>для</w:t>
      </w:r>
      <w:r w:rsidR="00DC5E14" w:rsidRPr="001864D2">
        <w:rPr>
          <w:lang w:val="ru-RU"/>
        </w:rPr>
        <w:t xml:space="preserve"> имеющи</w:t>
      </w:r>
      <w:r w:rsidR="004C1B9C">
        <w:rPr>
          <w:lang w:val="ru-RU"/>
        </w:rPr>
        <w:t>х</w:t>
      </w:r>
      <w:r w:rsidR="00DC5E14" w:rsidRPr="001864D2">
        <w:rPr>
          <w:lang w:val="ru-RU"/>
        </w:rPr>
        <w:t>ся в настоящее время сценари</w:t>
      </w:r>
      <w:r w:rsidR="004C1B9C">
        <w:rPr>
          <w:lang w:val="ru-RU"/>
        </w:rPr>
        <w:t>ев</w:t>
      </w:r>
      <w:r w:rsidR="00DC5E14" w:rsidRPr="001864D2">
        <w:rPr>
          <w:lang w:val="ru-RU"/>
        </w:rPr>
        <w:t xml:space="preserve"> и модел</w:t>
      </w:r>
      <w:r w:rsidR="004C1B9C">
        <w:rPr>
          <w:lang w:val="ru-RU"/>
        </w:rPr>
        <w:t>ей</w:t>
      </w:r>
      <w:r w:rsidR="00DC5E14" w:rsidRPr="001864D2">
        <w:rPr>
          <w:lang w:val="ru-RU"/>
        </w:rPr>
        <w:t xml:space="preserve">, с акцентом на их </w:t>
      </w:r>
      <w:r w:rsidR="00E62A2C">
        <w:rPr>
          <w:lang w:val="ru-RU"/>
        </w:rPr>
        <w:t xml:space="preserve">влияние на </w:t>
      </w:r>
      <w:r w:rsidR="00DC5E14" w:rsidRPr="001864D2">
        <w:rPr>
          <w:lang w:val="ru-RU"/>
        </w:rPr>
        <w:t>взаимодействи</w:t>
      </w:r>
      <w:r w:rsidR="0008191A" w:rsidRPr="001864D2">
        <w:rPr>
          <w:lang w:val="ru-RU"/>
        </w:rPr>
        <w:t>я</w:t>
      </w:r>
      <w:r w:rsidR="00E62A2C">
        <w:rPr>
          <w:lang w:val="ru-RU"/>
        </w:rPr>
        <w:t xml:space="preserve"> внутри совокупности</w:t>
      </w:r>
      <w:r w:rsidR="00DC5E14" w:rsidRPr="001864D2">
        <w:rPr>
          <w:lang w:val="ru-RU"/>
        </w:rPr>
        <w:t xml:space="preserve">. </w:t>
      </w:r>
    </w:p>
    <w:p w14:paraId="0DC1E3F1" w14:textId="3CE20AF7" w:rsidR="00DC5E14" w:rsidRPr="005C0F42" w:rsidRDefault="00DC5E14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  <w:lang w:val="ru-RU"/>
        </w:rPr>
      </w:pPr>
      <w:r w:rsidRPr="005C0F42">
        <w:rPr>
          <w:b/>
          <w:bCs/>
          <w:sz w:val="28"/>
          <w:szCs w:val="28"/>
          <w:lang w:val="ru-RU"/>
        </w:rPr>
        <w:t xml:space="preserve">Часть II. </w:t>
      </w:r>
      <w:r w:rsidR="00E62A2C">
        <w:rPr>
          <w:b/>
          <w:bCs/>
          <w:sz w:val="28"/>
          <w:szCs w:val="28"/>
          <w:lang w:val="ru-RU"/>
        </w:rPr>
        <w:t xml:space="preserve">Траектории </w:t>
      </w:r>
      <w:r w:rsidR="00DB1173">
        <w:rPr>
          <w:b/>
          <w:bCs/>
          <w:sz w:val="28"/>
          <w:szCs w:val="28"/>
          <w:lang w:val="ru-RU"/>
        </w:rPr>
        <w:t>достижения</w:t>
      </w:r>
      <w:r w:rsidR="00E62A2C" w:rsidRPr="005C0F42">
        <w:rPr>
          <w:b/>
          <w:bCs/>
          <w:sz w:val="28"/>
          <w:szCs w:val="28"/>
          <w:lang w:val="ru-RU"/>
        </w:rPr>
        <w:t xml:space="preserve"> </w:t>
      </w:r>
      <w:r w:rsidRPr="005C0F42">
        <w:rPr>
          <w:b/>
          <w:bCs/>
          <w:sz w:val="28"/>
          <w:szCs w:val="28"/>
          <w:lang w:val="ru-RU"/>
        </w:rPr>
        <w:t>устойчив</w:t>
      </w:r>
      <w:r w:rsidR="00DB1173">
        <w:rPr>
          <w:b/>
          <w:bCs/>
          <w:sz w:val="28"/>
          <w:szCs w:val="28"/>
          <w:lang w:val="ru-RU"/>
        </w:rPr>
        <w:t xml:space="preserve">ых </w:t>
      </w:r>
      <w:r w:rsidR="00924923">
        <w:rPr>
          <w:b/>
          <w:bCs/>
          <w:sz w:val="28"/>
          <w:szCs w:val="28"/>
          <w:lang w:val="ru-RU"/>
        </w:rPr>
        <w:t>вариантов</w:t>
      </w:r>
      <w:r w:rsidRPr="005C0F42">
        <w:rPr>
          <w:b/>
          <w:bCs/>
          <w:sz w:val="28"/>
          <w:szCs w:val="28"/>
          <w:lang w:val="ru-RU"/>
        </w:rPr>
        <w:t xml:space="preserve"> будуще</w:t>
      </w:r>
      <w:r w:rsidR="00924923">
        <w:rPr>
          <w:b/>
          <w:bCs/>
          <w:sz w:val="28"/>
          <w:szCs w:val="28"/>
          <w:lang w:val="ru-RU"/>
        </w:rPr>
        <w:t>го</w:t>
      </w:r>
    </w:p>
    <w:p w14:paraId="62524BC5" w14:textId="212408AD" w:rsidR="00DC5E14" w:rsidRPr="001864D2" w:rsidRDefault="005C0F4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33.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части II оценки будут рассматриваться возможные </w:t>
      </w:r>
      <w:r w:rsidR="00B60761">
        <w:rPr>
          <w:lang w:val="ru-RU"/>
        </w:rPr>
        <w:t>траектории достижения</w:t>
      </w:r>
      <w:r w:rsidR="00DC5E14" w:rsidRPr="001864D2">
        <w:rPr>
          <w:lang w:val="ru-RU"/>
        </w:rPr>
        <w:t xml:space="preserve"> ряда устойчив</w:t>
      </w:r>
      <w:r w:rsidR="00B60761">
        <w:rPr>
          <w:lang w:val="ru-RU"/>
        </w:rPr>
        <w:t xml:space="preserve">ых </w:t>
      </w:r>
      <w:r w:rsidR="00B60761" w:rsidRPr="001864D2">
        <w:rPr>
          <w:lang w:val="ru-RU"/>
        </w:rPr>
        <w:t>вариантов</w:t>
      </w:r>
      <w:r w:rsidR="00DC5E14" w:rsidRPr="001864D2">
        <w:rPr>
          <w:lang w:val="ru-RU"/>
        </w:rPr>
        <w:t xml:space="preserve"> будущего</w:t>
      </w:r>
      <w:r w:rsidR="00DC5E14" w:rsidRPr="005C0F42">
        <w:rPr>
          <w:vertAlign w:val="superscript"/>
          <w:lang w:val="ru-RU"/>
        </w:rPr>
        <w:footnoteReference w:id="15"/>
      </w:r>
      <w:r w:rsidR="00DC5E14" w:rsidRPr="001864D2">
        <w:rPr>
          <w:lang w:val="ru-RU"/>
        </w:rPr>
        <w:t xml:space="preserve">. </w:t>
      </w:r>
    </w:p>
    <w:p w14:paraId="0A31BFC1" w14:textId="437B4ADE" w:rsidR="00DC5E14" w:rsidRPr="001864D2" w:rsidRDefault="005C0F4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34.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главе 5 будет дана оценка </w:t>
      </w:r>
      <w:r w:rsidR="00466327" w:rsidRPr="001864D2">
        <w:rPr>
          <w:lang w:val="ru-RU"/>
        </w:rPr>
        <w:t>стратегических</w:t>
      </w:r>
      <w:r w:rsidR="00DC5E14" w:rsidRPr="001864D2">
        <w:rPr>
          <w:lang w:val="ru-RU"/>
        </w:rPr>
        <w:t xml:space="preserve"> и социально-политических способов осуществления изменений. </w:t>
      </w:r>
      <w:r w:rsidR="000D368C" w:rsidRPr="001864D2">
        <w:rPr>
          <w:lang w:val="ru-RU"/>
        </w:rPr>
        <w:t>На основе</w:t>
      </w:r>
      <w:r w:rsidR="00DC5E14" w:rsidRPr="001864D2">
        <w:rPr>
          <w:lang w:val="ru-RU"/>
        </w:rPr>
        <w:t xml:space="preserve"> аналитически</w:t>
      </w:r>
      <w:r w:rsidR="000D368C" w:rsidRPr="001864D2">
        <w:rPr>
          <w:lang w:val="ru-RU"/>
        </w:rPr>
        <w:t>х</w:t>
      </w:r>
      <w:r w:rsidR="00DC5E14" w:rsidRPr="001864D2">
        <w:rPr>
          <w:lang w:val="ru-RU"/>
        </w:rPr>
        <w:t xml:space="preserve"> данны</w:t>
      </w:r>
      <w:r w:rsidR="000D368C" w:rsidRPr="001864D2">
        <w:rPr>
          <w:lang w:val="ru-RU"/>
        </w:rPr>
        <w:t>х</w:t>
      </w:r>
      <w:r w:rsidR="00DC5E14" w:rsidRPr="001864D2">
        <w:rPr>
          <w:lang w:val="ru-RU"/>
        </w:rPr>
        <w:t xml:space="preserve"> из части I в главах 6-11 будет представлен целостный многосекторальный подход к оценке потенциала различных групп субъектов по осуществлению изменений, определенных в главе 5. В этих главах будут оцениваться варианты действий субъектов в отношении водных ресурсов (глава 6), продовольствия (глава 7), энерг</w:t>
      </w:r>
      <w:r w:rsidR="004478D9" w:rsidRPr="001864D2">
        <w:rPr>
          <w:lang w:val="ru-RU"/>
        </w:rPr>
        <w:t>ии</w:t>
      </w:r>
      <w:r w:rsidR="00DC5E14" w:rsidRPr="001864D2">
        <w:rPr>
          <w:lang w:val="ru-RU"/>
        </w:rPr>
        <w:t xml:space="preserve"> (глава 8), здоровья (глава 9), финансов (глава 10) и биоразнообразия (глава 11), которые находятся в синергетической связи друг с другом </w:t>
      </w:r>
      <w:r w:rsidR="004478D9" w:rsidRPr="001864D2">
        <w:rPr>
          <w:lang w:val="ru-RU"/>
        </w:rPr>
        <w:t>в соответствии с</w:t>
      </w:r>
      <w:r w:rsidR="00DC5E14" w:rsidRPr="001864D2">
        <w:rPr>
          <w:lang w:val="ru-RU"/>
        </w:rPr>
        <w:t xml:space="preserve"> </w:t>
      </w:r>
      <w:r w:rsidR="003A5BC0">
        <w:rPr>
          <w:lang w:val="ru-RU"/>
        </w:rPr>
        <w:t>нексусным</w:t>
      </w:r>
      <w:r w:rsidR="003A5BC0" w:rsidRPr="001864D2">
        <w:rPr>
          <w:lang w:val="ru-RU"/>
        </w:rPr>
        <w:t xml:space="preserve"> </w:t>
      </w:r>
      <w:r w:rsidR="00DC5E14" w:rsidRPr="001864D2">
        <w:rPr>
          <w:lang w:val="ru-RU"/>
        </w:rPr>
        <w:t>подход</w:t>
      </w:r>
      <w:r w:rsidR="004478D9" w:rsidRPr="001864D2">
        <w:rPr>
          <w:lang w:val="ru-RU"/>
        </w:rPr>
        <w:t>ом</w:t>
      </w:r>
      <w:r w:rsidR="00DC5E14" w:rsidRPr="001864D2">
        <w:rPr>
          <w:lang w:val="ru-RU"/>
        </w:rPr>
        <w:t xml:space="preserve">. </w:t>
      </w:r>
    </w:p>
    <w:p w14:paraId="3195F3E7" w14:textId="7E2EF0AA" w:rsidR="00DC5E14" w:rsidRPr="001864D2" w:rsidRDefault="005C0F42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35.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В каждой главе буд</w:t>
      </w:r>
      <w:r w:rsidR="00D95B3F" w:rsidRPr="001864D2">
        <w:rPr>
          <w:lang w:val="ru-RU"/>
        </w:rPr>
        <w:t>е</w:t>
      </w:r>
      <w:r w:rsidR="00DC5E14" w:rsidRPr="001864D2">
        <w:rPr>
          <w:lang w:val="ru-RU"/>
        </w:rPr>
        <w:t>т рассматриваться следующ</w:t>
      </w:r>
      <w:r w:rsidR="00D95B3F" w:rsidRPr="001864D2">
        <w:rPr>
          <w:lang w:val="ru-RU"/>
        </w:rPr>
        <w:t>ее</w:t>
      </w:r>
      <w:r w:rsidR="00DC5E14" w:rsidRPr="001864D2">
        <w:rPr>
          <w:lang w:val="ru-RU"/>
        </w:rPr>
        <w:t>:</w:t>
      </w:r>
    </w:p>
    <w:p w14:paraId="60BAC5E0" w14:textId="626E1A46" w:rsidR="00DC5E14" w:rsidRPr="001864D2" w:rsidRDefault="00384A99" w:rsidP="00384A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варианты реагирования, которые включают индивидуальные и коллективные действия (например, от местных до национальных правительств, международных организаций, частного сектора, молодежи, религиозных организаций, коренных народов и местных общин, финансовых учреждений, некоммерческих и исследовательских организаций) по изменению политики и норм, финансовых инструментов, структур управления, технологий, деловой практики и форм поведения, а также по созданию благоприятных условий для внедрения изменений, указанных в главе 5;</w:t>
      </w:r>
    </w:p>
    <w:p w14:paraId="7845FDDC" w14:textId="4B9758C7" w:rsidR="00DC5E14" w:rsidRPr="001864D2" w:rsidRDefault="00384A99" w:rsidP="00384A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2E4D80">
        <w:rPr>
          <w:lang w:val="ru-RU"/>
        </w:rPr>
        <w:t>)</w:t>
      </w:r>
      <w:r w:rsidRPr="002E4D80">
        <w:rPr>
          <w:lang w:val="ru-RU"/>
        </w:rPr>
        <w:tab/>
      </w:r>
      <w:r w:rsidR="00DC5E14" w:rsidRPr="001864D2">
        <w:rPr>
          <w:lang w:val="ru-RU"/>
        </w:rPr>
        <w:t xml:space="preserve">варианты реагирования, для которых требуются совместные действия </w:t>
      </w:r>
      <w:r w:rsidR="004478D9" w:rsidRPr="001864D2">
        <w:rPr>
          <w:lang w:val="ru-RU"/>
        </w:rPr>
        <w:t xml:space="preserve">со стороны </w:t>
      </w:r>
      <w:r w:rsidR="00DC5E14" w:rsidRPr="001864D2">
        <w:rPr>
          <w:lang w:val="ru-RU"/>
        </w:rPr>
        <w:t>нескольких секторов, с указанием того, каким образом каждый сектор будет вносить свой вклад в эти совместные действия;</w:t>
      </w:r>
    </w:p>
    <w:p w14:paraId="3028D8CF" w14:textId="63E86245" w:rsidR="00DC5E14" w:rsidRPr="001864D2" w:rsidRDefault="00384A99" w:rsidP="00384A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2E4D80">
        <w:rPr>
          <w:lang w:val="ru-RU"/>
        </w:rPr>
        <w:t>)</w:t>
      </w:r>
      <w:r w:rsidRPr="002E4D80">
        <w:rPr>
          <w:lang w:val="ru-RU"/>
        </w:rPr>
        <w:tab/>
      </w:r>
      <w:r w:rsidR="00DC5E14" w:rsidRPr="001864D2">
        <w:rPr>
          <w:lang w:val="ru-RU"/>
        </w:rPr>
        <w:t>потенциал основанных на природных факторах решений</w:t>
      </w:r>
      <w:r w:rsidR="00DC5E14" w:rsidRPr="005C0F42">
        <w:rPr>
          <w:vertAlign w:val="superscript"/>
          <w:lang w:val="ru-RU"/>
        </w:rPr>
        <w:footnoteReference w:id="16"/>
      </w:r>
      <w:r w:rsidRPr="002E4D80">
        <w:rPr>
          <w:lang w:val="ru-RU"/>
        </w:rPr>
        <w:t xml:space="preserve"> </w:t>
      </w:r>
      <w:r w:rsidR="00DC5E14" w:rsidRPr="001864D2">
        <w:rPr>
          <w:lang w:val="ru-RU"/>
        </w:rPr>
        <w:t>и вариантов реагирования;</w:t>
      </w:r>
    </w:p>
    <w:p w14:paraId="2A1248A7" w14:textId="3F7DE4E9" w:rsidR="00DC5E14" w:rsidRPr="001864D2" w:rsidRDefault="00384A99" w:rsidP="00384A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экологические (например, биоразнообразие, климат, экосистемы, обеспечиваемый природой вклад на благо человека), социальные (например, гендерное равенство, культурные ценности, бремя заболеваний, продовольственная безопасность, безопасность водных ресурсов, риск стихийных бедствий) и экономические (например, занятость, варианты обеспечения средств к существованию, доход, доступ к капиталу) издержки и выгоды (положительные и отрицательные последствия) вариантов реагирования, которые могут способствовать внедрению изменений, представленных в главе 5. Эти оценки </w:t>
      </w:r>
      <w:r w:rsidR="00DC5E14" w:rsidRPr="001864D2">
        <w:rPr>
          <w:lang w:val="ru-RU"/>
        </w:rPr>
        <w:lastRenderedPageBreak/>
        <w:t>будут по возможности количественными, и в них будут учтены экологические, социальные и экономические издержки бездействия или промедления;</w:t>
      </w:r>
    </w:p>
    <w:p w14:paraId="1A7A0523" w14:textId="07134443" w:rsidR="00DC5E14" w:rsidRPr="001864D2" w:rsidRDefault="00384A99" w:rsidP="00384A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какие индикаторы используются для отслеживания прогресса в достижении целей/задач, в том числе в рамках </w:t>
      </w:r>
      <w:r w:rsidR="00DC227B">
        <w:rPr>
          <w:lang w:val="ru-RU"/>
        </w:rPr>
        <w:t>механизма</w:t>
      </w:r>
      <w:r w:rsidR="00DC227B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мониторинга </w:t>
      </w:r>
      <w:r w:rsidR="00A97B11">
        <w:rPr>
          <w:lang w:val="ru-RU"/>
        </w:rPr>
        <w:t>для</w:t>
      </w:r>
      <w:r w:rsidR="00F514F0">
        <w:rPr>
          <w:lang w:val="ru-RU"/>
        </w:rPr>
        <w:t xml:space="preserve"> систем</w:t>
      </w:r>
      <w:r w:rsidR="00A97B11">
        <w:rPr>
          <w:lang w:val="ru-RU"/>
        </w:rPr>
        <w:t>ы</w:t>
      </w:r>
      <w:r w:rsidR="00F514F0">
        <w:rPr>
          <w:lang w:val="ru-RU"/>
        </w:rPr>
        <w:t xml:space="preserve"> глобальных мероприятий в сфере</w:t>
      </w:r>
      <w:r w:rsidR="00F514F0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биоразнообразия на период после 2020 года и Повестки дня </w:t>
      </w:r>
      <w:r w:rsidR="00D95B3F" w:rsidRPr="001864D2">
        <w:rPr>
          <w:lang w:val="ru-RU"/>
        </w:rPr>
        <w:t xml:space="preserve">на период </w:t>
      </w:r>
      <w:r w:rsidR="00DC5E14" w:rsidRPr="001864D2">
        <w:rPr>
          <w:lang w:val="ru-RU"/>
        </w:rPr>
        <w:t>до 2030 года, насколько они эффективны с точки зрения выявления взаимо</w:t>
      </w:r>
      <w:r w:rsidR="00D44C58">
        <w:rPr>
          <w:lang w:val="ru-RU"/>
        </w:rPr>
        <w:t>действий внутри совокупности</w:t>
      </w:r>
      <w:r w:rsidR="00DC5E14" w:rsidRPr="001864D2">
        <w:rPr>
          <w:lang w:val="ru-RU"/>
        </w:rPr>
        <w:t xml:space="preserve">, какой прогресс был достигнут в отношении этих индикаторов и какие существуют варианты их улучшения или дополнения? </w:t>
      </w:r>
    </w:p>
    <w:p w14:paraId="5623DAB8" w14:textId="241AE026" w:rsidR="00DC5E14" w:rsidRPr="001864D2" w:rsidRDefault="00384A99" w:rsidP="00384A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f</w:t>
      </w:r>
      <w:r w:rsidRPr="002E4D80">
        <w:rPr>
          <w:lang w:val="ru-RU"/>
        </w:rPr>
        <w:t>)</w:t>
      </w:r>
      <w:r w:rsidRPr="002E4D80">
        <w:rPr>
          <w:lang w:val="ru-RU"/>
        </w:rPr>
        <w:tab/>
      </w:r>
      <w:r w:rsidR="00DC5E14" w:rsidRPr="001864D2">
        <w:rPr>
          <w:lang w:val="ru-RU"/>
        </w:rPr>
        <w:t xml:space="preserve">пробелы в знаниях, связанные с вариантами реагирования для </w:t>
      </w:r>
      <w:r w:rsidR="00D95B3F" w:rsidRPr="001864D2">
        <w:rPr>
          <w:lang w:val="ru-RU"/>
        </w:rPr>
        <w:t>определенного</w:t>
      </w:r>
      <w:r w:rsidR="00DC5E14" w:rsidRPr="001864D2">
        <w:rPr>
          <w:lang w:val="ru-RU"/>
        </w:rPr>
        <w:t xml:space="preserve"> сектора, включая ограничения на использование процессных и численных имитационных моделей для исследования взаимосвязей;</w:t>
      </w:r>
    </w:p>
    <w:p w14:paraId="388A97DD" w14:textId="136787BB" w:rsidR="00DC5E14" w:rsidRPr="001864D2" w:rsidRDefault="00384A99" w:rsidP="00384A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g</w:t>
      </w:r>
      <w:r w:rsidRPr="003056DD">
        <w:rPr>
          <w:lang w:val="ru-RU"/>
        </w:rPr>
        <w:t>)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соответствующих случаях </w:t>
      </w:r>
      <w:r w:rsidR="004005B9" w:rsidRPr="001864D2">
        <w:rPr>
          <w:lang w:val="ru-RU"/>
        </w:rPr>
        <w:t xml:space="preserve">тематические </w:t>
      </w:r>
      <w:r w:rsidR="00DC5E14" w:rsidRPr="001864D2">
        <w:rPr>
          <w:lang w:val="ru-RU"/>
        </w:rPr>
        <w:t>исследования успехов и неудач в различных масштабах.</w:t>
      </w:r>
    </w:p>
    <w:p w14:paraId="37F0DD04" w14:textId="782EC5E6" w:rsidR="00DC5E14" w:rsidRPr="001864D2" w:rsidRDefault="00384A99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36.</w:t>
      </w:r>
      <w:r w:rsidRPr="003056DD">
        <w:rPr>
          <w:lang w:val="ru-RU"/>
        </w:rPr>
        <w:tab/>
      </w:r>
      <w:r w:rsidR="00DC5E14" w:rsidRPr="00384A99">
        <w:rPr>
          <w:b/>
          <w:bCs/>
          <w:lang w:val="ru-RU"/>
        </w:rPr>
        <w:t>Глава 5</w:t>
      </w:r>
      <w:r w:rsidR="007878CB" w:rsidRPr="00384A99">
        <w:rPr>
          <w:b/>
          <w:bCs/>
          <w:lang w:val="ru-RU"/>
        </w:rPr>
        <w:t>.</w:t>
      </w:r>
      <w:r w:rsidR="00DC5E14" w:rsidRPr="00384A99">
        <w:rPr>
          <w:b/>
          <w:bCs/>
          <w:lang w:val="ru-RU"/>
        </w:rPr>
        <w:t xml:space="preserve"> </w:t>
      </w:r>
      <w:r w:rsidR="001369D1">
        <w:rPr>
          <w:b/>
          <w:bCs/>
          <w:lang w:val="ru-RU"/>
        </w:rPr>
        <w:t xml:space="preserve">Имеющиеся в составе совокупности </w:t>
      </w:r>
      <w:r w:rsidR="00CC65C7">
        <w:rPr>
          <w:b/>
          <w:bCs/>
          <w:lang w:val="ru-RU"/>
        </w:rPr>
        <w:t xml:space="preserve">варианты политики </w:t>
      </w:r>
      <w:r w:rsidR="00DC5E14" w:rsidRPr="00384A99">
        <w:rPr>
          <w:b/>
          <w:bCs/>
          <w:lang w:val="ru-RU"/>
        </w:rPr>
        <w:t>и социально</w:t>
      </w:r>
      <w:r>
        <w:rPr>
          <w:b/>
          <w:bCs/>
          <w:lang w:val="ru-RU"/>
        </w:rPr>
        <w:noBreakHyphen/>
      </w:r>
      <w:r w:rsidR="00DC5E14" w:rsidRPr="00384A99">
        <w:rPr>
          <w:b/>
          <w:bCs/>
          <w:lang w:val="ru-RU"/>
        </w:rPr>
        <w:t>политические варианты, которые мог</w:t>
      </w:r>
      <w:r w:rsidR="00CC65C7">
        <w:rPr>
          <w:b/>
          <w:bCs/>
          <w:lang w:val="ru-RU"/>
        </w:rPr>
        <w:t>ут</w:t>
      </w:r>
      <w:r w:rsidR="00DC5E14" w:rsidRPr="00384A99">
        <w:rPr>
          <w:b/>
          <w:bCs/>
          <w:lang w:val="ru-RU"/>
        </w:rPr>
        <w:t xml:space="preserve"> способствовать переходу к различным устойчив</w:t>
      </w:r>
      <w:r w:rsidR="00EE5BE3">
        <w:rPr>
          <w:b/>
          <w:bCs/>
          <w:lang w:val="ru-RU"/>
        </w:rPr>
        <w:t xml:space="preserve">ым вариантам </w:t>
      </w:r>
      <w:r w:rsidR="00DC5E14" w:rsidRPr="00384A99">
        <w:rPr>
          <w:b/>
          <w:bCs/>
          <w:lang w:val="ru-RU"/>
        </w:rPr>
        <w:t>будущего</w:t>
      </w:r>
      <w:r w:rsidR="00DC5E14" w:rsidRPr="001864D2">
        <w:rPr>
          <w:lang w:val="ru-RU"/>
        </w:rPr>
        <w:t xml:space="preserve">. В главе 5 будет определено, что </w:t>
      </w:r>
      <w:r w:rsidR="00566757" w:rsidRPr="001864D2">
        <w:rPr>
          <w:lang w:val="ru-RU"/>
        </w:rPr>
        <w:t>«</w:t>
      </w:r>
      <w:r w:rsidR="00DC5E14" w:rsidRPr="001864D2">
        <w:rPr>
          <w:lang w:val="ru-RU"/>
        </w:rPr>
        <w:t>изменение</w:t>
      </w:r>
      <w:r w:rsidR="00566757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</w:t>
      </w:r>
      <w:r w:rsidR="00FF396B" w:rsidRPr="001864D2">
        <w:rPr>
          <w:lang w:val="ru-RU"/>
        </w:rPr>
        <w:t xml:space="preserve">означает </w:t>
      </w:r>
      <w:r w:rsidR="00DC5E14" w:rsidRPr="001864D2">
        <w:rPr>
          <w:lang w:val="ru-RU"/>
        </w:rPr>
        <w:t xml:space="preserve">в контексте </w:t>
      </w:r>
      <w:r w:rsidR="00F60B4B">
        <w:rPr>
          <w:lang w:val="ru-RU"/>
        </w:rPr>
        <w:t xml:space="preserve">рассматриваемой </w:t>
      </w:r>
      <w:r w:rsidR="007E3B01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, и будет дана оценка целесообразности различных теоретических и практических рамок для внедрения подходов к обеспечению устойчивого управления путем преобразовательных изменений, либо </w:t>
      </w:r>
      <w:r w:rsidR="00FF396B" w:rsidRPr="001864D2">
        <w:rPr>
          <w:lang w:val="ru-RU"/>
        </w:rPr>
        <w:t>посредством</w:t>
      </w:r>
      <w:r w:rsidR="00DC5E14" w:rsidRPr="001864D2">
        <w:rPr>
          <w:lang w:val="ru-RU"/>
        </w:rPr>
        <w:t xml:space="preserve"> выявления других подходов к управлению (</w:t>
      </w:r>
      <w:r w:rsidR="00EE5BE3">
        <w:rPr>
          <w:lang w:val="ru-RU"/>
        </w:rPr>
        <w:t>варианты политики</w:t>
      </w:r>
      <w:r w:rsidR="00EE5BE3" w:rsidRPr="001864D2">
        <w:rPr>
          <w:lang w:val="ru-RU"/>
        </w:rPr>
        <w:t xml:space="preserve"> </w:t>
      </w:r>
      <w:r w:rsidR="00DC5E14" w:rsidRPr="001864D2">
        <w:rPr>
          <w:lang w:val="ru-RU"/>
        </w:rPr>
        <w:t>и социально-политически</w:t>
      </w:r>
      <w:r w:rsidR="00EE5BE3">
        <w:rPr>
          <w:lang w:val="ru-RU"/>
        </w:rPr>
        <w:t>е</w:t>
      </w:r>
      <w:r w:rsidR="00DC5E14" w:rsidRPr="001864D2">
        <w:rPr>
          <w:lang w:val="ru-RU"/>
        </w:rPr>
        <w:t xml:space="preserve"> вариант</w:t>
      </w:r>
      <w:r w:rsidR="00EE5BE3">
        <w:rPr>
          <w:lang w:val="ru-RU"/>
        </w:rPr>
        <w:t>ы</w:t>
      </w:r>
      <w:r w:rsidR="00DC5E14" w:rsidRPr="001864D2">
        <w:rPr>
          <w:lang w:val="ru-RU"/>
        </w:rPr>
        <w:t>). Буд</w:t>
      </w:r>
      <w:r w:rsidR="00FF396B" w:rsidRPr="001864D2">
        <w:rPr>
          <w:lang w:val="ru-RU"/>
        </w:rPr>
        <w:t>у</w:t>
      </w:r>
      <w:r w:rsidR="00DC5E14" w:rsidRPr="001864D2">
        <w:rPr>
          <w:lang w:val="ru-RU"/>
        </w:rPr>
        <w:t>т исследован</w:t>
      </w:r>
      <w:r w:rsidR="00FF396B" w:rsidRPr="001864D2">
        <w:rPr>
          <w:lang w:val="ru-RU"/>
        </w:rPr>
        <w:t>ы</w:t>
      </w:r>
      <w:r w:rsidR="00DC5E14" w:rsidRPr="001864D2">
        <w:rPr>
          <w:lang w:val="ru-RU"/>
        </w:rPr>
        <w:t xml:space="preserve"> изменени</w:t>
      </w:r>
      <w:r w:rsidR="00FF396B" w:rsidRPr="001864D2">
        <w:rPr>
          <w:lang w:val="ru-RU"/>
        </w:rPr>
        <w:t>я</w:t>
      </w:r>
      <w:r w:rsidR="00DC5E14" w:rsidRPr="001864D2">
        <w:rPr>
          <w:lang w:val="ru-RU"/>
        </w:rPr>
        <w:t>, которые могли бы способствовать обеспечению устойчивости в контексте шести взаимо</w:t>
      </w:r>
      <w:r w:rsidR="007E3B01">
        <w:rPr>
          <w:lang w:val="ru-RU"/>
        </w:rPr>
        <w:t>действующих</w:t>
      </w:r>
      <w:r w:rsidR="00DC5E14" w:rsidRPr="001864D2">
        <w:rPr>
          <w:lang w:val="ru-RU"/>
        </w:rPr>
        <w:t xml:space="preserve"> элементов</w:t>
      </w:r>
      <w:r w:rsidR="007E3B01">
        <w:rPr>
          <w:lang w:val="ru-RU"/>
        </w:rPr>
        <w:t xml:space="preserve"> совокупности</w:t>
      </w:r>
      <w:r w:rsidR="00DC5E14" w:rsidRPr="001864D2">
        <w:rPr>
          <w:lang w:val="ru-RU"/>
        </w:rPr>
        <w:t xml:space="preserve">, а также в более широком контексте целей в области устойчивого развития и Парижского соглашения. В этой главе будет дана оценка факторам, </w:t>
      </w:r>
      <w:r w:rsidR="00FF396B" w:rsidRPr="001864D2">
        <w:rPr>
          <w:lang w:val="ru-RU"/>
        </w:rPr>
        <w:t>в том числе</w:t>
      </w:r>
      <w:r w:rsidR="00DC5E14" w:rsidRPr="001864D2">
        <w:rPr>
          <w:lang w:val="ru-RU"/>
        </w:rPr>
        <w:t xml:space="preserve"> экономически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 xml:space="preserve"> и финансовы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>, технически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 xml:space="preserve"> и технологически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>, социальны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>, институциональны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>, культурны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 xml:space="preserve"> и поведенчески</w:t>
      </w:r>
      <w:r w:rsidR="00FF396B" w:rsidRPr="001864D2">
        <w:rPr>
          <w:lang w:val="ru-RU"/>
        </w:rPr>
        <w:t>м</w:t>
      </w:r>
      <w:r w:rsidR="00DC5E14" w:rsidRPr="001864D2">
        <w:rPr>
          <w:lang w:val="ru-RU"/>
        </w:rPr>
        <w:t>, которые могут способствовать изменениям в целях достижения устойчив</w:t>
      </w:r>
      <w:r w:rsidR="00C6579E">
        <w:rPr>
          <w:lang w:val="ru-RU"/>
        </w:rPr>
        <w:t>ых вариантов</w:t>
      </w:r>
      <w:r w:rsidR="00DC5E14" w:rsidRPr="001864D2">
        <w:rPr>
          <w:lang w:val="ru-RU"/>
        </w:rPr>
        <w:t xml:space="preserve"> будущего или препятствовать им, а также предотвращ</w:t>
      </w:r>
      <w:r w:rsidR="00FF396B" w:rsidRPr="001864D2">
        <w:rPr>
          <w:lang w:val="ru-RU"/>
        </w:rPr>
        <w:t xml:space="preserve">ению </w:t>
      </w:r>
      <w:r w:rsidR="00DC5E14" w:rsidRPr="001864D2">
        <w:rPr>
          <w:lang w:val="ru-RU"/>
        </w:rPr>
        <w:t>действи</w:t>
      </w:r>
      <w:r w:rsidR="00FF396B" w:rsidRPr="001864D2">
        <w:rPr>
          <w:lang w:val="ru-RU"/>
        </w:rPr>
        <w:t>й</w:t>
      </w:r>
      <w:r w:rsidR="00DC5E14" w:rsidRPr="001864D2">
        <w:rPr>
          <w:lang w:val="ru-RU"/>
        </w:rPr>
        <w:t>, затрудня</w:t>
      </w:r>
      <w:r w:rsidR="00FF396B" w:rsidRPr="001864D2">
        <w:rPr>
          <w:lang w:val="ru-RU"/>
        </w:rPr>
        <w:t>ющих</w:t>
      </w:r>
      <w:r w:rsidR="00DC5E14" w:rsidRPr="001864D2">
        <w:rPr>
          <w:lang w:val="ru-RU"/>
        </w:rPr>
        <w:t xml:space="preserve"> адаптацию в долгосрочной перспективе. В частности, в главе 5 будут определены и оценены межсекторальные вопросы</w:t>
      </w:r>
      <w:r w:rsidR="00055844">
        <w:rPr>
          <w:lang w:val="ru-RU"/>
        </w:rPr>
        <w:t xml:space="preserve"> или </w:t>
      </w:r>
      <w:r w:rsidR="00DC5E14" w:rsidRPr="001864D2">
        <w:rPr>
          <w:lang w:val="ru-RU"/>
        </w:rPr>
        <w:t xml:space="preserve">вопросы высокого уровня, </w:t>
      </w:r>
      <w:r w:rsidR="00055844">
        <w:rPr>
          <w:lang w:val="ru-RU"/>
        </w:rPr>
        <w:t>значимые для всех</w:t>
      </w:r>
      <w:r w:rsidR="00DC5E14" w:rsidRPr="001864D2">
        <w:rPr>
          <w:lang w:val="ru-RU"/>
        </w:rPr>
        <w:t xml:space="preserve"> элемент</w:t>
      </w:r>
      <w:r w:rsidR="00055844">
        <w:rPr>
          <w:lang w:val="ru-RU"/>
        </w:rPr>
        <w:t>ов совокупности</w:t>
      </w:r>
      <w:r w:rsidR="00DC5E14" w:rsidRPr="001864D2">
        <w:rPr>
          <w:lang w:val="ru-RU"/>
        </w:rPr>
        <w:t xml:space="preserve">, включая, например, социальные вопросы, такие как </w:t>
      </w:r>
      <w:r w:rsidR="00210726" w:rsidRPr="001864D2">
        <w:rPr>
          <w:lang w:val="ru-RU"/>
        </w:rPr>
        <w:t>нищета</w:t>
      </w:r>
      <w:r w:rsidR="00DC5E14" w:rsidRPr="001864D2">
        <w:rPr>
          <w:lang w:val="ru-RU"/>
        </w:rPr>
        <w:t>, занятость, гендерные вопросы, сплоченность, образование, продовольственная безопасность, справедливость и правосудие, а также демография; экономические и финансовые вопросы, включая инклюзивное богатство, субсидии, внешние факторы, доход, рост, экономическую эффективность; политические вопросы, такие как полицентричное управление и инклюзивность. В главе будет дана оценка способов развития экономических, финансовых и управленческих систем, а также потенциал</w:t>
      </w:r>
      <w:r w:rsidR="00210726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межсекторального планирования и управления </w:t>
      </w:r>
      <w:r w:rsidR="00210726" w:rsidRPr="001864D2">
        <w:rPr>
          <w:lang w:val="ru-RU"/>
        </w:rPr>
        <w:t>по</w:t>
      </w:r>
      <w:r w:rsidR="00DC5E14" w:rsidRPr="001864D2">
        <w:rPr>
          <w:lang w:val="ru-RU"/>
        </w:rPr>
        <w:t xml:space="preserve"> создани</w:t>
      </w:r>
      <w:r w:rsidR="00210726" w:rsidRPr="001864D2">
        <w:rPr>
          <w:lang w:val="ru-RU"/>
        </w:rPr>
        <w:t>ю</w:t>
      </w:r>
      <w:r w:rsidR="00DC5E14" w:rsidRPr="001864D2">
        <w:rPr>
          <w:lang w:val="ru-RU"/>
        </w:rPr>
        <w:t xml:space="preserve"> устойчивых подходов к </w:t>
      </w:r>
      <w:r w:rsidR="00055844">
        <w:rPr>
          <w:lang w:val="ru-RU"/>
        </w:rPr>
        <w:t>регулированию</w:t>
      </w:r>
      <w:r w:rsidR="00055844" w:rsidRPr="001864D2">
        <w:rPr>
          <w:lang w:val="ru-RU"/>
        </w:rPr>
        <w:t xml:space="preserve"> </w:t>
      </w:r>
      <w:r w:rsidR="00DC5E14" w:rsidRPr="001864D2">
        <w:rPr>
          <w:lang w:val="ru-RU"/>
        </w:rPr>
        <w:t>элемент</w:t>
      </w:r>
      <w:r w:rsidR="00055844">
        <w:rPr>
          <w:lang w:val="ru-RU"/>
        </w:rPr>
        <w:t xml:space="preserve">ов </w:t>
      </w:r>
      <w:r w:rsidR="00A4484F">
        <w:rPr>
          <w:lang w:val="ru-RU"/>
        </w:rPr>
        <w:t>совокупности</w:t>
      </w:r>
      <w:r w:rsidR="00DC5E14" w:rsidRPr="001864D2">
        <w:rPr>
          <w:lang w:val="ru-RU"/>
        </w:rPr>
        <w:t>. Кроме того, в этой главе бу</w:t>
      </w:r>
      <w:r w:rsidR="00501432" w:rsidRPr="001864D2">
        <w:rPr>
          <w:lang w:val="ru-RU"/>
        </w:rPr>
        <w:t>ду</w:t>
      </w:r>
      <w:r w:rsidR="00DC5E14" w:rsidRPr="001864D2">
        <w:rPr>
          <w:lang w:val="ru-RU"/>
        </w:rPr>
        <w:t>т изуч</w:t>
      </w:r>
      <w:r w:rsidR="00210726" w:rsidRPr="001864D2">
        <w:rPr>
          <w:lang w:val="ru-RU"/>
        </w:rPr>
        <w:t>ен</w:t>
      </w:r>
      <w:r w:rsidR="00501432" w:rsidRPr="001864D2">
        <w:rPr>
          <w:lang w:val="ru-RU"/>
        </w:rPr>
        <w:t>ы</w:t>
      </w:r>
      <w:r w:rsidR="00DC5E14" w:rsidRPr="001864D2">
        <w:rPr>
          <w:lang w:val="ru-RU"/>
        </w:rPr>
        <w:t xml:space="preserve"> роль технологий</w:t>
      </w:r>
      <w:r w:rsidR="00501432" w:rsidRPr="001864D2">
        <w:rPr>
          <w:lang w:val="ru-RU"/>
        </w:rPr>
        <w:t>,</w:t>
      </w:r>
      <w:r w:rsidR="00DC5E14" w:rsidRPr="001864D2">
        <w:rPr>
          <w:lang w:val="ru-RU"/>
        </w:rPr>
        <w:t xml:space="preserve"> знани</w:t>
      </w:r>
      <w:r w:rsidR="00501432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коренного и местного населения, различные представления о достойном качестве жизни</w:t>
      </w:r>
      <w:r w:rsidR="00501432" w:rsidRPr="001864D2">
        <w:rPr>
          <w:lang w:val="ru-RU"/>
        </w:rPr>
        <w:t>, а также</w:t>
      </w:r>
      <w:r w:rsidR="00DC5E14" w:rsidRPr="001864D2">
        <w:rPr>
          <w:lang w:val="ru-RU"/>
        </w:rPr>
        <w:t xml:space="preserve"> ценности и структурные условия, влияющие на индивидуальное и коллективное поведение </w:t>
      </w:r>
      <w:r w:rsidR="00BF4F42">
        <w:rPr>
          <w:lang w:val="ru-RU"/>
        </w:rPr>
        <w:t>по</w:t>
      </w:r>
      <w:r w:rsidR="00DC5E14" w:rsidRPr="001864D2">
        <w:rPr>
          <w:lang w:val="ru-RU"/>
        </w:rPr>
        <w:t xml:space="preserve"> отношени</w:t>
      </w:r>
      <w:r w:rsidR="00BF4F42">
        <w:rPr>
          <w:lang w:val="ru-RU"/>
        </w:rPr>
        <w:t>ю</w:t>
      </w:r>
      <w:r w:rsidR="00DC5E14" w:rsidRPr="001864D2">
        <w:rPr>
          <w:lang w:val="ru-RU"/>
        </w:rPr>
        <w:t xml:space="preserve"> </w:t>
      </w:r>
      <w:r w:rsidR="00BF4F42">
        <w:rPr>
          <w:lang w:val="ru-RU"/>
        </w:rPr>
        <w:t>к совокупности</w:t>
      </w:r>
      <w:r w:rsidR="00DC5E14" w:rsidRPr="001864D2">
        <w:rPr>
          <w:lang w:val="ru-RU"/>
        </w:rPr>
        <w:t xml:space="preserve">. Будет проведена оценка потенциальной эффективности различных мер вмешательства, осуществляемых на различных уровнях управления, и рычагов воздействия. В этой главе будут обсуждаться и оцениваться </w:t>
      </w:r>
      <w:r w:rsidR="00501432" w:rsidRPr="001864D2">
        <w:rPr>
          <w:lang w:val="ru-RU"/>
        </w:rPr>
        <w:t>виды</w:t>
      </w:r>
      <w:r w:rsidR="00DC5E14" w:rsidRPr="001864D2">
        <w:rPr>
          <w:lang w:val="ru-RU"/>
        </w:rPr>
        <w:t xml:space="preserve"> действий, которые представляют собой преобразующие изменения и другие устойчивые подходы к принятию решений, включая, например, то, какие действия, сами по себе не являясь преобразующими, ведут к преобразованиям (например, к устранению нежелательных субсидий), а также кратко определены типы действий в разбивке по секторам, которые </w:t>
      </w:r>
      <w:r w:rsidR="00501432" w:rsidRPr="001864D2">
        <w:rPr>
          <w:lang w:val="ru-RU"/>
        </w:rPr>
        <w:t>не имеют мгновенного эффекта</w:t>
      </w:r>
      <w:r w:rsidR="00DC5E14" w:rsidRPr="001864D2">
        <w:rPr>
          <w:lang w:val="ru-RU"/>
        </w:rPr>
        <w:t>, но при этом очень важны (например, использование агроэкологической практики), исходя из понимания синергии и компромиссов со всеми элементами</w:t>
      </w:r>
      <w:r w:rsidR="006928AE">
        <w:rPr>
          <w:lang w:val="ru-RU"/>
        </w:rPr>
        <w:t xml:space="preserve"> совокупности</w:t>
      </w:r>
      <w:r w:rsidR="00DC5E14" w:rsidRPr="001864D2">
        <w:rPr>
          <w:lang w:val="ru-RU"/>
        </w:rPr>
        <w:t xml:space="preserve">. </w:t>
      </w:r>
    </w:p>
    <w:p w14:paraId="2E5BB33A" w14:textId="01FB7D8E" w:rsidR="00DC5E14" w:rsidRPr="001864D2" w:rsidRDefault="00384A99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1" w:name="_Hlk66094003"/>
      <w:bookmarkStart w:id="2" w:name="_Hlk66027228"/>
      <w:bookmarkStart w:id="3" w:name="_Hlk66024491"/>
      <w:r w:rsidRPr="003056DD">
        <w:rPr>
          <w:lang w:val="ru-RU"/>
        </w:rPr>
        <w:t>37.</w:t>
      </w:r>
      <w:r w:rsidRPr="003056DD">
        <w:rPr>
          <w:lang w:val="ru-RU"/>
        </w:rPr>
        <w:tab/>
      </w:r>
      <w:r w:rsidR="00DC5E14" w:rsidRPr="00384A99">
        <w:rPr>
          <w:b/>
          <w:bCs/>
          <w:lang w:val="ru-RU"/>
        </w:rPr>
        <w:t>Глава 6</w:t>
      </w:r>
      <w:r w:rsidR="007878CB" w:rsidRPr="00384A99">
        <w:rPr>
          <w:b/>
          <w:bCs/>
          <w:lang w:val="ru-RU"/>
        </w:rPr>
        <w:t>.</w:t>
      </w:r>
      <w:r w:rsidR="00DC5E14" w:rsidRPr="00384A99">
        <w:rPr>
          <w:b/>
          <w:bCs/>
          <w:lang w:val="ru-RU"/>
        </w:rPr>
        <w:t xml:space="preserve"> </w:t>
      </w:r>
      <w:r w:rsidR="007878CB" w:rsidRPr="00384A99">
        <w:rPr>
          <w:b/>
          <w:bCs/>
          <w:lang w:val="ru-RU"/>
        </w:rPr>
        <w:t>В</w:t>
      </w:r>
      <w:r w:rsidR="00DC5E14" w:rsidRPr="00384A99">
        <w:rPr>
          <w:b/>
          <w:bCs/>
          <w:lang w:val="ru-RU"/>
        </w:rPr>
        <w:t xml:space="preserve">арианты обеспечения устойчивых подходов к водным ресурсам в синергии с другими компонентами </w:t>
      </w:r>
      <w:r w:rsidR="006928AE">
        <w:rPr>
          <w:b/>
          <w:bCs/>
          <w:lang w:val="ru-RU"/>
        </w:rPr>
        <w:t>совокупности</w:t>
      </w:r>
      <w:r w:rsidR="00DC5E14" w:rsidRPr="001864D2">
        <w:rPr>
          <w:lang w:val="ru-RU"/>
        </w:rPr>
        <w:t>. В главе 6 будут рассм</w:t>
      </w:r>
      <w:r w:rsidR="00FA48CC" w:rsidRPr="001864D2">
        <w:rPr>
          <w:lang w:val="ru-RU"/>
        </w:rPr>
        <w:t>атриваться</w:t>
      </w:r>
      <w:r w:rsidR="00DC5E14" w:rsidRPr="001864D2">
        <w:rPr>
          <w:lang w:val="ru-RU"/>
        </w:rPr>
        <w:t xml:space="preserve"> варианты реагирования, которые могут быть </w:t>
      </w:r>
      <w:r w:rsidR="00264DE5" w:rsidRPr="001864D2">
        <w:rPr>
          <w:lang w:val="ru-RU"/>
        </w:rPr>
        <w:t>реализованы</w:t>
      </w:r>
      <w:r w:rsidR="00DC5E14" w:rsidRPr="001864D2">
        <w:rPr>
          <w:lang w:val="ru-RU"/>
        </w:rPr>
        <w:t xml:space="preserve"> субъектами сектора пресноводных ресурсов с целью осуществления изменений, </w:t>
      </w:r>
      <w:r w:rsidR="00264DE5" w:rsidRPr="001864D2">
        <w:rPr>
          <w:lang w:val="ru-RU"/>
        </w:rPr>
        <w:t xml:space="preserve">обозначенных </w:t>
      </w:r>
      <w:r w:rsidR="00DC5E14" w:rsidRPr="001864D2">
        <w:rPr>
          <w:lang w:val="ru-RU"/>
        </w:rPr>
        <w:t xml:space="preserve">в главе 5. Варианты реагирования, включая политику в отношении водных ресурсов, </w:t>
      </w:r>
      <w:r w:rsidR="00C8496B">
        <w:rPr>
          <w:lang w:val="ru-RU"/>
        </w:rPr>
        <w:t>регулирование</w:t>
      </w:r>
      <w:r w:rsidR="00C8496B" w:rsidRPr="001864D2">
        <w:rPr>
          <w:lang w:val="ru-RU"/>
        </w:rPr>
        <w:t xml:space="preserve"> </w:t>
      </w:r>
      <w:r w:rsidR="00DC5E14" w:rsidRPr="001864D2">
        <w:rPr>
          <w:lang w:val="ru-RU"/>
        </w:rPr>
        <w:t>стоимост</w:t>
      </w:r>
      <w:r w:rsidR="009C02EF">
        <w:rPr>
          <w:lang w:val="ru-RU"/>
        </w:rPr>
        <w:t>и</w:t>
      </w:r>
      <w:r w:rsidR="00DC5E14" w:rsidRPr="001864D2">
        <w:rPr>
          <w:lang w:val="ru-RU"/>
        </w:rPr>
        <w:t xml:space="preserve"> воды и спрос</w:t>
      </w:r>
      <w:r w:rsidR="009C02EF">
        <w:rPr>
          <w:lang w:val="ru-RU"/>
        </w:rPr>
        <w:t>а</w:t>
      </w:r>
      <w:r w:rsidR="00DC5E14" w:rsidRPr="001864D2">
        <w:rPr>
          <w:lang w:val="ru-RU"/>
        </w:rPr>
        <w:t xml:space="preserve"> на нее, которые обеспечивают безопасное, надлежащее и справедливое снабжение</w:t>
      </w:r>
      <w:r w:rsidR="00FA48CC" w:rsidRPr="001864D2">
        <w:rPr>
          <w:lang w:val="ru-RU"/>
        </w:rPr>
        <w:t xml:space="preserve"> водой</w:t>
      </w:r>
      <w:r w:rsidR="00DC5E14" w:rsidRPr="001864D2">
        <w:rPr>
          <w:lang w:val="ru-RU"/>
        </w:rPr>
        <w:t xml:space="preserve"> для различных пользователей и назначений, будут определяться и оцениваться на уровне водосборного бассейна и в других соответствующих масштабах. В главе также будет </w:t>
      </w:r>
      <w:r w:rsidR="00EE5D76" w:rsidRPr="001864D2">
        <w:rPr>
          <w:lang w:val="ru-RU"/>
        </w:rPr>
        <w:t>представлена</w:t>
      </w:r>
      <w:r w:rsidR="00DC5E14" w:rsidRPr="001864D2">
        <w:rPr>
          <w:lang w:val="ru-RU"/>
        </w:rPr>
        <w:t xml:space="preserve"> оценка вариант</w:t>
      </w:r>
      <w:r w:rsidR="00EE5D76" w:rsidRPr="001864D2">
        <w:rPr>
          <w:lang w:val="ru-RU"/>
        </w:rPr>
        <w:t>ов</w:t>
      </w:r>
      <w:r w:rsidR="00DC5E14" w:rsidRPr="001864D2">
        <w:rPr>
          <w:lang w:val="ru-RU"/>
        </w:rPr>
        <w:t xml:space="preserve"> политики, доступны</w:t>
      </w:r>
      <w:r w:rsidR="00EE5D76" w:rsidRPr="001864D2">
        <w:rPr>
          <w:lang w:val="ru-RU"/>
        </w:rPr>
        <w:t>х</w:t>
      </w:r>
      <w:r w:rsidR="00DC5E14" w:rsidRPr="001864D2">
        <w:rPr>
          <w:lang w:val="ru-RU"/>
        </w:rPr>
        <w:t xml:space="preserve"> для государственных и частных структур, управляющих водными ресурсами, включая совместное управление, адаптивное использование водных систем, владение водными ресурсами, комплексное управление водосборными </w:t>
      </w:r>
      <w:r w:rsidR="00DC5E14" w:rsidRPr="001864D2">
        <w:rPr>
          <w:lang w:val="ru-RU"/>
        </w:rPr>
        <w:lastRenderedPageBreak/>
        <w:t xml:space="preserve">бассейнами, меры по смягчению последствий для развития водной инфраструктуры, а также </w:t>
      </w:r>
      <w:r w:rsidR="00EE5D76" w:rsidRPr="001864D2">
        <w:rPr>
          <w:lang w:val="ru-RU"/>
        </w:rPr>
        <w:t xml:space="preserve">основанные на природных факторах </w:t>
      </w:r>
      <w:r w:rsidR="00DC5E14" w:rsidRPr="001864D2">
        <w:rPr>
          <w:lang w:val="ru-RU"/>
        </w:rPr>
        <w:t xml:space="preserve">решения, которые способствуют сохранению биоразнообразия и экосистем и управлению ими. В </w:t>
      </w:r>
      <w:r w:rsidR="00015755" w:rsidRPr="001864D2">
        <w:rPr>
          <w:lang w:val="ru-RU"/>
        </w:rPr>
        <w:t>ней</w:t>
      </w:r>
      <w:r w:rsidR="00DC5E14" w:rsidRPr="001864D2">
        <w:rPr>
          <w:lang w:val="ru-RU"/>
        </w:rPr>
        <w:t xml:space="preserve"> будет использован целостный интегрированный подход, а также будут предприняты усилия по решению проблем, связанных с реализацией вариантов политического реагирования. В этой главе вопросы, касающиеся биоразнообразия и обеспечиваемого природой вклада на благо человека, будут </w:t>
      </w:r>
      <w:r w:rsidR="002A23FD" w:rsidRPr="001864D2">
        <w:rPr>
          <w:lang w:val="ru-RU"/>
        </w:rPr>
        <w:t xml:space="preserve">приняты к </w:t>
      </w:r>
      <w:r w:rsidR="00DC5E14" w:rsidRPr="001864D2">
        <w:rPr>
          <w:lang w:val="ru-RU"/>
        </w:rPr>
        <w:t>рассмотрени</w:t>
      </w:r>
      <w:r w:rsidR="002A23FD" w:rsidRPr="001864D2">
        <w:rPr>
          <w:lang w:val="ru-RU"/>
        </w:rPr>
        <w:t>ю</w:t>
      </w:r>
      <w:r w:rsidR="00DC5E14" w:rsidRPr="001864D2">
        <w:rPr>
          <w:lang w:val="ru-RU"/>
        </w:rPr>
        <w:t xml:space="preserve"> в </w:t>
      </w:r>
      <w:r w:rsidR="0049401B" w:rsidRPr="001864D2">
        <w:rPr>
          <w:lang w:val="ru-RU"/>
        </w:rPr>
        <w:t>контексте</w:t>
      </w:r>
      <w:r w:rsidR="002A23FD" w:rsidRPr="001864D2">
        <w:rPr>
          <w:lang w:val="ru-RU"/>
        </w:rPr>
        <w:t xml:space="preserve"> </w:t>
      </w:r>
      <w:r w:rsidR="00DC5E14" w:rsidRPr="001864D2">
        <w:rPr>
          <w:lang w:val="ru-RU"/>
        </w:rPr>
        <w:t>текущих политических мер реагирования, обязательств, стимул</w:t>
      </w:r>
      <w:r w:rsidR="002A23FD" w:rsidRPr="001864D2">
        <w:rPr>
          <w:lang w:val="ru-RU"/>
        </w:rPr>
        <w:t>ов</w:t>
      </w:r>
      <w:r w:rsidR="00DC5E14" w:rsidRPr="001864D2">
        <w:rPr>
          <w:lang w:val="ru-RU"/>
        </w:rPr>
        <w:t xml:space="preserve"> и канал</w:t>
      </w:r>
      <w:r w:rsidR="002A23FD" w:rsidRPr="001864D2">
        <w:rPr>
          <w:lang w:val="ru-RU"/>
        </w:rPr>
        <w:t>ов</w:t>
      </w:r>
      <w:r w:rsidR="00DC5E14" w:rsidRPr="001864D2">
        <w:rPr>
          <w:lang w:val="ru-RU"/>
        </w:rPr>
        <w:t xml:space="preserve"> финансирования, а также </w:t>
      </w:r>
      <w:r w:rsidR="001D63FB">
        <w:rPr>
          <w:lang w:val="ru-RU"/>
        </w:rPr>
        <w:t>регулирования</w:t>
      </w:r>
      <w:r w:rsidR="001D63FB" w:rsidRPr="001864D2">
        <w:rPr>
          <w:lang w:val="ru-RU"/>
        </w:rPr>
        <w:t xml:space="preserve"> </w:t>
      </w:r>
      <w:r w:rsidR="00DC5E14" w:rsidRPr="001864D2">
        <w:rPr>
          <w:lang w:val="ru-RU"/>
        </w:rPr>
        <w:t>водны</w:t>
      </w:r>
      <w:r w:rsidR="001D63FB">
        <w:rPr>
          <w:lang w:val="ru-RU"/>
        </w:rPr>
        <w:t>х</w:t>
      </w:r>
      <w:r w:rsidR="00DC5E14" w:rsidRPr="001864D2">
        <w:rPr>
          <w:lang w:val="ru-RU"/>
        </w:rPr>
        <w:t xml:space="preserve"> ресурс</w:t>
      </w:r>
      <w:r w:rsidR="001D63FB">
        <w:rPr>
          <w:lang w:val="ru-RU"/>
        </w:rPr>
        <w:t>ов</w:t>
      </w:r>
      <w:r w:rsidR="00DC5E14" w:rsidRPr="001864D2">
        <w:rPr>
          <w:lang w:val="ru-RU"/>
        </w:rPr>
        <w:t xml:space="preserve"> в целях смягчения последствий изменения климата и адаптации к нему. В ней также будет исследован вопрос </w:t>
      </w:r>
      <w:r w:rsidR="00AC52C6" w:rsidRPr="001864D2">
        <w:rPr>
          <w:lang w:val="ru-RU"/>
        </w:rPr>
        <w:t>практической применимости</w:t>
      </w:r>
      <w:r w:rsidR="00DC5E14" w:rsidRPr="001864D2">
        <w:rPr>
          <w:lang w:val="ru-RU"/>
        </w:rPr>
        <w:t xml:space="preserve"> соответствующих междисциплинарных концепций, которые могут быть использованы для определения инновационных мер политики.</w:t>
      </w:r>
      <w:bookmarkStart w:id="4" w:name="_Hlk58436043"/>
      <w:bookmarkEnd w:id="1"/>
      <w:bookmarkEnd w:id="2"/>
      <w:bookmarkEnd w:id="3"/>
    </w:p>
    <w:p w14:paraId="0EF78A92" w14:textId="49C5A2B1" w:rsidR="00DC5E14" w:rsidRPr="001864D2" w:rsidRDefault="00384A99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38.</w:t>
      </w:r>
      <w:r w:rsidRPr="003056DD">
        <w:rPr>
          <w:lang w:val="ru-RU"/>
        </w:rPr>
        <w:tab/>
      </w:r>
      <w:r w:rsidR="00DC5E14" w:rsidRPr="00384A99">
        <w:rPr>
          <w:b/>
          <w:bCs/>
          <w:lang w:val="ru-RU"/>
        </w:rPr>
        <w:t>Глава 7</w:t>
      </w:r>
      <w:r w:rsidR="007878CB" w:rsidRPr="00384A99">
        <w:rPr>
          <w:b/>
          <w:bCs/>
          <w:lang w:val="ru-RU"/>
        </w:rPr>
        <w:t>.</w:t>
      </w:r>
      <w:r w:rsidR="00DC5E14" w:rsidRPr="00384A99">
        <w:rPr>
          <w:b/>
          <w:bCs/>
          <w:lang w:val="ru-RU"/>
        </w:rPr>
        <w:t xml:space="preserve"> </w:t>
      </w:r>
      <w:r w:rsidR="007878CB" w:rsidRPr="00384A99">
        <w:rPr>
          <w:b/>
          <w:bCs/>
          <w:lang w:val="ru-RU"/>
        </w:rPr>
        <w:t>В</w:t>
      </w:r>
      <w:r w:rsidR="00DC5E14" w:rsidRPr="00384A99">
        <w:rPr>
          <w:b/>
          <w:bCs/>
          <w:lang w:val="ru-RU"/>
        </w:rPr>
        <w:t xml:space="preserve">арианты обеспечения устойчивой энергии в синергии с другими компонентами </w:t>
      </w:r>
      <w:r w:rsidR="002C04CB">
        <w:rPr>
          <w:b/>
          <w:bCs/>
          <w:lang w:val="ru-RU"/>
        </w:rPr>
        <w:t>совокупности</w:t>
      </w:r>
      <w:r w:rsidR="00DC5E14" w:rsidRPr="001864D2">
        <w:rPr>
          <w:lang w:val="ru-RU"/>
        </w:rPr>
        <w:t xml:space="preserve">. В главе 7 будут рассматриваться варианты реагирования, которые могут быть реализованы субъектами энергетического сектора с целью осуществления изменений, </w:t>
      </w:r>
      <w:r w:rsidR="00264DE5" w:rsidRPr="001864D2">
        <w:rPr>
          <w:lang w:val="ru-RU"/>
        </w:rPr>
        <w:t>обозначенных</w:t>
      </w:r>
      <w:r w:rsidR="00DC5E14" w:rsidRPr="001864D2">
        <w:rPr>
          <w:lang w:val="ru-RU"/>
        </w:rPr>
        <w:t xml:space="preserve"> в главе 5. Эти варианты будут ориентированы на актуализацию вопросов биоразнообразия в энергетическом секторе, включая как углеродные, так и неуглеродные энергетические </w:t>
      </w:r>
      <w:r w:rsidR="007878CB" w:rsidRPr="001864D2">
        <w:rPr>
          <w:lang w:val="ru-RU"/>
        </w:rPr>
        <w:t>с</w:t>
      </w:r>
      <w:r w:rsidR="00DC5E14" w:rsidRPr="001864D2">
        <w:rPr>
          <w:lang w:val="ru-RU"/>
        </w:rPr>
        <w:t xml:space="preserve">истемы, и могут </w:t>
      </w:r>
      <w:r w:rsidR="00145F80" w:rsidRPr="001864D2">
        <w:rPr>
          <w:lang w:val="ru-RU"/>
        </w:rPr>
        <w:t>распространяться на</w:t>
      </w:r>
      <w:r w:rsidR="00DC5E14" w:rsidRPr="001864D2">
        <w:rPr>
          <w:lang w:val="ru-RU"/>
        </w:rPr>
        <w:t xml:space="preserve"> меры реагирования, </w:t>
      </w:r>
      <w:r w:rsidR="00145F80" w:rsidRPr="001864D2">
        <w:rPr>
          <w:lang w:val="ru-RU"/>
        </w:rPr>
        <w:t xml:space="preserve">которые </w:t>
      </w:r>
      <w:r w:rsidR="00DC5E14" w:rsidRPr="001864D2">
        <w:rPr>
          <w:lang w:val="ru-RU"/>
        </w:rPr>
        <w:t>интегриру</w:t>
      </w:r>
      <w:r w:rsidR="00145F80" w:rsidRPr="001864D2">
        <w:rPr>
          <w:lang w:val="ru-RU"/>
        </w:rPr>
        <w:t>ют</w:t>
      </w:r>
      <w:r w:rsidR="00DC5E14" w:rsidRPr="001864D2">
        <w:rPr>
          <w:lang w:val="ru-RU"/>
        </w:rPr>
        <w:t xml:space="preserve"> все аспекты биоразнообразия в энергетическом секторе. Эти варианты также будут ориентированы на улучшение местоположения, эксплуатации и </w:t>
      </w:r>
      <w:r w:rsidR="00E22E4E">
        <w:rPr>
          <w:lang w:val="ru-RU"/>
        </w:rPr>
        <w:t>суммарных</w:t>
      </w:r>
      <w:r w:rsidR="00E22E4E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последствий использования энергетической инфраструктуры путем </w:t>
      </w:r>
      <w:r w:rsidR="00541C11" w:rsidRPr="001864D2">
        <w:rPr>
          <w:lang w:val="ru-RU"/>
        </w:rPr>
        <w:t>недопущения</w:t>
      </w:r>
      <w:r w:rsidR="00DC5E14" w:rsidRPr="001864D2">
        <w:rPr>
          <w:lang w:val="ru-RU"/>
        </w:rPr>
        <w:t xml:space="preserve">, минимизации, восстановления или компенсации последствий для биоразнообразия и других элементов </w:t>
      </w:r>
      <w:r w:rsidR="00FC39BE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. Кроме того, эти варианты будут ориентированы на предотвращение или уменьшение последствий несоответствия масштабов </w:t>
      </w:r>
      <w:r w:rsidR="00541C11" w:rsidRPr="001864D2">
        <w:rPr>
          <w:lang w:val="ru-RU"/>
        </w:rPr>
        <w:t>стратегий</w:t>
      </w:r>
      <w:r w:rsidR="00DC5E14" w:rsidRPr="001864D2">
        <w:rPr>
          <w:lang w:val="ru-RU"/>
        </w:rPr>
        <w:t xml:space="preserve"> в области энергетической безопасности, смягчения последствий изменения климата и сохранения биоразнообразия. В оценк</w:t>
      </w:r>
      <w:r w:rsidR="00541C11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будут изучаться политика и процедуры, связанные с управлением энергетическими системами. Кроме того, в оценк</w:t>
      </w:r>
      <w:r w:rsidR="00541C11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будут изучаться варианты финансирования и стимулы; способы включения биоразнообразия в качестве приоритетного вопроса в текущих политических мерах реагирования</w:t>
      </w:r>
      <w:r w:rsidR="00B4197E" w:rsidRPr="001864D2">
        <w:rPr>
          <w:lang w:val="ru-RU"/>
        </w:rPr>
        <w:t xml:space="preserve"> на стороне </w:t>
      </w:r>
      <w:r w:rsidR="00DC5E14" w:rsidRPr="001864D2">
        <w:rPr>
          <w:lang w:val="ru-RU"/>
        </w:rPr>
        <w:t>спроса и предложения</w:t>
      </w:r>
      <w:r w:rsidR="00B4197E" w:rsidRPr="001864D2">
        <w:rPr>
          <w:lang w:val="ru-RU"/>
        </w:rPr>
        <w:t>; будут</w:t>
      </w:r>
      <w:r w:rsidR="00DC5E14" w:rsidRPr="001864D2">
        <w:rPr>
          <w:lang w:val="ru-RU"/>
        </w:rPr>
        <w:t xml:space="preserve"> исследова</w:t>
      </w:r>
      <w:r w:rsidR="00B4197E" w:rsidRPr="001864D2">
        <w:rPr>
          <w:lang w:val="ru-RU"/>
        </w:rPr>
        <w:t xml:space="preserve">ны </w:t>
      </w:r>
      <w:r w:rsidR="00DC5E14" w:rsidRPr="001864D2">
        <w:rPr>
          <w:lang w:val="ru-RU"/>
        </w:rPr>
        <w:t>основанны</w:t>
      </w:r>
      <w:r w:rsidR="00B4197E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на природных факторах решени</w:t>
      </w:r>
      <w:r w:rsidR="00B4197E" w:rsidRPr="001864D2">
        <w:rPr>
          <w:lang w:val="ru-RU"/>
        </w:rPr>
        <w:t>я</w:t>
      </w:r>
      <w:r w:rsidR="00DC5E14" w:rsidRPr="001864D2">
        <w:rPr>
          <w:lang w:val="ru-RU"/>
        </w:rPr>
        <w:t>, а также обязательств</w:t>
      </w:r>
      <w:r w:rsidR="00B4197E" w:rsidRPr="001864D2">
        <w:rPr>
          <w:lang w:val="ru-RU"/>
        </w:rPr>
        <w:t>а</w:t>
      </w:r>
      <w:r w:rsidR="00DC5E14" w:rsidRPr="001864D2">
        <w:rPr>
          <w:lang w:val="ru-RU"/>
        </w:rPr>
        <w:t xml:space="preserve"> и финансовы</w:t>
      </w:r>
      <w:r w:rsidR="00B4197E" w:rsidRPr="001864D2">
        <w:rPr>
          <w:lang w:val="ru-RU"/>
        </w:rPr>
        <w:t>е</w:t>
      </w:r>
      <w:r w:rsidR="00DC5E14" w:rsidRPr="001864D2">
        <w:rPr>
          <w:lang w:val="ru-RU"/>
        </w:rPr>
        <w:t xml:space="preserve"> канал</w:t>
      </w:r>
      <w:r w:rsidR="00B4197E" w:rsidRPr="001864D2">
        <w:rPr>
          <w:lang w:val="ru-RU"/>
        </w:rPr>
        <w:t>ы</w:t>
      </w:r>
      <w:r w:rsidR="00DC5E14" w:rsidRPr="001864D2">
        <w:rPr>
          <w:lang w:val="ru-RU"/>
        </w:rPr>
        <w:t xml:space="preserve"> для обеспечения энергетической безопасности, доступа к энергии и смягчения последствий изменения климата и адаптации к ним. В оценке будут изучены варианты содействия переходу от углеродных к неуглеродным энергетическим системам, рассмотрены меры по регулированию и сокращению объема выбросов углерода (включая нулевые или низкоуглеродные источники) и по повышению энергоэффективности. Наконец, в ходе оценки будет исследоваться влияние производства биотоплива на смягчение последствий изменения климата, утрату биоразнообразия, производство продуктов питания и использование водных ресурсов или будет обеспечен стимул к взаимодействию с </w:t>
      </w:r>
      <w:r w:rsidR="008E19C3" w:rsidRPr="001864D2">
        <w:rPr>
          <w:lang w:val="ru-RU"/>
        </w:rPr>
        <w:t xml:space="preserve">системами </w:t>
      </w:r>
      <w:r w:rsidR="00DC5E14" w:rsidRPr="001864D2">
        <w:rPr>
          <w:lang w:val="ru-RU"/>
        </w:rPr>
        <w:t>водны</w:t>
      </w:r>
      <w:r w:rsidR="008E19C3" w:rsidRPr="001864D2">
        <w:rPr>
          <w:lang w:val="ru-RU"/>
        </w:rPr>
        <w:t>х</w:t>
      </w:r>
      <w:r w:rsidR="00DC5E14" w:rsidRPr="001864D2">
        <w:rPr>
          <w:lang w:val="ru-RU"/>
        </w:rPr>
        <w:t xml:space="preserve"> ресурс</w:t>
      </w:r>
      <w:r w:rsidR="008E19C3" w:rsidRPr="001864D2">
        <w:rPr>
          <w:lang w:val="ru-RU"/>
        </w:rPr>
        <w:t>ов</w:t>
      </w:r>
      <w:r w:rsidR="00DC5E14" w:rsidRPr="001864D2">
        <w:rPr>
          <w:lang w:val="ru-RU"/>
        </w:rPr>
        <w:t>, продовольстви</w:t>
      </w:r>
      <w:r w:rsidR="008E19C3" w:rsidRPr="001864D2">
        <w:rPr>
          <w:lang w:val="ru-RU"/>
        </w:rPr>
        <w:t xml:space="preserve">я </w:t>
      </w:r>
      <w:r w:rsidR="00DC5E14" w:rsidRPr="001864D2">
        <w:rPr>
          <w:lang w:val="ru-RU"/>
        </w:rPr>
        <w:t>или здоровь</w:t>
      </w:r>
      <w:r w:rsidR="008E19C3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в общих интересах. </w:t>
      </w:r>
      <w:bookmarkStart w:id="5" w:name="_Hlk58435851"/>
      <w:bookmarkEnd w:id="4"/>
      <w:bookmarkEnd w:id="5"/>
    </w:p>
    <w:p w14:paraId="498BB5FD" w14:textId="46A8F2C1" w:rsidR="00DC5E14" w:rsidRPr="001864D2" w:rsidRDefault="00384A99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39.</w:t>
      </w:r>
      <w:r w:rsidRPr="003056DD">
        <w:rPr>
          <w:lang w:val="ru-RU"/>
        </w:rPr>
        <w:tab/>
      </w:r>
      <w:r w:rsidR="00DC5E14" w:rsidRPr="00112D57">
        <w:rPr>
          <w:b/>
          <w:bCs/>
          <w:lang w:val="ru-RU"/>
        </w:rPr>
        <w:t>Глава 8</w:t>
      </w:r>
      <w:r w:rsidR="007878CB" w:rsidRPr="00112D57">
        <w:rPr>
          <w:b/>
          <w:bCs/>
          <w:lang w:val="ru-RU"/>
        </w:rPr>
        <w:t>.</w:t>
      </w:r>
      <w:r w:rsidR="00DC5E14" w:rsidRPr="00112D57">
        <w:rPr>
          <w:b/>
          <w:bCs/>
          <w:lang w:val="ru-RU"/>
        </w:rPr>
        <w:t xml:space="preserve"> </w:t>
      </w:r>
      <w:r w:rsidR="007878CB" w:rsidRPr="00112D57">
        <w:rPr>
          <w:b/>
          <w:bCs/>
          <w:lang w:val="ru-RU"/>
        </w:rPr>
        <w:t>В</w:t>
      </w:r>
      <w:r w:rsidR="00DC5E14" w:rsidRPr="00112D57">
        <w:rPr>
          <w:b/>
          <w:bCs/>
          <w:lang w:val="ru-RU"/>
        </w:rPr>
        <w:t>арианты обеспечения устойчив</w:t>
      </w:r>
      <w:r w:rsidR="00325BE7" w:rsidRPr="00112D57">
        <w:rPr>
          <w:b/>
          <w:bCs/>
          <w:lang w:val="ru-RU"/>
        </w:rPr>
        <w:t xml:space="preserve">ых </w:t>
      </w:r>
      <w:r w:rsidR="00DC5E14" w:rsidRPr="00112D57">
        <w:rPr>
          <w:b/>
          <w:bCs/>
          <w:lang w:val="ru-RU"/>
        </w:rPr>
        <w:t>продовольственн</w:t>
      </w:r>
      <w:r w:rsidR="00325BE7" w:rsidRPr="00112D57">
        <w:rPr>
          <w:b/>
          <w:bCs/>
          <w:lang w:val="ru-RU"/>
        </w:rPr>
        <w:t>ых</w:t>
      </w:r>
      <w:r w:rsidR="00DC5E14" w:rsidRPr="00112D57">
        <w:rPr>
          <w:b/>
          <w:bCs/>
          <w:lang w:val="ru-RU"/>
        </w:rPr>
        <w:t xml:space="preserve"> систем в синергии с другими компонентами </w:t>
      </w:r>
      <w:r w:rsidR="00FC39BE">
        <w:rPr>
          <w:b/>
          <w:bCs/>
          <w:lang w:val="ru-RU"/>
        </w:rPr>
        <w:t>совокупности</w:t>
      </w:r>
      <w:r w:rsidR="00DC5E14" w:rsidRPr="001864D2">
        <w:rPr>
          <w:lang w:val="ru-RU"/>
        </w:rPr>
        <w:t xml:space="preserve">. В главе 8 будут рассматриваться варианты реагирования, которые могут быть </w:t>
      </w:r>
      <w:r w:rsidR="00264DE5" w:rsidRPr="001864D2">
        <w:rPr>
          <w:lang w:val="ru-RU"/>
        </w:rPr>
        <w:t>реализованы</w:t>
      </w:r>
      <w:r w:rsidR="00DC5E14" w:rsidRPr="001864D2">
        <w:rPr>
          <w:lang w:val="ru-RU"/>
        </w:rPr>
        <w:t xml:space="preserve"> субъектами продовольственной системы с целью осуществления изменений, </w:t>
      </w:r>
      <w:r w:rsidR="00264DE5" w:rsidRPr="001864D2">
        <w:rPr>
          <w:lang w:val="ru-RU"/>
        </w:rPr>
        <w:t xml:space="preserve">обозначенных </w:t>
      </w:r>
      <w:r w:rsidR="00DC5E14" w:rsidRPr="001864D2">
        <w:rPr>
          <w:lang w:val="ru-RU"/>
        </w:rPr>
        <w:t>в главе 5. Рассматриваемые варианты реагирования могут включать политику и процедуры</w:t>
      </w:r>
      <w:r w:rsidR="00E4147C" w:rsidRPr="001864D2">
        <w:rPr>
          <w:lang w:val="ru-RU"/>
        </w:rPr>
        <w:t xml:space="preserve"> любых масштабов</w:t>
      </w:r>
      <w:r w:rsidR="00DC5E14" w:rsidRPr="001864D2">
        <w:rPr>
          <w:lang w:val="ru-RU"/>
        </w:rPr>
        <w:t>, связанные с продовольственными системами, например, целые цепи создания стоимости дикорастущих наземных, пресноводных или морских</w:t>
      </w:r>
      <w:r w:rsidR="00E4147C" w:rsidRPr="001864D2">
        <w:rPr>
          <w:lang w:val="ru-RU"/>
        </w:rPr>
        <w:t xml:space="preserve"> ресурсов</w:t>
      </w:r>
      <w:r w:rsidR="00DC5E14" w:rsidRPr="001864D2">
        <w:rPr>
          <w:lang w:val="ru-RU"/>
        </w:rPr>
        <w:t xml:space="preserve">, сельскохозяйственных культур, сырьевых ресурсов, волокон, домашнего скота, аквакультуры, агролесоводства и лесного хозяйства. Варианты реагирования могут включать </w:t>
      </w:r>
      <w:r w:rsidR="00A458E6">
        <w:rPr>
          <w:lang w:val="ru-RU"/>
        </w:rPr>
        <w:t>регулирование</w:t>
      </w:r>
      <w:r w:rsidR="00A458E6" w:rsidRPr="001864D2">
        <w:rPr>
          <w:lang w:val="ru-RU"/>
        </w:rPr>
        <w:t xml:space="preserve"> </w:t>
      </w:r>
      <w:r w:rsidR="00DC5E14" w:rsidRPr="001864D2">
        <w:rPr>
          <w:lang w:val="ru-RU"/>
        </w:rPr>
        <w:t>продовольственны</w:t>
      </w:r>
      <w:r w:rsidR="00A458E6">
        <w:rPr>
          <w:lang w:val="ru-RU"/>
        </w:rPr>
        <w:t>х</w:t>
      </w:r>
      <w:r w:rsidR="00DC5E14" w:rsidRPr="001864D2">
        <w:rPr>
          <w:lang w:val="ru-RU"/>
        </w:rPr>
        <w:t xml:space="preserve"> систем; варианты финансирования и стимулы; развитие и поддержание производительных и устойчивых диких и культивируемых продовольственных ресурсов для обеспечения средств к существованию и сбора урожая в промышленных масштабах. </w:t>
      </w:r>
      <w:r w:rsidR="007E12DF" w:rsidRPr="001864D2">
        <w:rPr>
          <w:lang w:val="ru-RU"/>
        </w:rPr>
        <w:t>В</w:t>
      </w:r>
      <w:r w:rsidR="00DC5E14" w:rsidRPr="001864D2">
        <w:rPr>
          <w:lang w:val="ru-RU"/>
        </w:rPr>
        <w:t xml:space="preserve"> качестве путей к обеспечению устойчивости </w:t>
      </w:r>
      <w:r w:rsidR="007E12DF" w:rsidRPr="001864D2">
        <w:rPr>
          <w:lang w:val="ru-RU"/>
        </w:rPr>
        <w:t xml:space="preserve">в оценке </w:t>
      </w:r>
      <w:r w:rsidR="00DC5E14" w:rsidRPr="001864D2">
        <w:rPr>
          <w:lang w:val="ru-RU"/>
        </w:rPr>
        <w:t>также буд</w:t>
      </w:r>
      <w:r w:rsidR="00BA1C95">
        <w:rPr>
          <w:lang w:val="ru-RU"/>
        </w:rPr>
        <w:t>у</w:t>
      </w:r>
      <w:r w:rsidR="00DC5E14" w:rsidRPr="001864D2">
        <w:rPr>
          <w:lang w:val="ru-RU"/>
        </w:rPr>
        <w:t xml:space="preserve">т </w:t>
      </w:r>
      <w:r w:rsidR="007E12DF" w:rsidRPr="001864D2">
        <w:rPr>
          <w:lang w:val="ru-RU"/>
        </w:rPr>
        <w:t>изучаться возможность</w:t>
      </w:r>
      <w:r w:rsidR="00DC5E14" w:rsidRPr="001864D2">
        <w:rPr>
          <w:lang w:val="ru-RU"/>
        </w:rPr>
        <w:t xml:space="preserve"> использовани</w:t>
      </w:r>
      <w:r w:rsidR="007E12DF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агроэкологических, органических или интегрированных методов борьбы с вредителями и</w:t>
      </w:r>
      <w:r w:rsidR="00FA7FAB">
        <w:rPr>
          <w:lang w:val="ru-RU"/>
        </w:rPr>
        <w:t xml:space="preserve"> </w:t>
      </w:r>
      <w:r w:rsidR="00DC5E14" w:rsidRPr="001864D2">
        <w:rPr>
          <w:lang w:val="ru-RU"/>
        </w:rPr>
        <w:t>(или) биотехнологий; комплексное планирование ландшафтов и рациональное с климатической точки зрения производство продуктов питания. Кроме того, в оценке будет изу</w:t>
      </w:r>
      <w:r w:rsidR="007E12DF" w:rsidRPr="001864D2">
        <w:rPr>
          <w:lang w:val="ru-RU"/>
        </w:rPr>
        <w:t>чаться</w:t>
      </w:r>
      <w:r w:rsidR="00DC5E14" w:rsidRPr="001864D2">
        <w:rPr>
          <w:lang w:val="ru-RU"/>
        </w:rPr>
        <w:t xml:space="preserve"> вопрос о том, как обеспечить продовольственную безопасность и безопасность пищевых продуктов, а также как уменьшить продовольственные потери и объемы пищевых отходов. В рамках анализа будут рассматриваться другие компоненты продовольственной системы, </w:t>
      </w:r>
      <w:r w:rsidR="001659D2" w:rsidRPr="001864D2">
        <w:rPr>
          <w:lang w:val="ru-RU"/>
        </w:rPr>
        <w:t>включая</w:t>
      </w:r>
      <w:r w:rsidR="00DC5E14" w:rsidRPr="001864D2">
        <w:rPr>
          <w:lang w:val="ru-RU"/>
        </w:rPr>
        <w:t xml:space="preserve"> меняющиеся формы переработки, упаковки, распределения, продажи и маркетинга продуктов питания. В оценке будут учитываться знания коренного и местного населения, имеющие отношение к продовольственным системам; </w:t>
      </w:r>
      <w:r w:rsidR="001659D2" w:rsidRPr="001864D2">
        <w:rPr>
          <w:lang w:val="ru-RU"/>
        </w:rPr>
        <w:t xml:space="preserve">будет </w:t>
      </w:r>
      <w:r w:rsidR="00DC5E14" w:rsidRPr="001864D2">
        <w:rPr>
          <w:lang w:val="ru-RU"/>
        </w:rPr>
        <w:t>изуч</w:t>
      </w:r>
      <w:r w:rsidR="001659D2" w:rsidRPr="001864D2">
        <w:rPr>
          <w:lang w:val="ru-RU"/>
        </w:rPr>
        <w:t>аться</w:t>
      </w:r>
      <w:r w:rsidR="00DC5E14" w:rsidRPr="001864D2">
        <w:rPr>
          <w:lang w:val="ru-RU"/>
        </w:rPr>
        <w:t xml:space="preserve"> вопрос о том, как </w:t>
      </w:r>
      <w:r w:rsidR="001659D2" w:rsidRPr="001864D2">
        <w:rPr>
          <w:lang w:val="ru-RU"/>
        </w:rPr>
        <w:t>трансформировать</w:t>
      </w:r>
      <w:r w:rsidR="00DC5E14" w:rsidRPr="001864D2">
        <w:rPr>
          <w:lang w:val="ru-RU"/>
        </w:rPr>
        <w:t xml:space="preserve"> спрос на продукты питания и их потребление и как </w:t>
      </w:r>
      <w:r w:rsidR="001659D2" w:rsidRPr="001864D2">
        <w:rPr>
          <w:lang w:val="ru-RU"/>
        </w:rPr>
        <w:t>расширить</w:t>
      </w:r>
      <w:r w:rsidR="00DC5E14" w:rsidRPr="001864D2">
        <w:rPr>
          <w:lang w:val="ru-RU"/>
        </w:rPr>
        <w:t xml:space="preserve"> разнообразие потребл</w:t>
      </w:r>
      <w:r w:rsidR="001659D2" w:rsidRPr="001864D2">
        <w:rPr>
          <w:lang w:val="ru-RU"/>
        </w:rPr>
        <w:t xml:space="preserve">яемых </w:t>
      </w:r>
      <w:r w:rsidR="00DC5E14" w:rsidRPr="001864D2">
        <w:rPr>
          <w:lang w:val="ru-RU"/>
        </w:rPr>
        <w:t xml:space="preserve">продуктов питания для обеспечения равного доступа к здоровому рациону. </w:t>
      </w:r>
      <w:r w:rsidR="001659D2" w:rsidRPr="001864D2">
        <w:rPr>
          <w:lang w:val="ru-RU"/>
        </w:rPr>
        <w:t>Кроме того, в</w:t>
      </w:r>
      <w:r w:rsidR="00DC5E14" w:rsidRPr="001864D2">
        <w:rPr>
          <w:lang w:val="ru-RU"/>
        </w:rPr>
        <w:t xml:space="preserve">арианты </w:t>
      </w:r>
      <w:r w:rsidR="00DC5E14" w:rsidRPr="001864D2">
        <w:rPr>
          <w:lang w:val="ru-RU"/>
        </w:rPr>
        <w:lastRenderedPageBreak/>
        <w:t xml:space="preserve">реагирования могли бы включать те, </w:t>
      </w:r>
      <w:r w:rsidR="00745801">
        <w:rPr>
          <w:lang w:val="ru-RU"/>
        </w:rPr>
        <w:t>которые</w:t>
      </w:r>
      <w:r w:rsidR="00DC5E14" w:rsidRPr="001864D2">
        <w:rPr>
          <w:lang w:val="ru-RU"/>
        </w:rPr>
        <w:t xml:space="preserve"> способствуют обеспечению безопасности водных ресурсов и процветанию пресноводных систем; сокращению выбросов парниковых газов; повышению эффективности существующих систем производства или сбора урожая (например, через обеспечение востребованности земельных участков, использование воды и химикатов, поддержание здоровья почвы); улучшению здоровья (например, в связи с недоеданием и перееданием; качеством воздуха; профилактикой пандемии) для содействия улучшениям </w:t>
      </w:r>
      <w:r w:rsidR="007878CB" w:rsidRPr="001864D2">
        <w:rPr>
          <w:lang w:val="ru-RU"/>
        </w:rPr>
        <w:t>во</w:t>
      </w:r>
      <w:r w:rsidR="00DC5E14" w:rsidRPr="001864D2">
        <w:rPr>
          <w:lang w:val="ru-RU"/>
        </w:rPr>
        <w:t xml:space="preserve"> всех элемент</w:t>
      </w:r>
      <w:r w:rsidR="007878CB" w:rsidRPr="001864D2">
        <w:rPr>
          <w:lang w:val="ru-RU"/>
        </w:rPr>
        <w:t>ах</w:t>
      </w:r>
      <w:r w:rsidR="00DC5E14" w:rsidRPr="001864D2">
        <w:rPr>
          <w:lang w:val="ru-RU"/>
        </w:rPr>
        <w:t xml:space="preserve"> </w:t>
      </w:r>
      <w:r w:rsidR="00BC4FD3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. </w:t>
      </w:r>
    </w:p>
    <w:p w14:paraId="0FD19889" w14:textId="0EB1D767" w:rsidR="00DC5E14" w:rsidRPr="003056DD" w:rsidRDefault="00112D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40.</w:t>
      </w:r>
      <w:r w:rsidRPr="003056DD">
        <w:rPr>
          <w:lang w:val="ru-RU"/>
        </w:rPr>
        <w:tab/>
      </w:r>
      <w:r w:rsidR="00DC5E14" w:rsidRPr="00112D57">
        <w:rPr>
          <w:b/>
          <w:bCs/>
          <w:lang w:val="ru-RU"/>
        </w:rPr>
        <w:t xml:space="preserve">Глава </w:t>
      </w:r>
      <w:r w:rsidR="00566757" w:rsidRPr="00112D57">
        <w:rPr>
          <w:b/>
          <w:bCs/>
          <w:lang w:val="ru-RU"/>
        </w:rPr>
        <w:t>9</w:t>
      </w:r>
      <w:r w:rsidR="007878CB" w:rsidRPr="00112D57">
        <w:rPr>
          <w:b/>
          <w:bCs/>
          <w:lang w:val="ru-RU"/>
        </w:rPr>
        <w:t>.</w:t>
      </w:r>
      <w:r w:rsidR="00DC5E14" w:rsidRPr="00112D57">
        <w:rPr>
          <w:b/>
          <w:bCs/>
          <w:lang w:val="ru-RU"/>
        </w:rPr>
        <w:t xml:space="preserve"> </w:t>
      </w:r>
      <w:r w:rsidR="007878CB" w:rsidRPr="00112D57">
        <w:rPr>
          <w:b/>
          <w:bCs/>
          <w:lang w:val="ru-RU"/>
        </w:rPr>
        <w:t>В</w:t>
      </w:r>
      <w:r w:rsidR="00DC5E14" w:rsidRPr="00112D57">
        <w:rPr>
          <w:b/>
          <w:bCs/>
          <w:lang w:val="ru-RU"/>
        </w:rPr>
        <w:t xml:space="preserve">арианты обеспечения устойчивых подходов к </w:t>
      </w:r>
      <w:r w:rsidR="007878CB" w:rsidRPr="00112D57">
        <w:rPr>
          <w:b/>
          <w:bCs/>
          <w:lang w:val="ru-RU"/>
        </w:rPr>
        <w:t>здоровью</w:t>
      </w:r>
      <w:r w:rsidR="00DC5E14" w:rsidRPr="00112D57">
        <w:rPr>
          <w:b/>
          <w:bCs/>
          <w:lang w:val="ru-RU"/>
        </w:rPr>
        <w:t xml:space="preserve"> в синергии с другими компонентами </w:t>
      </w:r>
      <w:r w:rsidR="00BC4FD3">
        <w:rPr>
          <w:b/>
          <w:bCs/>
          <w:lang w:val="ru-RU"/>
        </w:rPr>
        <w:t>совокупности</w:t>
      </w:r>
      <w:r w:rsidR="00DC5E14" w:rsidRPr="001864D2">
        <w:rPr>
          <w:lang w:val="ru-RU"/>
        </w:rPr>
        <w:t xml:space="preserve">. В главе 9 будут рассматриваться варианты реагирования, которые могут быть </w:t>
      </w:r>
      <w:r w:rsidR="007878CB" w:rsidRPr="001864D2">
        <w:rPr>
          <w:lang w:val="ru-RU"/>
        </w:rPr>
        <w:t>реализованы</w:t>
      </w:r>
      <w:r w:rsidR="00DC5E14" w:rsidRPr="001864D2">
        <w:rPr>
          <w:lang w:val="ru-RU"/>
        </w:rPr>
        <w:t xml:space="preserve"> связанными со здоровьем субъектами с целью осуществления изменений, изложенных в главе 5. Рассматриваемые варианты реагирования могут включать политику и процедуры, связанные </w:t>
      </w:r>
      <w:r w:rsidR="007878CB" w:rsidRPr="001864D2">
        <w:rPr>
          <w:lang w:val="ru-RU"/>
        </w:rPr>
        <w:t>с признанием ценности</w:t>
      </w:r>
      <w:r w:rsidR="00DC5E14" w:rsidRPr="001864D2">
        <w:rPr>
          <w:lang w:val="ru-RU"/>
        </w:rPr>
        <w:t xml:space="preserve"> относящегося к здоровью человека вклада биоразнообразия (включая лекарственные растения, вклад в питание и психическое здоровье). В оценке буд</w:t>
      </w:r>
      <w:r w:rsidR="004D2E5A">
        <w:rPr>
          <w:lang w:val="ru-RU"/>
        </w:rPr>
        <w:t>у</w:t>
      </w:r>
      <w:r w:rsidR="00DC5E14" w:rsidRPr="001864D2">
        <w:rPr>
          <w:lang w:val="ru-RU"/>
        </w:rPr>
        <w:t>т изуч</w:t>
      </w:r>
      <w:r w:rsidR="007878CB" w:rsidRPr="001864D2">
        <w:rPr>
          <w:lang w:val="ru-RU"/>
        </w:rPr>
        <w:t>аться</w:t>
      </w:r>
      <w:r w:rsidR="00DC5E14" w:rsidRPr="001864D2">
        <w:rPr>
          <w:lang w:val="ru-RU"/>
        </w:rPr>
        <w:t xml:space="preserve"> прогресс в деле обеспечения равного доступа к благам, связанным со здоровьем человека (в том числе для коренных народов и местных общин, общинных групп, женщин и девочек); управление правами интеллектуальной собственности; </w:t>
      </w:r>
      <w:r w:rsidR="007878CB" w:rsidRPr="001864D2">
        <w:rPr>
          <w:lang w:val="ru-RU"/>
        </w:rPr>
        <w:t>контроль</w:t>
      </w:r>
      <w:r w:rsidR="00DC5E14" w:rsidRPr="001864D2">
        <w:rPr>
          <w:lang w:val="ru-RU"/>
        </w:rPr>
        <w:t xml:space="preserve"> экологическ</w:t>
      </w:r>
      <w:r w:rsidR="007878CB" w:rsidRPr="001864D2">
        <w:rPr>
          <w:lang w:val="ru-RU"/>
        </w:rPr>
        <w:t xml:space="preserve">их факторов </w:t>
      </w:r>
      <w:r w:rsidR="00DC5E14" w:rsidRPr="001864D2">
        <w:rPr>
          <w:lang w:val="ru-RU"/>
        </w:rPr>
        <w:t>заболеваний или последстви</w:t>
      </w:r>
      <w:r w:rsidR="007878CB" w:rsidRPr="001864D2">
        <w:rPr>
          <w:lang w:val="ru-RU"/>
        </w:rPr>
        <w:t>й</w:t>
      </w:r>
      <w:r w:rsidR="00DC5E14" w:rsidRPr="001864D2">
        <w:rPr>
          <w:lang w:val="ru-RU"/>
        </w:rPr>
        <w:t xml:space="preserve"> работы системы здравоохранения </w:t>
      </w:r>
      <w:r w:rsidR="007878CB" w:rsidRPr="001864D2">
        <w:rPr>
          <w:lang w:val="ru-RU"/>
        </w:rPr>
        <w:t>для</w:t>
      </w:r>
      <w:r w:rsidR="00DC5E14" w:rsidRPr="001864D2">
        <w:rPr>
          <w:lang w:val="ru-RU"/>
        </w:rPr>
        <w:t xml:space="preserve"> биоразнообразия. Варианты реагирования могут включать ориентированные на здоровье меры, приносящие пользу здоровь</w:t>
      </w:r>
      <w:r w:rsidR="00792A68" w:rsidRPr="001864D2">
        <w:rPr>
          <w:lang w:val="ru-RU"/>
        </w:rPr>
        <w:t>ю</w:t>
      </w:r>
      <w:r w:rsidR="00DC5E14" w:rsidRPr="001864D2">
        <w:rPr>
          <w:lang w:val="ru-RU"/>
        </w:rPr>
        <w:t xml:space="preserve"> и биоразнообрази</w:t>
      </w:r>
      <w:r w:rsidR="00792A68" w:rsidRPr="001864D2">
        <w:rPr>
          <w:lang w:val="ru-RU"/>
        </w:rPr>
        <w:t>ю</w:t>
      </w:r>
      <w:r w:rsidR="00DC5E14" w:rsidRPr="001864D2">
        <w:rPr>
          <w:lang w:val="ru-RU"/>
        </w:rPr>
        <w:t>, а также други</w:t>
      </w:r>
      <w:r w:rsidR="00792A68" w:rsidRPr="001864D2">
        <w:rPr>
          <w:lang w:val="ru-RU"/>
        </w:rPr>
        <w:t>м</w:t>
      </w:r>
      <w:r w:rsidR="00DC5E14" w:rsidRPr="001864D2">
        <w:rPr>
          <w:lang w:val="ru-RU"/>
        </w:rPr>
        <w:t xml:space="preserve"> элемент</w:t>
      </w:r>
      <w:r w:rsidR="00792A68" w:rsidRPr="001864D2">
        <w:rPr>
          <w:lang w:val="ru-RU"/>
        </w:rPr>
        <w:t>ам</w:t>
      </w:r>
      <w:r w:rsidR="00DC5E14" w:rsidRPr="001864D2">
        <w:rPr>
          <w:lang w:val="ru-RU"/>
        </w:rPr>
        <w:t xml:space="preserve"> </w:t>
      </w:r>
      <w:r w:rsidR="00BC4FD3">
        <w:rPr>
          <w:lang w:val="ru-RU"/>
        </w:rPr>
        <w:t>совокупности</w:t>
      </w:r>
      <w:r w:rsidR="00DC5E14" w:rsidRPr="001864D2">
        <w:rPr>
          <w:lang w:val="ru-RU"/>
        </w:rPr>
        <w:t xml:space="preserve">, </w:t>
      </w:r>
      <w:r w:rsidR="00792A68" w:rsidRPr="001864D2">
        <w:rPr>
          <w:lang w:val="ru-RU"/>
        </w:rPr>
        <w:t>для</w:t>
      </w:r>
      <w:r w:rsidR="00DC5E14" w:rsidRPr="001864D2">
        <w:rPr>
          <w:lang w:val="ru-RU"/>
        </w:rPr>
        <w:t xml:space="preserve"> реализации которых может потребоваться межсекторальное сотрудничество (например, санитари</w:t>
      </w:r>
      <w:r w:rsidR="00792A68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и очистка сточных вод; диверсификация рациона, способствующая поддержанию генетического разнообразия сельскохозяйственных культур и повышению качества питания; варианты </w:t>
      </w:r>
      <w:r w:rsidR="00792A68" w:rsidRPr="001864D2">
        <w:rPr>
          <w:lang w:val="ru-RU"/>
        </w:rPr>
        <w:t>поддержания</w:t>
      </w:r>
      <w:r w:rsidR="00DC5E14" w:rsidRPr="001864D2">
        <w:rPr>
          <w:lang w:val="ru-RU"/>
        </w:rPr>
        <w:t xml:space="preserve"> репродуктивного здоровья, способствующие </w:t>
      </w:r>
      <w:r w:rsidR="00792A68" w:rsidRPr="001864D2">
        <w:rPr>
          <w:lang w:val="ru-RU"/>
        </w:rPr>
        <w:t>обеспечению</w:t>
      </w:r>
      <w:r w:rsidR="00DC5E14" w:rsidRPr="001864D2">
        <w:rPr>
          <w:lang w:val="ru-RU"/>
        </w:rPr>
        <w:t xml:space="preserve"> здоровья матери и ребенка и снижению спроса на ресурсы окружающей среды, а также максимизации межсекторальных выгод и возможностей управления; реализация подхода </w:t>
      </w:r>
      <w:r w:rsidR="00566757" w:rsidRPr="001864D2">
        <w:rPr>
          <w:lang w:val="ru-RU"/>
        </w:rPr>
        <w:t>«</w:t>
      </w:r>
      <w:r w:rsidR="00DC5E14" w:rsidRPr="001864D2">
        <w:rPr>
          <w:lang w:val="ru-RU"/>
        </w:rPr>
        <w:t>Единое здоровье</w:t>
      </w:r>
      <w:r w:rsidR="00566757" w:rsidRPr="001864D2">
        <w:rPr>
          <w:lang w:val="ru-RU"/>
        </w:rPr>
        <w:t>»</w:t>
      </w:r>
      <w:r w:rsidR="00DC5E14" w:rsidRPr="001864D2">
        <w:rPr>
          <w:lang w:val="ru-RU"/>
        </w:rPr>
        <w:t xml:space="preserve"> в </w:t>
      </w:r>
      <w:r w:rsidR="00566757" w:rsidRPr="001864D2">
        <w:rPr>
          <w:lang w:val="ru-RU"/>
        </w:rPr>
        <w:t>общей</w:t>
      </w:r>
      <w:r w:rsidR="00DC5E14" w:rsidRPr="001864D2">
        <w:rPr>
          <w:lang w:val="ru-RU"/>
        </w:rPr>
        <w:t xml:space="preserve"> для людей, животных и растений среде; меры по восстановлению после COVID-19, которые снижают риск возникновения пандеми</w:t>
      </w:r>
      <w:r w:rsidR="007A6631" w:rsidRPr="001864D2">
        <w:rPr>
          <w:lang w:val="ru-RU"/>
        </w:rPr>
        <w:t>й</w:t>
      </w:r>
      <w:r w:rsidR="00DC5E14" w:rsidRPr="001864D2">
        <w:rPr>
          <w:lang w:val="ru-RU"/>
        </w:rPr>
        <w:t xml:space="preserve"> в будущем и смягчают последствия изменения климата и</w:t>
      </w:r>
      <w:r w:rsidR="00660609">
        <w:rPr>
          <w:lang w:val="ru-RU"/>
        </w:rPr>
        <w:t xml:space="preserve"> </w:t>
      </w:r>
      <w:r w:rsidR="00DC5E14" w:rsidRPr="001864D2">
        <w:rPr>
          <w:lang w:val="ru-RU"/>
        </w:rPr>
        <w:t>(или) повышают продовольственную безопасность</w:t>
      </w:r>
      <w:r w:rsidR="00DC5E14" w:rsidRPr="00112D57">
        <w:rPr>
          <w:vertAlign w:val="superscript"/>
          <w:lang w:val="ru-RU"/>
        </w:rPr>
        <w:footnoteReference w:id="17"/>
      </w:r>
      <w:r w:rsidR="00DC5E14" w:rsidRPr="001864D2">
        <w:rPr>
          <w:lang w:val="ru-RU"/>
        </w:rPr>
        <w:t xml:space="preserve">). Возможно, </w:t>
      </w:r>
      <w:r w:rsidR="007A6631" w:rsidRPr="001864D2">
        <w:rPr>
          <w:lang w:val="ru-RU"/>
        </w:rPr>
        <w:t>появятся</w:t>
      </w:r>
      <w:r w:rsidR="00DC5E14" w:rsidRPr="001864D2">
        <w:rPr>
          <w:lang w:val="ru-RU"/>
        </w:rPr>
        <w:t xml:space="preserve"> соображения отно</w:t>
      </w:r>
      <w:r w:rsidR="007A6631" w:rsidRPr="001864D2">
        <w:rPr>
          <w:lang w:val="ru-RU"/>
        </w:rPr>
        <w:t>сительно</w:t>
      </w:r>
      <w:r w:rsidR="00DC5E14" w:rsidRPr="001864D2">
        <w:rPr>
          <w:lang w:val="ru-RU"/>
        </w:rPr>
        <w:t xml:space="preserve"> политики и процедур, </w:t>
      </w:r>
      <w:r w:rsidR="007A6631" w:rsidRPr="001864D2">
        <w:rPr>
          <w:lang w:val="ru-RU"/>
        </w:rPr>
        <w:t xml:space="preserve">в которых </w:t>
      </w:r>
      <w:r w:rsidR="00DC5E14" w:rsidRPr="001864D2">
        <w:rPr>
          <w:lang w:val="ru-RU"/>
        </w:rPr>
        <w:t>использую</w:t>
      </w:r>
      <w:r w:rsidR="007A6631" w:rsidRPr="001864D2">
        <w:rPr>
          <w:lang w:val="ru-RU"/>
        </w:rPr>
        <w:t>тся</w:t>
      </w:r>
      <w:r w:rsidR="00DC5E14" w:rsidRPr="001864D2">
        <w:rPr>
          <w:lang w:val="ru-RU"/>
        </w:rPr>
        <w:t xml:space="preserve"> рамки, позволяю</w:t>
      </w:r>
      <w:r w:rsidR="007A6631" w:rsidRPr="001864D2">
        <w:rPr>
          <w:lang w:val="ru-RU"/>
        </w:rPr>
        <w:t>щие</w:t>
      </w:r>
      <w:r w:rsidR="00DC5E14" w:rsidRPr="001864D2">
        <w:rPr>
          <w:lang w:val="ru-RU"/>
        </w:rPr>
        <w:t xml:space="preserve"> изучать подходы к обеспечению здоровой планеты, максимизируя межсекторальные выгоды и возможности управления. Среди вариантов реагирования будут те, которые регулируют связи между биоразнообразием и профилактикой заболеваний, включая связи с антропогенными факторами возникновения и распространения инфекционных заболеваний, в том числе сопряженных с риском развития пандемий, таких как SARS-CoV2, SARS, вирус Нипах, ВИЧ/СПИД, лихорадка Эбола; к таким факторам относятся изменение характера землепользования, изменение климата, потребление видов дикой природы и торговля ими, а также интенсификация животноводства</w:t>
      </w:r>
      <w:r w:rsidR="00DC5E14" w:rsidRPr="00112D57">
        <w:rPr>
          <w:vertAlign w:val="superscript"/>
          <w:lang w:val="ru-RU"/>
        </w:rPr>
        <w:footnoteReference w:id="18"/>
      </w:r>
      <w:r w:rsidRPr="003056DD">
        <w:rPr>
          <w:lang w:val="ru-RU"/>
        </w:rPr>
        <w:t>.</w:t>
      </w:r>
    </w:p>
    <w:p w14:paraId="76D56947" w14:textId="1FC34D7A" w:rsidR="00DC5E14" w:rsidRPr="001864D2" w:rsidRDefault="00112D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41.</w:t>
      </w:r>
      <w:r w:rsidRPr="003056DD">
        <w:rPr>
          <w:lang w:val="ru-RU"/>
        </w:rPr>
        <w:tab/>
      </w:r>
      <w:r w:rsidR="00DC5E14" w:rsidRPr="00112D57">
        <w:rPr>
          <w:b/>
          <w:bCs/>
          <w:lang w:val="ru-RU"/>
        </w:rPr>
        <w:t>Глава 10</w:t>
      </w:r>
      <w:r w:rsidR="007A6631" w:rsidRPr="00112D57">
        <w:rPr>
          <w:b/>
          <w:bCs/>
          <w:lang w:val="ru-RU"/>
        </w:rPr>
        <w:t>.</w:t>
      </w:r>
      <w:r w:rsidR="00DC5E14" w:rsidRPr="00112D57">
        <w:rPr>
          <w:b/>
          <w:bCs/>
          <w:lang w:val="ru-RU"/>
        </w:rPr>
        <w:t xml:space="preserve"> </w:t>
      </w:r>
      <w:r w:rsidR="007A6631" w:rsidRPr="00112D57">
        <w:rPr>
          <w:b/>
          <w:bCs/>
          <w:lang w:val="ru-RU"/>
        </w:rPr>
        <w:t>В</w:t>
      </w:r>
      <w:r w:rsidR="00DC5E14" w:rsidRPr="00112D57">
        <w:rPr>
          <w:b/>
          <w:bCs/>
          <w:lang w:val="ru-RU"/>
        </w:rPr>
        <w:t>арианты обеспечения устойчивых подходов к финансированию</w:t>
      </w:r>
      <w:r w:rsidR="00DC5E14" w:rsidRPr="001864D2">
        <w:rPr>
          <w:lang w:val="ru-RU"/>
        </w:rPr>
        <w:t>. В главе</w:t>
      </w:r>
      <w:r w:rsidR="00671451">
        <w:rPr>
          <w:lang w:val="ru-RU"/>
        </w:rPr>
        <w:t> </w:t>
      </w:r>
      <w:r w:rsidR="00DC5E14" w:rsidRPr="001864D2">
        <w:rPr>
          <w:lang w:val="ru-RU"/>
        </w:rPr>
        <w:t>10 будут рассматриваться варианты реагирования, которые могут быть реализованы субъектами финансового сектора с целью осуществления изменений, изложенных в главе 5. В оценке будет изуч</w:t>
      </w:r>
      <w:r w:rsidR="00EA74E4" w:rsidRPr="001864D2">
        <w:rPr>
          <w:lang w:val="ru-RU"/>
        </w:rPr>
        <w:t>аться</w:t>
      </w:r>
      <w:r w:rsidR="00DC5E14" w:rsidRPr="001864D2">
        <w:rPr>
          <w:lang w:val="ru-RU"/>
        </w:rPr>
        <w:t xml:space="preserve"> роль </w:t>
      </w:r>
      <w:r w:rsidR="00EA74E4" w:rsidRPr="001864D2">
        <w:rPr>
          <w:lang w:val="ru-RU"/>
        </w:rPr>
        <w:t xml:space="preserve">источников </w:t>
      </w:r>
      <w:r w:rsidR="00DC5E14" w:rsidRPr="001864D2">
        <w:rPr>
          <w:lang w:val="ru-RU"/>
        </w:rPr>
        <w:t>финансир</w:t>
      </w:r>
      <w:r w:rsidR="00EA74E4" w:rsidRPr="001864D2">
        <w:rPr>
          <w:lang w:val="ru-RU"/>
        </w:rPr>
        <w:t>ования</w:t>
      </w:r>
      <w:r w:rsidR="00DC5E14" w:rsidRPr="001864D2">
        <w:rPr>
          <w:lang w:val="ru-RU"/>
        </w:rPr>
        <w:t xml:space="preserve"> (включая средства частных инвесторов, компании</w:t>
      </w:r>
      <w:r w:rsidR="003A025C" w:rsidRPr="001864D2">
        <w:rPr>
          <w:lang w:val="ru-RU"/>
        </w:rPr>
        <w:t xml:space="preserve"> по управлению активами</w:t>
      </w:r>
      <w:r w:rsidR="00DC5E14" w:rsidRPr="001864D2">
        <w:rPr>
          <w:lang w:val="ru-RU"/>
        </w:rPr>
        <w:t>, инвестиционные банки и банки развития, пенсионные фонды, институциональных инвесторов, таких как страховые компании, а также государственные фонды) в пред</w:t>
      </w:r>
      <w:r w:rsidR="00EA74E4" w:rsidRPr="001864D2">
        <w:rPr>
          <w:lang w:val="ru-RU"/>
        </w:rPr>
        <w:t>о</w:t>
      </w:r>
      <w:r w:rsidR="00DC5E14" w:rsidRPr="001864D2">
        <w:rPr>
          <w:lang w:val="ru-RU"/>
        </w:rPr>
        <w:t>ставлении финансовых средств для реализации вариантов, определенных в предыдущих главах. В оценке будут рассматриваться варианты реагирования, связанные с национальными бюджетами, благотворительными фондами, международным сотрудничеством в целях оказания помощи, частными инвесторами и кредиторами, а также многосторонними организациями (например, Международным валютным фондом, Всемирным банком, Всемирной торговой организацией). Кроме того, в этой главе будет дана оценка прогресса в мобилизации финансовых средств, необходимых для осуществления изменений, указанных в главе 5, в том числе тех, которые обладают потенциалом по достижению целей в области устойчивого развития. В этой главе, возможно, будут рассматриваться рыночные и нерыночные экономические инструменты в контексте развивающихся экономических парадигм, исследуемых в главе 5 (например, инклюзивное богатство, учет природного капитала). К числу подлежащих рассмотрению вопросов, основыва</w:t>
      </w:r>
      <w:r w:rsidR="00033A4B" w:rsidRPr="001864D2">
        <w:rPr>
          <w:lang w:val="ru-RU"/>
        </w:rPr>
        <w:t>ющихся</w:t>
      </w:r>
      <w:r w:rsidR="00DC5E14" w:rsidRPr="001864D2">
        <w:rPr>
          <w:lang w:val="ru-RU"/>
        </w:rPr>
        <w:t xml:space="preserve"> на окончательной </w:t>
      </w:r>
      <w:r w:rsidR="00DC5E14" w:rsidRPr="001864D2">
        <w:rPr>
          <w:lang w:val="ru-RU"/>
        </w:rPr>
        <w:lastRenderedPageBreak/>
        <w:t>версии проводимой МПБЭУ оценк</w:t>
      </w:r>
      <w:r w:rsidR="00033A4B" w:rsidRPr="001864D2">
        <w:rPr>
          <w:lang w:val="ru-RU"/>
        </w:rPr>
        <w:t>и</w:t>
      </w:r>
      <w:r w:rsidR="00DC5E14" w:rsidRPr="001864D2">
        <w:rPr>
          <w:lang w:val="ru-RU"/>
        </w:rPr>
        <w:t xml:space="preserve"> ценностей и дополня</w:t>
      </w:r>
      <w:r w:rsidR="00033A4B" w:rsidRPr="001864D2">
        <w:rPr>
          <w:lang w:val="ru-RU"/>
        </w:rPr>
        <w:t>ющих</w:t>
      </w:r>
      <w:r w:rsidR="00DC5E14" w:rsidRPr="001864D2">
        <w:rPr>
          <w:lang w:val="ru-RU"/>
        </w:rPr>
        <w:t xml:space="preserve"> ее, относятся методы оценки экосистем, стандарты и сертификация, нетарифные барьеры в торговле, стандарты кредитования, инвестиционные рамки, торговые режимы, включая директивы, схемы платежей, инструменты распределения выгод, права интеллектуальной и иной собственности, ценообразование на выбросы, схемы </w:t>
      </w:r>
      <w:r w:rsidR="0081633F" w:rsidRPr="001864D2">
        <w:rPr>
          <w:lang w:val="ru-RU"/>
        </w:rPr>
        <w:t xml:space="preserve">обеспечения </w:t>
      </w:r>
      <w:r w:rsidR="00DC5E14" w:rsidRPr="001864D2">
        <w:rPr>
          <w:lang w:val="ru-RU"/>
        </w:rPr>
        <w:t xml:space="preserve">доступа </w:t>
      </w:r>
      <w:r w:rsidR="0081633F" w:rsidRPr="001864D2">
        <w:rPr>
          <w:lang w:val="ru-RU"/>
        </w:rPr>
        <w:t>и</w:t>
      </w:r>
      <w:r w:rsidR="00DC5E14" w:rsidRPr="001864D2">
        <w:rPr>
          <w:lang w:val="ru-RU"/>
        </w:rPr>
        <w:t xml:space="preserve"> </w:t>
      </w:r>
      <w:r w:rsidR="0081633F" w:rsidRPr="001864D2">
        <w:rPr>
          <w:lang w:val="ru-RU"/>
        </w:rPr>
        <w:t>совместного использования выгод и</w:t>
      </w:r>
      <w:r w:rsidR="00DC5E14" w:rsidRPr="001864D2">
        <w:rPr>
          <w:lang w:val="ru-RU"/>
        </w:rPr>
        <w:t xml:space="preserve"> ответственности, а также финансирование исследований. </w:t>
      </w:r>
    </w:p>
    <w:p w14:paraId="7434BAC2" w14:textId="0E940B4F" w:rsidR="00DC5E14" w:rsidRPr="001864D2" w:rsidRDefault="00112D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42.</w:t>
      </w:r>
      <w:r w:rsidRPr="003056DD">
        <w:rPr>
          <w:lang w:val="ru-RU"/>
        </w:rPr>
        <w:tab/>
      </w:r>
      <w:r w:rsidR="00DC5E14" w:rsidRPr="00112D57">
        <w:rPr>
          <w:b/>
          <w:bCs/>
          <w:lang w:val="ru-RU"/>
        </w:rPr>
        <w:t>Глава 11</w:t>
      </w:r>
      <w:r w:rsidR="0081633F" w:rsidRPr="00112D57">
        <w:rPr>
          <w:b/>
          <w:bCs/>
          <w:lang w:val="ru-RU"/>
        </w:rPr>
        <w:t>.</w:t>
      </w:r>
      <w:r w:rsidR="00DC5E14" w:rsidRPr="00112D57">
        <w:rPr>
          <w:b/>
          <w:bCs/>
          <w:lang w:val="ru-RU"/>
        </w:rPr>
        <w:t xml:space="preserve"> </w:t>
      </w:r>
      <w:r w:rsidR="0081633F" w:rsidRPr="00112D57">
        <w:rPr>
          <w:b/>
          <w:bCs/>
          <w:lang w:val="ru-RU"/>
        </w:rPr>
        <w:t>В</w:t>
      </w:r>
      <w:r w:rsidR="00DC5E14" w:rsidRPr="00112D57">
        <w:rPr>
          <w:b/>
          <w:bCs/>
          <w:lang w:val="ru-RU"/>
        </w:rPr>
        <w:t xml:space="preserve">арианты обеспечения устойчивых подходов к сохранению и использованию биоразнообразия в синергии с другими компонентами </w:t>
      </w:r>
      <w:r w:rsidR="00BC4FD3">
        <w:rPr>
          <w:b/>
          <w:bCs/>
          <w:lang w:val="ru-RU"/>
        </w:rPr>
        <w:t>совокупности</w:t>
      </w:r>
      <w:r w:rsidR="00DC5E14" w:rsidRPr="001864D2">
        <w:rPr>
          <w:lang w:val="ru-RU"/>
        </w:rPr>
        <w:t xml:space="preserve">. В главе 11 будут рассматриваться варианты реагирования, которые могут быть </w:t>
      </w:r>
      <w:r w:rsidR="0081633F" w:rsidRPr="001864D2">
        <w:rPr>
          <w:lang w:val="ru-RU"/>
        </w:rPr>
        <w:t>реализованы</w:t>
      </w:r>
      <w:r w:rsidR="00DC5E14" w:rsidRPr="001864D2">
        <w:rPr>
          <w:lang w:val="ru-RU"/>
        </w:rPr>
        <w:t xml:space="preserve"> субъектами, занимающимися охраной </w:t>
      </w:r>
      <w:r w:rsidR="0081633F" w:rsidRPr="001864D2">
        <w:rPr>
          <w:lang w:val="ru-RU"/>
        </w:rPr>
        <w:t xml:space="preserve">и сохранением </w:t>
      </w:r>
      <w:r w:rsidR="00DC5E14" w:rsidRPr="001864D2">
        <w:rPr>
          <w:lang w:val="ru-RU"/>
        </w:rPr>
        <w:t xml:space="preserve">окружающей среды, с целью осуществления изменений, изложенных в главе 5. Рассматриваемые варианты реагирования могут включать основанные на природных факторах решения, наземное и морское пространственное планирование, создание и эффективное и устойчивое управление сетями наземных, пресноводных и морских охраняемых районов и экологическими коридорами, прочие эффективные природоохранные меры, ориентированные на конкретные районы, восстановление и устранение загрязнений окружающей среды. Варианты реагирования могут включать экологические нормы (например, в отношении развития энергетики и инфраструктуры, </w:t>
      </w:r>
      <w:r w:rsidR="000A478D">
        <w:rPr>
          <w:lang w:val="ru-RU"/>
        </w:rPr>
        <w:t>регулирования</w:t>
      </w:r>
      <w:r w:rsidR="000A478D" w:rsidRPr="001864D2">
        <w:rPr>
          <w:lang w:val="ru-RU"/>
        </w:rPr>
        <w:t xml:space="preserve"> </w:t>
      </w:r>
      <w:r w:rsidR="00DC5E14" w:rsidRPr="001864D2">
        <w:rPr>
          <w:lang w:val="ru-RU"/>
        </w:rPr>
        <w:t>водны</w:t>
      </w:r>
      <w:r w:rsidR="000A478D">
        <w:rPr>
          <w:lang w:val="ru-RU"/>
        </w:rPr>
        <w:t>х</w:t>
      </w:r>
      <w:r w:rsidR="00DC5E14" w:rsidRPr="001864D2">
        <w:rPr>
          <w:lang w:val="ru-RU"/>
        </w:rPr>
        <w:t xml:space="preserve"> ресурс</w:t>
      </w:r>
      <w:r w:rsidR="000A478D">
        <w:rPr>
          <w:lang w:val="ru-RU"/>
        </w:rPr>
        <w:t>ов</w:t>
      </w:r>
      <w:r w:rsidR="00DC5E14" w:rsidRPr="001864D2">
        <w:rPr>
          <w:lang w:val="ru-RU"/>
        </w:rPr>
        <w:t xml:space="preserve"> и рыболовств</w:t>
      </w:r>
      <w:r w:rsidR="00136F0F">
        <w:rPr>
          <w:lang w:val="ru-RU"/>
        </w:rPr>
        <w:t>а</w:t>
      </w:r>
      <w:r w:rsidR="00DC5E14" w:rsidRPr="001864D2">
        <w:rPr>
          <w:lang w:val="ru-RU"/>
        </w:rPr>
        <w:t xml:space="preserve">, использования сельскохозяйственных химикатов и загрязнения окружающей среды), а также добровольные нормы или официальные соглашения об управлении, связанные с доступом к природным ресурсам и их использованием. Варианты будут включать возможность проведения необходимых исследований, мониторинга и экологического образования в поддержку изменений, определенных в главе 5. </w:t>
      </w:r>
    </w:p>
    <w:p w14:paraId="25ED88F5" w14:textId="24B06F47" w:rsidR="00DC5E14" w:rsidRPr="001864D2" w:rsidRDefault="00112D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43.</w:t>
      </w:r>
      <w:r w:rsidRPr="003056DD">
        <w:rPr>
          <w:lang w:val="ru-RU"/>
        </w:rPr>
        <w:tab/>
      </w:r>
      <w:r w:rsidR="00DC5E14" w:rsidRPr="009E4B57">
        <w:rPr>
          <w:b/>
          <w:bCs/>
          <w:lang w:val="ru-RU"/>
        </w:rPr>
        <w:t>Глава 12</w:t>
      </w:r>
      <w:r w:rsidR="0081633F" w:rsidRPr="009E4B57">
        <w:rPr>
          <w:b/>
          <w:bCs/>
          <w:lang w:val="ru-RU"/>
        </w:rPr>
        <w:t>.</w:t>
      </w:r>
      <w:r w:rsidR="00DC5E14" w:rsidRPr="009E4B57">
        <w:rPr>
          <w:b/>
          <w:bCs/>
          <w:lang w:val="ru-RU"/>
        </w:rPr>
        <w:t xml:space="preserve"> </w:t>
      </w:r>
      <w:r w:rsidR="0081633F" w:rsidRPr="009E4B57">
        <w:rPr>
          <w:b/>
          <w:bCs/>
          <w:lang w:val="ru-RU"/>
        </w:rPr>
        <w:t>Р</w:t>
      </w:r>
      <w:r w:rsidR="00DC5E14" w:rsidRPr="009E4B57">
        <w:rPr>
          <w:b/>
          <w:bCs/>
          <w:lang w:val="ru-RU"/>
        </w:rPr>
        <w:t>езюме и обобщение вариантов, пробелы в знаниях и развитие потенциала</w:t>
      </w:r>
      <w:r w:rsidR="00DC5E14" w:rsidRPr="001864D2">
        <w:rPr>
          <w:lang w:val="ru-RU"/>
        </w:rPr>
        <w:t xml:space="preserve">. В главе 12 будут кратко описаны возможности для действий ряда директивных органов, принимающих решения лиц и субъектов на всех уровнях, включая соответствующие подразделения системы Организации Объединенных Наций, руководящие органы относящихся к </w:t>
      </w:r>
      <w:r w:rsidR="00126098">
        <w:rPr>
          <w:lang w:val="ru-RU"/>
        </w:rPr>
        <w:t>совокупности</w:t>
      </w:r>
      <w:r w:rsidR="00126098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соглашений о биоразнообразии, климате, продовольствии, водных ресурсах, здоровье или энергии и других соответствующих соглашений, в зависимости от обстоятельств и согласно их соответствующим мандатам, директивные и законодательные органы, субъекты частного сектора, специалисты по финансовому планированию, гражданское общество, академические и научно-исследовательские институты, а также коренные народы и местные общины, которые имеют отношение к какой-либо системе в </w:t>
      </w:r>
      <w:r w:rsidR="00126098">
        <w:rPr>
          <w:lang w:val="ru-RU"/>
        </w:rPr>
        <w:t>составе совокупности</w:t>
      </w:r>
      <w:r w:rsidR="00DC5E14" w:rsidRPr="001864D2">
        <w:rPr>
          <w:lang w:val="ru-RU"/>
        </w:rPr>
        <w:t xml:space="preserve">. В это резюме также будет включена обобщенная информация об издержках действий и бездействия, определенных в главах 6-11, </w:t>
      </w:r>
      <w:r w:rsidR="00CE6A8E" w:rsidRPr="001864D2">
        <w:rPr>
          <w:lang w:val="ru-RU"/>
        </w:rPr>
        <w:t>в которой содержится</w:t>
      </w:r>
      <w:r w:rsidR="00DC5E14" w:rsidRPr="001864D2">
        <w:rPr>
          <w:lang w:val="ru-RU"/>
        </w:rPr>
        <w:t xml:space="preserve"> вывод об их соотношении друг с другом. Акцент будет сделан на кратком описании того, какие возможности для преобразований могут быть наиболее эффективно использованы субъектами в том или ином секторе и для реализации каких возможностей потребуются совместные действия со стороны многочисленных секторов и гражданских субъектов. Внимание также будет уделено вопросу о том, какие компромиссы, скорее всего, сохранятся</w:t>
      </w:r>
      <w:r w:rsidR="00834F4E" w:rsidRPr="001864D2">
        <w:rPr>
          <w:lang w:val="ru-RU"/>
        </w:rPr>
        <w:t xml:space="preserve"> в рамках взаимосвязи</w:t>
      </w:r>
      <w:r w:rsidR="00DC5E14" w:rsidRPr="001864D2">
        <w:rPr>
          <w:lang w:val="ru-RU"/>
        </w:rPr>
        <w:t xml:space="preserve">, и что можно сделать для их смягчения и оказания поддержки социальным группам, которые с наибольшей вероятностью могут </w:t>
      </w:r>
      <w:r w:rsidR="00D66B5F" w:rsidRPr="001864D2">
        <w:rPr>
          <w:lang w:val="ru-RU"/>
        </w:rPr>
        <w:t>быть затронуты ими</w:t>
      </w:r>
      <w:r w:rsidR="00DC5E14" w:rsidRPr="001864D2">
        <w:rPr>
          <w:lang w:val="ru-RU"/>
        </w:rPr>
        <w:t>.</w:t>
      </w:r>
      <w:bookmarkStart w:id="6" w:name="_Hlk66027205"/>
      <w:bookmarkEnd w:id="6"/>
    </w:p>
    <w:p w14:paraId="24ABE8CF" w14:textId="30BC82C9" w:rsidR="00DC5E14" w:rsidRPr="001864D2" w:rsidRDefault="009E4B57" w:rsidP="009E4B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3056DD">
        <w:rPr>
          <w:lang w:val="ru-RU"/>
        </w:rPr>
        <w:t>44.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главе будут кратко изложены выводы о преимуществах и недостатках механизмов мониторинга </w:t>
      </w:r>
      <w:r w:rsidR="00C17E1A">
        <w:rPr>
          <w:lang w:val="ru-RU"/>
        </w:rPr>
        <w:t>для системы глобальных мероприятий в сфере</w:t>
      </w:r>
      <w:r w:rsidR="00C17E1A" w:rsidRPr="001864D2" w:rsidDel="00C17E1A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биоразнообразия на период после 2020 года и Повестки дня в области устойчивого развития на период до 2030 года в контексте </w:t>
      </w:r>
      <w:r w:rsidR="006D5E79">
        <w:rPr>
          <w:lang w:val="ru-RU"/>
        </w:rPr>
        <w:t>совокупности</w:t>
      </w:r>
      <w:r w:rsidR="006D5E79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 предложены варианты их дополнения. Наконец, в главе будут обобщены пробелы в знаниях, в том числе недостатки в управлении и будущие потребности в проведении исследований, выявленные в ходе оценки. Внимание будет уделяться возможностям для синергии при заполнении пробелов в знаниях и потенциале </w:t>
      </w:r>
      <w:r w:rsidR="00B92339">
        <w:rPr>
          <w:lang w:val="ru-RU"/>
        </w:rPr>
        <w:t>в отношении</w:t>
      </w:r>
      <w:r w:rsidR="00DC5E14" w:rsidRPr="001864D2">
        <w:rPr>
          <w:lang w:val="ru-RU"/>
        </w:rPr>
        <w:t xml:space="preserve"> элемент</w:t>
      </w:r>
      <w:r w:rsidR="00B92339">
        <w:rPr>
          <w:lang w:val="ru-RU"/>
        </w:rPr>
        <w:t>ов</w:t>
      </w:r>
      <w:r w:rsidR="00DC5E14" w:rsidRPr="001864D2">
        <w:rPr>
          <w:lang w:val="ru-RU"/>
        </w:rPr>
        <w:t xml:space="preserve"> </w:t>
      </w:r>
      <w:r w:rsidR="006D5E79">
        <w:rPr>
          <w:lang w:val="ru-RU"/>
        </w:rPr>
        <w:t>совокупности</w:t>
      </w:r>
      <w:r w:rsidR="00DC5E14" w:rsidRPr="001864D2">
        <w:rPr>
          <w:lang w:val="ru-RU"/>
        </w:rPr>
        <w:t>.</w:t>
      </w:r>
    </w:p>
    <w:p w14:paraId="720F23D0" w14:textId="6AA068DE" w:rsidR="00DC5E14" w:rsidRPr="005F588E" w:rsidRDefault="00C24D3F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F588E">
        <w:rPr>
          <w:b/>
          <w:bCs/>
          <w:sz w:val="28"/>
          <w:szCs w:val="28"/>
          <w:lang w:val="ru-RU"/>
        </w:rPr>
        <w:tab/>
        <w:t>III.</w:t>
      </w:r>
      <w:r w:rsidRPr="005F588E">
        <w:rPr>
          <w:b/>
          <w:bCs/>
          <w:sz w:val="28"/>
          <w:szCs w:val="28"/>
          <w:lang w:val="ru-RU"/>
        </w:rPr>
        <w:tab/>
      </w:r>
      <w:r w:rsidR="00E953D0" w:rsidRPr="005F588E">
        <w:rPr>
          <w:b/>
          <w:bCs/>
          <w:sz w:val="28"/>
          <w:szCs w:val="28"/>
          <w:lang w:val="ru-RU"/>
        </w:rPr>
        <w:t>Данные и информация</w:t>
      </w:r>
    </w:p>
    <w:p w14:paraId="49DDE1DE" w14:textId="57A5A0AD" w:rsidR="00DC5E14" w:rsidRPr="001864D2" w:rsidRDefault="009E4B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45.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Оценка </w:t>
      </w:r>
      <w:r w:rsidR="000023F1">
        <w:rPr>
          <w:lang w:val="ru-RU"/>
        </w:rPr>
        <w:t>совокупности</w:t>
      </w:r>
      <w:r w:rsidR="000023F1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будет опираться на данные и информацию, поступающие из различных систем знаний и на различных языках, включая научную литературу и знания коренного и местного населения, в отношении всех компонентов концептуальных рамок МПБЭУ в целях изучения взаимозависимостей между природой, обеспечиваемым природой вкладом на благо человека, факторами, учреждениями и управлением, а также достойным качеством жизни. </w:t>
      </w:r>
    </w:p>
    <w:p w14:paraId="602ECC80" w14:textId="5E2D756A" w:rsidR="00DC5E14" w:rsidRPr="001864D2" w:rsidRDefault="009E4B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46.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соответствии с политикой Платформы в области управления данными внимание будет уделяться предоставлению доступа к метаданным и, при наличии возможности, </w:t>
      </w:r>
      <w:r w:rsidR="00DC5E14" w:rsidRPr="001864D2">
        <w:rPr>
          <w:lang w:val="ru-RU"/>
        </w:rPr>
        <w:lastRenderedPageBreak/>
        <w:t xml:space="preserve">соответствующим исходным данным с помощью процесса, основанного на принципах удобства поиска, доступности, функциональной совместимости и многократности использования (FAIR), </w:t>
      </w:r>
      <w:r w:rsidR="0067512E" w:rsidRPr="001864D2">
        <w:rPr>
          <w:lang w:val="ru-RU"/>
        </w:rPr>
        <w:t xml:space="preserve">для </w:t>
      </w:r>
      <w:r w:rsidR="00DC5E14" w:rsidRPr="001864D2">
        <w:rPr>
          <w:lang w:val="ru-RU"/>
        </w:rPr>
        <w:t>обеспеч</w:t>
      </w:r>
      <w:r w:rsidR="0067512E" w:rsidRPr="001864D2">
        <w:rPr>
          <w:lang w:val="ru-RU"/>
        </w:rPr>
        <w:t>ения</w:t>
      </w:r>
      <w:r w:rsidR="00DC5E14" w:rsidRPr="001864D2">
        <w:rPr>
          <w:lang w:val="ru-RU"/>
        </w:rPr>
        <w:t xml:space="preserve"> сопоставимост</w:t>
      </w:r>
      <w:r w:rsidR="0067512E" w:rsidRPr="001864D2">
        <w:rPr>
          <w:lang w:val="ru-RU"/>
        </w:rPr>
        <w:t>и</w:t>
      </w:r>
      <w:r w:rsidR="00DC5E14" w:rsidRPr="001864D2">
        <w:rPr>
          <w:lang w:val="ru-RU"/>
        </w:rPr>
        <w:t xml:space="preserve"> оценок. Кроме того, целевая группа по вопросам знаний и данных будет работать над </w:t>
      </w:r>
      <w:r w:rsidR="0067512E" w:rsidRPr="001864D2">
        <w:rPr>
          <w:lang w:val="ru-RU"/>
        </w:rPr>
        <w:t>предоставлением</w:t>
      </w:r>
      <w:r w:rsidR="00DC5E14" w:rsidRPr="001864D2">
        <w:rPr>
          <w:lang w:val="ru-RU"/>
        </w:rPr>
        <w:t xml:space="preserve"> широкого доступа к результатам оценки </w:t>
      </w:r>
      <w:r w:rsidR="000023F1">
        <w:rPr>
          <w:lang w:val="ru-RU"/>
        </w:rPr>
        <w:t>совокупности</w:t>
      </w:r>
      <w:r w:rsidR="000023F1" w:rsidRPr="001864D2">
        <w:rPr>
          <w:lang w:val="ru-RU"/>
        </w:rPr>
        <w:t xml:space="preserve"> </w:t>
      </w:r>
      <w:r w:rsidR="00DC5E14" w:rsidRPr="001864D2">
        <w:rPr>
          <w:lang w:val="ru-RU"/>
        </w:rPr>
        <w:t>(т.е. к знаниям и метаданны</w:t>
      </w:r>
      <w:r w:rsidR="000023F1">
        <w:rPr>
          <w:lang w:val="ru-RU"/>
        </w:rPr>
        <w:t>м</w:t>
      </w:r>
      <w:r w:rsidR="00DC5E14" w:rsidRPr="001864D2">
        <w:rPr>
          <w:lang w:val="ru-RU"/>
        </w:rPr>
        <w:t xml:space="preserve">) при проведении Платформой будущих оценок и для других видов использования. </w:t>
      </w:r>
    </w:p>
    <w:p w14:paraId="7E6835F2" w14:textId="1E890F5F" w:rsidR="00DC5E14" w:rsidRPr="001864D2" w:rsidRDefault="009E4B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47.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В </w:t>
      </w:r>
      <w:r w:rsidR="0067512E" w:rsidRPr="001864D2">
        <w:rPr>
          <w:lang w:val="ru-RU"/>
        </w:rPr>
        <w:t xml:space="preserve">ходе </w:t>
      </w:r>
      <w:r w:rsidR="00DC5E14" w:rsidRPr="001864D2">
        <w:rPr>
          <w:lang w:val="ru-RU"/>
        </w:rPr>
        <w:t>оценк</w:t>
      </w:r>
      <w:r w:rsidR="0067512E" w:rsidRPr="001864D2">
        <w:rPr>
          <w:lang w:val="ru-RU"/>
        </w:rPr>
        <w:t>и</w:t>
      </w:r>
      <w:r w:rsidR="00DC5E14" w:rsidRPr="001864D2">
        <w:rPr>
          <w:lang w:val="ru-RU"/>
        </w:rPr>
        <w:t xml:space="preserve"> также будет определ</w:t>
      </w:r>
      <w:r w:rsidR="0067512E" w:rsidRPr="001864D2">
        <w:rPr>
          <w:lang w:val="ru-RU"/>
        </w:rPr>
        <w:t>яться</w:t>
      </w:r>
      <w:r w:rsidR="00DC5E14" w:rsidRPr="001864D2">
        <w:rPr>
          <w:lang w:val="ru-RU"/>
        </w:rPr>
        <w:t xml:space="preserve"> и </w:t>
      </w:r>
      <w:r w:rsidR="0067512E" w:rsidRPr="001864D2">
        <w:rPr>
          <w:lang w:val="ru-RU"/>
        </w:rPr>
        <w:t>изыскиваться</w:t>
      </w:r>
      <w:r w:rsidR="00DC5E14" w:rsidRPr="001864D2">
        <w:rPr>
          <w:lang w:val="ru-RU"/>
        </w:rPr>
        <w:t xml:space="preserve"> доступ к данны</w:t>
      </w:r>
      <w:r w:rsidR="004C6DCF" w:rsidRPr="001864D2">
        <w:rPr>
          <w:lang w:val="ru-RU"/>
        </w:rPr>
        <w:t>м</w:t>
      </w:r>
      <w:r w:rsidR="00DC5E14" w:rsidRPr="001864D2">
        <w:rPr>
          <w:lang w:val="ru-RU"/>
        </w:rPr>
        <w:t>,</w:t>
      </w:r>
      <w:r w:rsidR="004C6DCF" w:rsidRPr="001864D2">
        <w:rPr>
          <w:lang w:val="ru-RU"/>
        </w:rPr>
        <w:t xml:space="preserve"> </w:t>
      </w:r>
      <w:r w:rsidR="00DC5E14" w:rsidRPr="001864D2">
        <w:rPr>
          <w:lang w:val="ru-RU"/>
        </w:rPr>
        <w:t>актуальным на глобальном и региональном уровнях</w:t>
      </w:r>
      <w:r w:rsidR="004C6DCF" w:rsidRPr="001864D2">
        <w:rPr>
          <w:lang w:val="ru-RU"/>
        </w:rPr>
        <w:t>,</w:t>
      </w:r>
      <w:r w:rsidR="00DC5E14" w:rsidRPr="001864D2">
        <w:rPr>
          <w:lang w:val="ru-RU"/>
        </w:rPr>
        <w:t xml:space="preserve"> и </w:t>
      </w:r>
      <w:r w:rsidR="004C6DCF" w:rsidRPr="001864D2">
        <w:rPr>
          <w:lang w:val="ru-RU"/>
        </w:rPr>
        <w:t xml:space="preserve">источникам информации, которые </w:t>
      </w:r>
      <w:r w:rsidR="00DC5E14" w:rsidRPr="001864D2">
        <w:rPr>
          <w:lang w:val="ru-RU"/>
        </w:rPr>
        <w:t xml:space="preserve">уже существуют или появляются. Потенциальные источники данных включают, среди прочего, глобальные, региональные и национальные учреждения и организации, научную литературу, неофициальные публикации и знания коренного и местного населения. Связанные с процессом оценки потребности будут широко освещаться в целях выявления </w:t>
      </w:r>
      <w:r w:rsidR="004C6DCF" w:rsidRPr="001864D2">
        <w:rPr>
          <w:lang w:val="ru-RU"/>
        </w:rPr>
        <w:t xml:space="preserve">соответствующих данных и информации </w:t>
      </w:r>
      <w:r w:rsidR="00DC5E14" w:rsidRPr="001864D2">
        <w:rPr>
          <w:lang w:val="ru-RU"/>
        </w:rPr>
        <w:t>и поощрения обмена</w:t>
      </w:r>
      <w:r w:rsidR="004C6DCF" w:rsidRPr="001864D2">
        <w:rPr>
          <w:lang w:val="ru-RU"/>
        </w:rPr>
        <w:t xml:space="preserve"> ими</w:t>
      </w:r>
      <w:r w:rsidR="00DC5E14" w:rsidRPr="001864D2">
        <w:rPr>
          <w:lang w:val="ru-RU"/>
        </w:rPr>
        <w:t xml:space="preserve">. </w:t>
      </w:r>
    </w:p>
    <w:p w14:paraId="7EEA70E2" w14:textId="17399AB6" w:rsidR="00DC5E14" w:rsidRPr="001864D2" w:rsidRDefault="009E4B57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48.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Целевая группа по вопросам знаний и данных будет по мере необходимости содействовать работе </w:t>
      </w:r>
      <w:r w:rsidR="00E8661C" w:rsidRPr="001864D2">
        <w:rPr>
          <w:lang w:val="ru-RU"/>
        </w:rPr>
        <w:t xml:space="preserve">над </w:t>
      </w:r>
      <w:r w:rsidR="00DC5E14" w:rsidRPr="001864D2">
        <w:rPr>
          <w:lang w:val="ru-RU"/>
        </w:rPr>
        <w:t>качеств</w:t>
      </w:r>
      <w:r w:rsidR="00E8661C" w:rsidRPr="001864D2">
        <w:rPr>
          <w:lang w:val="ru-RU"/>
        </w:rPr>
        <w:t>ом</w:t>
      </w:r>
      <w:r w:rsidR="00DC5E14" w:rsidRPr="001864D2">
        <w:rPr>
          <w:lang w:val="ru-RU"/>
        </w:rPr>
        <w:t xml:space="preserve"> данных и информации, </w:t>
      </w:r>
      <w:r w:rsidR="00E8661C" w:rsidRPr="001864D2">
        <w:rPr>
          <w:lang w:val="ru-RU"/>
        </w:rPr>
        <w:t xml:space="preserve">обеспечением </w:t>
      </w:r>
      <w:r w:rsidR="00DC5E14" w:rsidRPr="001864D2">
        <w:rPr>
          <w:lang w:val="ru-RU"/>
        </w:rPr>
        <w:t>достоверност</w:t>
      </w:r>
      <w:r w:rsidR="00E8661C" w:rsidRPr="001864D2">
        <w:rPr>
          <w:lang w:val="ru-RU"/>
        </w:rPr>
        <w:t>и</w:t>
      </w:r>
      <w:r w:rsidR="00DC5E14" w:rsidRPr="001864D2">
        <w:rPr>
          <w:lang w:val="ru-RU"/>
        </w:rPr>
        <w:t>, основны</w:t>
      </w:r>
      <w:r w:rsidR="00E8661C" w:rsidRPr="001864D2">
        <w:rPr>
          <w:lang w:val="ru-RU"/>
        </w:rPr>
        <w:t>ми</w:t>
      </w:r>
      <w:r w:rsidR="00DC5E14" w:rsidRPr="001864D2">
        <w:rPr>
          <w:lang w:val="ru-RU"/>
        </w:rPr>
        <w:t xml:space="preserve"> переменны</w:t>
      </w:r>
      <w:r w:rsidR="00E8661C" w:rsidRPr="001864D2">
        <w:rPr>
          <w:lang w:val="ru-RU"/>
        </w:rPr>
        <w:t>ми</w:t>
      </w:r>
      <w:r w:rsidR="00DC5E14" w:rsidRPr="001864D2">
        <w:rPr>
          <w:lang w:val="ru-RU"/>
        </w:rPr>
        <w:t xml:space="preserve"> и показател</w:t>
      </w:r>
      <w:r w:rsidR="00E8661C" w:rsidRPr="001864D2">
        <w:rPr>
          <w:lang w:val="ru-RU"/>
        </w:rPr>
        <w:t>ями</w:t>
      </w:r>
      <w:r w:rsidR="00DC5E14" w:rsidRPr="001864D2">
        <w:rPr>
          <w:lang w:val="ru-RU"/>
        </w:rPr>
        <w:t xml:space="preserve"> биоразнообразия, исходны</w:t>
      </w:r>
      <w:r w:rsidR="00E8661C" w:rsidRPr="001864D2">
        <w:rPr>
          <w:lang w:val="ru-RU"/>
        </w:rPr>
        <w:t>ми</w:t>
      </w:r>
      <w:r w:rsidR="00DC5E14" w:rsidRPr="001864D2">
        <w:rPr>
          <w:lang w:val="ru-RU"/>
        </w:rPr>
        <w:t xml:space="preserve"> данны</w:t>
      </w:r>
      <w:r w:rsidR="00E8661C" w:rsidRPr="001864D2">
        <w:rPr>
          <w:lang w:val="ru-RU"/>
        </w:rPr>
        <w:t>ми</w:t>
      </w:r>
      <w:r w:rsidR="00DC5E14" w:rsidRPr="001864D2">
        <w:rPr>
          <w:lang w:val="ru-RU"/>
        </w:rPr>
        <w:t xml:space="preserve"> и репрезентативност</w:t>
      </w:r>
      <w:r w:rsidR="00E8661C" w:rsidRPr="001864D2">
        <w:rPr>
          <w:lang w:val="ru-RU"/>
        </w:rPr>
        <w:t>ью</w:t>
      </w:r>
      <w:r w:rsidR="00DC5E14" w:rsidRPr="001864D2">
        <w:rPr>
          <w:lang w:val="ru-RU"/>
        </w:rPr>
        <w:t xml:space="preserve">. Она также </w:t>
      </w:r>
      <w:r w:rsidR="00E8661C" w:rsidRPr="001864D2">
        <w:rPr>
          <w:lang w:val="ru-RU"/>
        </w:rPr>
        <w:t xml:space="preserve">будет </w:t>
      </w:r>
      <w:r w:rsidR="00DC5E14" w:rsidRPr="001864D2">
        <w:rPr>
          <w:lang w:val="ru-RU"/>
        </w:rPr>
        <w:t>содействовать экспертам в их работе по выявлению пробелов в знаниях и</w:t>
      </w:r>
      <w:r w:rsidR="00E8661C" w:rsidRPr="001864D2">
        <w:rPr>
          <w:lang w:val="ru-RU"/>
        </w:rPr>
        <w:t xml:space="preserve"> затем </w:t>
      </w:r>
      <w:r w:rsidR="00DC5E14" w:rsidRPr="001864D2">
        <w:rPr>
          <w:lang w:val="ru-RU"/>
        </w:rPr>
        <w:t xml:space="preserve">способствовать накоплению знаний для </w:t>
      </w:r>
      <w:r w:rsidR="00E8661C" w:rsidRPr="001864D2">
        <w:rPr>
          <w:lang w:val="ru-RU"/>
        </w:rPr>
        <w:t xml:space="preserve">их </w:t>
      </w:r>
      <w:r w:rsidR="00DC5E14" w:rsidRPr="001864D2">
        <w:rPr>
          <w:lang w:val="ru-RU"/>
        </w:rPr>
        <w:t>устранения</w:t>
      </w:r>
      <w:r w:rsidR="00E8661C" w:rsidRPr="001864D2">
        <w:rPr>
          <w:lang w:val="ru-RU"/>
        </w:rPr>
        <w:t>.</w:t>
      </w:r>
    </w:p>
    <w:p w14:paraId="02F98491" w14:textId="4952EC9F" w:rsidR="00DC5E14" w:rsidRPr="001864D2" w:rsidRDefault="009E4B57" w:rsidP="009E4B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3056DD">
        <w:rPr>
          <w:lang w:val="ru-RU"/>
        </w:rPr>
        <w:t>49.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>Учет знаний коренного и местного населения и работа с ними в ходе оценки будут осуществляться в соответствии с подходом МПБЭУ, принятым Пленумом в решении</w:t>
      </w:r>
      <w:r w:rsidR="00293764">
        <w:rPr>
          <w:lang w:val="ru-RU"/>
        </w:rPr>
        <w:t> </w:t>
      </w:r>
      <w:r w:rsidR="00DC5E14" w:rsidRPr="001864D2">
        <w:rPr>
          <w:lang w:val="ru-RU"/>
        </w:rPr>
        <w:t>МПБЭУ</w:t>
      </w:r>
      <w:r>
        <w:rPr>
          <w:lang w:val="ru-RU"/>
        </w:rPr>
        <w:noBreakHyphen/>
      </w:r>
      <w:r w:rsidR="00DC5E14" w:rsidRPr="001864D2">
        <w:rPr>
          <w:lang w:val="ru-RU"/>
        </w:rPr>
        <w:t xml:space="preserve">5/1, и соответствующими руководящими указаниями в отношении его осуществления, подготовленными целевой группой по вопросам знаний коренного и местного населения. </w:t>
      </w:r>
    </w:p>
    <w:p w14:paraId="395F68E5" w14:textId="64577963" w:rsidR="00DC5E14" w:rsidRPr="005F588E" w:rsidRDefault="00C24D3F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F588E">
        <w:rPr>
          <w:b/>
          <w:bCs/>
          <w:sz w:val="28"/>
          <w:szCs w:val="28"/>
          <w:lang w:val="ru-RU"/>
        </w:rPr>
        <w:tab/>
        <w:t>IV.</w:t>
      </w:r>
      <w:r w:rsidRPr="005F588E">
        <w:rPr>
          <w:b/>
          <w:bCs/>
          <w:sz w:val="28"/>
          <w:szCs w:val="28"/>
          <w:lang w:val="ru-RU"/>
        </w:rPr>
        <w:tab/>
      </w:r>
      <w:r w:rsidR="00E953D0" w:rsidRPr="005F588E">
        <w:rPr>
          <w:b/>
          <w:bCs/>
          <w:sz w:val="28"/>
          <w:szCs w:val="28"/>
          <w:lang w:val="ru-RU"/>
        </w:rPr>
        <w:t>Создание потенциала и развитие</w:t>
      </w:r>
    </w:p>
    <w:p w14:paraId="1C47F835" w14:textId="5885B9AE" w:rsidR="00DC5E14" w:rsidRPr="001864D2" w:rsidRDefault="009E4B57" w:rsidP="009E4B5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3056DD">
        <w:rPr>
          <w:lang w:val="ru-RU"/>
        </w:rPr>
        <w:t>50.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Мероприятия по созданию потенциала будут способствовать подготовке и </w:t>
      </w:r>
      <w:r w:rsidR="00A318BA" w:rsidRPr="001864D2">
        <w:rPr>
          <w:lang w:val="ru-RU"/>
        </w:rPr>
        <w:t>принятию</w:t>
      </w:r>
      <w:r w:rsidR="00DC5E14" w:rsidRPr="001864D2">
        <w:rPr>
          <w:lang w:val="ru-RU"/>
        </w:rPr>
        <w:t xml:space="preserve"> результатов оценки. </w:t>
      </w:r>
      <w:r w:rsidR="00A318BA" w:rsidRPr="001864D2">
        <w:rPr>
          <w:lang w:val="ru-RU"/>
        </w:rPr>
        <w:t>Эти м</w:t>
      </w:r>
      <w:r w:rsidR="00DC5E14" w:rsidRPr="001864D2">
        <w:rPr>
          <w:lang w:val="ru-RU"/>
        </w:rPr>
        <w:t xml:space="preserve">ероприятия будут разрабатываться в соответствии с целью 2 о создании потенциала в рамках программы работы МПБЭУ на период до 2030 года и скользящего плана по созданию потенциала под руководством целевой группы по вопросам создания потенциала. При условии наличия ресурсов будут </w:t>
      </w:r>
      <w:r w:rsidR="00A318BA" w:rsidRPr="001864D2">
        <w:rPr>
          <w:lang w:val="ru-RU"/>
        </w:rPr>
        <w:t>осуществляться</w:t>
      </w:r>
      <w:r w:rsidR="00DC5E14" w:rsidRPr="001864D2">
        <w:rPr>
          <w:lang w:val="ru-RU"/>
        </w:rPr>
        <w:t xml:space="preserve"> следующие </w:t>
      </w:r>
      <w:r w:rsidR="00A318BA" w:rsidRPr="001864D2">
        <w:rPr>
          <w:lang w:val="ru-RU"/>
        </w:rPr>
        <w:t>проекты</w:t>
      </w:r>
      <w:r w:rsidR="00DC5E14" w:rsidRPr="001864D2">
        <w:rPr>
          <w:lang w:val="ru-RU"/>
        </w:rPr>
        <w:t xml:space="preserve">: программа для научных специалистов МПБЭУ; программа подготовки кадров и ознакомления с деятельностью; научно-политические диалоги; </w:t>
      </w:r>
      <w:r w:rsidR="00A318BA" w:rsidRPr="001864D2">
        <w:rPr>
          <w:lang w:val="ru-RU"/>
        </w:rPr>
        <w:t xml:space="preserve">а также будет оказываться </w:t>
      </w:r>
      <w:r w:rsidR="00DC5E14" w:rsidRPr="001864D2">
        <w:rPr>
          <w:lang w:val="ru-RU"/>
        </w:rPr>
        <w:t xml:space="preserve">содействие мероприятиям, проводимых другими организациями в поддержку </w:t>
      </w:r>
      <w:r w:rsidR="00A318BA" w:rsidRPr="001864D2">
        <w:rPr>
          <w:lang w:val="ru-RU"/>
        </w:rPr>
        <w:t>принятия</w:t>
      </w:r>
      <w:r w:rsidR="00DC5E14" w:rsidRPr="001864D2">
        <w:rPr>
          <w:lang w:val="ru-RU"/>
        </w:rPr>
        <w:t xml:space="preserve"> и </w:t>
      </w:r>
      <w:r w:rsidR="00A318BA" w:rsidRPr="001864D2">
        <w:rPr>
          <w:lang w:val="ru-RU"/>
        </w:rPr>
        <w:t>использования результатов</w:t>
      </w:r>
      <w:r w:rsidR="00DC5E14" w:rsidRPr="001864D2">
        <w:rPr>
          <w:lang w:val="ru-RU"/>
        </w:rPr>
        <w:t xml:space="preserve"> оценки в различных секторах и укрепления взаимодействия между наукой и политикой на (суб)региональном и национальном уровнях.</w:t>
      </w:r>
    </w:p>
    <w:p w14:paraId="1009B9A9" w14:textId="4AE42FA8" w:rsidR="00DC5E14" w:rsidRPr="005F588E" w:rsidRDefault="00C24D3F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F588E">
        <w:rPr>
          <w:b/>
          <w:bCs/>
          <w:sz w:val="28"/>
          <w:szCs w:val="28"/>
          <w:lang w:val="ru-RU"/>
        </w:rPr>
        <w:tab/>
        <w:t>V.</w:t>
      </w:r>
      <w:r w:rsidRPr="005F588E">
        <w:rPr>
          <w:b/>
          <w:bCs/>
          <w:sz w:val="28"/>
          <w:szCs w:val="28"/>
          <w:lang w:val="ru-RU"/>
        </w:rPr>
        <w:tab/>
      </w:r>
      <w:r w:rsidR="00E953D0" w:rsidRPr="005F588E">
        <w:rPr>
          <w:b/>
          <w:bCs/>
          <w:sz w:val="28"/>
          <w:szCs w:val="28"/>
          <w:lang w:val="ru-RU"/>
        </w:rPr>
        <w:t>Информационное обеспечение и пропагандистская деятельность</w:t>
      </w:r>
    </w:p>
    <w:p w14:paraId="602448E8" w14:textId="278E9EC7" w:rsidR="00DC5E14" w:rsidRPr="001864D2" w:rsidRDefault="001D18E4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51.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Доклад об оценке </w:t>
      </w:r>
      <w:r w:rsidR="00AB27A4">
        <w:rPr>
          <w:lang w:val="ru-RU"/>
        </w:rPr>
        <w:t>совокупности</w:t>
      </w:r>
      <w:r w:rsidR="00AB27A4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и содержащееся в нем резюме для директивных органов будут опубликованы в электронном формате, размещены на веб-сайте Платформы и распространены по каналам Платформы в социальных сетях. Резюме для директивных органов будет доступно на всех официальных языках Организации Объединенных Наций и </w:t>
      </w:r>
      <w:r w:rsidR="00532AB4" w:rsidRPr="001864D2">
        <w:rPr>
          <w:lang w:val="ru-RU"/>
        </w:rPr>
        <w:t xml:space="preserve">по требованию </w:t>
      </w:r>
      <w:r w:rsidR="00DC5E14" w:rsidRPr="001864D2">
        <w:rPr>
          <w:lang w:val="ru-RU"/>
        </w:rPr>
        <w:t>будет представл</w:t>
      </w:r>
      <w:r w:rsidR="00532AB4" w:rsidRPr="001864D2">
        <w:rPr>
          <w:lang w:val="ru-RU"/>
        </w:rPr>
        <w:t>яться</w:t>
      </w:r>
      <w:r w:rsidR="00DC5E14" w:rsidRPr="001864D2">
        <w:rPr>
          <w:lang w:val="ru-RU"/>
        </w:rPr>
        <w:t xml:space="preserve"> в печатном виде при</w:t>
      </w:r>
      <w:r w:rsidR="00532AB4" w:rsidRPr="001864D2">
        <w:rPr>
          <w:lang w:val="ru-RU"/>
        </w:rPr>
        <w:t xml:space="preserve"> условии</w:t>
      </w:r>
      <w:r w:rsidR="00DC5E14" w:rsidRPr="001864D2">
        <w:rPr>
          <w:lang w:val="ru-RU"/>
        </w:rPr>
        <w:t xml:space="preserve"> наличи</w:t>
      </w:r>
      <w:r w:rsidR="00532AB4" w:rsidRPr="001864D2">
        <w:rPr>
          <w:lang w:val="ru-RU"/>
        </w:rPr>
        <w:t>я</w:t>
      </w:r>
      <w:r w:rsidR="00DC5E14" w:rsidRPr="001864D2">
        <w:rPr>
          <w:lang w:val="ru-RU"/>
        </w:rPr>
        <w:t xml:space="preserve"> ресурсов. Пропагандистская деятельность в отношении большого круга заинтересованных сторон, включая более широкую аудиторию лиц, принимающих решения, будет зависеть от стратегии в области информационного обеспечения и пропагандистской деятельности и бюджета Платформы. </w:t>
      </w:r>
    </w:p>
    <w:p w14:paraId="6B0DD52E" w14:textId="780AE8E2" w:rsidR="00DC5E14" w:rsidRPr="001864D2" w:rsidRDefault="001D18E4" w:rsidP="001D18E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3056DD">
        <w:rPr>
          <w:lang w:val="ru-RU"/>
        </w:rPr>
        <w:t>52.</w:t>
      </w:r>
      <w:r w:rsidRPr="003056DD">
        <w:rPr>
          <w:lang w:val="ru-RU"/>
        </w:rPr>
        <w:tab/>
      </w:r>
      <w:r w:rsidR="00532AB4" w:rsidRPr="001864D2">
        <w:rPr>
          <w:lang w:val="ru-RU"/>
        </w:rPr>
        <w:t>В целях налаживания взаимодействия с более широким экспертным сообществом и конечными пользователями оценки и</w:t>
      </w:r>
      <w:r w:rsidR="00DC5E14" w:rsidRPr="001864D2">
        <w:rPr>
          <w:lang w:val="ru-RU"/>
        </w:rPr>
        <w:t xml:space="preserve">нформационное обеспечение и пропагандистская деятельность будут осуществляться с самого начала и </w:t>
      </w:r>
      <w:r w:rsidR="00532AB4" w:rsidRPr="001864D2">
        <w:rPr>
          <w:lang w:val="ru-RU"/>
        </w:rPr>
        <w:t>на всем протяжении процесса</w:t>
      </w:r>
      <w:r w:rsidR="00DC5E14" w:rsidRPr="001864D2">
        <w:rPr>
          <w:lang w:val="ru-RU"/>
        </w:rPr>
        <w:t xml:space="preserve"> </w:t>
      </w:r>
      <w:r w:rsidR="00532AB4" w:rsidRPr="001864D2">
        <w:rPr>
          <w:lang w:val="ru-RU"/>
        </w:rPr>
        <w:t>подготовки</w:t>
      </w:r>
      <w:r w:rsidR="00DC5E14" w:rsidRPr="001864D2">
        <w:rPr>
          <w:lang w:val="ru-RU"/>
        </w:rPr>
        <w:t xml:space="preserve"> оценки. Взаимодействие с пользователями в различных секторах поможет определить тип и </w:t>
      </w:r>
      <w:r w:rsidR="00532AB4" w:rsidRPr="001864D2">
        <w:rPr>
          <w:lang w:val="ru-RU"/>
        </w:rPr>
        <w:t>набор</w:t>
      </w:r>
      <w:r w:rsidR="00DC5E14" w:rsidRPr="001864D2">
        <w:rPr>
          <w:lang w:val="ru-RU"/>
        </w:rPr>
        <w:t xml:space="preserve"> информационных продуктов и инструментов поддержки политики на нескольких языках (там, где это уместно и где имеется потенциал), которые будут разработаны в рамках оценки.</w:t>
      </w:r>
    </w:p>
    <w:p w14:paraId="0CB82AF1" w14:textId="4F81BDC6" w:rsidR="00DC5E14" w:rsidRPr="005F588E" w:rsidRDefault="00C24D3F" w:rsidP="005F588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F588E">
        <w:rPr>
          <w:b/>
          <w:bCs/>
          <w:sz w:val="28"/>
          <w:szCs w:val="28"/>
          <w:lang w:val="ru-RU"/>
        </w:rPr>
        <w:tab/>
        <w:t>VI.</w:t>
      </w:r>
      <w:r w:rsidRPr="005F588E">
        <w:rPr>
          <w:b/>
          <w:bCs/>
          <w:sz w:val="28"/>
          <w:szCs w:val="28"/>
          <w:lang w:val="ru-RU"/>
        </w:rPr>
        <w:tab/>
      </w:r>
      <w:r w:rsidR="00E953D0" w:rsidRPr="005F588E">
        <w:rPr>
          <w:b/>
          <w:bCs/>
          <w:sz w:val="28"/>
          <w:szCs w:val="28"/>
          <w:lang w:val="ru-RU"/>
        </w:rPr>
        <w:t>Техническая поддержка</w:t>
      </w:r>
    </w:p>
    <w:p w14:paraId="10542251" w14:textId="256DFB35" w:rsidR="00DC5E14" w:rsidRPr="001864D2" w:rsidRDefault="001D18E4" w:rsidP="001864D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056DD">
        <w:rPr>
          <w:lang w:val="ru-RU"/>
        </w:rPr>
        <w:t>53.</w:t>
      </w:r>
      <w:r w:rsidRPr="003056DD">
        <w:rPr>
          <w:lang w:val="ru-RU"/>
        </w:rPr>
        <w:tab/>
      </w:r>
      <w:r w:rsidR="00DC5E14" w:rsidRPr="001864D2">
        <w:rPr>
          <w:lang w:val="ru-RU"/>
        </w:rPr>
        <w:t xml:space="preserve">Техническую поддержку в проведении оценки </w:t>
      </w:r>
      <w:r w:rsidR="00A74AC8">
        <w:rPr>
          <w:lang w:val="ru-RU"/>
        </w:rPr>
        <w:t>совокупности</w:t>
      </w:r>
      <w:r w:rsidR="00A74AC8" w:rsidRPr="001864D2">
        <w:rPr>
          <w:lang w:val="ru-RU"/>
        </w:rPr>
        <w:t xml:space="preserve"> </w:t>
      </w:r>
      <w:r w:rsidR="00DC5E14" w:rsidRPr="001864D2">
        <w:rPr>
          <w:lang w:val="ru-RU"/>
        </w:rPr>
        <w:t xml:space="preserve">будет оказывать группа технической поддержки в составе нескольких штатных сотрудников категории специалистов и </w:t>
      </w:r>
      <w:r w:rsidR="00DC5E14" w:rsidRPr="001864D2">
        <w:rPr>
          <w:lang w:val="ru-RU"/>
        </w:rPr>
        <w:lastRenderedPageBreak/>
        <w:t>штатных административных сотрудников. Эта группа будет тесно сотруднич</w:t>
      </w:r>
      <w:r w:rsidR="00532AB4" w:rsidRPr="001864D2">
        <w:rPr>
          <w:lang w:val="ru-RU"/>
        </w:rPr>
        <w:t>ать</w:t>
      </w:r>
      <w:r w:rsidR="00DC5E14" w:rsidRPr="001864D2">
        <w:rPr>
          <w:lang w:val="ru-RU"/>
        </w:rPr>
        <w:t xml:space="preserve"> с группами экспертов, проводящими другие оценки МПБЭУ, а также с целевыми группами МПБЭУ и их соответствующими группами технической поддержки.</w:t>
      </w:r>
    </w:p>
    <w:p w14:paraId="06B52AD6" w14:textId="34DC9CB1" w:rsidR="00DC5E14" w:rsidRPr="001D18E4" w:rsidRDefault="00C24D3F" w:rsidP="001D18E4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1D18E4">
        <w:rPr>
          <w:b/>
          <w:bCs/>
          <w:sz w:val="28"/>
          <w:szCs w:val="28"/>
          <w:lang w:val="ru-RU"/>
        </w:rPr>
        <w:tab/>
        <w:t>VII.</w:t>
      </w:r>
      <w:r w:rsidRPr="001D18E4">
        <w:rPr>
          <w:b/>
          <w:bCs/>
          <w:sz w:val="28"/>
          <w:szCs w:val="28"/>
          <w:lang w:val="ru-RU"/>
        </w:rPr>
        <w:tab/>
      </w:r>
      <w:r w:rsidR="00E953D0" w:rsidRPr="001D18E4">
        <w:rPr>
          <w:b/>
          <w:bCs/>
          <w:sz w:val="28"/>
          <w:szCs w:val="28"/>
          <w:lang w:val="ru-RU"/>
        </w:rPr>
        <w:t>Процесс и график работы</w:t>
      </w:r>
    </w:p>
    <w:tbl>
      <w:tblPr>
        <w:tblW w:w="830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89"/>
      </w:tblGrid>
      <w:tr w:rsidR="00E953D0" w:rsidRPr="00171843" w14:paraId="1D2B47B1" w14:textId="77777777" w:rsidTr="00D33115">
        <w:trPr>
          <w:trHeight w:val="57"/>
          <w:tblHeader/>
          <w:jc w:val="right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390A10" w14:textId="77777777" w:rsidR="00DC5E14" w:rsidRPr="00D936F5" w:rsidRDefault="00DC5E14" w:rsidP="00D33115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rFonts w:eastAsia="MS Mincho"/>
                <w:i/>
                <w:iCs/>
                <w:sz w:val="18"/>
                <w:szCs w:val="18"/>
              </w:rPr>
            </w:pPr>
            <w:r w:rsidRPr="00D936F5">
              <w:rPr>
                <w:i/>
                <w:i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43FC19" w14:textId="77777777" w:rsidR="00DC5E14" w:rsidRPr="00D936F5" w:rsidRDefault="00DC5E14" w:rsidP="00D33115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rFonts w:eastAsia="MS Mincho"/>
                <w:i/>
                <w:iCs/>
                <w:sz w:val="18"/>
                <w:szCs w:val="18"/>
              </w:rPr>
            </w:pPr>
            <w:r w:rsidRPr="00D936F5">
              <w:rPr>
                <w:i/>
                <w:iCs/>
                <w:sz w:val="18"/>
                <w:szCs w:val="18"/>
                <w:lang w:val="ru-RU"/>
              </w:rPr>
              <w:t>Действия и институциональные механизмы</w:t>
            </w:r>
            <w:r w:rsidRPr="00D936F5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DC5E14" w:rsidRPr="00171843" w14:paraId="1EAD9350" w14:textId="77777777" w:rsidTr="00D33115">
        <w:trPr>
          <w:trHeight w:val="57"/>
          <w:jc w:val="right"/>
        </w:trPr>
        <w:tc>
          <w:tcPr>
            <w:tcW w:w="83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6A077A" w14:textId="38A7A442" w:rsidR="00DC5E14" w:rsidRPr="00D936F5" w:rsidRDefault="00DC5E14" w:rsidP="00D33115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rFonts w:eastAsia="MS Mincho"/>
                <w:b/>
                <w:sz w:val="18"/>
                <w:szCs w:val="18"/>
              </w:rPr>
            </w:pPr>
            <w:r w:rsidRPr="00D936F5">
              <w:rPr>
                <w:b/>
                <w:bCs/>
                <w:sz w:val="18"/>
                <w:szCs w:val="18"/>
                <w:lang w:val="ru-RU"/>
              </w:rPr>
              <w:t>2021</w:t>
            </w:r>
            <w:r w:rsidR="00D33115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DC5E14" w:rsidRPr="00A13C72" w14:paraId="51CC8F72" w14:textId="77777777" w:rsidTr="00D33115">
        <w:trPr>
          <w:trHeight w:val="57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F91C30" w14:textId="77777777" w:rsidR="00DC5E14" w:rsidRPr="00D936F5" w:rsidRDefault="00DC5E14" w:rsidP="00D33115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shd w:val="clear" w:color="auto" w:fill="auto"/>
          </w:tcPr>
          <w:p w14:paraId="06BB12CA" w14:textId="074ADB9A" w:rsidR="00DC5E14" w:rsidRPr="00D936F5" w:rsidRDefault="00DC5E14" w:rsidP="00D33115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Пленуму предлагается на его восьмой сессии утвердить проведение оценки </w:t>
            </w:r>
            <w:r w:rsidR="00A74AC8">
              <w:rPr>
                <w:sz w:val="18"/>
                <w:szCs w:val="18"/>
                <w:lang w:val="ru-RU"/>
              </w:rPr>
              <w:t>совокупности</w:t>
            </w:r>
            <w:r w:rsidR="00A74AC8" w:rsidRPr="00D936F5">
              <w:rPr>
                <w:sz w:val="18"/>
                <w:szCs w:val="18"/>
                <w:lang w:val="ru-RU"/>
              </w:rPr>
              <w:t xml:space="preserve"> </w:t>
            </w:r>
            <w:r w:rsidRPr="00D936F5">
              <w:rPr>
                <w:sz w:val="18"/>
                <w:szCs w:val="18"/>
                <w:lang w:val="ru-RU"/>
              </w:rPr>
              <w:t>и поручить секретариату создать институциональные механизмы, необходимые для практической реализации технической поддержки, требуемой для оценки</w:t>
            </w:r>
          </w:p>
        </w:tc>
      </w:tr>
      <w:tr w:rsidR="00DC5E14" w:rsidRPr="00A13C72" w14:paraId="0AD04BF7" w14:textId="77777777" w:rsidTr="00D33115">
        <w:trPr>
          <w:trHeight w:val="57"/>
          <w:jc w:val="right"/>
        </w:trPr>
        <w:tc>
          <w:tcPr>
            <w:tcW w:w="1418" w:type="dxa"/>
            <w:vMerge/>
            <w:shd w:val="clear" w:color="auto" w:fill="auto"/>
          </w:tcPr>
          <w:p w14:paraId="2FA7EDDE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  <w:lang w:val="ru-RU"/>
              </w:rPr>
            </w:pPr>
          </w:p>
        </w:tc>
        <w:tc>
          <w:tcPr>
            <w:tcW w:w="6889" w:type="dxa"/>
            <w:shd w:val="clear" w:color="auto" w:fill="auto"/>
          </w:tcPr>
          <w:p w14:paraId="585D353D" w14:textId="4E9DF428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Многодисциплинарная группа экспертов через секретариат </w:t>
            </w:r>
            <w:r w:rsidR="00532AB4" w:rsidRPr="00D936F5">
              <w:rPr>
                <w:sz w:val="18"/>
                <w:szCs w:val="18"/>
                <w:lang w:val="ru-RU"/>
              </w:rPr>
              <w:t xml:space="preserve">обращается </w:t>
            </w:r>
            <w:r w:rsidRPr="00D936F5">
              <w:rPr>
                <w:sz w:val="18"/>
                <w:szCs w:val="18"/>
                <w:lang w:val="ru-RU"/>
              </w:rPr>
              <w:t xml:space="preserve">с просьбой выдвигать кандидатуры экспертов от правительств и других заинтересованных сторон </w:t>
            </w:r>
          </w:p>
        </w:tc>
      </w:tr>
      <w:tr w:rsidR="00DC5E14" w:rsidRPr="00A13C72" w14:paraId="6508A9D4" w14:textId="77777777" w:rsidTr="00D33115">
        <w:trPr>
          <w:trHeight w:val="57"/>
          <w:jc w:val="right"/>
        </w:trPr>
        <w:tc>
          <w:tcPr>
            <w:tcW w:w="1418" w:type="dxa"/>
            <w:shd w:val="clear" w:color="auto" w:fill="auto"/>
          </w:tcPr>
          <w:p w14:paraId="73FEFE4C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6889" w:type="dxa"/>
            <w:shd w:val="clear" w:color="auto" w:fill="auto"/>
          </w:tcPr>
          <w:p w14:paraId="186E92F6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Многодисциплинарная группа экспертов отбирает сопредседателей по проведению оценки, ведущих авторов-координаторов, ведущих авторов и редакторов-рецензентов в соответствии с процедурами подготовки итоговых материалов МПБЭУ, в том числе путем осуществления процедуры заполнения пробелов в экспертных знаниях</w:t>
            </w:r>
          </w:p>
        </w:tc>
      </w:tr>
      <w:tr w:rsidR="00DC5E14" w:rsidRPr="00A13C72" w14:paraId="5BF7AA5F" w14:textId="77777777" w:rsidTr="00D33115">
        <w:trPr>
          <w:trHeight w:val="57"/>
          <w:jc w:val="right"/>
        </w:trPr>
        <w:tc>
          <w:tcPr>
            <w:tcW w:w="1418" w:type="dxa"/>
            <w:vMerge w:val="restart"/>
            <w:shd w:val="clear" w:color="auto" w:fill="auto"/>
          </w:tcPr>
          <w:p w14:paraId="18680847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889" w:type="dxa"/>
            <w:shd w:val="clear" w:color="auto" w:fill="auto"/>
          </w:tcPr>
          <w:p w14:paraId="6A125299" w14:textId="0F85CFB6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Решени</w:t>
            </w:r>
            <w:r w:rsidR="004A771B" w:rsidRPr="00D936F5">
              <w:rPr>
                <w:sz w:val="18"/>
                <w:szCs w:val="18"/>
                <w:lang w:val="ru-RU"/>
              </w:rPr>
              <w:t>я</w:t>
            </w:r>
            <w:r w:rsidRPr="00D936F5">
              <w:rPr>
                <w:sz w:val="18"/>
                <w:szCs w:val="18"/>
                <w:lang w:val="ru-RU"/>
              </w:rPr>
              <w:t xml:space="preserve"> по итогам отбора довод</w:t>
            </w:r>
            <w:r w:rsidR="004A771B" w:rsidRPr="00D936F5">
              <w:rPr>
                <w:sz w:val="18"/>
                <w:szCs w:val="18"/>
                <w:lang w:val="ru-RU"/>
              </w:rPr>
              <w:t>я</w:t>
            </w:r>
            <w:r w:rsidRPr="00D936F5">
              <w:rPr>
                <w:sz w:val="18"/>
                <w:szCs w:val="18"/>
                <w:lang w:val="ru-RU"/>
              </w:rPr>
              <w:t>тся до сведения кандидатов</w:t>
            </w:r>
          </w:p>
        </w:tc>
      </w:tr>
      <w:tr w:rsidR="00DC5E14" w:rsidRPr="00A13C72" w14:paraId="41E7C63B" w14:textId="77777777" w:rsidTr="00D33115">
        <w:trPr>
          <w:trHeight w:val="57"/>
          <w:jc w:val="right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4FE2D7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  <w:lang w:val="ru-RU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auto"/>
          </w:tcPr>
          <w:p w14:paraId="5EBE3443" w14:textId="04FE6092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Совещание руководящего комитета (сопредседатели, члены Бюро и Многодисциплинарной группы экспертов, назначенные этими органами для проведения оценки)</w:t>
            </w:r>
            <w:r w:rsidR="00821A8F" w:rsidRPr="00D936F5">
              <w:rPr>
                <w:sz w:val="18"/>
                <w:szCs w:val="18"/>
                <w:lang w:val="ru-RU"/>
              </w:rPr>
              <w:t xml:space="preserve">, посвященное </w:t>
            </w:r>
            <w:r w:rsidRPr="00D936F5">
              <w:rPr>
                <w:sz w:val="18"/>
                <w:szCs w:val="18"/>
                <w:lang w:val="ru-RU"/>
              </w:rPr>
              <w:t>планировани</w:t>
            </w:r>
            <w:r w:rsidR="00821A8F" w:rsidRPr="00D936F5">
              <w:rPr>
                <w:sz w:val="18"/>
                <w:szCs w:val="18"/>
                <w:lang w:val="ru-RU"/>
              </w:rPr>
              <w:t>ю</w:t>
            </w:r>
            <w:r w:rsidRPr="00D936F5">
              <w:rPr>
                <w:sz w:val="18"/>
                <w:szCs w:val="18"/>
                <w:lang w:val="ru-RU"/>
              </w:rPr>
              <w:t xml:space="preserve"> первого совещания авторов</w:t>
            </w:r>
          </w:p>
        </w:tc>
      </w:tr>
      <w:tr w:rsidR="00E953D0" w:rsidRPr="00171843" w14:paraId="70863E87" w14:textId="77777777" w:rsidTr="00D33115">
        <w:trPr>
          <w:trHeight w:val="57"/>
          <w:jc w:val="right"/>
        </w:trPr>
        <w:tc>
          <w:tcPr>
            <w:tcW w:w="8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1EF4E" w14:textId="2EF39F10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/>
                <w:sz w:val="18"/>
                <w:szCs w:val="18"/>
              </w:rPr>
            </w:pPr>
            <w:r w:rsidRPr="00D936F5">
              <w:rPr>
                <w:b/>
                <w:bCs/>
                <w:sz w:val="18"/>
                <w:szCs w:val="18"/>
                <w:lang w:val="ru-RU"/>
              </w:rPr>
              <w:t>2022</w:t>
            </w:r>
            <w:r w:rsidR="00D33115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DC5E14" w:rsidRPr="00A13C72" w14:paraId="24C5F26C" w14:textId="77777777" w:rsidTr="00D33115">
        <w:trPr>
          <w:trHeight w:val="57"/>
          <w:jc w:val="right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919ADE9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shd w:val="clear" w:color="auto" w:fill="auto"/>
          </w:tcPr>
          <w:p w14:paraId="1931C101" w14:textId="3A2778BF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Первое совещание авторов с участием сопредседателей, ведущих авторов</w:t>
            </w:r>
            <w:r w:rsidR="00D33115">
              <w:rPr>
                <w:sz w:val="18"/>
                <w:szCs w:val="18"/>
                <w:lang w:val="ru-RU"/>
              </w:rPr>
              <w:noBreakHyphen/>
            </w:r>
            <w:r w:rsidRPr="00D936F5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DC5E14" w:rsidRPr="00A13C72" w14:paraId="7B8189D5" w14:textId="77777777" w:rsidTr="00D33115">
        <w:trPr>
          <w:trHeight w:val="57"/>
          <w:jc w:val="right"/>
        </w:trPr>
        <w:tc>
          <w:tcPr>
            <w:tcW w:w="1418" w:type="dxa"/>
            <w:shd w:val="clear" w:color="auto" w:fill="auto"/>
          </w:tcPr>
          <w:p w14:paraId="58F1CF68" w14:textId="2DCB672E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Первый-третий квартал</w:t>
            </w:r>
            <w:r w:rsidR="00821A8F" w:rsidRPr="00D936F5">
              <w:rPr>
                <w:sz w:val="18"/>
                <w:szCs w:val="18"/>
                <w:lang w:val="ru-RU"/>
              </w:rPr>
              <w:t>ы</w:t>
            </w:r>
          </w:p>
        </w:tc>
        <w:tc>
          <w:tcPr>
            <w:tcW w:w="6889" w:type="dxa"/>
            <w:shd w:val="clear" w:color="auto" w:fill="auto"/>
          </w:tcPr>
          <w:p w14:paraId="4FAEAF22" w14:textId="098A57AC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Подготовка проектов нулевого и первого порядк</w:t>
            </w:r>
            <w:r w:rsidR="00821A8F" w:rsidRPr="00D936F5">
              <w:rPr>
                <w:sz w:val="18"/>
                <w:szCs w:val="18"/>
                <w:lang w:val="ru-RU"/>
              </w:rPr>
              <w:t>ов</w:t>
            </w:r>
            <w:r w:rsidRPr="00D936F5">
              <w:rPr>
                <w:sz w:val="18"/>
                <w:szCs w:val="18"/>
                <w:lang w:val="ru-RU"/>
              </w:rPr>
              <w:t xml:space="preserve"> глав оценки </w:t>
            </w:r>
          </w:p>
        </w:tc>
      </w:tr>
      <w:tr w:rsidR="00DC5E14" w:rsidRPr="00A13C72" w14:paraId="4FA18A21" w14:textId="77777777" w:rsidTr="00D33115">
        <w:trPr>
          <w:trHeight w:val="57"/>
          <w:jc w:val="right"/>
        </w:trPr>
        <w:tc>
          <w:tcPr>
            <w:tcW w:w="1418" w:type="dxa"/>
            <w:shd w:val="clear" w:color="auto" w:fill="auto"/>
          </w:tcPr>
          <w:p w14:paraId="3391B275" w14:textId="5480CEDE" w:rsidR="00DC5E14" w:rsidRPr="00D936F5" w:rsidRDefault="00C24D3F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Начало ч</w:t>
            </w:r>
            <w:r w:rsidR="00DC5E14" w:rsidRPr="00D936F5">
              <w:rPr>
                <w:sz w:val="18"/>
                <w:szCs w:val="18"/>
                <w:lang w:val="ru-RU"/>
              </w:rPr>
              <w:t>етверт</w:t>
            </w:r>
            <w:r w:rsidRPr="00D936F5">
              <w:rPr>
                <w:sz w:val="18"/>
                <w:szCs w:val="18"/>
                <w:lang w:val="ru-RU"/>
              </w:rPr>
              <w:t>ого</w:t>
            </w:r>
            <w:r w:rsidR="00DC5E14" w:rsidRPr="00D936F5">
              <w:rPr>
                <w:sz w:val="18"/>
                <w:szCs w:val="18"/>
                <w:lang w:val="ru-RU"/>
              </w:rPr>
              <w:t xml:space="preserve"> квартал</w:t>
            </w:r>
            <w:r w:rsidRPr="00D936F5">
              <w:rPr>
                <w:sz w:val="18"/>
                <w:szCs w:val="18"/>
                <w:lang w:val="ru-RU"/>
              </w:rPr>
              <w:t>а</w:t>
            </w:r>
            <w:r w:rsidR="00DC5E14" w:rsidRPr="00D936F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889" w:type="dxa"/>
            <w:shd w:val="clear" w:color="auto" w:fill="auto"/>
          </w:tcPr>
          <w:p w14:paraId="7777F291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Первый внешний обзор (6 недель) – проекты глав представляются на рассмотрение экспертов </w:t>
            </w:r>
          </w:p>
        </w:tc>
      </w:tr>
      <w:tr w:rsidR="00DC5E14" w:rsidRPr="00A13C72" w14:paraId="198ED212" w14:textId="77777777" w:rsidTr="00D33115">
        <w:trPr>
          <w:trHeight w:val="57"/>
          <w:jc w:val="right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3CEBBC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auto"/>
          </w:tcPr>
          <w:p w14:paraId="532C334F" w14:textId="72C0919F" w:rsidR="00DC5E14" w:rsidRPr="00D936F5" w:rsidRDefault="00821A8F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Второе</w:t>
            </w:r>
            <w:r w:rsidR="00DC5E14" w:rsidRPr="00D936F5">
              <w:rPr>
                <w:sz w:val="18"/>
                <w:szCs w:val="18"/>
                <w:lang w:val="ru-RU"/>
              </w:rPr>
              <w:t xml:space="preserve"> совещание авторов с участием сопредседателей, ведущих авторов</w:t>
            </w:r>
            <w:r w:rsidR="00D33115">
              <w:rPr>
                <w:sz w:val="18"/>
                <w:szCs w:val="18"/>
                <w:lang w:val="ru-RU"/>
              </w:rPr>
              <w:noBreakHyphen/>
            </w:r>
            <w:r w:rsidR="00DC5E14" w:rsidRPr="00D936F5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  <w:p w14:paraId="61B93764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Непосредственно после второго совещания авторов проводится совещание по активизации подготовки резюме для директивных органов с участием сопредседателей, ведущих авторов-координаторов, ведущих авторов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E953D0" w:rsidRPr="00171843" w14:paraId="067F783C" w14:textId="77777777" w:rsidTr="00D33115">
        <w:trPr>
          <w:trHeight w:val="57"/>
          <w:jc w:val="right"/>
        </w:trPr>
        <w:tc>
          <w:tcPr>
            <w:tcW w:w="8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5ABDF" w14:textId="1B34B70F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/>
                <w:sz w:val="18"/>
                <w:szCs w:val="18"/>
              </w:rPr>
            </w:pPr>
            <w:r w:rsidRPr="00D936F5">
              <w:rPr>
                <w:b/>
                <w:bCs/>
                <w:sz w:val="18"/>
                <w:szCs w:val="18"/>
                <w:lang w:val="ru-RU"/>
              </w:rPr>
              <w:t>2023</w:t>
            </w:r>
            <w:r w:rsidR="00D33115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DC5E14" w:rsidRPr="00A13C72" w14:paraId="70B61FE6" w14:textId="77777777" w:rsidTr="00D33115">
        <w:trPr>
          <w:trHeight w:val="57"/>
          <w:jc w:val="right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33450C3" w14:textId="61A6ACE1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Первый-третий квартал</w:t>
            </w:r>
            <w:r w:rsidR="00230675" w:rsidRPr="00D936F5">
              <w:rPr>
                <w:sz w:val="18"/>
                <w:szCs w:val="18"/>
                <w:lang w:val="ru-RU"/>
              </w:rPr>
              <w:t>ы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shd w:val="clear" w:color="auto" w:fill="auto"/>
          </w:tcPr>
          <w:p w14:paraId="690B472B" w14:textId="56F81331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Подготовка проектов второго порядка</w:t>
            </w:r>
            <w:r w:rsidR="00230675" w:rsidRPr="00D936F5">
              <w:rPr>
                <w:sz w:val="18"/>
                <w:szCs w:val="18"/>
                <w:lang w:val="ru-RU"/>
              </w:rPr>
              <w:t xml:space="preserve"> </w:t>
            </w:r>
            <w:r w:rsidRPr="00D936F5">
              <w:rPr>
                <w:sz w:val="18"/>
                <w:szCs w:val="18"/>
                <w:lang w:val="ru-RU"/>
              </w:rPr>
              <w:t>глав оценки и проекта первого порядка резюме для директивных органов</w:t>
            </w:r>
          </w:p>
        </w:tc>
      </w:tr>
      <w:tr w:rsidR="00DC5E14" w:rsidRPr="00A13C72" w14:paraId="76195573" w14:textId="77777777" w:rsidTr="00D33115">
        <w:trPr>
          <w:trHeight w:val="57"/>
          <w:jc w:val="right"/>
        </w:trPr>
        <w:tc>
          <w:tcPr>
            <w:tcW w:w="1418" w:type="dxa"/>
            <w:shd w:val="clear" w:color="auto" w:fill="auto"/>
          </w:tcPr>
          <w:p w14:paraId="15F2AE3F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Второй квартал </w:t>
            </w:r>
          </w:p>
        </w:tc>
        <w:tc>
          <w:tcPr>
            <w:tcW w:w="6889" w:type="dxa"/>
            <w:shd w:val="clear" w:color="auto" w:fill="auto"/>
          </w:tcPr>
          <w:p w14:paraId="1A136BC0" w14:textId="35D16955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Семинар-практикум по написанию текста для активизации подготовки резюме для директивных органов с участием сопредседателей, ведущих авторов-координаторов, ведущих авторов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DC5E14" w:rsidRPr="00A13C72" w14:paraId="67628D19" w14:textId="77777777" w:rsidTr="00D33115">
        <w:trPr>
          <w:trHeight w:val="57"/>
          <w:jc w:val="right"/>
        </w:trPr>
        <w:tc>
          <w:tcPr>
            <w:tcW w:w="1418" w:type="dxa"/>
            <w:shd w:val="clear" w:color="auto" w:fill="auto"/>
          </w:tcPr>
          <w:p w14:paraId="44F01F87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Третий квартал </w:t>
            </w:r>
          </w:p>
        </w:tc>
        <w:tc>
          <w:tcPr>
            <w:tcW w:w="6889" w:type="dxa"/>
            <w:shd w:val="clear" w:color="auto" w:fill="auto"/>
          </w:tcPr>
          <w:p w14:paraId="4AF65688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Второй внешний обзор (8 недель) – проекты глав и проект резюме для директивных органов представляются на рассмотрение правительств и экспертов </w:t>
            </w:r>
          </w:p>
        </w:tc>
      </w:tr>
      <w:tr w:rsidR="00DC5E14" w:rsidRPr="00A13C72" w14:paraId="3E3DBA89" w14:textId="77777777" w:rsidTr="00D33115">
        <w:trPr>
          <w:trHeight w:val="57"/>
          <w:jc w:val="right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CBF549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auto"/>
          </w:tcPr>
          <w:p w14:paraId="0D8DDF5E" w14:textId="60496285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Третье совещание авторов с участием сопредседателей, ведущих авторов</w:t>
            </w:r>
            <w:r w:rsidR="00D33115">
              <w:rPr>
                <w:sz w:val="18"/>
                <w:szCs w:val="18"/>
                <w:lang w:val="ru-RU"/>
              </w:rPr>
              <w:noBreakHyphen/>
            </w:r>
            <w:r w:rsidRPr="00D936F5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руководящего комитета по проведению оценки</w:t>
            </w:r>
          </w:p>
          <w:p w14:paraId="326094EB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Непосредственно после третьего совещания авторов проводится совещание по активизации подготовки резюме для директивных органов с участием сопредседателей, ведущих авторов-координаторов, ведущих авторов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E953D0" w:rsidRPr="00171843" w14:paraId="6BAC9A6B" w14:textId="77777777" w:rsidTr="00D33115">
        <w:trPr>
          <w:trHeight w:val="57"/>
          <w:jc w:val="right"/>
        </w:trPr>
        <w:tc>
          <w:tcPr>
            <w:tcW w:w="8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70D79" w14:textId="7B6A0E2B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/>
                <w:sz w:val="18"/>
                <w:szCs w:val="18"/>
              </w:rPr>
            </w:pPr>
            <w:r w:rsidRPr="00D936F5">
              <w:rPr>
                <w:b/>
                <w:bCs/>
                <w:sz w:val="18"/>
                <w:szCs w:val="18"/>
                <w:lang w:val="ru-RU"/>
              </w:rPr>
              <w:t>2024</w:t>
            </w:r>
            <w:r w:rsidR="00D33115">
              <w:rPr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DC5E14" w:rsidRPr="00A13C72" w14:paraId="69079BF3" w14:textId="77777777" w:rsidTr="00D33115">
        <w:trPr>
          <w:trHeight w:val="57"/>
          <w:jc w:val="right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7ACF54E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shd w:val="clear" w:color="auto" w:fill="auto"/>
          </w:tcPr>
          <w:p w14:paraId="214B83AF" w14:textId="7661750F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Онлайновый семинар-практикум по написанию текста для активизации подготовки резюме для директивных органов с участием сопредседателей, ведущих </w:t>
            </w:r>
            <w:r w:rsidRPr="00D936F5">
              <w:rPr>
                <w:sz w:val="18"/>
                <w:szCs w:val="18"/>
                <w:lang w:val="ru-RU"/>
              </w:rPr>
              <w:lastRenderedPageBreak/>
              <w:t>авторов</w:t>
            </w:r>
            <w:r w:rsidR="00D33115">
              <w:rPr>
                <w:sz w:val="18"/>
                <w:szCs w:val="18"/>
                <w:lang w:val="ru-RU"/>
              </w:rPr>
              <w:noBreakHyphen/>
            </w:r>
            <w:r w:rsidRPr="00D936F5">
              <w:rPr>
                <w:sz w:val="18"/>
                <w:szCs w:val="18"/>
                <w:lang w:val="ru-RU"/>
              </w:rPr>
              <w:t>координаторов, ведущих авторов и членов Бюро и Многодисциплинарной группы экспертов, входящих в состав руководящего комитета по проведению оценки</w:t>
            </w:r>
          </w:p>
        </w:tc>
      </w:tr>
      <w:tr w:rsidR="00DC5E14" w:rsidRPr="00A13C72" w14:paraId="514BE889" w14:textId="77777777" w:rsidTr="00D33115">
        <w:trPr>
          <w:trHeight w:val="57"/>
          <w:jc w:val="right"/>
        </w:trPr>
        <w:tc>
          <w:tcPr>
            <w:tcW w:w="1418" w:type="dxa"/>
            <w:shd w:val="clear" w:color="auto" w:fill="auto"/>
          </w:tcPr>
          <w:p w14:paraId="63F6AF23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lastRenderedPageBreak/>
              <w:t xml:space="preserve">Третий квартал </w:t>
            </w:r>
          </w:p>
        </w:tc>
        <w:tc>
          <w:tcPr>
            <w:tcW w:w="6889" w:type="dxa"/>
            <w:shd w:val="clear" w:color="auto" w:fill="auto"/>
          </w:tcPr>
          <w:p w14:paraId="09A9C735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Окончательный обзор (6 недель) – окончательные проекты глав и проект резюме для директивных органов представляются на рассмотрение правительств </w:t>
            </w:r>
          </w:p>
        </w:tc>
      </w:tr>
      <w:tr w:rsidR="00DC5E14" w:rsidRPr="00A13C72" w14:paraId="5E75EEC9" w14:textId="77777777" w:rsidTr="00D33115">
        <w:trPr>
          <w:trHeight w:val="57"/>
          <w:jc w:val="right"/>
        </w:trPr>
        <w:tc>
          <w:tcPr>
            <w:tcW w:w="1418" w:type="dxa"/>
            <w:shd w:val="clear" w:color="auto" w:fill="auto"/>
          </w:tcPr>
          <w:p w14:paraId="6824B705" w14:textId="573F1D5B" w:rsidR="00DC5E14" w:rsidRPr="00D936F5" w:rsidRDefault="00C95ADA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Начало ч</w:t>
            </w:r>
            <w:r w:rsidR="00DC5E14" w:rsidRPr="00D936F5">
              <w:rPr>
                <w:sz w:val="18"/>
                <w:szCs w:val="18"/>
                <w:lang w:val="ru-RU"/>
              </w:rPr>
              <w:t>етверт</w:t>
            </w:r>
            <w:r w:rsidRPr="00D936F5">
              <w:rPr>
                <w:sz w:val="18"/>
                <w:szCs w:val="18"/>
                <w:lang w:val="ru-RU"/>
              </w:rPr>
              <w:t>ого</w:t>
            </w:r>
            <w:r w:rsidR="00DC5E14" w:rsidRPr="00D936F5">
              <w:rPr>
                <w:sz w:val="18"/>
                <w:szCs w:val="18"/>
                <w:lang w:val="ru-RU"/>
              </w:rPr>
              <w:t xml:space="preserve"> квартал</w:t>
            </w:r>
            <w:r w:rsidRPr="00D936F5">
              <w:rPr>
                <w:sz w:val="18"/>
                <w:szCs w:val="18"/>
                <w:lang w:val="ru-RU"/>
              </w:rPr>
              <w:t>а</w:t>
            </w:r>
            <w:r w:rsidR="00DC5E14" w:rsidRPr="00D936F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889" w:type="dxa"/>
            <w:shd w:val="clear" w:color="auto" w:fill="auto"/>
          </w:tcPr>
          <w:p w14:paraId="638E2031" w14:textId="4BF2D814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 xml:space="preserve">Рассмотрение на 11-й сессии Пленума резюме для директивных органов </w:t>
            </w:r>
            <w:r w:rsidR="00C95ADA" w:rsidRPr="00D936F5">
              <w:rPr>
                <w:sz w:val="18"/>
                <w:szCs w:val="18"/>
                <w:lang w:val="ru-RU"/>
              </w:rPr>
              <w:t>на предмет утверждения</w:t>
            </w:r>
            <w:r w:rsidRPr="00D936F5">
              <w:rPr>
                <w:sz w:val="18"/>
                <w:szCs w:val="18"/>
                <w:lang w:val="ru-RU"/>
              </w:rPr>
              <w:t xml:space="preserve"> и глав</w:t>
            </w:r>
            <w:r w:rsidR="00C95ADA" w:rsidRPr="00D936F5">
              <w:rPr>
                <w:sz w:val="18"/>
                <w:szCs w:val="18"/>
                <w:lang w:val="ru-RU"/>
              </w:rPr>
              <w:t xml:space="preserve"> на предмет </w:t>
            </w:r>
            <w:r w:rsidRPr="00D936F5">
              <w:rPr>
                <w:sz w:val="18"/>
                <w:szCs w:val="18"/>
                <w:lang w:val="ru-RU"/>
              </w:rPr>
              <w:t>приняти</w:t>
            </w:r>
            <w:r w:rsidR="00C95ADA" w:rsidRPr="00D936F5">
              <w:rPr>
                <w:sz w:val="18"/>
                <w:szCs w:val="18"/>
                <w:lang w:val="ru-RU"/>
              </w:rPr>
              <w:t>я</w:t>
            </w:r>
          </w:p>
        </w:tc>
      </w:tr>
      <w:tr w:rsidR="00DC5E14" w:rsidRPr="00A13C72" w14:paraId="376452D5" w14:textId="77777777" w:rsidTr="00D33115">
        <w:trPr>
          <w:trHeight w:val="57"/>
          <w:jc w:val="right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D567FF1" w14:textId="77777777" w:rsidR="00DC5E14" w:rsidRPr="00D936F5" w:rsidRDefault="00DC5E14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bCs/>
                <w:sz w:val="18"/>
                <w:szCs w:val="18"/>
              </w:rPr>
            </w:pPr>
            <w:r w:rsidRPr="00D936F5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889" w:type="dxa"/>
            <w:tcBorders>
              <w:bottom w:val="single" w:sz="12" w:space="0" w:color="auto"/>
            </w:tcBorders>
            <w:shd w:val="clear" w:color="auto" w:fill="auto"/>
          </w:tcPr>
          <w:p w14:paraId="2A77221C" w14:textId="5F690D69" w:rsidR="00DC5E14" w:rsidRPr="003056DD" w:rsidRDefault="00C24D3F" w:rsidP="00D33115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MS Mincho"/>
                <w:sz w:val="18"/>
                <w:szCs w:val="18"/>
                <w:lang w:val="ru-RU"/>
              </w:rPr>
            </w:pPr>
            <w:r w:rsidRPr="00D936F5">
              <w:rPr>
                <w:sz w:val="18"/>
                <w:szCs w:val="18"/>
                <w:lang w:val="ru-RU"/>
              </w:rPr>
              <w:t>Связанные с оценкой и</w:t>
            </w:r>
            <w:r w:rsidR="00DC5E14" w:rsidRPr="00D936F5">
              <w:rPr>
                <w:sz w:val="18"/>
                <w:szCs w:val="18"/>
                <w:lang w:val="ru-RU"/>
              </w:rPr>
              <w:t>нформационные мероприятия</w:t>
            </w:r>
          </w:p>
        </w:tc>
      </w:tr>
    </w:tbl>
    <w:p w14:paraId="23A3D53E" w14:textId="146031C8" w:rsidR="00C95B00" w:rsidRPr="00E70809" w:rsidRDefault="00E70809" w:rsidP="00E70809">
      <w:pPr>
        <w:pStyle w:val="Normal-pool"/>
        <w:tabs>
          <w:tab w:val="clear" w:pos="624"/>
        </w:tabs>
        <w:spacing w:before="240"/>
        <w:jc w:val="center"/>
      </w:pPr>
      <w:r>
        <w:t>_____________________</w:t>
      </w:r>
    </w:p>
    <w:sectPr w:rsidR="00C95B00" w:rsidRPr="00E70809" w:rsidSect="00F3617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5E8D" w14:textId="77777777" w:rsidR="006B1595" w:rsidRDefault="006B1595">
      <w:r>
        <w:separator/>
      </w:r>
    </w:p>
  </w:endnote>
  <w:endnote w:type="continuationSeparator" w:id="0">
    <w:p w14:paraId="64FD3999" w14:textId="77777777" w:rsidR="006B1595" w:rsidRDefault="006B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316A" w14:textId="77777777" w:rsidR="00F04EC8" w:rsidRPr="00DC5E14" w:rsidRDefault="00F04EC8" w:rsidP="001551CF">
    <w:pPr>
      <w:pStyle w:val="Footer-pool"/>
      <w:tabs>
        <w:tab w:val="clear" w:pos="624"/>
        <w:tab w:val="clear" w:pos="4321"/>
        <w:tab w:val="clear" w:pos="8641"/>
      </w:tabs>
      <w:rPr>
        <w:b w:val="0"/>
        <w:bCs/>
      </w:rPr>
    </w:pPr>
    <w:r w:rsidRPr="00DC5E14">
      <w:rPr>
        <w:rStyle w:val="PageNumber"/>
        <w:b/>
        <w:bCs/>
      </w:rPr>
      <w:fldChar w:fldCharType="begin"/>
    </w:r>
    <w:r w:rsidRPr="00DC5E14">
      <w:rPr>
        <w:rStyle w:val="PageNumber"/>
        <w:b/>
        <w:bCs/>
      </w:rPr>
      <w:instrText xml:space="preserve"> PAGE </w:instrText>
    </w:r>
    <w:r w:rsidRPr="00DC5E14">
      <w:rPr>
        <w:rStyle w:val="PageNumber"/>
        <w:b/>
        <w:bCs/>
      </w:rPr>
      <w:fldChar w:fldCharType="separate"/>
    </w:r>
    <w:r w:rsidRPr="00DC5E14">
      <w:rPr>
        <w:rStyle w:val="PageNumber"/>
        <w:b/>
        <w:bCs/>
        <w:noProof/>
      </w:rPr>
      <w:t>2</w:t>
    </w:r>
    <w:r w:rsidRPr="00DC5E14">
      <w:rPr>
        <w:rStyle w:val="PageNumber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833F" w14:textId="77777777" w:rsidR="00F04EC8" w:rsidRPr="00DC5E14" w:rsidRDefault="00F04EC8" w:rsidP="001551CF">
    <w:pPr>
      <w:pStyle w:val="Footer-pool"/>
      <w:tabs>
        <w:tab w:val="clear" w:pos="624"/>
        <w:tab w:val="clear" w:pos="4321"/>
        <w:tab w:val="clear" w:pos="8641"/>
      </w:tabs>
      <w:jc w:val="right"/>
    </w:pPr>
    <w:r w:rsidRPr="00DC5E14">
      <w:rPr>
        <w:rStyle w:val="PageNumber"/>
        <w:b/>
      </w:rPr>
      <w:fldChar w:fldCharType="begin"/>
    </w:r>
    <w:r w:rsidRPr="00DC5E14">
      <w:rPr>
        <w:rStyle w:val="PageNumber"/>
        <w:b/>
      </w:rPr>
      <w:instrText xml:space="preserve"> PAGE </w:instrText>
    </w:r>
    <w:r w:rsidRPr="00DC5E14">
      <w:rPr>
        <w:rStyle w:val="PageNumber"/>
        <w:b/>
      </w:rPr>
      <w:fldChar w:fldCharType="separate"/>
    </w:r>
    <w:r w:rsidRPr="00DC5E14">
      <w:rPr>
        <w:rStyle w:val="PageNumber"/>
        <w:b/>
      </w:rPr>
      <w:t>1</w:t>
    </w:r>
    <w:r w:rsidRPr="00DC5E14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C1BD" w14:textId="20887426" w:rsidR="00F04EC8" w:rsidRPr="00C30DB4" w:rsidRDefault="00F04EC8" w:rsidP="001551CF">
    <w:pPr>
      <w:pStyle w:val="Footer-pool"/>
      <w:tabs>
        <w:tab w:val="clear" w:pos="624"/>
        <w:tab w:val="clear" w:pos="4321"/>
        <w:tab w:val="clear" w:pos="8641"/>
      </w:tabs>
      <w:rPr>
        <w:b w:val="0"/>
        <w:bCs/>
        <w:sz w:val="20"/>
      </w:rPr>
    </w:pPr>
    <w:r w:rsidRPr="00C30DB4">
      <w:rPr>
        <w:b w:val="0"/>
        <w:bCs/>
        <w:sz w:val="20"/>
      </w:rPr>
      <w:t>K210077</w:t>
    </w:r>
    <w:r>
      <w:rPr>
        <w:b w:val="0"/>
        <w:bCs/>
        <w:sz w:val="20"/>
      </w:rPr>
      <w:t>9      0804</w:t>
    </w:r>
    <w:r w:rsidRPr="00C30DB4">
      <w:rPr>
        <w:b w:val="0"/>
        <w:bCs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598D" w14:textId="77777777" w:rsidR="006B1595" w:rsidRPr="00DC5E14" w:rsidRDefault="006B1595" w:rsidP="0017184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DC5E14">
        <w:rPr>
          <w:sz w:val="18"/>
          <w:szCs w:val="18"/>
        </w:rPr>
        <w:separator/>
      </w:r>
    </w:p>
  </w:footnote>
  <w:footnote w:type="continuationSeparator" w:id="0">
    <w:p w14:paraId="3C8BA5CE" w14:textId="77777777" w:rsidR="006B1595" w:rsidRDefault="006B1595">
      <w:r>
        <w:continuationSeparator/>
      </w:r>
    </w:p>
  </w:footnote>
  <w:footnote w:id="1">
    <w:p w14:paraId="49BEA7C9" w14:textId="14941CEF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lang w:val="ru-RU"/>
        </w:rPr>
        <w:t xml:space="preserve">*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IPBES/8/1.</w:t>
      </w:r>
    </w:p>
  </w:footnote>
  <w:footnote w:id="2">
    <w:p w14:paraId="4AA1A5D4" w14:textId="3CA2F8C0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bCs/>
          <w:sz w:val="18"/>
          <w:szCs w:val="18"/>
          <w:lang w:val="ru-RU"/>
        </w:rPr>
      </w:pPr>
      <w:r w:rsidRPr="00566757">
        <w:rPr>
          <w:sz w:val="18"/>
          <w:szCs w:val="18"/>
          <w:lang w:val="ru-RU"/>
        </w:rPr>
        <w:t xml:space="preserve">**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Настоящий документ издается без официального редактирования.</w:t>
      </w:r>
    </w:p>
  </w:footnote>
  <w:footnote w:id="3">
    <w:p w14:paraId="46FE5DC0" w14:textId="532DB57D" w:rsidR="00F04EC8" w:rsidRPr="003367DD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 xml:space="preserve">Раздел 6.1 процедур подготовки итоговых материалов МПБЭУ, </w:t>
      </w:r>
      <w:r>
        <w:rPr>
          <w:sz w:val="18"/>
          <w:szCs w:val="18"/>
          <w:lang w:val="ru-RU"/>
        </w:rPr>
        <w:t>изложенных</w:t>
      </w:r>
      <w:r w:rsidRPr="00566757">
        <w:rPr>
          <w:sz w:val="18"/>
          <w:szCs w:val="18"/>
          <w:lang w:val="ru-RU"/>
        </w:rPr>
        <w:t xml:space="preserve"> в приложении I к решению МПБЭУ-3/3.</w:t>
      </w:r>
    </w:p>
  </w:footnote>
  <w:footnote w:id="4">
    <w:p w14:paraId="01D94A2C" w14:textId="77777777" w:rsidR="00F04EC8" w:rsidRPr="00566757" w:rsidRDefault="00F04EC8" w:rsidP="000D25A6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171843">
        <w:rPr>
          <w:sz w:val="18"/>
          <w:szCs w:val="18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566757">
        <w:rPr>
          <w:sz w:val="18"/>
          <w:szCs w:val="18"/>
          <w:lang w:val="ru-RU"/>
        </w:rPr>
        <w:t xml:space="preserve">Раздел 6.2 процедур подготовки итоговых материалов МПБЭУ, </w:t>
      </w:r>
      <w:r>
        <w:rPr>
          <w:sz w:val="18"/>
          <w:szCs w:val="18"/>
          <w:lang w:val="ru-RU"/>
        </w:rPr>
        <w:t>изложенных</w:t>
      </w:r>
      <w:r w:rsidRPr="00566757">
        <w:rPr>
          <w:sz w:val="18"/>
          <w:szCs w:val="18"/>
          <w:lang w:val="ru-RU"/>
        </w:rPr>
        <w:t xml:space="preserve"> в приложении I к решению МПБЭУ-3/3.</w:t>
      </w:r>
    </w:p>
  </w:footnote>
  <w:footnote w:id="5">
    <w:p w14:paraId="12FFB1BC" w14:textId="4239987E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IPBES/7/6, дополнение II, раздел I.</w:t>
      </w:r>
    </w:p>
  </w:footnote>
  <w:footnote w:id="6">
    <w:p w14:paraId="765246FF" w14:textId="2126756D" w:rsidR="00F04EC8" w:rsidRPr="003056DD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Природа в контексте Платформы – это мир природы с акцентом на биоразнообразие. В контексте науки понятие природы воплощает в себе такие категории, как биоразнообразие, экосистемы, функционирование экосистем, развитие, биосфера, общее эволюционное наследие человечества и биокультурное разнообразие. В контексте других систем знаний оно включает такие категории, как Мать</w:t>
      </w:r>
      <w:r w:rsidRPr="003056DD">
        <w:rPr>
          <w:sz w:val="18"/>
          <w:szCs w:val="18"/>
          <w:lang w:val="ru-RU"/>
        </w:rPr>
        <w:noBreakHyphen/>
      </w:r>
      <w:r w:rsidRPr="00566757">
        <w:rPr>
          <w:sz w:val="18"/>
          <w:szCs w:val="18"/>
          <w:lang w:val="ru-RU"/>
        </w:rPr>
        <w:t xml:space="preserve">Земля и системы жизни. Другие компоненты природы, такие как глубокие водоносные горизонты, минеральные и ископаемые ресурсы, ветряная, солнечная </w:t>
      </w:r>
      <w:r w:rsidRPr="00C507B8">
        <w:rPr>
          <w:sz w:val="18"/>
          <w:szCs w:val="18"/>
          <w:lang w:val="ru-RU"/>
        </w:rPr>
        <w:t>и геотермальная энергия и энергия волн, не</w:t>
      </w:r>
      <w:r>
        <w:rPr>
          <w:lang w:val="ru-RU"/>
        </w:rPr>
        <w:t xml:space="preserve"> </w:t>
      </w:r>
      <w:r w:rsidRPr="00566757">
        <w:rPr>
          <w:sz w:val="18"/>
          <w:szCs w:val="18"/>
          <w:lang w:val="ru-RU"/>
        </w:rPr>
        <w:t>входят в число основных направлений работы Платформы. Природа вносит свой вклад в общество, обеспечивая вклад в жизнь людей</w:t>
      </w:r>
      <w:r>
        <w:rPr>
          <w:sz w:val="18"/>
          <w:szCs w:val="18"/>
          <w:lang w:val="ru-RU"/>
        </w:rPr>
        <w:t>.</w:t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566757">
        <w:rPr>
          <w:sz w:val="18"/>
          <w:szCs w:val="18"/>
          <w:lang w:val="ru-RU"/>
        </w:rPr>
        <w:t>м. МПБЭУ (2019 г</w:t>
      </w:r>
      <w:r>
        <w:rPr>
          <w:sz w:val="18"/>
          <w:szCs w:val="18"/>
          <w:lang w:val="ru-RU"/>
        </w:rPr>
        <w:t>од</w:t>
      </w:r>
      <w:r w:rsidRPr="00566757">
        <w:rPr>
          <w:sz w:val="18"/>
          <w:szCs w:val="18"/>
          <w:lang w:val="ru-RU"/>
        </w:rPr>
        <w:t>): Резюме для директивных органов доклада о глобальной оценке биоразнообразия и экосистемных услуг. С. Диас, Й. Зеттеле, Э.С. Брондизиу и др. (под ред.). Секретариат МПБЭУ, Бонн, Германия. 56 страниц.</w:t>
      </w:r>
    </w:p>
  </w:footnote>
  <w:footnote w:id="7">
    <w:p w14:paraId="4D7A8C56" w14:textId="10E71AD9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МПБЭУ (2020 г</w:t>
      </w:r>
      <w:r>
        <w:rPr>
          <w:sz w:val="18"/>
          <w:szCs w:val="18"/>
          <w:lang w:val="ru-RU"/>
        </w:rPr>
        <w:t>од</w:t>
      </w:r>
      <w:r w:rsidRPr="00566757">
        <w:rPr>
          <w:sz w:val="18"/>
          <w:szCs w:val="18"/>
          <w:lang w:val="ru-RU"/>
        </w:rPr>
        <w:t>): Доклад по итогам семинара-практикума по биоразнообразию и пандемиям Межправительственной платформы по биоразнообразию и экосистемным услугам. П. Дасзак и др. (под ред.). Секретариат МПБЭУ, Бонн, Германия. 96 страниц.</w:t>
      </w:r>
    </w:p>
  </w:footnote>
  <w:footnote w:id="8">
    <w:p w14:paraId="7166A810" w14:textId="0CFDBD1E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МПБЭУ (2019 г</w:t>
      </w:r>
      <w:r>
        <w:rPr>
          <w:sz w:val="18"/>
          <w:szCs w:val="18"/>
          <w:lang w:val="ru-RU"/>
        </w:rPr>
        <w:t>од</w:t>
      </w:r>
      <w:r w:rsidRPr="00566757">
        <w:rPr>
          <w:sz w:val="18"/>
          <w:szCs w:val="18"/>
          <w:lang w:val="ru-RU"/>
        </w:rPr>
        <w:t>): Резюме для директивных органов доклада о глобальной оценке биоразнообразия и экосистемных услуг МПБЭУ. С. Диас, Й. Зеттеле, Э.С. Брондизиу и др. (под ред.). Секретариат МПБЭУ, Бонн, Германия. 56 страниц.</w:t>
      </w:r>
    </w:p>
  </w:footnote>
  <w:footnote w:id="9">
    <w:p w14:paraId="0A4A7270" w14:textId="28C750B6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Глоссарий доклада о глобальной оценке биоразнообразия и экосистемных услуг (МПБЭУ, 2019</w:t>
      </w:r>
      <w:r>
        <w:rPr>
          <w:sz w:val="18"/>
          <w:szCs w:val="18"/>
        </w:rPr>
        <w:t> </w:t>
      </w:r>
      <w:r w:rsidRPr="00566757">
        <w:rPr>
          <w:sz w:val="18"/>
          <w:szCs w:val="18"/>
          <w:lang w:val="ru-RU"/>
        </w:rPr>
        <w:t>г</w:t>
      </w:r>
      <w:r>
        <w:rPr>
          <w:sz w:val="18"/>
          <w:szCs w:val="18"/>
          <w:lang w:val="ru-RU"/>
        </w:rPr>
        <w:t>од</w:t>
      </w:r>
      <w:r w:rsidRPr="00566757">
        <w:rPr>
          <w:sz w:val="18"/>
          <w:szCs w:val="18"/>
          <w:lang w:val="ru-RU"/>
        </w:rPr>
        <w:t>).</w:t>
      </w:r>
    </w:p>
  </w:footnote>
  <w:footnote w:id="10">
    <w:p w14:paraId="37CD6D80" w14:textId="0D20EBF3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Как определяется в Резюме для директивных органов доклада о глобальной оценке биоразнообразия и экосистемных услуг.</w:t>
      </w:r>
    </w:p>
  </w:footnote>
  <w:footnote w:id="11">
    <w:p w14:paraId="6514F9A5" w14:textId="4308800D" w:rsidR="00F04EC8" w:rsidRPr="003367DD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UNEP/IPBES.MI/2/9, приложение I, дополнение I, раздел I.</w:t>
      </w:r>
    </w:p>
  </w:footnote>
  <w:footnote w:id="12">
    <w:p w14:paraId="6F10B906" w14:textId="2D5947D0" w:rsidR="00F04EC8" w:rsidRPr="00441A76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441A76">
        <w:rPr>
          <w:sz w:val="18"/>
          <w:szCs w:val="18"/>
          <w:vertAlign w:val="superscript"/>
          <w:lang w:val="ru-RU"/>
        </w:rPr>
        <w:footnoteRef/>
      </w:r>
      <w:r w:rsidRPr="00441A7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441A76">
        <w:rPr>
          <w:sz w:val="18"/>
          <w:szCs w:val="18"/>
          <w:lang w:val="ru-RU"/>
        </w:rPr>
        <w:t xml:space="preserve">Решение 14/34 Конференции Сторон Конвенции о биологическом разнообразии. Дополнительная информация </w:t>
      </w:r>
      <w:r>
        <w:rPr>
          <w:sz w:val="18"/>
          <w:szCs w:val="18"/>
          <w:lang w:val="ru-RU"/>
        </w:rPr>
        <w:t>имеется по адресу:</w:t>
      </w:r>
      <w:r w:rsidRPr="00441A76">
        <w:rPr>
          <w:sz w:val="18"/>
          <w:szCs w:val="18"/>
          <w:lang w:val="ru-RU"/>
        </w:rPr>
        <w:t xml:space="preserve"> https://www.cbd.int/conferences/post2020.</w:t>
      </w:r>
    </w:p>
  </w:footnote>
  <w:footnote w:id="13">
    <w:p w14:paraId="2C03D16D" w14:textId="7F8A108C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«Успе</w:t>
      </w:r>
      <w:r>
        <w:rPr>
          <w:sz w:val="18"/>
          <w:szCs w:val="18"/>
          <w:lang w:val="ru-RU"/>
        </w:rPr>
        <w:t>шной</w:t>
      </w:r>
      <w:r w:rsidRPr="00566757">
        <w:rPr>
          <w:sz w:val="18"/>
          <w:szCs w:val="18"/>
          <w:lang w:val="ru-RU"/>
        </w:rPr>
        <w:t xml:space="preserve">» </w:t>
      </w:r>
      <w:r>
        <w:rPr>
          <w:sz w:val="18"/>
          <w:szCs w:val="18"/>
          <w:lang w:val="ru-RU"/>
        </w:rPr>
        <w:t xml:space="preserve">считается </w:t>
      </w:r>
      <w:r w:rsidRPr="00566757">
        <w:rPr>
          <w:sz w:val="18"/>
          <w:szCs w:val="18"/>
          <w:lang w:val="ru-RU"/>
        </w:rPr>
        <w:t>систем</w:t>
      </w:r>
      <w:r>
        <w:rPr>
          <w:sz w:val="18"/>
          <w:szCs w:val="18"/>
          <w:lang w:val="ru-RU"/>
        </w:rPr>
        <w:t>а</w:t>
      </w:r>
      <w:r w:rsidRPr="00566757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имеющая минимальные последствия</w:t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для </w:t>
      </w:r>
      <w:r w:rsidRPr="00566757">
        <w:rPr>
          <w:sz w:val="18"/>
          <w:szCs w:val="18"/>
          <w:lang w:val="ru-RU"/>
        </w:rPr>
        <w:t>биоразнообрази</w:t>
      </w:r>
      <w:r>
        <w:rPr>
          <w:sz w:val="18"/>
          <w:szCs w:val="18"/>
          <w:lang w:val="ru-RU"/>
        </w:rPr>
        <w:t>я</w:t>
      </w:r>
      <w:r w:rsidRPr="00566757">
        <w:rPr>
          <w:sz w:val="18"/>
          <w:szCs w:val="18"/>
          <w:lang w:val="ru-RU"/>
        </w:rPr>
        <w:t>.</w:t>
      </w:r>
    </w:p>
  </w:footnote>
  <w:footnote w:id="14">
    <w:p w14:paraId="149CB8CD" w14:textId="5F0FD434" w:rsidR="00F04EC8" w:rsidRPr="003367DD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МПБЭУ (2016 г</w:t>
      </w:r>
      <w:r>
        <w:rPr>
          <w:sz w:val="18"/>
          <w:szCs w:val="18"/>
          <w:lang w:val="ru-RU"/>
        </w:rPr>
        <w:t>од</w:t>
      </w:r>
      <w:r w:rsidRPr="00566757">
        <w:rPr>
          <w:sz w:val="18"/>
          <w:szCs w:val="18"/>
          <w:lang w:val="ru-RU"/>
        </w:rPr>
        <w:t>): Доклад о методологической оценке сценариев и моделей биоразнообразия и экосистемных услуг. С. Ферье, К.Н. Нинан, П. Лидли, Р. Алкемаде и др. (под ред.). Секретариат МПБЭУ, Бонн, Германия. 348 страниц.</w:t>
      </w:r>
    </w:p>
  </w:footnote>
  <w:footnote w:id="15">
    <w:p w14:paraId="5B6A3F74" w14:textId="6BF3F0FA" w:rsidR="00F04EC8" w:rsidRPr="00566757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6757">
        <w:rPr>
          <w:sz w:val="18"/>
          <w:szCs w:val="18"/>
          <w:lang w:val="ru-RU"/>
        </w:rPr>
        <w:t>В оценке будет признаваться наличие нескольких устойчив</w:t>
      </w:r>
      <w:r>
        <w:rPr>
          <w:sz w:val="18"/>
          <w:szCs w:val="18"/>
          <w:lang w:val="ru-RU"/>
        </w:rPr>
        <w:t>ых</w:t>
      </w:r>
      <w:r w:rsidRPr="00566757">
        <w:rPr>
          <w:sz w:val="18"/>
          <w:szCs w:val="18"/>
          <w:lang w:val="ru-RU"/>
        </w:rPr>
        <w:t xml:space="preserve"> вариантов будущего, </w:t>
      </w:r>
      <w:r>
        <w:rPr>
          <w:sz w:val="18"/>
          <w:szCs w:val="18"/>
          <w:lang w:val="ru-RU"/>
        </w:rPr>
        <w:t>зависящих от</w:t>
      </w:r>
      <w:r w:rsidRPr="00566757">
        <w:rPr>
          <w:sz w:val="18"/>
          <w:szCs w:val="18"/>
          <w:lang w:val="ru-RU"/>
        </w:rPr>
        <w:t xml:space="preserve"> мировоззрени</w:t>
      </w:r>
      <w:r>
        <w:rPr>
          <w:sz w:val="18"/>
          <w:szCs w:val="18"/>
          <w:lang w:val="ru-RU"/>
        </w:rPr>
        <w:t>я</w:t>
      </w:r>
      <w:r w:rsidRPr="00566757">
        <w:rPr>
          <w:sz w:val="18"/>
          <w:szCs w:val="18"/>
          <w:lang w:val="ru-RU"/>
        </w:rPr>
        <w:t xml:space="preserve"> и ряд</w:t>
      </w:r>
      <w:r>
        <w:rPr>
          <w:sz w:val="18"/>
          <w:szCs w:val="18"/>
          <w:lang w:val="ru-RU"/>
        </w:rPr>
        <w:t>а</w:t>
      </w:r>
      <w:r w:rsidRPr="00566757">
        <w:rPr>
          <w:sz w:val="18"/>
          <w:szCs w:val="18"/>
          <w:lang w:val="ru-RU"/>
        </w:rPr>
        <w:t xml:space="preserve"> других факторов.</w:t>
      </w:r>
    </w:p>
  </w:footnote>
  <w:footnote w:id="16">
    <w:p w14:paraId="16111AB6" w14:textId="087087DB" w:rsidR="00F04EC8" w:rsidRPr="003367DD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566757">
        <w:rPr>
          <w:sz w:val="18"/>
          <w:szCs w:val="18"/>
          <w:vertAlign w:val="superscript"/>
          <w:lang w:val="ru-RU"/>
        </w:rPr>
        <w:footnoteRef/>
      </w:r>
      <w:r w:rsidRPr="0056675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  <w:t>Меры</w:t>
      </w:r>
      <w:r w:rsidRPr="00566757">
        <w:rPr>
          <w:sz w:val="18"/>
          <w:szCs w:val="18"/>
          <w:lang w:val="ru-RU"/>
        </w:rPr>
        <w:t xml:space="preserve"> по защите, устойчивому </w:t>
      </w:r>
      <w:r>
        <w:rPr>
          <w:sz w:val="18"/>
          <w:szCs w:val="18"/>
          <w:lang w:val="ru-RU"/>
        </w:rPr>
        <w:t>регулированию</w:t>
      </w:r>
      <w:r w:rsidRPr="00566757">
        <w:rPr>
          <w:sz w:val="18"/>
          <w:szCs w:val="18"/>
          <w:lang w:val="ru-RU"/>
        </w:rPr>
        <w:t xml:space="preserve"> и восстановлению природных или измененных экосистем, которые способствуют эффективному и адаптивному решению проблем общества, одновременно обеспечивая благосостояние человека и выгоды в области биоразнообразия (Глоссарий глобальной оценки биоразнообразия и экосистемных услуг МПБЭУ).</w:t>
      </w:r>
    </w:p>
  </w:footnote>
  <w:footnote w:id="17">
    <w:p w14:paraId="293A7C3B" w14:textId="1AF8EF45" w:rsidR="00F04EC8" w:rsidRPr="003A0292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3A0292">
        <w:rPr>
          <w:sz w:val="18"/>
          <w:szCs w:val="18"/>
          <w:vertAlign w:val="superscript"/>
          <w:lang w:val="ru-RU"/>
        </w:rPr>
        <w:footnoteRef/>
      </w:r>
      <w:r w:rsidRPr="003A029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3A0292">
        <w:rPr>
          <w:sz w:val="18"/>
          <w:szCs w:val="18"/>
          <w:lang w:val="ru-RU"/>
        </w:rPr>
        <w:t>Для получения информации по отдельным возможным вариантам реагирования см. МПБЭУ (2020</w:t>
      </w:r>
      <w:r>
        <w:rPr>
          <w:sz w:val="18"/>
          <w:szCs w:val="18"/>
        </w:rPr>
        <w:t> </w:t>
      </w:r>
      <w:r w:rsidRPr="00566757">
        <w:rPr>
          <w:sz w:val="18"/>
          <w:szCs w:val="18"/>
          <w:lang w:val="ru-RU"/>
        </w:rPr>
        <w:t>г</w:t>
      </w:r>
      <w:r>
        <w:rPr>
          <w:sz w:val="18"/>
          <w:szCs w:val="18"/>
          <w:lang w:val="ru-RU"/>
        </w:rPr>
        <w:t>од</w:t>
      </w:r>
      <w:r w:rsidRPr="003A0292">
        <w:rPr>
          <w:sz w:val="18"/>
          <w:szCs w:val="18"/>
          <w:lang w:val="ru-RU"/>
        </w:rPr>
        <w:t xml:space="preserve">): Доклад по итогам семинара-практикума по биоразнообразию и пандемиям Межправительственной платформы по биоразнообразию и экосистемным услугам. </w:t>
      </w:r>
    </w:p>
  </w:footnote>
  <w:footnote w:id="18">
    <w:p w14:paraId="43BC9B2E" w14:textId="28597099" w:rsidR="00F04EC8" w:rsidRPr="0081633F" w:rsidRDefault="00F04EC8" w:rsidP="001864D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en-US"/>
        </w:rPr>
      </w:pPr>
      <w:r w:rsidRPr="003A0292">
        <w:rPr>
          <w:sz w:val="18"/>
          <w:szCs w:val="18"/>
          <w:vertAlign w:val="superscript"/>
          <w:lang w:val="ru-RU"/>
        </w:rPr>
        <w:footnoteRef/>
      </w:r>
      <w:r w:rsidRPr="003A029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3A0292">
        <w:rPr>
          <w:sz w:val="18"/>
          <w:szCs w:val="18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E197" w14:textId="6ACAF7D5" w:rsidR="00F04EC8" w:rsidRPr="00DC5E14" w:rsidRDefault="00F04EC8" w:rsidP="001551CF">
    <w:pPr>
      <w:pStyle w:val="Header-pool"/>
      <w:tabs>
        <w:tab w:val="clear" w:pos="624"/>
        <w:tab w:val="clear" w:pos="4536"/>
        <w:tab w:val="clear" w:pos="9072"/>
      </w:tabs>
    </w:pPr>
    <w:r w:rsidRPr="00C95B00">
      <w:t>IPBES/8/3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9860" w14:textId="24042ED9" w:rsidR="00F04EC8" w:rsidRPr="00DC5E14" w:rsidRDefault="00F04EC8" w:rsidP="001551CF">
    <w:pPr>
      <w:pStyle w:val="Header-pool"/>
      <w:tabs>
        <w:tab w:val="clear" w:pos="624"/>
        <w:tab w:val="clear" w:pos="4536"/>
        <w:tab w:val="clear" w:pos="9072"/>
      </w:tabs>
      <w:jc w:val="right"/>
    </w:pPr>
    <w:r w:rsidRPr="00C95B00">
      <w:t>IPBES/8/3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81DEBE68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0"/>
    <w:rsid w:val="000023F1"/>
    <w:rsid w:val="0000733D"/>
    <w:rsid w:val="000149E6"/>
    <w:rsid w:val="00015755"/>
    <w:rsid w:val="000247B0"/>
    <w:rsid w:val="00026997"/>
    <w:rsid w:val="00033A4B"/>
    <w:rsid w:val="00033E0B"/>
    <w:rsid w:val="00035EDE"/>
    <w:rsid w:val="00047F62"/>
    <w:rsid w:val="000509B4"/>
    <w:rsid w:val="00055844"/>
    <w:rsid w:val="0006035B"/>
    <w:rsid w:val="00071886"/>
    <w:rsid w:val="00072818"/>
    <w:rsid w:val="000742BC"/>
    <w:rsid w:val="000770A3"/>
    <w:rsid w:val="0008191A"/>
    <w:rsid w:val="00082A0C"/>
    <w:rsid w:val="00083504"/>
    <w:rsid w:val="00092FF1"/>
    <w:rsid w:val="0009640C"/>
    <w:rsid w:val="000A09A2"/>
    <w:rsid w:val="000A26D7"/>
    <w:rsid w:val="000A478D"/>
    <w:rsid w:val="000A5F2A"/>
    <w:rsid w:val="000B1CF2"/>
    <w:rsid w:val="000B22A2"/>
    <w:rsid w:val="000C2A52"/>
    <w:rsid w:val="000C4F12"/>
    <w:rsid w:val="000C5F0A"/>
    <w:rsid w:val="000D21B0"/>
    <w:rsid w:val="000D25A6"/>
    <w:rsid w:val="000D33C0"/>
    <w:rsid w:val="000D368C"/>
    <w:rsid w:val="000D6941"/>
    <w:rsid w:val="000E3165"/>
    <w:rsid w:val="000E5C6F"/>
    <w:rsid w:val="000E7CC5"/>
    <w:rsid w:val="000F2040"/>
    <w:rsid w:val="000F3A23"/>
    <w:rsid w:val="001054F6"/>
    <w:rsid w:val="00112D57"/>
    <w:rsid w:val="00112D98"/>
    <w:rsid w:val="00113CA3"/>
    <w:rsid w:val="001202E3"/>
    <w:rsid w:val="00120D40"/>
    <w:rsid w:val="00122272"/>
    <w:rsid w:val="00123699"/>
    <w:rsid w:val="00124CF3"/>
    <w:rsid w:val="00126098"/>
    <w:rsid w:val="0013059D"/>
    <w:rsid w:val="001369D1"/>
    <w:rsid w:val="00136F0F"/>
    <w:rsid w:val="00141A55"/>
    <w:rsid w:val="001446A3"/>
    <w:rsid w:val="00144FD8"/>
    <w:rsid w:val="00145F80"/>
    <w:rsid w:val="00146403"/>
    <w:rsid w:val="001551CF"/>
    <w:rsid w:val="00155395"/>
    <w:rsid w:val="00160D74"/>
    <w:rsid w:val="001642F5"/>
    <w:rsid w:val="001659D2"/>
    <w:rsid w:val="00167D02"/>
    <w:rsid w:val="00171843"/>
    <w:rsid w:val="0017564A"/>
    <w:rsid w:val="001775F3"/>
    <w:rsid w:val="00181EC8"/>
    <w:rsid w:val="00184349"/>
    <w:rsid w:val="0018497E"/>
    <w:rsid w:val="001864D2"/>
    <w:rsid w:val="00195F33"/>
    <w:rsid w:val="00196C45"/>
    <w:rsid w:val="001B1617"/>
    <w:rsid w:val="001B504B"/>
    <w:rsid w:val="001C3869"/>
    <w:rsid w:val="001C4937"/>
    <w:rsid w:val="001D18E4"/>
    <w:rsid w:val="001D3874"/>
    <w:rsid w:val="001D63FB"/>
    <w:rsid w:val="001D7E75"/>
    <w:rsid w:val="001E56D2"/>
    <w:rsid w:val="001E64CC"/>
    <w:rsid w:val="001E7D56"/>
    <w:rsid w:val="001F30EA"/>
    <w:rsid w:val="001F3BFA"/>
    <w:rsid w:val="001F75DE"/>
    <w:rsid w:val="00200D58"/>
    <w:rsid w:val="002013BE"/>
    <w:rsid w:val="002063A4"/>
    <w:rsid w:val="00210726"/>
    <w:rsid w:val="0021145B"/>
    <w:rsid w:val="00213E6C"/>
    <w:rsid w:val="00230675"/>
    <w:rsid w:val="0024277E"/>
    <w:rsid w:val="00243D36"/>
    <w:rsid w:val="00247707"/>
    <w:rsid w:val="002503BF"/>
    <w:rsid w:val="0026018E"/>
    <w:rsid w:val="00264DE5"/>
    <w:rsid w:val="00270F2F"/>
    <w:rsid w:val="0027709E"/>
    <w:rsid w:val="00277BE6"/>
    <w:rsid w:val="002856B1"/>
    <w:rsid w:val="00286740"/>
    <w:rsid w:val="002929D8"/>
    <w:rsid w:val="00293764"/>
    <w:rsid w:val="00293BB5"/>
    <w:rsid w:val="002A0372"/>
    <w:rsid w:val="002A06A9"/>
    <w:rsid w:val="002A237D"/>
    <w:rsid w:val="002A23FD"/>
    <w:rsid w:val="002A2427"/>
    <w:rsid w:val="002A4C53"/>
    <w:rsid w:val="002B0672"/>
    <w:rsid w:val="002B247F"/>
    <w:rsid w:val="002C04CB"/>
    <w:rsid w:val="002C145D"/>
    <w:rsid w:val="002C2C3E"/>
    <w:rsid w:val="002C533E"/>
    <w:rsid w:val="002C567A"/>
    <w:rsid w:val="002D027F"/>
    <w:rsid w:val="002D7A85"/>
    <w:rsid w:val="002D7B60"/>
    <w:rsid w:val="002E4D80"/>
    <w:rsid w:val="002F0CBB"/>
    <w:rsid w:val="002F4761"/>
    <w:rsid w:val="002F5C79"/>
    <w:rsid w:val="003019E2"/>
    <w:rsid w:val="003056DD"/>
    <w:rsid w:val="0031413F"/>
    <w:rsid w:val="003148BB"/>
    <w:rsid w:val="00316067"/>
    <w:rsid w:val="0031673D"/>
    <w:rsid w:val="00317976"/>
    <w:rsid w:val="00325BE7"/>
    <w:rsid w:val="003313F8"/>
    <w:rsid w:val="003367DD"/>
    <w:rsid w:val="003403FB"/>
    <w:rsid w:val="00351D75"/>
    <w:rsid w:val="00355EA9"/>
    <w:rsid w:val="00357028"/>
    <w:rsid w:val="003578DE"/>
    <w:rsid w:val="003620E0"/>
    <w:rsid w:val="00363101"/>
    <w:rsid w:val="0036375C"/>
    <w:rsid w:val="003653C9"/>
    <w:rsid w:val="00384A99"/>
    <w:rsid w:val="00391395"/>
    <w:rsid w:val="00396257"/>
    <w:rsid w:val="00397EB8"/>
    <w:rsid w:val="003A025C"/>
    <w:rsid w:val="003A0292"/>
    <w:rsid w:val="003A49B7"/>
    <w:rsid w:val="003A4FD0"/>
    <w:rsid w:val="003A5BC0"/>
    <w:rsid w:val="003A69D1"/>
    <w:rsid w:val="003A7705"/>
    <w:rsid w:val="003A77F1"/>
    <w:rsid w:val="003B1545"/>
    <w:rsid w:val="003C041D"/>
    <w:rsid w:val="003C2CF0"/>
    <w:rsid w:val="003C3216"/>
    <w:rsid w:val="003C409D"/>
    <w:rsid w:val="003C5BA6"/>
    <w:rsid w:val="003D4CCA"/>
    <w:rsid w:val="003F0E85"/>
    <w:rsid w:val="003F1E5F"/>
    <w:rsid w:val="003F4C99"/>
    <w:rsid w:val="004005B9"/>
    <w:rsid w:val="004040D2"/>
    <w:rsid w:val="00410C55"/>
    <w:rsid w:val="00416854"/>
    <w:rsid w:val="00417725"/>
    <w:rsid w:val="00421D96"/>
    <w:rsid w:val="00437F26"/>
    <w:rsid w:val="004405D6"/>
    <w:rsid w:val="00441A76"/>
    <w:rsid w:val="00444097"/>
    <w:rsid w:val="00445487"/>
    <w:rsid w:val="004478D9"/>
    <w:rsid w:val="00454769"/>
    <w:rsid w:val="00455E47"/>
    <w:rsid w:val="0046000F"/>
    <w:rsid w:val="00466327"/>
    <w:rsid w:val="00466991"/>
    <w:rsid w:val="0046706A"/>
    <w:rsid w:val="0047064C"/>
    <w:rsid w:val="00475E05"/>
    <w:rsid w:val="0048764C"/>
    <w:rsid w:val="0049401B"/>
    <w:rsid w:val="004A42E1"/>
    <w:rsid w:val="004A771B"/>
    <w:rsid w:val="004B1119"/>
    <w:rsid w:val="004B162C"/>
    <w:rsid w:val="004B38B0"/>
    <w:rsid w:val="004C0174"/>
    <w:rsid w:val="004C089E"/>
    <w:rsid w:val="004C1B9C"/>
    <w:rsid w:val="004C3DBE"/>
    <w:rsid w:val="004C5C96"/>
    <w:rsid w:val="004C6DCF"/>
    <w:rsid w:val="004D06A4"/>
    <w:rsid w:val="004D1D10"/>
    <w:rsid w:val="004D2E5A"/>
    <w:rsid w:val="004F07FF"/>
    <w:rsid w:val="004F1A81"/>
    <w:rsid w:val="00500BBE"/>
    <w:rsid w:val="00501432"/>
    <w:rsid w:val="00503E1D"/>
    <w:rsid w:val="00506F7E"/>
    <w:rsid w:val="00510DA7"/>
    <w:rsid w:val="00511C6D"/>
    <w:rsid w:val="00513D92"/>
    <w:rsid w:val="0051510A"/>
    <w:rsid w:val="00517B28"/>
    <w:rsid w:val="005218D9"/>
    <w:rsid w:val="00523EA9"/>
    <w:rsid w:val="00531E8F"/>
    <w:rsid w:val="00532AB4"/>
    <w:rsid w:val="00536186"/>
    <w:rsid w:val="00541C11"/>
    <w:rsid w:val="00544CBB"/>
    <w:rsid w:val="005474DA"/>
    <w:rsid w:val="005500E2"/>
    <w:rsid w:val="00566757"/>
    <w:rsid w:val="0056722E"/>
    <w:rsid w:val="0057315F"/>
    <w:rsid w:val="00576104"/>
    <w:rsid w:val="00576A8A"/>
    <w:rsid w:val="00583F08"/>
    <w:rsid w:val="00586832"/>
    <w:rsid w:val="00596040"/>
    <w:rsid w:val="005A568E"/>
    <w:rsid w:val="005B2067"/>
    <w:rsid w:val="005B4E87"/>
    <w:rsid w:val="005C0F42"/>
    <w:rsid w:val="005C67C8"/>
    <w:rsid w:val="005D0249"/>
    <w:rsid w:val="005D0CFA"/>
    <w:rsid w:val="005D4E1F"/>
    <w:rsid w:val="005D53DD"/>
    <w:rsid w:val="005D6E8C"/>
    <w:rsid w:val="005E4B3D"/>
    <w:rsid w:val="005F019F"/>
    <w:rsid w:val="005F100C"/>
    <w:rsid w:val="005F1AB3"/>
    <w:rsid w:val="005F588E"/>
    <w:rsid w:val="005F68DA"/>
    <w:rsid w:val="0060773B"/>
    <w:rsid w:val="00613066"/>
    <w:rsid w:val="00613F60"/>
    <w:rsid w:val="006157B5"/>
    <w:rsid w:val="00624732"/>
    <w:rsid w:val="00626FC6"/>
    <w:rsid w:val="006303B4"/>
    <w:rsid w:val="00633D3D"/>
    <w:rsid w:val="00634DBD"/>
    <w:rsid w:val="00641703"/>
    <w:rsid w:val="006431A6"/>
    <w:rsid w:val="006445B1"/>
    <w:rsid w:val="006459F6"/>
    <w:rsid w:val="006501AD"/>
    <w:rsid w:val="00651BFA"/>
    <w:rsid w:val="00651FB2"/>
    <w:rsid w:val="00654475"/>
    <w:rsid w:val="006577EE"/>
    <w:rsid w:val="00660609"/>
    <w:rsid w:val="00662E9D"/>
    <w:rsid w:val="00663868"/>
    <w:rsid w:val="0066502E"/>
    <w:rsid w:val="00665A4B"/>
    <w:rsid w:val="00671451"/>
    <w:rsid w:val="0067512E"/>
    <w:rsid w:val="00680E20"/>
    <w:rsid w:val="00687DAD"/>
    <w:rsid w:val="006928AE"/>
    <w:rsid w:val="00692E2A"/>
    <w:rsid w:val="00696E8F"/>
    <w:rsid w:val="006A66FC"/>
    <w:rsid w:val="006A76F2"/>
    <w:rsid w:val="006B07DF"/>
    <w:rsid w:val="006B1595"/>
    <w:rsid w:val="006C5CD3"/>
    <w:rsid w:val="006D5E79"/>
    <w:rsid w:val="006D5E99"/>
    <w:rsid w:val="006D7EFB"/>
    <w:rsid w:val="006E299F"/>
    <w:rsid w:val="006E6672"/>
    <w:rsid w:val="006E6722"/>
    <w:rsid w:val="006F17A0"/>
    <w:rsid w:val="006F2556"/>
    <w:rsid w:val="0070094B"/>
    <w:rsid w:val="007027B9"/>
    <w:rsid w:val="00703E13"/>
    <w:rsid w:val="00714F6B"/>
    <w:rsid w:val="007159B7"/>
    <w:rsid w:val="00715E88"/>
    <w:rsid w:val="00726B30"/>
    <w:rsid w:val="00732A33"/>
    <w:rsid w:val="00734CAA"/>
    <w:rsid w:val="00745801"/>
    <w:rsid w:val="00754F2B"/>
    <w:rsid w:val="0075533C"/>
    <w:rsid w:val="0075603D"/>
    <w:rsid w:val="00757581"/>
    <w:rsid w:val="007611A0"/>
    <w:rsid w:val="00765D54"/>
    <w:rsid w:val="007878CB"/>
    <w:rsid w:val="00792A68"/>
    <w:rsid w:val="00795BA3"/>
    <w:rsid w:val="00796D3F"/>
    <w:rsid w:val="007A1683"/>
    <w:rsid w:val="007A5AEF"/>
    <w:rsid w:val="007A5C12"/>
    <w:rsid w:val="007A6631"/>
    <w:rsid w:val="007A6ECC"/>
    <w:rsid w:val="007A7CB0"/>
    <w:rsid w:val="007B68A3"/>
    <w:rsid w:val="007C2541"/>
    <w:rsid w:val="007D66A8"/>
    <w:rsid w:val="007E003F"/>
    <w:rsid w:val="007E12DF"/>
    <w:rsid w:val="007E1E6F"/>
    <w:rsid w:val="007E3B01"/>
    <w:rsid w:val="007E4461"/>
    <w:rsid w:val="007F3821"/>
    <w:rsid w:val="00800CA8"/>
    <w:rsid w:val="00803AA9"/>
    <w:rsid w:val="008070B8"/>
    <w:rsid w:val="00814F8F"/>
    <w:rsid w:val="0081633F"/>
    <w:rsid w:val="008164F2"/>
    <w:rsid w:val="0082134A"/>
    <w:rsid w:val="00821395"/>
    <w:rsid w:val="00821A8F"/>
    <w:rsid w:val="00830E26"/>
    <w:rsid w:val="00834F4E"/>
    <w:rsid w:val="00836196"/>
    <w:rsid w:val="00843576"/>
    <w:rsid w:val="00843B64"/>
    <w:rsid w:val="008478FC"/>
    <w:rsid w:val="0085059D"/>
    <w:rsid w:val="008646BA"/>
    <w:rsid w:val="00867BFF"/>
    <w:rsid w:val="00872F51"/>
    <w:rsid w:val="00880022"/>
    <w:rsid w:val="008825F4"/>
    <w:rsid w:val="0088480A"/>
    <w:rsid w:val="0088757A"/>
    <w:rsid w:val="008957DD"/>
    <w:rsid w:val="00897D98"/>
    <w:rsid w:val="008A1BD5"/>
    <w:rsid w:val="008A6AD9"/>
    <w:rsid w:val="008A6DF2"/>
    <w:rsid w:val="008A7807"/>
    <w:rsid w:val="008B4CC9"/>
    <w:rsid w:val="008D7690"/>
    <w:rsid w:val="008D7C99"/>
    <w:rsid w:val="008E0FCB"/>
    <w:rsid w:val="008E19C3"/>
    <w:rsid w:val="008F08AD"/>
    <w:rsid w:val="008F1EBC"/>
    <w:rsid w:val="008F413F"/>
    <w:rsid w:val="00903086"/>
    <w:rsid w:val="00910826"/>
    <w:rsid w:val="0092178C"/>
    <w:rsid w:val="00922C86"/>
    <w:rsid w:val="00924923"/>
    <w:rsid w:val="0093002E"/>
    <w:rsid w:val="00930B88"/>
    <w:rsid w:val="0093301D"/>
    <w:rsid w:val="0093708B"/>
    <w:rsid w:val="00937DF8"/>
    <w:rsid w:val="00940DCC"/>
    <w:rsid w:val="0094179A"/>
    <w:rsid w:val="0094459E"/>
    <w:rsid w:val="00944DBC"/>
    <w:rsid w:val="00950977"/>
    <w:rsid w:val="00951A7B"/>
    <w:rsid w:val="00951F6F"/>
    <w:rsid w:val="009564A6"/>
    <w:rsid w:val="00961B5F"/>
    <w:rsid w:val="00966197"/>
    <w:rsid w:val="00967621"/>
    <w:rsid w:val="00967E6A"/>
    <w:rsid w:val="00981BB5"/>
    <w:rsid w:val="009919B9"/>
    <w:rsid w:val="009938AB"/>
    <w:rsid w:val="00996046"/>
    <w:rsid w:val="009B27C4"/>
    <w:rsid w:val="009B372D"/>
    <w:rsid w:val="009B4A0F"/>
    <w:rsid w:val="009C02EF"/>
    <w:rsid w:val="009C11D2"/>
    <w:rsid w:val="009C6C70"/>
    <w:rsid w:val="009D0B63"/>
    <w:rsid w:val="009D300B"/>
    <w:rsid w:val="009E307E"/>
    <w:rsid w:val="009E4B57"/>
    <w:rsid w:val="009F085C"/>
    <w:rsid w:val="00A05F3F"/>
    <w:rsid w:val="00A07870"/>
    <w:rsid w:val="00A07F19"/>
    <w:rsid w:val="00A1348D"/>
    <w:rsid w:val="00A13C72"/>
    <w:rsid w:val="00A232EE"/>
    <w:rsid w:val="00A24150"/>
    <w:rsid w:val="00A248DA"/>
    <w:rsid w:val="00A318BA"/>
    <w:rsid w:val="00A375DE"/>
    <w:rsid w:val="00A37FD0"/>
    <w:rsid w:val="00A4175F"/>
    <w:rsid w:val="00A44411"/>
    <w:rsid w:val="00A4484F"/>
    <w:rsid w:val="00A458E6"/>
    <w:rsid w:val="00A469FA"/>
    <w:rsid w:val="00A556A4"/>
    <w:rsid w:val="00A55B01"/>
    <w:rsid w:val="00A56B5B"/>
    <w:rsid w:val="00A603FF"/>
    <w:rsid w:val="00A64508"/>
    <w:rsid w:val="00A657DD"/>
    <w:rsid w:val="00A666A6"/>
    <w:rsid w:val="00A675FD"/>
    <w:rsid w:val="00A72437"/>
    <w:rsid w:val="00A72AE2"/>
    <w:rsid w:val="00A74AC8"/>
    <w:rsid w:val="00A77679"/>
    <w:rsid w:val="00A80611"/>
    <w:rsid w:val="00A86F4E"/>
    <w:rsid w:val="00A8763F"/>
    <w:rsid w:val="00A914C2"/>
    <w:rsid w:val="00A9369D"/>
    <w:rsid w:val="00A94AB6"/>
    <w:rsid w:val="00A97B11"/>
    <w:rsid w:val="00AB27A4"/>
    <w:rsid w:val="00AB49AE"/>
    <w:rsid w:val="00AB5340"/>
    <w:rsid w:val="00AC0A89"/>
    <w:rsid w:val="00AC0EFD"/>
    <w:rsid w:val="00AC4523"/>
    <w:rsid w:val="00AC52C6"/>
    <w:rsid w:val="00AC7C96"/>
    <w:rsid w:val="00AE237D"/>
    <w:rsid w:val="00AE502A"/>
    <w:rsid w:val="00AF5249"/>
    <w:rsid w:val="00AF7C07"/>
    <w:rsid w:val="00B00166"/>
    <w:rsid w:val="00B009F4"/>
    <w:rsid w:val="00B04487"/>
    <w:rsid w:val="00B22C93"/>
    <w:rsid w:val="00B2554D"/>
    <w:rsid w:val="00B258EC"/>
    <w:rsid w:val="00B27589"/>
    <w:rsid w:val="00B405B7"/>
    <w:rsid w:val="00B4197E"/>
    <w:rsid w:val="00B44EFA"/>
    <w:rsid w:val="00B47B90"/>
    <w:rsid w:val="00B52222"/>
    <w:rsid w:val="00B542C9"/>
    <w:rsid w:val="00B54FE7"/>
    <w:rsid w:val="00B55BEE"/>
    <w:rsid w:val="00B57E03"/>
    <w:rsid w:val="00B60761"/>
    <w:rsid w:val="00B66901"/>
    <w:rsid w:val="00B71E6D"/>
    <w:rsid w:val="00B72070"/>
    <w:rsid w:val="00B779E1"/>
    <w:rsid w:val="00B873AA"/>
    <w:rsid w:val="00B90C18"/>
    <w:rsid w:val="00B91EE1"/>
    <w:rsid w:val="00B92339"/>
    <w:rsid w:val="00BA0090"/>
    <w:rsid w:val="00BA1A67"/>
    <w:rsid w:val="00BA1C95"/>
    <w:rsid w:val="00BB5772"/>
    <w:rsid w:val="00BB717D"/>
    <w:rsid w:val="00BC2FE7"/>
    <w:rsid w:val="00BC4FD3"/>
    <w:rsid w:val="00BE5B5F"/>
    <w:rsid w:val="00BE764A"/>
    <w:rsid w:val="00BF4F42"/>
    <w:rsid w:val="00BF6FB4"/>
    <w:rsid w:val="00C01D25"/>
    <w:rsid w:val="00C10EC7"/>
    <w:rsid w:val="00C17E1A"/>
    <w:rsid w:val="00C22671"/>
    <w:rsid w:val="00C22A6C"/>
    <w:rsid w:val="00C23879"/>
    <w:rsid w:val="00C24D3F"/>
    <w:rsid w:val="00C26F55"/>
    <w:rsid w:val="00C30910"/>
    <w:rsid w:val="00C30C63"/>
    <w:rsid w:val="00C30DB4"/>
    <w:rsid w:val="00C36B8B"/>
    <w:rsid w:val="00C415C1"/>
    <w:rsid w:val="00C46AD7"/>
    <w:rsid w:val="00C47DBF"/>
    <w:rsid w:val="00C507B8"/>
    <w:rsid w:val="00C552FF"/>
    <w:rsid w:val="00C558DA"/>
    <w:rsid w:val="00C55AF3"/>
    <w:rsid w:val="00C6579E"/>
    <w:rsid w:val="00C80367"/>
    <w:rsid w:val="00C84759"/>
    <w:rsid w:val="00C8496B"/>
    <w:rsid w:val="00C85DF4"/>
    <w:rsid w:val="00C95007"/>
    <w:rsid w:val="00C95ADA"/>
    <w:rsid w:val="00C95B00"/>
    <w:rsid w:val="00C96715"/>
    <w:rsid w:val="00CA2258"/>
    <w:rsid w:val="00CA50BA"/>
    <w:rsid w:val="00CA6C7F"/>
    <w:rsid w:val="00CB3600"/>
    <w:rsid w:val="00CC10A6"/>
    <w:rsid w:val="00CC598B"/>
    <w:rsid w:val="00CC65C7"/>
    <w:rsid w:val="00CD286B"/>
    <w:rsid w:val="00CD2FD4"/>
    <w:rsid w:val="00CD5EB8"/>
    <w:rsid w:val="00CD7044"/>
    <w:rsid w:val="00CD7832"/>
    <w:rsid w:val="00CE08B9"/>
    <w:rsid w:val="00CE42A5"/>
    <w:rsid w:val="00CE4AB7"/>
    <w:rsid w:val="00CE524C"/>
    <w:rsid w:val="00CE6A8E"/>
    <w:rsid w:val="00CF141F"/>
    <w:rsid w:val="00CF4024"/>
    <w:rsid w:val="00CF4777"/>
    <w:rsid w:val="00CF5FF3"/>
    <w:rsid w:val="00CF6FA8"/>
    <w:rsid w:val="00D014A5"/>
    <w:rsid w:val="00D019CA"/>
    <w:rsid w:val="00D024FF"/>
    <w:rsid w:val="00D067BB"/>
    <w:rsid w:val="00D1352A"/>
    <w:rsid w:val="00D169AF"/>
    <w:rsid w:val="00D2422A"/>
    <w:rsid w:val="00D25249"/>
    <w:rsid w:val="00D33115"/>
    <w:rsid w:val="00D4251E"/>
    <w:rsid w:val="00D42BB9"/>
    <w:rsid w:val="00D44132"/>
    <w:rsid w:val="00D44172"/>
    <w:rsid w:val="00D44C58"/>
    <w:rsid w:val="00D63B8C"/>
    <w:rsid w:val="00D66AE9"/>
    <w:rsid w:val="00D66B5F"/>
    <w:rsid w:val="00D71EA6"/>
    <w:rsid w:val="00D739CC"/>
    <w:rsid w:val="00D8093D"/>
    <w:rsid w:val="00D8108C"/>
    <w:rsid w:val="00D842AE"/>
    <w:rsid w:val="00D86DC4"/>
    <w:rsid w:val="00D9211C"/>
    <w:rsid w:val="00D92DE0"/>
    <w:rsid w:val="00D92FEF"/>
    <w:rsid w:val="00D936F5"/>
    <w:rsid w:val="00D93A0F"/>
    <w:rsid w:val="00D95B3F"/>
    <w:rsid w:val="00D97D1E"/>
    <w:rsid w:val="00DA19EA"/>
    <w:rsid w:val="00DA1BCA"/>
    <w:rsid w:val="00DB1173"/>
    <w:rsid w:val="00DC227B"/>
    <w:rsid w:val="00DC2AA1"/>
    <w:rsid w:val="00DC46FF"/>
    <w:rsid w:val="00DC5254"/>
    <w:rsid w:val="00DC5E14"/>
    <w:rsid w:val="00DD1A4F"/>
    <w:rsid w:val="00DD3107"/>
    <w:rsid w:val="00DD7C2C"/>
    <w:rsid w:val="00DF1132"/>
    <w:rsid w:val="00E06797"/>
    <w:rsid w:val="00E1265B"/>
    <w:rsid w:val="00E13B48"/>
    <w:rsid w:val="00E1404F"/>
    <w:rsid w:val="00E14BC8"/>
    <w:rsid w:val="00E21C83"/>
    <w:rsid w:val="00E22E4E"/>
    <w:rsid w:val="00E239F0"/>
    <w:rsid w:val="00E24ADA"/>
    <w:rsid w:val="00E32F59"/>
    <w:rsid w:val="00E33463"/>
    <w:rsid w:val="00E4147C"/>
    <w:rsid w:val="00E43D6B"/>
    <w:rsid w:val="00E46AF6"/>
    <w:rsid w:val="00E46D9A"/>
    <w:rsid w:val="00E50361"/>
    <w:rsid w:val="00E5226A"/>
    <w:rsid w:val="00E565FF"/>
    <w:rsid w:val="00E56AB6"/>
    <w:rsid w:val="00E60AF8"/>
    <w:rsid w:val="00E62A2C"/>
    <w:rsid w:val="00E65388"/>
    <w:rsid w:val="00E70809"/>
    <w:rsid w:val="00E739B2"/>
    <w:rsid w:val="00E85B7D"/>
    <w:rsid w:val="00E8661C"/>
    <w:rsid w:val="00E9121B"/>
    <w:rsid w:val="00E926A9"/>
    <w:rsid w:val="00E9341E"/>
    <w:rsid w:val="00E953D0"/>
    <w:rsid w:val="00EA0AE2"/>
    <w:rsid w:val="00EA39E5"/>
    <w:rsid w:val="00EA74E4"/>
    <w:rsid w:val="00EC49D3"/>
    <w:rsid w:val="00EC5A46"/>
    <w:rsid w:val="00EC63E2"/>
    <w:rsid w:val="00EE113A"/>
    <w:rsid w:val="00EE5BE3"/>
    <w:rsid w:val="00EE5D76"/>
    <w:rsid w:val="00EF22B3"/>
    <w:rsid w:val="00F03B69"/>
    <w:rsid w:val="00F04EC8"/>
    <w:rsid w:val="00F07A50"/>
    <w:rsid w:val="00F113DA"/>
    <w:rsid w:val="00F22BC9"/>
    <w:rsid w:val="00F277B3"/>
    <w:rsid w:val="00F36178"/>
    <w:rsid w:val="00F37DC8"/>
    <w:rsid w:val="00F40897"/>
    <w:rsid w:val="00F439B3"/>
    <w:rsid w:val="00F514F0"/>
    <w:rsid w:val="00F57123"/>
    <w:rsid w:val="00F601CD"/>
    <w:rsid w:val="00F60B4B"/>
    <w:rsid w:val="00F650C3"/>
    <w:rsid w:val="00F65D85"/>
    <w:rsid w:val="00F71AF9"/>
    <w:rsid w:val="00F76D61"/>
    <w:rsid w:val="00F8091E"/>
    <w:rsid w:val="00F8615C"/>
    <w:rsid w:val="00F91B80"/>
    <w:rsid w:val="00F92E92"/>
    <w:rsid w:val="00F969E5"/>
    <w:rsid w:val="00FA48CC"/>
    <w:rsid w:val="00FA6BB0"/>
    <w:rsid w:val="00FA7FAB"/>
    <w:rsid w:val="00FB3FDB"/>
    <w:rsid w:val="00FC0C54"/>
    <w:rsid w:val="00FC39BE"/>
    <w:rsid w:val="00FC514C"/>
    <w:rsid w:val="00FC58F4"/>
    <w:rsid w:val="00FC5D4D"/>
    <w:rsid w:val="00FC7261"/>
    <w:rsid w:val="00FD0BDA"/>
    <w:rsid w:val="00FD47B9"/>
    <w:rsid w:val="00FD5860"/>
    <w:rsid w:val="00FD7275"/>
    <w:rsid w:val="00FE352D"/>
    <w:rsid w:val="00FE40EB"/>
    <w:rsid w:val="00FE4D02"/>
    <w:rsid w:val="00FE7D62"/>
    <w:rsid w:val="00FF3819"/>
    <w:rsid w:val="00FF39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849B7E"/>
  <w15:chartTrackingRefBased/>
  <w15:docId w15:val="{9AD7034D-4E97-4424-9208-0B4F7B86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C95B0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C95B0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C95B00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C95B00"/>
    <w:pPr>
      <w:tabs>
        <w:tab w:val="left" w:pos="624"/>
      </w:tabs>
    </w:pPr>
    <w:rPr>
      <w:lang w:eastAsia="en-US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uiPriority w:val="99"/>
    <w:qFormat/>
    <w:rsid w:val="000D6941"/>
    <w:pPr>
      <w:spacing w:before="20" w:after="40"/>
      <w:ind w:left="1247"/>
    </w:pPr>
    <w:rPr>
      <w:sz w:val="18"/>
    </w:rPr>
  </w:style>
  <w:style w:type="table" w:styleId="TableGrid">
    <w:name w:val="Table Grid"/>
    <w:basedOn w:val="TableNormal"/>
    <w:rsid w:val="00C95B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DC5E14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DC5E14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Normal-poolChar">
    <w:name w:val="Normal-pool Char"/>
    <w:link w:val="Normal-pool"/>
    <w:rsid w:val="00DC5E14"/>
    <w:rPr>
      <w:lang w:eastAsia="en-US"/>
    </w:rPr>
  </w:style>
  <w:style w:type="paragraph" w:styleId="BalloonText">
    <w:name w:val="Balloon Text"/>
    <w:basedOn w:val="Normal"/>
    <w:link w:val="BalloonTextChar"/>
    <w:rsid w:val="00DC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5E14"/>
    <w:rPr>
      <w:rFonts w:ascii="Segoe UI" w:hAnsi="Segoe UI" w:cs="Segoe UI"/>
      <w:sz w:val="18"/>
      <w:szCs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E953D0"/>
    <w:pPr>
      <w:ind w:left="720"/>
      <w:contextualSpacing/>
    </w:p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link w:val="FootnoteText"/>
    <w:uiPriority w:val="99"/>
    <w:rsid w:val="00714F6B"/>
    <w:rPr>
      <w:sz w:val="18"/>
      <w:lang w:val="fr-FR" w:eastAsia="en-US"/>
    </w:rPr>
  </w:style>
  <w:style w:type="paragraph" w:styleId="Title">
    <w:name w:val="Title"/>
    <w:basedOn w:val="Normal"/>
    <w:next w:val="Normal"/>
    <w:link w:val="TitleChar"/>
    <w:qFormat/>
    <w:rsid w:val="00E46A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46AF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E46A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46A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2021-04-13T09:11:01+00:00</Uploaded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08B8C-11F4-4804-BE5B-21582E21E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AD601-5214-4AA2-AD31-06C322093CE7}">
  <ds:schemaRefs>
    <ds:schemaRef ds:uri="http://purl.org/dc/terms/"/>
    <ds:schemaRef ds:uri="d171b53f-1e97-4759-80c4-d294f18acba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a5a030b7-a207-4454-9836-0151be6a4cb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0BFCF7-8AD2-4F0A-8FE8-3E9A0131E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75BC49-BF10-49D1-807E-6A895D50D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7133</Words>
  <Characters>50943</Characters>
  <Application>Microsoft Office Word</Application>
  <DocSecurity>0</DocSecurity>
  <Lines>424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3</cp:revision>
  <cp:lastPrinted>2021-03-29T14:12:00Z</cp:lastPrinted>
  <dcterms:created xsi:type="dcterms:W3CDTF">2021-04-13T09:11:00Z</dcterms:created>
  <dcterms:modified xsi:type="dcterms:W3CDTF">2021-04-30T13:39:00Z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/>
  </property>
  <property fmtid="{D5CDD505-2E9C-101B-9397-08002B2CF9AE}" pid="5" name="GeneratedDate">
    <vt:lpwstr>03/28/2021 16:47:04</vt:lpwstr>
  </property>
  <property fmtid="{D5CDD505-2E9C-101B-9397-08002B2CF9AE}" pid="6" name="OriginalDocID">
    <vt:lpwstr>2f9ab663-6fbb-4eab-99c2-7e609b94e869</vt:lpwstr>
  </property>
</Properties>
</file>