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013EEE">
        <w:trPr>
          <w:cantSplit/>
          <w:trHeight w:val="1079"/>
          <w:jc w:val="right"/>
        </w:trPr>
        <w:tc>
          <w:tcPr>
            <w:tcW w:w="1489" w:type="dxa"/>
          </w:tcPr>
          <w:p w14:paraId="43289B2B" w14:textId="77777777" w:rsidR="00396929" w:rsidRPr="00024C14" w:rsidRDefault="00396929" w:rsidP="00056FD8">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56FD8">
            <w:pPr>
              <w:pStyle w:val="Normal-pool"/>
            </w:pPr>
          </w:p>
        </w:tc>
        <w:tc>
          <w:tcPr>
            <w:tcW w:w="1627"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13EEE">
        <w:trPr>
          <w:cantSplit/>
          <w:trHeight w:val="282"/>
          <w:jc w:val="right"/>
        </w:trPr>
        <w:tc>
          <w:tcPr>
            <w:tcW w:w="1489" w:type="dxa"/>
            <w:tcBorders>
              <w:bottom w:val="single" w:sz="2" w:space="0" w:color="auto"/>
            </w:tcBorders>
          </w:tcPr>
          <w:p w14:paraId="28F581D2" w14:textId="77777777" w:rsidR="00396929" w:rsidRPr="0081483A" w:rsidRDefault="00396929" w:rsidP="00056FD8">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185" w:type="dxa"/>
            <w:gridSpan w:val="2"/>
            <w:tcBorders>
              <w:bottom w:val="single" w:sz="2" w:space="0" w:color="auto"/>
            </w:tcBorders>
          </w:tcPr>
          <w:p w14:paraId="354E7990" w14:textId="5A007BD6" w:rsidR="00396929" w:rsidRPr="005F06C5" w:rsidRDefault="00396929" w:rsidP="00065C7B">
            <w:pPr>
              <w:pStyle w:val="Normal-pool"/>
              <w:rPr>
                <w:sz w:val="24"/>
                <w:szCs w:val="24"/>
              </w:rPr>
            </w:pPr>
            <w:r w:rsidRPr="005F06C5">
              <w:rPr>
                <w:b/>
                <w:sz w:val="24"/>
                <w:szCs w:val="24"/>
              </w:rPr>
              <w:t>IPBES</w:t>
            </w:r>
            <w:r w:rsidRPr="005F06C5">
              <w:t>/</w:t>
            </w:r>
            <w:r w:rsidR="005F06C5" w:rsidRPr="005F06C5">
              <w:t>7</w:t>
            </w:r>
            <w:r w:rsidRPr="005F06C5">
              <w:t>/</w:t>
            </w:r>
            <w:r w:rsidR="00E65D3E">
              <w:t>INF/</w:t>
            </w:r>
            <w:r w:rsidR="004B73C7">
              <w:t>2</w:t>
            </w:r>
          </w:p>
        </w:tc>
      </w:tr>
      <w:tr w:rsidR="00396929" w:rsidRPr="008C00D6" w14:paraId="44558741" w14:textId="77777777" w:rsidTr="00013EEE">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72A38E66" w:rsidR="00396929" w:rsidRPr="00405A92" w:rsidRDefault="00396929" w:rsidP="00471270">
            <w:pPr>
              <w:pStyle w:val="Normal-pool"/>
              <w:spacing w:before="120"/>
            </w:pPr>
            <w:r w:rsidRPr="005F06C5">
              <w:t>Distr.: General</w:t>
            </w:r>
            <w:r w:rsidR="005F06C5">
              <w:t xml:space="preserve"> </w:t>
            </w:r>
            <w:r w:rsidRPr="005F06C5">
              <w:br/>
            </w:r>
            <w:r w:rsidR="00013EEE" w:rsidRPr="00405A92">
              <w:t>2</w:t>
            </w:r>
            <w:r w:rsidR="00264E9C" w:rsidRPr="00405A92">
              <w:t>7</w:t>
            </w:r>
            <w:r w:rsidRPr="00405A92">
              <w:t xml:space="preserve"> </w:t>
            </w:r>
            <w:r w:rsidR="006C2398" w:rsidRPr="00405A92">
              <w:t>March</w:t>
            </w:r>
            <w:r w:rsidR="00D67213" w:rsidRPr="00405A92">
              <w:t xml:space="preserve"> 2019</w:t>
            </w:r>
          </w:p>
          <w:p w14:paraId="09C7780F" w14:textId="079AE242" w:rsidR="00396929" w:rsidRPr="005F06C5" w:rsidRDefault="00396929" w:rsidP="00471270">
            <w:pPr>
              <w:pStyle w:val="Normal-pool"/>
              <w:spacing w:before="120"/>
            </w:pPr>
            <w:r w:rsidRPr="00405A92">
              <w:t>English</w:t>
            </w:r>
            <w:r w:rsidR="003D7365">
              <w:t xml:space="preserve"> only</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663697C" w:rsidR="00A378D4" w:rsidRPr="00E37727" w:rsidRDefault="00D6721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6</w:t>
      </w:r>
      <w:r w:rsidR="00A378D4" w:rsidRPr="00436355">
        <w:rPr>
          <w:rFonts w:ascii="Times New Roman" w:eastAsia="Times New Roman" w:hAnsi="Times New Roman"/>
          <w:sz w:val="20"/>
          <w:szCs w:val="20"/>
          <w:lang w:val="en-GB"/>
        </w:rPr>
        <w:t xml:space="preserve"> of the provisional agenda</w:t>
      </w:r>
      <w:r w:rsidR="00A378D4" w:rsidRPr="00405A92">
        <w:rPr>
          <w:rStyle w:val="FootnoteReference"/>
          <w:vertAlign w:val="baseline"/>
        </w:rPr>
        <w:footnoteReference w:customMarkFollows="1" w:id="1"/>
        <w:t>*</w:t>
      </w:r>
    </w:p>
    <w:p w14:paraId="1D2FEB80" w14:textId="2F826D5D" w:rsidR="00B86535" w:rsidRPr="00B86535" w:rsidRDefault="00294DE4" w:rsidP="00013EEE">
      <w:pPr>
        <w:pStyle w:val="AATitle2"/>
        <w:spacing w:before="60" w:after="0"/>
      </w:pPr>
      <w:r w:rsidRPr="00294DE4">
        <w:t>Global assessment of biodiversity and ecosystem services</w:t>
      </w:r>
    </w:p>
    <w:p w14:paraId="244CC5AE" w14:textId="0A9AA146" w:rsidR="004B73C7" w:rsidRDefault="004B73C7" w:rsidP="004B73C7">
      <w:pPr>
        <w:pStyle w:val="BBTitle"/>
        <w:spacing w:before="240"/>
      </w:pPr>
      <w:bookmarkStart w:id="1" w:name="_Hlk502848768"/>
      <w:r w:rsidRPr="009F7520">
        <w:t xml:space="preserve">Overview of the process followed for the </w:t>
      </w:r>
      <w:r w:rsidRPr="008F0D5D">
        <w:t>production of</w:t>
      </w:r>
      <w:r w:rsidRPr="009F7520">
        <w:t xml:space="preserve"> the </w:t>
      </w:r>
      <w:r w:rsidR="009C5526">
        <w:t>global</w:t>
      </w:r>
      <w:r>
        <w:t xml:space="preserve"> assessment</w:t>
      </w:r>
      <w:r w:rsidRPr="009F7520">
        <w:t xml:space="preserve"> </w:t>
      </w:r>
      <w:r>
        <w:t xml:space="preserve">of </w:t>
      </w:r>
      <w:bookmarkEnd w:id="1"/>
      <w:r w:rsidR="009C5526">
        <w:t>biodiversity and ecosystem services</w:t>
      </w:r>
    </w:p>
    <w:p w14:paraId="30485717" w14:textId="77777777" w:rsidR="004B73C7" w:rsidRDefault="004B73C7" w:rsidP="004B73C7">
      <w:pPr>
        <w:pStyle w:val="CH2"/>
      </w:pPr>
      <w:r>
        <w:tab/>
      </w:r>
      <w:r>
        <w:tab/>
        <w:t xml:space="preserve">Note by the secretariat </w:t>
      </w:r>
    </w:p>
    <w:p w14:paraId="17D0D12E" w14:textId="37083127" w:rsidR="00110AD1" w:rsidRDefault="00110AD1" w:rsidP="00013EEE">
      <w:pPr>
        <w:pStyle w:val="Normalnumber"/>
        <w:numPr>
          <w:ilvl w:val="0"/>
          <w:numId w:val="18"/>
        </w:numPr>
        <w:suppressLineNumbers/>
        <w:tabs>
          <w:tab w:val="clear" w:pos="1247"/>
          <w:tab w:val="clear" w:pos="1814"/>
          <w:tab w:val="clear" w:pos="2381"/>
          <w:tab w:val="clear" w:pos="2948"/>
          <w:tab w:val="clear" w:pos="3515"/>
          <w:tab w:val="clear" w:pos="4082"/>
          <w:tab w:val="left" w:pos="624"/>
        </w:tabs>
      </w:pPr>
      <w:r>
        <w:t>In</w:t>
      </w:r>
      <w:r w:rsidRPr="002A4A2D">
        <w:t xml:space="preserve"> </w:t>
      </w:r>
      <w:r>
        <w:t>section III</w:t>
      </w:r>
      <w:r w:rsidRPr="002A4A2D">
        <w:t xml:space="preserve"> </w:t>
      </w:r>
      <w:r>
        <w:t xml:space="preserve">of </w:t>
      </w:r>
      <w:r w:rsidR="00FD46CA">
        <w:t xml:space="preserve">its </w:t>
      </w:r>
      <w:r>
        <w:t>decision IPBES-4</w:t>
      </w:r>
      <w:r w:rsidRPr="002A4A2D">
        <w:t>/1</w:t>
      </w:r>
      <w:r>
        <w:t>,</w:t>
      </w:r>
      <w:r w:rsidRPr="002A4A2D">
        <w:t xml:space="preserve"> the Plenary of the Intergovernmental </w:t>
      </w:r>
      <w:r>
        <w:br/>
      </w:r>
      <w:r w:rsidRPr="002A4A2D">
        <w:t>Science-Policy Platform on Biodiversity and Ecosystem Services</w:t>
      </w:r>
      <w:r w:rsidR="000E5752">
        <w:t xml:space="preserve"> (IPBES)</w:t>
      </w:r>
      <w:r w:rsidRPr="002A4A2D">
        <w:t xml:space="preserve"> approved the undertaking of </w:t>
      </w:r>
      <w:r>
        <w:t>a</w:t>
      </w:r>
      <w:r w:rsidRPr="002A4A2D">
        <w:t xml:space="preserve"> </w:t>
      </w:r>
      <w:r>
        <w:t>global assessment of biodiversity and ecosystem services</w:t>
      </w:r>
      <w:r w:rsidRPr="002A4A2D">
        <w:t xml:space="preserve"> in accordance with the procedures for the preparation of the </w:t>
      </w:r>
      <w:r w:rsidR="006F34A9">
        <w:t xml:space="preserve">IPBES </w:t>
      </w:r>
      <w:r w:rsidRPr="002A4A2D">
        <w:t>deliverables</w:t>
      </w:r>
      <w:r w:rsidR="000A5B1F">
        <w:t>,</w:t>
      </w:r>
      <w:r w:rsidRPr="002A4A2D">
        <w:t xml:space="preserve"> </w:t>
      </w:r>
      <w:r w:rsidR="00A00DDD">
        <w:t xml:space="preserve">as </w:t>
      </w:r>
      <w:r w:rsidRPr="002A4A2D">
        <w:t xml:space="preserve">set out in annex I to decision IPBES-3/3, </w:t>
      </w:r>
      <w:r w:rsidR="000A5B1F">
        <w:t>and outlined i</w:t>
      </w:r>
      <w:r w:rsidRPr="002A4A2D">
        <w:t xml:space="preserve">n the scoping report for </w:t>
      </w:r>
      <w:r w:rsidR="000A5B1F">
        <w:t xml:space="preserve">a global </w:t>
      </w:r>
      <w:r>
        <w:t xml:space="preserve">assessment </w:t>
      </w:r>
      <w:r w:rsidR="000A5B1F">
        <w:t>of biodiversity and ecosystem services</w:t>
      </w:r>
      <w:r w:rsidR="00630358">
        <w:t>,</w:t>
      </w:r>
      <w:r w:rsidR="000A5B1F">
        <w:t xml:space="preserve"> </w:t>
      </w:r>
      <w:r>
        <w:t xml:space="preserve">set out in annex </w:t>
      </w:r>
      <w:r w:rsidRPr="002A4A2D">
        <w:t>I to dec</w:t>
      </w:r>
      <w:r>
        <w:t>ision IPBES-4</w:t>
      </w:r>
      <w:r w:rsidRPr="002A4A2D">
        <w:t xml:space="preserve">/1. </w:t>
      </w:r>
    </w:p>
    <w:p w14:paraId="2EF9C0F4" w14:textId="32EA4AD9" w:rsidR="00110AD1" w:rsidRDefault="00110AD1" w:rsidP="00013EEE">
      <w:pPr>
        <w:pStyle w:val="Default"/>
        <w:numPr>
          <w:ilvl w:val="0"/>
          <w:numId w:val="18"/>
        </w:numPr>
        <w:spacing w:after="120"/>
        <w:rPr>
          <w:sz w:val="20"/>
          <w:szCs w:val="20"/>
        </w:rPr>
      </w:pPr>
      <w:r>
        <w:rPr>
          <w:iCs/>
          <w:sz w:val="20"/>
          <w:szCs w:val="20"/>
        </w:rPr>
        <w:t xml:space="preserve">In section IV of </w:t>
      </w:r>
      <w:r w:rsidR="00FD46CA">
        <w:rPr>
          <w:iCs/>
          <w:sz w:val="20"/>
          <w:szCs w:val="20"/>
        </w:rPr>
        <w:t xml:space="preserve">its </w:t>
      </w:r>
      <w:r>
        <w:rPr>
          <w:iCs/>
          <w:sz w:val="20"/>
          <w:szCs w:val="20"/>
        </w:rPr>
        <w:t>decision IPBES-6/1, the Plenary requested</w:t>
      </w:r>
      <w:r>
        <w:rPr>
          <w:i/>
          <w:iCs/>
          <w:sz w:val="20"/>
          <w:szCs w:val="20"/>
        </w:rPr>
        <w:t xml:space="preserve"> </w:t>
      </w:r>
      <w:r>
        <w:rPr>
          <w:sz w:val="20"/>
          <w:szCs w:val="20"/>
        </w:rPr>
        <w:t xml:space="preserve">the Multidisciplinary Expert Panel and the Bureau to facilitate discussions </w:t>
      </w:r>
      <w:r w:rsidRPr="0037008D">
        <w:rPr>
          <w:sz w:val="20"/>
          <w:szCs w:val="20"/>
        </w:rPr>
        <w:t xml:space="preserve">among the co-chairs of the global </w:t>
      </w:r>
      <w:r w:rsidR="0045217F" w:rsidRPr="0037008D">
        <w:rPr>
          <w:sz w:val="20"/>
          <w:szCs w:val="20"/>
        </w:rPr>
        <w:t xml:space="preserve">and  </w:t>
      </w:r>
      <w:r w:rsidRPr="0037008D">
        <w:rPr>
          <w:sz w:val="20"/>
          <w:szCs w:val="20"/>
        </w:rPr>
        <w:t>regional assessments of biodiversity and ecosystem services and the</w:t>
      </w:r>
      <w:r>
        <w:rPr>
          <w:sz w:val="20"/>
          <w:szCs w:val="20"/>
        </w:rPr>
        <w:t xml:space="preserve"> assessment of land degradation and restoration, Governments and other stakeholders on the lessons learned from the ways in which the concept of “nature’s contributions to people” ha</w:t>
      </w:r>
      <w:r w:rsidR="0045217F">
        <w:rPr>
          <w:sz w:val="20"/>
          <w:szCs w:val="20"/>
        </w:rPr>
        <w:t>d</w:t>
      </w:r>
      <w:r>
        <w:rPr>
          <w:sz w:val="20"/>
          <w:szCs w:val="20"/>
        </w:rPr>
        <w:t xml:space="preserve"> been introduced and used in the regional assessments and in the assessment of land degradation and restoration and how it ha</w:t>
      </w:r>
      <w:r w:rsidR="0045217F">
        <w:rPr>
          <w:sz w:val="20"/>
          <w:szCs w:val="20"/>
        </w:rPr>
        <w:t>d</w:t>
      </w:r>
      <w:r>
        <w:rPr>
          <w:sz w:val="20"/>
          <w:szCs w:val="20"/>
        </w:rPr>
        <w:t xml:space="preserve"> been received, in order to assist Governments and other stakeholders in their review of the second draft of the global assessment, noting that the concept </w:t>
      </w:r>
      <w:r w:rsidR="000A5B1F">
        <w:rPr>
          <w:sz w:val="20"/>
          <w:szCs w:val="20"/>
        </w:rPr>
        <w:t>wa</w:t>
      </w:r>
      <w:r>
        <w:rPr>
          <w:sz w:val="20"/>
          <w:szCs w:val="20"/>
        </w:rPr>
        <w:t xml:space="preserve">s an evolving one. </w:t>
      </w:r>
    </w:p>
    <w:p w14:paraId="56CED78C" w14:textId="5BB3AB9E" w:rsidR="00110AD1" w:rsidRPr="00110AD1" w:rsidRDefault="00110AD1" w:rsidP="00013EEE">
      <w:pPr>
        <w:pStyle w:val="Default"/>
        <w:numPr>
          <w:ilvl w:val="0"/>
          <w:numId w:val="18"/>
        </w:numPr>
        <w:spacing w:after="120"/>
        <w:rPr>
          <w:sz w:val="20"/>
          <w:szCs w:val="20"/>
        </w:rPr>
      </w:pPr>
      <w:r w:rsidRPr="00110AD1">
        <w:rPr>
          <w:iCs/>
          <w:sz w:val="20"/>
          <w:szCs w:val="20"/>
        </w:rPr>
        <w:t xml:space="preserve">In </w:t>
      </w:r>
      <w:r w:rsidR="000A5B1F">
        <w:rPr>
          <w:iCs/>
          <w:sz w:val="20"/>
          <w:szCs w:val="20"/>
        </w:rPr>
        <w:t xml:space="preserve">section IV of </w:t>
      </w:r>
      <w:r w:rsidRPr="00110AD1">
        <w:rPr>
          <w:iCs/>
          <w:sz w:val="20"/>
          <w:szCs w:val="20"/>
        </w:rPr>
        <w:t>the same decision, the Plenary requested the</w:t>
      </w:r>
      <w:r w:rsidRPr="00110AD1">
        <w:rPr>
          <w:i/>
          <w:iCs/>
          <w:sz w:val="20"/>
          <w:szCs w:val="20"/>
        </w:rPr>
        <w:t xml:space="preserve"> </w:t>
      </w:r>
      <w:r w:rsidRPr="00110AD1">
        <w:rPr>
          <w:sz w:val="20"/>
          <w:szCs w:val="20"/>
        </w:rPr>
        <w:t xml:space="preserve">Bureau and the Multidisciplinary Expert Panel, working with the co-chairs and coordinating lead authors of the global assessment, to ensure that the results of the completed regional, thematic and methodological assessments, as well as any other relevant assessments undertaken by other international bodies, </w:t>
      </w:r>
      <w:r w:rsidR="000A5B1F">
        <w:rPr>
          <w:sz w:val="20"/>
          <w:szCs w:val="20"/>
        </w:rPr>
        <w:t>we</w:t>
      </w:r>
      <w:r w:rsidRPr="00110AD1">
        <w:rPr>
          <w:sz w:val="20"/>
          <w:szCs w:val="20"/>
        </w:rPr>
        <w:t xml:space="preserve">re taken into account in the preparation and finalization of the global assessment. The Plenary </w:t>
      </w:r>
      <w:r>
        <w:rPr>
          <w:sz w:val="20"/>
          <w:szCs w:val="20"/>
        </w:rPr>
        <w:t xml:space="preserve">requested </w:t>
      </w:r>
      <w:r w:rsidRPr="00110AD1">
        <w:rPr>
          <w:sz w:val="20"/>
          <w:szCs w:val="20"/>
        </w:rPr>
        <w:t>the co-chairs of the global assessment to work with the Multidisciplinary Expert Panel and the Bureau to ensure that the policy questions set out in the scoping report of the assessment</w:t>
      </w:r>
      <w:r w:rsidRPr="00110AD1">
        <w:rPr>
          <w:sz w:val="13"/>
          <w:szCs w:val="13"/>
        </w:rPr>
        <w:t xml:space="preserve"> </w:t>
      </w:r>
      <w:r w:rsidR="000A5B1F">
        <w:rPr>
          <w:sz w:val="20"/>
          <w:szCs w:val="20"/>
        </w:rPr>
        <w:t>we</w:t>
      </w:r>
      <w:r w:rsidRPr="00110AD1">
        <w:rPr>
          <w:sz w:val="20"/>
          <w:szCs w:val="20"/>
        </w:rPr>
        <w:t xml:space="preserve">re addressed in the </w:t>
      </w:r>
      <w:r>
        <w:rPr>
          <w:sz w:val="20"/>
          <w:szCs w:val="20"/>
        </w:rPr>
        <w:t>draft summary for policymakers.</w:t>
      </w:r>
    </w:p>
    <w:p w14:paraId="2A13E54C" w14:textId="1CC38DDB" w:rsidR="00110AD1" w:rsidRPr="008203C2" w:rsidRDefault="00E03395" w:rsidP="00013EEE">
      <w:pPr>
        <w:pStyle w:val="Normalnumber"/>
        <w:numPr>
          <w:ilvl w:val="0"/>
          <w:numId w:val="18"/>
        </w:numPr>
        <w:suppressLineNumbers/>
        <w:tabs>
          <w:tab w:val="clear" w:pos="1247"/>
          <w:tab w:val="clear" w:pos="1814"/>
          <w:tab w:val="clear" w:pos="2381"/>
          <w:tab w:val="clear" w:pos="2948"/>
          <w:tab w:val="clear" w:pos="3515"/>
          <w:tab w:val="clear" w:pos="4082"/>
          <w:tab w:val="left" w:pos="624"/>
        </w:tabs>
      </w:pPr>
      <w:r>
        <w:t>At its seventh</w:t>
      </w:r>
      <w:r w:rsidRPr="002B3CB9">
        <w:t xml:space="preserve"> session</w:t>
      </w:r>
      <w:r>
        <w:t xml:space="preserve">, </w:t>
      </w:r>
      <w:r w:rsidRPr="0037008D">
        <w:t>t</w:t>
      </w:r>
      <w:r w:rsidR="00110AD1" w:rsidRPr="0037008D">
        <w:t xml:space="preserve">he Plenary </w:t>
      </w:r>
      <w:r w:rsidR="00110AD1">
        <w:t>will be invited to approve the summary for policymakers</w:t>
      </w:r>
      <w:r w:rsidR="0098162F">
        <w:t xml:space="preserve"> set out in document </w:t>
      </w:r>
      <w:r w:rsidR="00686D2D">
        <w:t>IPBES/7/3</w:t>
      </w:r>
      <w:r w:rsidR="00110AD1">
        <w:t xml:space="preserve">. It will be also invited to </w:t>
      </w:r>
      <w:r w:rsidR="00110AD1" w:rsidRPr="00AA0CCA">
        <w:t>accept</w:t>
      </w:r>
      <w:r w:rsidR="00110AD1">
        <w:t xml:space="preserve"> the chapters of th</w:t>
      </w:r>
      <w:r>
        <w:t>e global</w:t>
      </w:r>
      <w:r w:rsidR="00110AD1">
        <w:t xml:space="preserve"> assessment</w:t>
      </w:r>
      <w:r w:rsidR="00686D2D">
        <w:t xml:space="preserve"> </w:t>
      </w:r>
      <w:r>
        <w:t xml:space="preserve">on biodiversity and ecosystem services </w:t>
      </w:r>
      <w:r w:rsidR="0098162F">
        <w:t xml:space="preserve">set out in document </w:t>
      </w:r>
      <w:r w:rsidR="00686D2D">
        <w:t>IPBES/7/INF/1</w:t>
      </w:r>
      <w:r w:rsidR="00110AD1">
        <w:t xml:space="preserve">, which will be revised </w:t>
      </w:r>
      <w:r w:rsidR="00A00DDD">
        <w:t>after</w:t>
      </w:r>
      <w:r w:rsidR="00110AD1">
        <w:t xml:space="preserve"> the seventh session to </w:t>
      </w:r>
      <w:r w:rsidR="00110AD1" w:rsidRPr="00175D39">
        <w:t>ensure consistency with the summary for policymakers as approved</w:t>
      </w:r>
      <w:r w:rsidR="00110AD1">
        <w:t>.</w:t>
      </w:r>
    </w:p>
    <w:p w14:paraId="37C5F06B" w14:textId="49A1D698" w:rsidR="004B73C7" w:rsidRPr="004C49B2" w:rsidRDefault="004B73C7" w:rsidP="00013EEE">
      <w:pPr>
        <w:pStyle w:val="Normalnumber"/>
        <w:numPr>
          <w:ilvl w:val="0"/>
          <w:numId w:val="18"/>
        </w:numPr>
        <w:suppressLineNumbers/>
        <w:tabs>
          <w:tab w:val="clear" w:pos="567"/>
          <w:tab w:val="clear" w:pos="1247"/>
          <w:tab w:val="clear" w:pos="1814"/>
          <w:tab w:val="clear" w:pos="2381"/>
          <w:tab w:val="clear" w:pos="2948"/>
          <w:tab w:val="clear" w:pos="3515"/>
          <w:tab w:val="clear" w:pos="4082"/>
          <w:tab w:val="left" w:pos="624"/>
        </w:tabs>
      </w:pPr>
      <w:r w:rsidRPr="004C49B2">
        <w:t xml:space="preserve">The annex to the present </w:t>
      </w:r>
      <w:r>
        <w:t xml:space="preserve">note, which is </w:t>
      </w:r>
      <w:r w:rsidRPr="004C49B2">
        <w:t>presented without formal editing</w:t>
      </w:r>
      <w:r>
        <w:t>, sets out</w:t>
      </w:r>
      <w:r w:rsidRPr="004C49B2">
        <w:t xml:space="preserve"> a report on </w:t>
      </w:r>
      <w:r>
        <w:t>the process</w:t>
      </w:r>
      <w:r w:rsidRPr="009F7520">
        <w:t xml:space="preserve"> followed for the production of the</w:t>
      </w:r>
      <w:r>
        <w:t xml:space="preserve"> </w:t>
      </w:r>
      <w:r w:rsidR="00110AD1">
        <w:t>global assessment of biodiversity and ecosystem services</w:t>
      </w:r>
      <w:r>
        <w:t>.</w:t>
      </w:r>
    </w:p>
    <w:p w14:paraId="047A217B" w14:textId="77777777" w:rsidR="00013EEE" w:rsidRPr="00405A92" w:rsidRDefault="00013EEE" w:rsidP="00405A92">
      <w:pPr>
        <w:pStyle w:val="Normal-pool"/>
      </w:pPr>
      <w:r w:rsidRPr="000A0CA7">
        <w:br w:type="page"/>
      </w:r>
    </w:p>
    <w:p w14:paraId="1FEC9733" w14:textId="58B3CADB" w:rsidR="004B73C7" w:rsidRPr="00013EEE" w:rsidRDefault="004B73C7" w:rsidP="00013EEE">
      <w:pPr>
        <w:pStyle w:val="ZZAnxheader"/>
      </w:pPr>
      <w:r w:rsidRPr="00013EEE">
        <w:lastRenderedPageBreak/>
        <w:t>Annex</w:t>
      </w:r>
    </w:p>
    <w:p w14:paraId="52714775" w14:textId="427A97F0" w:rsidR="004B73C7" w:rsidRPr="00C77681" w:rsidRDefault="004B73C7" w:rsidP="004B73C7">
      <w:pPr>
        <w:pStyle w:val="ZZAnxtitle"/>
      </w:pPr>
      <w:r w:rsidRPr="009F7520">
        <w:t xml:space="preserve">Overview of the process followed for the production of the </w:t>
      </w:r>
      <w:r w:rsidR="00955984">
        <w:t xml:space="preserve">global </w:t>
      </w:r>
      <w:r>
        <w:t xml:space="preserve">assessment of </w:t>
      </w:r>
      <w:r w:rsidR="00955984">
        <w:t>biodiversity and ecosystem services</w:t>
      </w:r>
    </w:p>
    <w:p w14:paraId="5ECF3BBA" w14:textId="77777777" w:rsidR="004B73C7" w:rsidRPr="007F3D37" w:rsidRDefault="004B73C7" w:rsidP="004B73C7">
      <w:pPr>
        <w:pStyle w:val="CH1"/>
      </w:pPr>
      <w:r>
        <w:tab/>
        <w:t>I.</w:t>
      </w:r>
      <w:r>
        <w:tab/>
      </w:r>
      <w:r w:rsidRPr="00C77681">
        <w:t>Context</w:t>
      </w:r>
    </w:p>
    <w:p w14:paraId="421FE58D" w14:textId="5B35B9E8" w:rsidR="000C7826" w:rsidRDefault="004B73C7" w:rsidP="006C44EE">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306AEF">
        <w:t xml:space="preserve">The overall scope of </w:t>
      </w:r>
      <w:r w:rsidR="0074693E" w:rsidRPr="00306AEF">
        <w:t>the global</w:t>
      </w:r>
      <w:r w:rsidRPr="00306AEF">
        <w:t xml:space="preserve"> assessment is to </w:t>
      </w:r>
      <w:r w:rsidR="000C7826" w:rsidRPr="00306AEF">
        <w:t xml:space="preserve">critically assess the state of knowledge on past, present and possible future multi-scale interactions between people and nature. </w:t>
      </w:r>
      <w:r w:rsidR="00706C68" w:rsidRPr="00306AEF">
        <w:t>The assessment</w:t>
      </w:r>
      <w:r w:rsidR="000C7826" w:rsidRPr="00306AEF">
        <w:t xml:space="preserve"> examine</w:t>
      </w:r>
      <w:r w:rsidR="00706C68" w:rsidRPr="00306AEF">
        <w:t>s</w:t>
      </w:r>
      <w:r w:rsidR="000C7826" w:rsidRPr="00306AEF">
        <w:t xml:space="preserve"> the status, trends (past and future), drivers, values and response options regarding nature (including terrestrial, freshwater, coastal and marine biodiversity, ecosystem structure and functioning), nature’s </w:t>
      </w:r>
      <w:r w:rsidR="0002620C" w:rsidRPr="00306AEF">
        <w:t>contributions</w:t>
      </w:r>
      <w:r w:rsidR="000C7826" w:rsidRPr="00306AEF">
        <w:t xml:space="preserve"> to people (including ecosystem goods and services), and their interlinkages. </w:t>
      </w:r>
      <w:r w:rsidR="0005227D" w:rsidRPr="00306AEF">
        <w:t>The assessment</w:t>
      </w:r>
      <w:r w:rsidR="000C7826" w:rsidRPr="00306AEF">
        <w:t xml:space="preserve"> also highlight</w:t>
      </w:r>
      <w:r w:rsidR="0005227D" w:rsidRPr="00306AEF">
        <w:t>s</w:t>
      </w:r>
      <w:r w:rsidR="000C7826" w:rsidRPr="00306AEF">
        <w:t xml:space="preserve"> thresholds, feedback, resilience, opportunities, synergies and trade-offs between different responses. The assessment furthermore analyse</w:t>
      </w:r>
      <w:r w:rsidR="0005227D" w:rsidRPr="00306AEF">
        <w:t>s</w:t>
      </w:r>
      <w:r w:rsidR="000C7826" w:rsidRPr="00306AEF">
        <w:t xml:space="preserve"> the contributions of biodiversity, ecosystems and their benefits to people, long-term well-being and sustainable development as expressed in the Sustainable Development Goals, recognizing the synergies and </w:t>
      </w:r>
      <w:r w:rsidR="00313C3E">
        <w:br/>
      </w:r>
      <w:r w:rsidR="000C7826" w:rsidRPr="00306AEF">
        <w:t xml:space="preserve">trade-offs associated with meeting multiple goals, and the coupling between the social, economic and environmental dimensions of sustainable development. This analysis </w:t>
      </w:r>
      <w:r w:rsidR="00F91E61" w:rsidRPr="00306AEF">
        <w:t>is</w:t>
      </w:r>
      <w:r w:rsidR="000C7826" w:rsidRPr="00306AEF">
        <w:t xml:space="preserve"> undertaken in the context of the Strategic Plan for Biodiversity 2011–2020, its 2050 Vision and the Aichi Biodiversity Targets, and the national biodiversity strategies and action plans. </w:t>
      </w:r>
    </w:p>
    <w:p w14:paraId="61988BC6" w14:textId="737AB6AA" w:rsidR="00975BDF" w:rsidRDefault="00BC6512" w:rsidP="004B7CD4">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306AEF">
        <w:t>The overall objective of the global assessment of biodiversity and ecosystem services is to strengthen the</w:t>
      </w:r>
      <w:r w:rsidRPr="000C7826">
        <w:t xml:space="preserve"> science-policy interface on biodiversity, ecosystem functioning and ecosystem goods and services at a range of spatial scales from the local to global levels by providing the knowledge needed for informed decision-making by Governments, the private sector and civil society</w:t>
      </w:r>
      <w:r w:rsidR="00AD3A21">
        <w:t xml:space="preserve">. The </w:t>
      </w:r>
      <w:r w:rsidR="00663131">
        <w:t>glo</w:t>
      </w:r>
      <w:r w:rsidR="00975BDF" w:rsidRPr="00975BDF">
        <w:t>bal assessment provide</w:t>
      </w:r>
      <w:r w:rsidR="00663131">
        <w:t>s</w:t>
      </w:r>
      <w:r w:rsidR="00975BDF" w:rsidRPr="00975BDF">
        <w:t xml:space="preserve"> users (Governments, multilateral organizations, the private sector and civil society</w:t>
      </w:r>
      <w:r w:rsidR="00663131">
        <w:t xml:space="preserve">, </w:t>
      </w:r>
      <w:r w:rsidR="00975BDF" w:rsidRPr="00975BDF">
        <w:t xml:space="preserve">including indigenous peoples and local communities and non-governmental organizations) with a relevant, credible, legitimate, authoritative, evidence-based, holistic and comprehensive analysis based on the current state of scientific and other knowledge systems. </w:t>
      </w:r>
    </w:p>
    <w:p w14:paraId="45BE9C88" w14:textId="42E2FCC8" w:rsidR="00424081" w:rsidRPr="00975BDF" w:rsidRDefault="00424081" w:rsidP="004B7CD4">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t xml:space="preserve">The global assessment was carried out by a team of approximately </w:t>
      </w:r>
      <w:r w:rsidR="008F66F2" w:rsidRPr="008F66F2">
        <w:t>1</w:t>
      </w:r>
      <w:r w:rsidR="00516BB6">
        <w:t>45</w:t>
      </w:r>
      <w:r>
        <w:t xml:space="preserve"> </w:t>
      </w:r>
      <w:r w:rsidR="008E31EA">
        <w:t xml:space="preserve">interdisciplinary experts over a period of </w:t>
      </w:r>
      <w:r w:rsidR="0098162F">
        <w:t>approximately</w:t>
      </w:r>
      <w:r w:rsidR="00EE46C7">
        <w:t xml:space="preserve"> </w:t>
      </w:r>
      <w:r w:rsidR="008E31EA">
        <w:t xml:space="preserve">three years between 2016 and 2019. </w:t>
      </w:r>
      <w:r w:rsidR="008E31EA" w:rsidRPr="008E31EA">
        <w:t xml:space="preserve">The </w:t>
      </w:r>
      <w:r w:rsidR="0098162F">
        <w:t>assessment report</w:t>
      </w:r>
      <w:r w:rsidR="008E31EA" w:rsidRPr="008E31EA">
        <w:t xml:space="preserve"> is composed of the summary for policymakers together with the six chapters and </w:t>
      </w:r>
      <w:r w:rsidR="0098162F">
        <w:t>some front and back matters, which will be added following the seventh session of the Plenary</w:t>
      </w:r>
      <w:r w:rsidR="008E31EA" w:rsidRPr="008E31EA">
        <w:t>.</w:t>
      </w:r>
      <w:r w:rsidR="0098162F">
        <w:t xml:space="preserve"> The assessment report will be laid out and posted on the IPBES web site after this seventh session.</w:t>
      </w:r>
    </w:p>
    <w:p w14:paraId="72584263" w14:textId="77777777" w:rsidR="004B73C7" w:rsidRPr="004D402B" w:rsidRDefault="004B73C7" w:rsidP="004B73C7">
      <w:pPr>
        <w:pStyle w:val="CH1"/>
      </w:pPr>
      <w:r>
        <w:tab/>
        <w:t>II.</w:t>
      </w:r>
      <w:r>
        <w:tab/>
      </w:r>
      <w:r w:rsidRPr="004D402B">
        <w:t>The assessment team</w:t>
      </w:r>
    </w:p>
    <w:p w14:paraId="3EF7BD83" w14:textId="77777777" w:rsidR="004B73C7" w:rsidRPr="004D402B" w:rsidRDefault="004B73C7" w:rsidP="004B73C7">
      <w:pPr>
        <w:pStyle w:val="CH2"/>
      </w:pPr>
      <w:r w:rsidRPr="004D402B">
        <w:tab/>
        <w:t>A.</w:t>
      </w:r>
      <w:r w:rsidRPr="004D402B">
        <w:tab/>
        <w:t>Dedicated Multidisciplinary Expert Panel</w:t>
      </w:r>
      <w:r>
        <w:t xml:space="preserve"> </w:t>
      </w:r>
      <w:r w:rsidRPr="004D402B">
        <w:t>and Bureau members</w:t>
      </w:r>
    </w:p>
    <w:p w14:paraId="412E13A5" w14:textId="1C80C60F" w:rsidR="004B73C7" w:rsidRPr="00140102"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4C49B2">
        <w:t xml:space="preserve">In </w:t>
      </w:r>
      <w:r w:rsidR="009627EB">
        <w:t>line</w:t>
      </w:r>
      <w:r w:rsidRPr="004C49B2">
        <w:t xml:space="preserve"> with the procedure</w:t>
      </w:r>
      <w:r w:rsidR="009627EB">
        <w:t>s</w:t>
      </w:r>
      <w:r w:rsidRPr="004C49B2">
        <w:t xml:space="preserve"> for </w:t>
      </w:r>
      <w:r>
        <w:t xml:space="preserve">the preparation of </w:t>
      </w:r>
      <w:r w:rsidR="006F34A9">
        <w:t>IPBES</w:t>
      </w:r>
      <w:r>
        <w:t xml:space="preserve"> deliverables (d</w:t>
      </w:r>
      <w:r w:rsidRPr="005814D3">
        <w:t>ecision IPBES-</w:t>
      </w:r>
      <w:r>
        <w:t>3</w:t>
      </w:r>
      <w:r w:rsidRPr="005814D3">
        <w:t>/3, annex</w:t>
      </w:r>
      <w:r>
        <w:t xml:space="preserve"> I)</w:t>
      </w:r>
      <w:r w:rsidRPr="004C49B2">
        <w:t xml:space="preserve">, </w:t>
      </w:r>
      <w:r>
        <w:t xml:space="preserve">the following dedicated </w:t>
      </w:r>
      <w:r w:rsidRPr="004C49B2">
        <w:t xml:space="preserve">members of the </w:t>
      </w:r>
      <w:r w:rsidRPr="005814D3">
        <w:t>Mul</w:t>
      </w:r>
      <w:r w:rsidRPr="004C49B2">
        <w:t>tidisciplinary Expert Panel</w:t>
      </w:r>
      <w:r w:rsidR="00B94970">
        <w:t xml:space="preserve"> </w:t>
      </w:r>
      <w:r w:rsidRPr="004C49B2">
        <w:t>and Bureau overs</w:t>
      </w:r>
      <w:r>
        <w:t>aw</w:t>
      </w:r>
      <w:r w:rsidRPr="004C49B2">
        <w:t xml:space="preserve"> the </w:t>
      </w:r>
      <w:r>
        <w:t xml:space="preserve">production of the assessment </w:t>
      </w:r>
      <w:r w:rsidRPr="004C49B2">
        <w:t>report</w:t>
      </w:r>
      <w:r w:rsidR="009627EB">
        <w:t xml:space="preserve"> on behalf of the </w:t>
      </w:r>
      <w:r w:rsidR="00B94970">
        <w:t>Panel</w:t>
      </w:r>
      <w:r w:rsidR="009627EB">
        <w:t xml:space="preserve"> and the Bureau</w:t>
      </w:r>
      <w:r>
        <w:t xml:space="preserve">: </w:t>
      </w:r>
    </w:p>
    <w:p w14:paraId="0F471093" w14:textId="77777777" w:rsidR="003D04A0" w:rsidRDefault="003D04A0" w:rsidP="00B94970">
      <w:pPr>
        <w:pStyle w:val="NormalNonumber"/>
        <w:tabs>
          <w:tab w:val="clear" w:pos="1814"/>
          <w:tab w:val="left" w:pos="624"/>
        </w:tabs>
        <w:spacing w:after="60"/>
        <w:ind w:left="2491" w:hanging="864"/>
      </w:pPr>
      <w:r w:rsidRPr="00B3312C">
        <w:rPr>
          <w:b/>
        </w:rPr>
        <w:t>Bureau</w:t>
      </w:r>
      <w:r>
        <w:t xml:space="preserve">: </w:t>
      </w:r>
    </w:p>
    <w:p w14:paraId="47C5BC91" w14:textId="637E8964" w:rsidR="005F1B9F" w:rsidRPr="00CE1F54" w:rsidRDefault="005F1B9F" w:rsidP="006C2398">
      <w:pPr>
        <w:pStyle w:val="NormalNonumber"/>
        <w:tabs>
          <w:tab w:val="left" w:pos="624"/>
        </w:tabs>
        <w:ind w:left="2491" w:hanging="619"/>
        <w:contextualSpacing/>
      </w:pPr>
      <w:r w:rsidRPr="00CE1F54">
        <w:t>Robert Watson</w:t>
      </w:r>
      <w:r w:rsidR="003D04A0">
        <w:t xml:space="preserve"> (Chair IPBES)</w:t>
      </w:r>
      <w:r w:rsidRPr="00CE1F54">
        <w:t xml:space="preserve"> </w:t>
      </w:r>
    </w:p>
    <w:p w14:paraId="658ABAE0" w14:textId="0869ABF4" w:rsidR="005F1B9F" w:rsidRPr="00CE1F54" w:rsidRDefault="005F1B9F" w:rsidP="006C2398">
      <w:pPr>
        <w:pStyle w:val="NormalNonumber"/>
        <w:tabs>
          <w:tab w:val="left" w:pos="624"/>
        </w:tabs>
        <w:ind w:left="2491" w:hanging="619"/>
        <w:contextualSpacing/>
      </w:pPr>
      <w:r w:rsidRPr="00CE1F54">
        <w:t xml:space="preserve">Ivar Baste </w:t>
      </w:r>
    </w:p>
    <w:p w14:paraId="34D7210E" w14:textId="58F67553" w:rsidR="005F1B9F" w:rsidRDefault="005F1B9F" w:rsidP="006C2398">
      <w:pPr>
        <w:pStyle w:val="NormalNonumber"/>
        <w:tabs>
          <w:tab w:val="left" w:pos="624"/>
        </w:tabs>
        <w:ind w:left="2491" w:hanging="619"/>
        <w:contextualSpacing/>
      </w:pPr>
      <w:r w:rsidRPr="00CE1F54">
        <w:t xml:space="preserve">Asghar </w:t>
      </w:r>
      <w:proofErr w:type="spellStart"/>
      <w:r w:rsidRPr="00CE1F54">
        <w:t>Mohammadi</w:t>
      </w:r>
      <w:proofErr w:type="spellEnd"/>
      <w:r w:rsidRPr="00CE1F54">
        <w:t xml:space="preserve"> Fazel </w:t>
      </w:r>
    </w:p>
    <w:p w14:paraId="2D8BE6A2" w14:textId="4CAE08DC" w:rsidR="00805646" w:rsidRDefault="00805646" w:rsidP="006C2398">
      <w:pPr>
        <w:pStyle w:val="NormalNonumber"/>
        <w:tabs>
          <w:tab w:val="left" w:pos="624"/>
        </w:tabs>
        <w:ind w:left="2491" w:hanging="619"/>
        <w:rPr>
          <w:lang w:val="en-US"/>
        </w:rPr>
      </w:pPr>
      <w:r w:rsidRPr="006C2398">
        <w:rPr>
          <w:lang w:val="en-US"/>
        </w:rPr>
        <w:t xml:space="preserve">Ana Maria Hernandez </w:t>
      </w:r>
      <w:proofErr w:type="spellStart"/>
      <w:r w:rsidRPr="006C2398">
        <w:rPr>
          <w:lang w:val="en-US"/>
        </w:rPr>
        <w:t>Salgar</w:t>
      </w:r>
      <w:proofErr w:type="spellEnd"/>
      <w:r w:rsidRPr="006C2398">
        <w:rPr>
          <w:lang w:val="en-US"/>
        </w:rPr>
        <w:t xml:space="preserve"> (</w:t>
      </w:r>
      <w:r w:rsidR="006C2398" w:rsidRPr="006C2398">
        <w:rPr>
          <w:lang w:val="en-US"/>
        </w:rPr>
        <w:t>since the sixth session of the Plenary</w:t>
      </w:r>
      <w:r w:rsidRPr="006C2398">
        <w:rPr>
          <w:lang w:val="en-US"/>
        </w:rPr>
        <w:t>)</w:t>
      </w:r>
    </w:p>
    <w:p w14:paraId="77B290DE" w14:textId="6C8D1277" w:rsidR="003D04A0" w:rsidRPr="00805646" w:rsidRDefault="003D04A0" w:rsidP="00B94970">
      <w:pPr>
        <w:pStyle w:val="NormalNonumber"/>
        <w:tabs>
          <w:tab w:val="clear" w:pos="1814"/>
          <w:tab w:val="left" w:pos="624"/>
        </w:tabs>
        <w:spacing w:after="60"/>
        <w:ind w:left="2491" w:hanging="864"/>
        <w:rPr>
          <w:lang w:val="en-US"/>
        </w:rPr>
      </w:pPr>
      <w:r w:rsidRPr="00B3312C">
        <w:rPr>
          <w:b/>
          <w:lang w:val="en-US"/>
        </w:rPr>
        <w:t>Multidisciplinary Expert Panel</w:t>
      </w:r>
      <w:r>
        <w:rPr>
          <w:lang w:val="en-US"/>
        </w:rPr>
        <w:t>:</w:t>
      </w:r>
    </w:p>
    <w:p w14:paraId="567DB1EF" w14:textId="0BE3DCB0" w:rsidR="003D04A0" w:rsidRDefault="003D04A0" w:rsidP="00B94970">
      <w:pPr>
        <w:pStyle w:val="NormalNonumber"/>
        <w:tabs>
          <w:tab w:val="clear" w:pos="1814"/>
          <w:tab w:val="left" w:pos="624"/>
          <w:tab w:val="left" w:pos="1890"/>
        </w:tabs>
        <w:spacing w:after="60"/>
        <w:ind w:left="2491" w:hanging="864"/>
      </w:pPr>
      <w:r>
        <w:t xml:space="preserve">From the fourth to the sixth </w:t>
      </w:r>
      <w:r w:rsidR="00B94970">
        <w:t xml:space="preserve">session of the </w:t>
      </w:r>
      <w:r>
        <w:t>Plenary:</w:t>
      </w:r>
    </w:p>
    <w:p w14:paraId="25440A11" w14:textId="0C4A2ACA" w:rsidR="003D04A0" w:rsidRPr="00CE1F54" w:rsidRDefault="003D04A0" w:rsidP="003D04A0">
      <w:pPr>
        <w:pStyle w:val="NormalNonumber"/>
        <w:tabs>
          <w:tab w:val="left" w:pos="624"/>
        </w:tabs>
        <w:ind w:left="2491" w:hanging="619"/>
        <w:contextualSpacing/>
      </w:pPr>
      <w:r w:rsidRPr="00CE1F54">
        <w:t xml:space="preserve">Paul Leadley </w:t>
      </w:r>
    </w:p>
    <w:p w14:paraId="783F087F" w14:textId="068A164F" w:rsidR="003D04A0" w:rsidRDefault="003D04A0" w:rsidP="00B94970">
      <w:pPr>
        <w:pStyle w:val="NormalNonumber"/>
        <w:tabs>
          <w:tab w:val="left" w:pos="624"/>
        </w:tabs>
        <w:ind w:left="2491" w:hanging="619"/>
        <w:contextualSpacing/>
      </w:pPr>
      <w:r w:rsidRPr="009959B0">
        <w:t xml:space="preserve">Unai Pascual </w:t>
      </w:r>
    </w:p>
    <w:p w14:paraId="5F6ED5CC" w14:textId="5C23A30C" w:rsidR="003D04A0" w:rsidRDefault="003D04A0" w:rsidP="00B94970">
      <w:pPr>
        <w:pStyle w:val="NormalNonumber"/>
        <w:tabs>
          <w:tab w:val="left" w:pos="624"/>
        </w:tabs>
        <w:spacing w:after="60"/>
        <w:ind w:left="2491" w:hanging="864"/>
      </w:pPr>
      <w:r>
        <w:t xml:space="preserve">Since the sixth </w:t>
      </w:r>
      <w:r w:rsidR="00B94970">
        <w:t xml:space="preserve">session of the </w:t>
      </w:r>
      <w:r>
        <w:t>Plenary:</w:t>
      </w:r>
    </w:p>
    <w:p w14:paraId="6A1D676E" w14:textId="71B13770" w:rsidR="005F1B9F" w:rsidRDefault="005F1B9F" w:rsidP="006C2398">
      <w:pPr>
        <w:pStyle w:val="NormalNonumber"/>
        <w:tabs>
          <w:tab w:val="left" w:pos="624"/>
        </w:tabs>
        <w:ind w:left="2491" w:hanging="619"/>
        <w:contextualSpacing/>
      </w:pPr>
      <w:r w:rsidRPr="00CE1F54">
        <w:t>Luthando Dziba (</w:t>
      </w:r>
      <w:r w:rsidR="00B94970">
        <w:t>C</w:t>
      </w:r>
      <w:r w:rsidRPr="00CE1F54">
        <w:t xml:space="preserve">o-Chair </w:t>
      </w:r>
      <w:r w:rsidR="003D04A0">
        <w:t>M</w:t>
      </w:r>
      <w:r w:rsidR="00B94970">
        <w:t xml:space="preserve">ultidisciplinary </w:t>
      </w:r>
      <w:r w:rsidR="003D04A0">
        <w:t>E</w:t>
      </w:r>
      <w:r w:rsidR="00B94970">
        <w:t xml:space="preserve">xpert </w:t>
      </w:r>
      <w:r w:rsidR="003D04A0">
        <w:t>P</w:t>
      </w:r>
      <w:r w:rsidR="00B94970">
        <w:t>anel</w:t>
      </w:r>
      <w:r w:rsidRPr="00CE1F54">
        <w:t>)</w:t>
      </w:r>
    </w:p>
    <w:p w14:paraId="43C957F6" w14:textId="0C55DE21" w:rsidR="005F1B9F" w:rsidRPr="00CE1F54" w:rsidRDefault="005F1B9F" w:rsidP="006C2398">
      <w:pPr>
        <w:pStyle w:val="NormalNonumber"/>
        <w:tabs>
          <w:tab w:val="clear" w:pos="1247"/>
          <w:tab w:val="clear" w:pos="1814"/>
          <w:tab w:val="clear" w:pos="2381"/>
          <w:tab w:val="clear" w:pos="2948"/>
          <w:tab w:val="clear" w:pos="3515"/>
          <w:tab w:val="clear" w:pos="4082"/>
          <w:tab w:val="left" w:pos="624"/>
        </w:tabs>
        <w:ind w:left="2491" w:hanging="619"/>
        <w:contextualSpacing/>
      </w:pPr>
      <w:r w:rsidRPr="00CE1F54">
        <w:t>Markus Fischer</w:t>
      </w:r>
    </w:p>
    <w:p w14:paraId="3138ABA0" w14:textId="0FF425F1" w:rsidR="005F1B9F" w:rsidRPr="00CE1F54" w:rsidRDefault="005F1B9F" w:rsidP="006C2398">
      <w:pPr>
        <w:pStyle w:val="NormalNonumber"/>
        <w:tabs>
          <w:tab w:val="left" w:pos="624"/>
        </w:tabs>
        <w:ind w:left="2491" w:hanging="619"/>
        <w:contextualSpacing/>
      </w:pPr>
      <w:r w:rsidRPr="00CE1F54">
        <w:t xml:space="preserve">Madhav Karki </w:t>
      </w:r>
    </w:p>
    <w:p w14:paraId="1FD652FC" w14:textId="334A8942" w:rsidR="005F1B9F" w:rsidRPr="00CE1F54" w:rsidRDefault="005F1B9F" w:rsidP="006C2398">
      <w:pPr>
        <w:pStyle w:val="NormalNonumber"/>
        <w:tabs>
          <w:tab w:val="left" w:pos="624"/>
        </w:tabs>
        <w:ind w:left="2491" w:hanging="619"/>
        <w:contextualSpacing/>
      </w:pPr>
      <w:r w:rsidRPr="00CE1F54">
        <w:t xml:space="preserve">Isabel Pinto </w:t>
      </w:r>
    </w:p>
    <w:p w14:paraId="7D8B1774" w14:textId="780201B7" w:rsidR="005F1B9F" w:rsidRPr="00CE1F54" w:rsidRDefault="005F1B9F" w:rsidP="006C2398">
      <w:pPr>
        <w:pStyle w:val="NormalNonumber"/>
        <w:tabs>
          <w:tab w:val="left" w:pos="624"/>
        </w:tabs>
        <w:ind w:left="2491" w:hanging="619"/>
        <w:contextualSpacing/>
      </w:pPr>
      <w:r w:rsidRPr="00CE1F54">
        <w:t xml:space="preserve">Katalin </w:t>
      </w:r>
      <w:proofErr w:type="spellStart"/>
      <w:r w:rsidRPr="00CE1F54">
        <w:t>Török</w:t>
      </w:r>
      <w:proofErr w:type="spellEnd"/>
      <w:r w:rsidRPr="00CE1F54">
        <w:t xml:space="preserve"> </w:t>
      </w:r>
    </w:p>
    <w:p w14:paraId="62B1ACC8" w14:textId="0853DB83" w:rsidR="005F1B9F" w:rsidRDefault="00EE46C7" w:rsidP="006C2398">
      <w:pPr>
        <w:pStyle w:val="NormalNonumber"/>
        <w:tabs>
          <w:tab w:val="left" w:pos="624"/>
        </w:tabs>
        <w:ind w:left="2491" w:hanging="619"/>
        <w:contextualSpacing/>
      </w:pPr>
      <w:r w:rsidRPr="00EE46C7">
        <w:t xml:space="preserve">Bibiana Vilá </w:t>
      </w:r>
    </w:p>
    <w:p w14:paraId="058637B3" w14:textId="12614265" w:rsidR="004B73C7" w:rsidRPr="008E33DB"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8E33DB">
        <w:t xml:space="preserve">The management committee for the assessment consisted of the Multidisciplinary Expert Panel and Bureau members mentioned above, the co-chairs of the assessment, the technical support unit, as well as a representative of the IPBES secretariat. Management committee meetings were held, usually remotely, at regular intervals. </w:t>
      </w:r>
    </w:p>
    <w:p w14:paraId="09137AD7" w14:textId="365099BE" w:rsidR="004B73C7" w:rsidRPr="004D402B" w:rsidRDefault="004B73C7" w:rsidP="004B73C7">
      <w:pPr>
        <w:pStyle w:val="CH2"/>
      </w:pPr>
      <w:r w:rsidRPr="004D402B">
        <w:tab/>
        <w:t>B.</w:t>
      </w:r>
      <w:r w:rsidRPr="004D402B">
        <w:tab/>
      </w:r>
      <w:r w:rsidR="00A64CF9">
        <w:t>E</w:t>
      </w:r>
      <w:r>
        <w:t>xpert</w:t>
      </w:r>
      <w:r w:rsidR="00A64CF9">
        <w:t>s</w:t>
      </w:r>
      <w:r>
        <w:t xml:space="preserve"> of the </w:t>
      </w:r>
      <w:r w:rsidR="009627EB">
        <w:t>global</w:t>
      </w:r>
      <w:r>
        <w:t xml:space="preserve"> assessment</w:t>
      </w:r>
    </w:p>
    <w:p w14:paraId="4B5C2F0B" w14:textId="466305EB" w:rsidR="004B73C7" w:rsidRPr="00293A03"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293A03">
        <w:t>The assess</w:t>
      </w:r>
      <w:r w:rsidR="009627EB" w:rsidRPr="00293A03">
        <w:t>ment expert group was led by three</w:t>
      </w:r>
      <w:r w:rsidRPr="00293A03">
        <w:t xml:space="preserve"> co-chairs, who oversaw the preparation of the assessment report and ensured that it was completed to a high standard. Each chapter was coordinated by two to </w:t>
      </w:r>
      <w:r w:rsidR="00DE39A5" w:rsidRPr="00293A03">
        <w:t>five</w:t>
      </w:r>
      <w:r w:rsidR="009627EB" w:rsidRPr="00293A03">
        <w:t xml:space="preserve"> coordinating lead authors</w:t>
      </w:r>
      <w:r w:rsidRPr="00293A03">
        <w:t>, and produce</w:t>
      </w:r>
      <w:r w:rsidR="009627EB" w:rsidRPr="00293A03">
        <w:t>d by a group of lead authors</w:t>
      </w:r>
      <w:r w:rsidRPr="00293A03">
        <w:t>, who were responsible for various parts of the chapter. Each chapter had</w:t>
      </w:r>
      <w:r w:rsidR="00821753" w:rsidRPr="00293A03">
        <w:t xml:space="preserve"> one to</w:t>
      </w:r>
      <w:r w:rsidRPr="00293A03">
        <w:t xml:space="preserve"> two review editors, who ensured that all substantive comments were afforded appropriate consideration and advised lead authors on how to handle controversial issues, if any existed. </w:t>
      </w:r>
      <w:r w:rsidR="0069138F">
        <w:t>In addition, one to two fellows were also part of each chapter team</w:t>
      </w:r>
      <w:r w:rsidR="003D04A0">
        <w:t>. F</w:t>
      </w:r>
      <w:r w:rsidRPr="00293A03">
        <w:t xml:space="preserve">ellows </w:t>
      </w:r>
      <w:r w:rsidR="0069138F">
        <w:t>are</w:t>
      </w:r>
      <w:r w:rsidRPr="00293A03">
        <w:t xml:space="preserve"> experts in the early stages of their careers, who collaborated with the coordinating lead authors and lead authors in developing sections of the chapters, under the guidance of one of the experts who acted as their mentor</w:t>
      </w:r>
      <w:r w:rsidR="003D04A0">
        <w:t>, as part of the IPBES fellowship programme</w:t>
      </w:r>
      <w:r w:rsidRPr="00293A03">
        <w:t xml:space="preserve">.  </w:t>
      </w:r>
    </w:p>
    <w:p w14:paraId="2A85A7E4" w14:textId="0699F5BC" w:rsidR="004B73C7" w:rsidRPr="00516FE2"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516FE2">
        <w:t xml:space="preserve">The co-chairs, </w:t>
      </w:r>
      <w:r w:rsidR="004B5AF1">
        <w:t xml:space="preserve">and a large proportion of </w:t>
      </w:r>
      <w:r w:rsidRPr="00516FE2">
        <w:t>the coordinating lead authors and lead authors were selected in 201</w:t>
      </w:r>
      <w:r w:rsidR="001121C3" w:rsidRPr="00516FE2">
        <w:t>6</w:t>
      </w:r>
      <w:r w:rsidRPr="00516FE2">
        <w:t xml:space="preserve"> from the original pool of nominations for experts made by Governments and stakeholders (see IPBES/</w:t>
      </w:r>
      <w:r w:rsidR="00281409" w:rsidRPr="00516FE2">
        <w:t>5</w:t>
      </w:r>
      <w:r w:rsidRPr="00516FE2">
        <w:t>/INF/</w:t>
      </w:r>
      <w:r w:rsidR="00281409" w:rsidRPr="00516FE2">
        <w:t>8</w:t>
      </w:r>
      <w:r w:rsidRPr="00516FE2">
        <w:t xml:space="preserve">). Additional coordinating lead authors and lead authors were selected using the procedure for filling gaps in the availability of experts (annex I to decision </w:t>
      </w:r>
      <w:r w:rsidR="00313C3E">
        <w:br/>
      </w:r>
      <w:r w:rsidRPr="00516FE2">
        <w:t xml:space="preserve">IPBES-4/3), in order to reach a satisfactory gender, geographical and disciplinary balance. </w:t>
      </w:r>
      <w:r w:rsidR="00E26516">
        <w:t>During 2016 and 2017 t</w:t>
      </w:r>
      <w:r w:rsidRPr="00516FE2">
        <w:t xml:space="preserve">his procedure was also used to select review editors </w:t>
      </w:r>
      <w:r w:rsidRPr="00BF76D6">
        <w:t>and</w:t>
      </w:r>
      <w:r w:rsidRPr="00516FE2">
        <w:t xml:space="preserve"> to replace a small number of experts who </w:t>
      </w:r>
      <w:r w:rsidR="00BF76D6">
        <w:t xml:space="preserve">were </w:t>
      </w:r>
      <w:r w:rsidRPr="00516FE2">
        <w:t xml:space="preserve">unable to make </w:t>
      </w:r>
      <w:r w:rsidRPr="00E26516">
        <w:t>their contribution as planned</w:t>
      </w:r>
      <w:r w:rsidR="00E26516">
        <w:t xml:space="preserve"> due to unforeseen circumstances</w:t>
      </w:r>
      <w:r w:rsidRPr="00E26516">
        <w:t>.</w:t>
      </w:r>
      <w:r w:rsidRPr="00516FE2">
        <w:t xml:space="preserve"> Fellows were selected through a separate application process.</w:t>
      </w:r>
    </w:p>
    <w:p w14:paraId="6486A912" w14:textId="68679DDB" w:rsidR="004B73C7" w:rsidRDefault="004B73C7" w:rsidP="006F34A9">
      <w:pPr>
        <w:pStyle w:val="Normalnumber"/>
        <w:numPr>
          <w:ilvl w:val="0"/>
          <w:numId w:val="67"/>
        </w:numPr>
        <w:tabs>
          <w:tab w:val="clear" w:pos="1134"/>
          <w:tab w:val="clear" w:pos="1247"/>
          <w:tab w:val="clear" w:pos="1814"/>
          <w:tab w:val="clear" w:pos="2381"/>
          <w:tab w:val="clear" w:pos="2948"/>
          <w:tab w:val="clear" w:pos="3515"/>
          <w:tab w:val="clear" w:pos="4082"/>
          <w:tab w:val="left" w:pos="624"/>
        </w:tabs>
        <w:spacing w:after="240"/>
        <w:ind w:left="1253"/>
      </w:pPr>
      <w:r w:rsidRPr="00A4637B">
        <w:t xml:space="preserve">The following table provides information on the number of experts selected for this assessment. A </w:t>
      </w:r>
      <w:r w:rsidRPr="0069138F">
        <w:t xml:space="preserve">total of </w:t>
      </w:r>
      <w:r w:rsidR="005C23A8" w:rsidRPr="0069138F">
        <w:t>14</w:t>
      </w:r>
      <w:r w:rsidR="00EF3E16">
        <w:t>5</w:t>
      </w:r>
      <w:r w:rsidRPr="0069138F">
        <w:t xml:space="preserve"> experts prepared</w:t>
      </w:r>
      <w:r w:rsidRPr="00A4637B">
        <w:t xml:space="preserve"> the report, </w:t>
      </w:r>
      <w:r w:rsidRPr="0086658F">
        <w:t xml:space="preserve">including </w:t>
      </w:r>
      <w:r w:rsidR="0086658F" w:rsidRPr="0086658F">
        <w:t xml:space="preserve">63 </w:t>
      </w:r>
      <w:r w:rsidRPr="00A4637B">
        <w:t>nominated using the gap filling procedure</w:t>
      </w:r>
      <w:r w:rsidR="0069138F">
        <w:t xml:space="preserve">. </w:t>
      </w:r>
      <w:r w:rsidR="00ED0E16">
        <w:t>E</w:t>
      </w:r>
      <w:r w:rsidR="00ED0E16" w:rsidRPr="00307507">
        <w:t xml:space="preserve">xperts selected from those presented by relevant stakeholders </w:t>
      </w:r>
      <w:r w:rsidR="00ED0E16">
        <w:t>did</w:t>
      </w:r>
      <w:r w:rsidR="00ED0E16" w:rsidRPr="00307507">
        <w:t xml:space="preserve"> not exceed twenty</w:t>
      </w:r>
      <w:r w:rsidR="00313C3E">
        <w:t> </w:t>
      </w:r>
      <w:r w:rsidR="00ED0E16" w:rsidRPr="00307507">
        <w:t>per</w:t>
      </w:r>
      <w:r w:rsidR="00313C3E">
        <w:t> </w:t>
      </w:r>
      <w:r w:rsidR="00ED0E16" w:rsidRPr="00307507">
        <w:t>cent</w:t>
      </w:r>
      <w:r w:rsidR="00ED0E16">
        <w:rPr>
          <w:lang w:val="en-US"/>
        </w:rPr>
        <w:t xml:space="preserve"> </w:t>
      </w:r>
      <w:r w:rsidR="00DB3C71">
        <w:rPr>
          <w:lang w:val="en-US"/>
        </w:rPr>
        <w:t>in line with the procedure</w:t>
      </w:r>
      <w:r w:rsidR="006F34A9">
        <w:rPr>
          <w:lang w:val="en-US"/>
        </w:rPr>
        <w:t>s</w:t>
      </w:r>
      <w:r w:rsidR="00ED0E16">
        <w:rPr>
          <w:lang w:val="en-US"/>
        </w:rPr>
        <w:t xml:space="preserve"> for the preparation of </w:t>
      </w:r>
      <w:r w:rsidR="006F34A9">
        <w:rPr>
          <w:lang w:val="en-US"/>
        </w:rPr>
        <w:t xml:space="preserve">IPBES </w:t>
      </w:r>
      <w:r w:rsidR="00ED0E16">
        <w:rPr>
          <w:lang w:val="en-US"/>
        </w:rPr>
        <w:t>deliverables</w:t>
      </w:r>
      <w:r w:rsidR="006F34A9">
        <w:rPr>
          <w:lang w:val="en-US"/>
        </w:rPr>
        <w:t xml:space="preserve">. </w:t>
      </w:r>
      <w:r w:rsidRPr="00A4637B">
        <w:t>The full list of all experts</w:t>
      </w:r>
      <w:r w:rsidR="00ED0E16">
        <w:t xml:space="preserve">, whose composition is indicated in the table below, </w:t>
      </w:r>
      <w:r w:rsidRPr="00A4637B">
        <w:t>is provided on the IPBES website:</w:t>
      </w:r>
      <w:r w:rsidR="00ED0E16">
        <w:t xml:space="preserve"> </w:t>
      </w:r>
      <w:hyperlink r:id="rId14" w:history="1">
        <w:r w:rsidR="00ED0E16" w:rsidRPr="0007747E">
          <w:rPr>
            <w:rStyle w:val="Hyperlink"/>
            <w:lang w:val="en-GB"/>
          </w:rPr>
          <w:t>https://www.ipbes.net/global-assessment-experts</w:t>
        </w:r>
      </w:hyperlink>
      <w:r w:rsidR="006F34A9">
        <w:rPr>
          <w:rStyle w:val="Hyperlink"/>
          <w:lang w:val="en-GB"/>
        </w:rPr>
        <w:t xml:space="preserve">. </w:t>
      </w:r>
    </w:p>
    <w:tbl>
      <w:tblPr>
        <w:tblStyle w:val="TableGrid"/>
        <w:tblW w:w="0" w:type="auto"/>
        <w:tblInd w:w="1247" w:type="dxa"/>
        <w:tblLook w:val="04A0" w:firstRow="1" w:lastRow="0" w:firstColumn="1" w:lastColumn="0" w:noHBand="0" w:noVBand="1"/>
      </w:tblPr>
      <w:tblGrid>
        <w:gridCol w:w="1088"/>
        <w:gridCol w:w="1581"/>
        <w:gridCol w:w="1209"/>
        <w:gridCol w:w="1260"/>
        <w:gridCol w:w="1260"/>
        <w:gridCol w:w="1841"/>
      </w:tblGrid>
      <w:tr w:rsidR="00353DA6" w:rsidRPr="00F5340F" w14:paraId="6F15A713" w14:textId="77777777" w:rsidTr="006F34A9">
        <w:tc>
          <w:tcPr>
            <w:tcW w:w="1088" w:type="dxa"/>
          </w:tcPr>
          <w:p w14:paraId="6E8D7DD4" w14:textId="77777777" w:rsidR="00353DA6" w:rsidRPr="00C51088" w:rsidRDefault="00353DA6" w:rsidP="006F34A9">
            <w:pPr>
              <w:pStyle w:val="Normal-pool"/>
              <w:spacing w:before="120" w:after="120"/>
              <w:jc w:val="center"/>
              <w:rPr>
                <w:b/>
                <w:sz w:val="18"/>
                <w:szCs w:val="18"/>
              </w:rPr>
            </w:pPr>
            <w:bookmarkStart w:id="2" w:name="_Hlk503529205"/>
            <w:r w:rsidRPr="00C51088">
              <w:rPr>
                <w:b/>
                <w:sz w:val="18"/>
                <w:szCs w:val="18"/>
              </w:rPr>
              <w:t>Co-chairs</w:t>
            </w:r>
          </w:p>
        </w:tc>
        <w:tc>
          <w:tcPr>
            <w:tcW w:w="1581" w:type="dxa"/>
          </w:tcPr>
          <w:p w14:paraId="45212A8C" w14:textId="51ACACA7" w:rsidR="00353DA6" w:rsidRPr="00C51088" w:rsidRDefault="00353DA6" w:rsidP="006F34A9">
            <w:pPr>
              <w:pStyle w:val="Normal-pool"/>
              <w:spacing w:before="120" w:after="120"/>
              <w:jc w:val="center"/>
              <w:rPr>
                <w:b/>
                <w:sz w:val="18"/>
                <w:szCs w:val="18"/>
              </w:rPr>
            </w:pPr>
            <w:r w:rsidRPr="00C51088">
              <w:rPr>
                <w:b/>
                <w:sz w:val="18"/>
                <w:szCs w:val="18"/>
              </w:rPr>
              <w:t>Coordinating lead authors</w:t>
            </w:r>
          </w:p>
        </w:tc>
        <w:tc>
          <w:tcPr>
            <w:tcW w:w="1209" w:type="dxa"/>
          </w:tcPr>
          <w:p w14:paraId="246A1281" w14:textId="216DA2EB" w:rsidR="00353DA6" w:rsidRPr="00C51088" w:rsidRDefault="00353DA6" w:rsidP="006F34A9">
            <w:pPr>
              <w:pStyle w:val="Normal-pool"/>
              <w:spacing w:before="120" w:after="120"/>
              <w:jc w:val="center"/>
              <w:rPr>
                <w:b/>
                <w:sz w:val="18"/>
                <w:szCs w:val="18"/>
              </w:rPr>
            </w:pPr>
            <w:r w:rsidRPr="00C51088">
              <w:rPr>
                <w:b/>
                <w:sz w:val="18"/>
                <w:szCs w:val="18"/>
              </w:rPr>
              <w:t>Lead authors</w:t>
            </w:r>
          </w:p>
        </w:tc>
        <w:tc>
          <w:tcPr>
            <w:tcW w:w="1260" w:type="dxa"/>
          </w:tcPr>
          <w:p w14:paraId="1454A9F2" w14:textId="77777777" w:rsidR="00353DA6" w:rsidRPr="00C51088" w:rsidRDefault="00353DA6" w:rsidP="006F34A9">
            <w:pPr>
              <w:pStyle w:val="Normal-pool"/>
              <w:spacing w:before="120" w:after="120"/>
              <w:jc w:val="center"/>
              <w:rPr>
                <w:b/>
                <w:sz w:val="18"/>
                <w:szCs w:val="18"/>
              </w:rPr>
            </w:pPr>
            <w:r w:rsidRPr="00C51088">
              <w:rPr>
                <w:b/>
                <w:sz w:val="18"/>
                <w:szCs w:val="18"/>
              </w:rPr>
              <w:t>Review editors</w:t>
            </w:r>
          </w:p>
        </w:tc>
        <w:tc>
          <w:tcPr>
            <w:tcW w:w="1260" w:type="dxa"/>
          </w:tcPr>
          <w:p w14:paraId="0F085C8B" w14:textId="77777777" w:rsidR="00353DA6" w:rsidRPr="00C51088" w:rsidRDefault="00353DA6" w:rsidP="006F34A9">
            <w:pPr>
              <w:pStyle w:val="Normal-pool"/>
              <w:spacing w:before="120" w:after="120"/>
              <w:jc w:val="center"/>
              <w:rPr>
                <w:b/>
                <w:sz w:val="18"/>
                <w:szCs w:val="18"/>
              </w:rPr>
            </w:pPr>
            <w:r w:rsidRPr="00C51088">
              <w:rPr>
                <w:b/>
                <w:sz w:val="18"/>
                <w:szCs w:val="18"/>
              </w:rPr>
              <w:t>Fellows</w:t>
            </w:r>
          </w:p>
        </w:tc>
        <w:tc>
          <w:tcPr>
            <w:tcW w:w="1841" w:type="dxa"/>
          </w:tcPr>
          <w:p w14:paraId="4ED2F9BE" w14:textId="56B8609A" w:rsidR="00353DA6" w:rsidRPr="00C51088" w:rsidRDefault="00353DA6" w:rsidP="006F34A9">
            <w:pPr>
              <w:pStyle w:val="Normal-pool"/>
              <w:spacing w:before="120" w:after="120"/>
              <w:jc w:val="center"/>
              <w:rPr>
                <w:b/>
                <w:sz w:val="18"/>
                <w:szCs w:val="18"/>
              </w:rPr>
            </w:pPr>
            <w:r w:rsidRPr="00C51088">
              <w:rPr>
                <w:b/>
                <w:sz w:val="18"/>
                <w:szCs w:val="18"/>
              </w:rPr>
              <w:t>Total number of experts including fellows</w:t>
            </w:r>
          </w:p>
        </w:tc>
      </w:tr>
      <w:tr w:rsidR="00353DA6" w:rsidRPr="00C11089" w14:paraId="65034BDC" w14:textId="77777777" w:rsidTr="006F34A9">
        <w:tc>
          <w:tcPr>
            <w:tcW w:w="0" w:type="auto"/>
            <w:vAlign w:val="center"/>
          </w:tcPr>
          <w:p w14:paraId="2CB77366" w14:textId="03992C92" w:rsidR="00353DA6" w:rsidRPr="0086658F" w:rsidRDefault="00353DA6" w:rsidP="006F34A9">
            <w:pPr>
              <w:pStyle w:val="Normal-pool"/>
              <w:spacing w:before="120" w:after="120"/>
              <w:jc w:val="center"/>
              <w:rPr>
                <w:sz w:val="18"/>
                <w:szCs w:val="18"/>
              </w:rPr>
            </w:pPr>
            <w:r w:rsidRPr="0086658F">
              <w:rPr>
                <w:sz w:val="18"/>
                <w:szCs w:val="18"/>
              </w:rPr>
              <w:t>3</w:t>
            </w:r>
          </w:p>
        </w:tc>
        <w:tc>
          <w:tcPr>
            <w:tcW w:w="0" w:type="auto"/>
            <w:vAlign w:val="center"/>
          </w:tcPr>
          <w:p w14:paraId="14D2CE53" w14:textId="3533922F" w:rsidR="00353DA6" w:rsidRPr="0086658F" w:rsidRDefault="00353DA6" w:rsidP="006F34A9">
            <w:pPr>
              <w:pStyle w:val="Normal-pool"/>
              <w:spacing w:before="120" w:after="120"/>
              <w:jc w:val="center"/>
              <w:rPr>
                <w:sz w:val="18"/>
                <w:szCs w:val="18"/>
              </w:rPr>
            </w:pPr>
            <w:r w:rsidRPr="0086658F">
              <w:rPr>
                <w:sz w:val="18"/>
                <w:szCs w:val="18"/>
              </w:rPr>
              <w:t>24</w:t>
            </w:r>
          </w:p>
        </w:tc>
        <w:tc>
          <w:tcPr>
            <w:tcW w:w="0" w:type="auto"/>
            <w:vAlign w:val="center"/>
          </w:tcPr>
          <w:p w14:paraId="7641F774" w14:textId="137170DE" w:rsidR="00353DA6" w:rsidRPr="0086658F" w:rsidRDefault="00353DA6" w:rsidP="006F34A9">
            <w:pPr>
              <w:pStyle w:val="Normal-pool"/>
              <w:spacing w:before="120" w:after="120"/>
              <w:jc w:val="center"/>
              <w:rPr>
                <w:sz w:val="18"/>
                <w:szCs w:val="18"/>
              </w:rPr>
            </w:pPr>
            <w:r w:rsidRPr="0086658F">
              <w:rPr>
                <w:sz w:val="18"/>
                <w:szCs w:val="18"/>
              </w:rPr>
              <w:t>87</w:t>
            </w:r>
          </w:p>
        </w:tc>
        <w:tc>
          <w:tcPr>
            <w:tcW w:w="0" w:type="auto"/>
            <w:vAlign w:val="center"/>
          </w:tcPr>
          <w:p w14:paraId="5BBF0AE9" w14:textId="353E5324" w:rsidR="00353DA6" w:rsidRPr="0086658F" w:rsidRDefault="00353DA6" w:rsidP="006F34A9">
            <w:pPr>
              <w:pStyle w:val="Normal-pool"/>
              <w:spacing w:before="120" w:after="120"/>
              <w:jc w:val="center"/>
              <w:rPr>
                <w:sz w:val="18"/>
                <w:szCs w:val="18"/>
              </w:rPr>
            </w:pPr>
            <w:r w:rsidRPr="0086658F">
              <w:rPr>
                <w:sz w:val="18"/>
                <w:szCs w:val="18"/>
              </w:rPr>
              <w:t>15</w:t>
            </w:r>
          </w:p>
        </w:tc>
        <w:tc>
          <w:tcPr>
            <w:tcW w:w="0" w:type="auto"/>
            <w:vAlign w:val="center"/>
          </w:tcPr>
          <w:p w14:paraId="4B126A88" w14:textId="67136523" w:rsidR="00353DA6" w:rsidRPr="0086658F" w:rsidRDefault="00353DA6" w:rsidP="006F34A9">
            <w:pPr>
              <w:pStyle w:val="Normal-pool"/>
              <w:spacing w:before="120" w:after="120"/>
              <w:jc w:val="center"/>
              <w:rPr>
                <w:sz w:val="18"/>
                <w:szCs w:val="18"/>
              </w:rPr>
            </w:pPr>
            <w:r w:rsidRPr="0086658F">
              <w:rPr>
                <w:sz w:val="18"/>
                <w:szCs w:val="18"/>
              </w:rPr>
              <w:t>16</w:t>
            </w:r>
          </w:p>
        </w:tc>
        <w:tc>
          <w:tcPr>
            <w:tcW w:w="0" w:type="auto"/>
            <w:vAlign w:val="center"/>
          </w:tcPr>
          <w:p w14:paraId="1C8DADBD" w14:textId="64C81D98" w:rsidR="00353DA6" w:rsidRPr="0086658F" w:rsidRDefault="00353DA6" w:rsidP="006F34A9">
            <w:pPr>
              <w:pStyle w:val="Normal-pool"/>
              <w:spacing w:before="120" w:after="120"/>
              <w:jc w:val="center"/>
              <w:rPr>
                <w:sz w:val="18"/>
                <w:szCs w:val="18"/>
              </w:rPr>
            </w:pPr>
            <w:r w:rsidRPr="0086658F">
              <w:rPr>
                <w:sz w:val="18"/>
                <w:szCs w:val="18"/>
              </w:rPr>
              <w:t>145</w:t>
            </w:r>
          </w:p>
        </w:tc>
      </w:tr>
    </w:tbl>
    <w:bookmarkEnd w:id="2"/>
    <w:p w14:paraId="4A8219C1" w14:textId="77777777" w:rsidR="004B73C7" w:rsidRPr="004D402B" w:rsidRDefault="004B73C7" w:rsidP="006F34A9">
      <w:pPr>
        <w:pStyle w:val="CH2"/>
        <w:spacing w:before="240"/>
        <w:ind w:left="1253" w:right="288" w:hanging="1253"/>
      </w:pPr>
      <w:r w:rsidRPr="004D402B">
        <w:tab/>
        <w:t>C.</w:t>
      </w:r>
      <w:r w:rsidRPr="004D402B">
        <w:tab/>
        <w:t>The technical support unit</w:t>
      </w:r>
    </w:p>
    <w:p w14:paraId="7C22CAFD" w14:textId="7A959D63" w:rsidR="004B73C7" w:rsidRPr="00D0410F"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D0410F">
        <w:t xml:space="preserve">The Bureau, in consultation with the Multidisciplinary Expert Panel, agreed at their </w:t>
      </w:r>
      <w:r w:rsidR="00026E62" w:rsidRPr="00D0410F">
        <w:t>sixth</w:t>
      </w:r>
      <w:r w:rsidRPr="00D0410F">
        <w:t xml:space="preserve"> </w:t>
      </w:r>
      <w:r w:rsidR="00353DA6">
        <w:t>meetings</w:t>
      </w:r>
      <w:r w:rsidR="00353DA6" w:rsidRPr="00D0410F">
        <w:t xml:space="preserve"> </w:t>
      </w:r>
      <w:r w:rsidRPr="00D0410F">
        <w:t>(</w:t>
      </w:r>
      <w:r w:rsidR="00D0410F" w:rsidRPr="00D0410F">
        <w:t>October</w:t>
      </w:r>
      <w:r w:rsidRPr="00D0410F">
        <w:t xml:space="preserve"> 2015 in Bonn, Germany), that the technical support unit would be based at the IPBES </w:t>
      </w:r>
      <w:r w:rsidR="00353DA6">
        <w:t>s</w:t>
      </w:r>
      <w:r w:rsidRPr="00D0410F">
        <w:t xml:space="preserve">ecretariat in Bonn, Germany, </w:t>
      </w:r>
      <w:r w:rsidR="00DA6680" w:rsidRPr="009B7083">
        <w:t>and</w:t>
      </w:r>
      <w:r w:rsidR="00D86EE7" w:rsidRPr="009B7083">
        <w:t xml:space="preserve"> composed of a head</w:t>
      </w:r>
      <w:r w:rsidR="00353DA6">
        <w:t>,</w:t>
      </w:r>
      <w:r w:rsidR="00D86EE7" w:rsidRPr="009B7083">
        <w:t xml:space="preserve"> seconded by </w:t>
      </w:r>
      <w:r w:rsidR="00353DA6">
        <w:t>one programme officer</w:t>
      </w:r>
      <w:r w:rsidRPr="009B7083">
        <w:t>.</w:t>
      </w:r>
      <w:r w:rsidRPr="00D0410F">
        <w:t xml:space="preserve"> The </w:t>
      </w:r>
      <w:r w:rsidR="00D86EE7">
        <w:t xml:space="preserve">head of the </w:t>
      </w:r>
      <w:r w:rsidR="006F34A9">
        <w:t>technical support unit</w:t>
      </w:r>
      <w:r w:rsidR="00D86EE7">
        <w:t xml:space="preserve">, Ms. Hien T. Ngo, and the </w:t>
      </w:r>
      <w:r w:rsidR="00353DA6">
        <w:t xml:space="preserve">programme officer, </w:t>
      </w:r>
      <w:r w:rsidR="00D86EE7">
        <w:t>Mr</w:t>
      </w:r>
      <w:r w:rsidR="00D30739">
        <w:t>. Maximilien </w:t>
      </w:r>
      <w:proofErr w:type="spellStart"/>
      <w:r w:rsidR="0086658F" w:rsidRPr="0086658F">
        <w:t>Guèze</w:t>
      </w:r>
      <w:proofErr w:type="spellEnd"/>
      <w:r w:rsidR="00D86EE7">
        <w:t xml:space="preserve">, fulfil </w:t>
      </w:r>
      <w:r w:rsidRPr="00D0410F">
        <w:t>the aforementioned role</w:t>
      </w:r>
      <w:r w:rsidR="00D86EE7">
        <w:t>s</w:t>
      </w:r>
      <w:r w:rsidRPr="00D0410F">
        <w:t xml:space="preserve"> from the headquarters of the IPBES secretariat</w:t>
      </w:r>
      <w:r w:rsidR="00D30739">
        <w:t>, </w:t>
      </w:r>
      <w:r w:rsidR="00353DA6">
        <w:t>as consultants</w:t>
      </w:r>
      <w:r w:rsidRPr="00D0410F">
        <w:t>.</w:t>
      </w:r>
    </w:p>
    <w:p w14:paraId="5DD24FDB" w14:textId="77777777" w:rsidR="004B73C7" w:rsidRPr="00B50134"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B50134">
        <w:t xml:space="preserve">The role of the technical support unit is to provide scientific, technical and organizational support toward the delivery of the assessment report. In addition, the role of the technical support unit is to liaise with relevant task forces and other technical support units of ongoing assessments to ensure that cross-cutting issues are properly addressed.  </w:t>
      </w:r>
    </w:p>
    <w:p w14:paraId="684E7FD0" w14:textId="77777777" w:rsidR="004B73C7" w:rsidRPr="004D402B" w:rsidRDefault="004B73C7" w:rsidP="004B73C7">
      <w:pPr>
        <w:pStyle w:val="CH1"/>
      </w:pPr>
      <w:r>
        <w:tab/>
        <w:t>III.</w:t>
      </w:r>
      <w:r>
        <w:tab/>
      </w:r>
      <w:r w:rsidRPr="004D402B">
        <w:t>Key steps toward the production of the assessment</w:t>
      </w:r>
    </w:p>
    <w:p w14:paraId="268A470D" w14:textId="4E10B4F4" w:rsidR="004B73C7" w:rsidRPr="00A0364B"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A0364B">
        <w:t xml:space="preserve">A description of key steps towards the production of this assessment, undertaken after the </w:t>
      </w:r>
      <w:r w:rsidR="00B963AD">
        <w:t xml:space="preserve">sixth </w:t>
      </w:r>
      <w:r w:rsidRPr="00A0364B">
        <w:t xml:space="preserve">session of the Plenary is provided below. A detailed description of the steps taken before the </w:t>
      </w:r>
      <w:r w:rsidR="00BE7FB7">
        <w:t>sixt</w:t>
      </w:r>
      <w:r w:rsidRPr="00A0364B">
        <w:t>h</w:t>
      </w:r>
      <w:r w:rsidR="00B963AD">
        <w:t xml:space="preserve"> session can be found in IPBES/5</w:t>
      </w:r>
      <w:r w:rsidRPr="00A0364B">
        <w:t>/INF/</w:t>
      </w:r>
      <w:r w:rsidR="00BE7FB7">
        <w:t>8</w:t>
      </w:r>
      <w:r w:rsidR="00B963AD">
        <w:t xml:space="preserve"> and IPBES/6</w:t>
      </w:r>
      <w:r w:rsidRPr="00A0364B">
        <w:t>/INF/</w:t>
      </w:r>
      <w:r w:rsidR="00BE7FB7">
        <w:t>11.</w:t>
      </w:r>
      <w:r w:rsidRPr="00A0364B">
        <w:t xml:space="preserve"> </w:t>
      </w:r>
    </w:p>
    <w:p w14:paraId="21D47433" w14:textId="576BCC9C" w:rsidR="004B73C7" w:rsidRPr="004D402B" w:rsidRDefault="004B73C7" w:rsidP="004B73C7">
      <w:pPr>
        <w:pStyle w:val="CH2"/>
      </w:pPr>
      <w:r w:rsidRPr="004D402B">
        <w:tab/>
        <w:t>A.</w:t>
      </w:r>
      <w:r w:rsidRPr="004D402B">
        <w:tab/>
      </w:r>
      <w:r>
        <w:t xml:space="preserve">Second </w:t>
      </w:r>
      <w:r w:rsidR="00A64CF9">
        <w:t xml:space="preserve">external </w:t>
      </w:r>
      <w:r>
        <w:t xml:space="preserve">review (by </w:t>
      </w:r>
      <w:r w:rsidR="007B165C">
        <w:t>G</w:t>
      </w:r>
      <w:r>
        <w:t xml:space="preserve">overnments and experts) </w:t>
      </w:r>
    </w:p>
    <w:p w14:paraId="6E7A7E06" w14:textId="4EFC2596" w:rsidR="004B73C7" w:rsidRPr="009D2AE3"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9D2AE3">
        <w:t xml:space="preserve">The second external review of the assessment report by Governments and experts was conducted from </w:t>
      </w:r>
      <w:r w:rsidR="00811B6F" w:rsidRPr="009D2AE3">
        <w:t>30</w:t>
      </w:r>
      <w:r w:rsidRPr="009D2AE3">
        <w:t xml:space="preserve"> </w:t>
      </w:r>
      <w:r w:rsidR="00811B6F" w:rsidRPr="009D2AE3">
        <w:t>April</w:t>
      </w:r>
      <w:r w:rsidRPr="009D2AE3">
        <w:t xml:space="preserve"> to </w:t>
      </w:r>
      <w:r w:rsidR="009D2AE3" w:rsidRPr="009D2AE3">
        <w:t>9</w:t>
      </w:r>
      <w:r w:rsidRPr="009D2AE3">
        <w:t xml:space="preserve"> </w:t>
      </w:r>
      <w:r w:rsidR="009D2AE3" w:rsidRPr="009D2AE3">
        <w:t>July</w:t>
      </w:r>
      <w:r w:rsidRPr="009D2AE3">
        <w:t xml:space="preserve"> 201</w:t>
      </w:r>
      <w:r w:rsidR="009D2AE3" w:rsidRPr="009D2AE3">
        <w:t>8</w:t>
      </w:r>
      <w:r w:rsidRPr="009D2AE3">
        <w:t xml:space="preserve">. The comments received were collated by the technical support unit and shared with the authors and review editors before the third and final author meeting in </w:t>
      </w:r>
      <w:r w:rsidRPr="00EF6B34">
        <w:t>July</w:t>
      </w:r>
      <w:r w:rsidR="009D2AE3" w:rsidRPr="00EF6B34">
        <w:t>-August</w:t>
      </w:r>
      <w:r w:rsidRPr="00EF6B34">
        <w:t xml:space="preserve"> 201</w:t>
      </w:r>
      <w:r w:rsidR="009D2AE3" w:rsidRPr="00EF6B34">
        <w:t>8</w:t>
      </w:r>
      <w:r w:rsidRPr="00EF6B34">
        <w:t xml:space="preserve">. A total number of </w:t>
      </w:r>
      <w:r w:rsidR="00E21FCD">
        <w:t xml:space="preserve">approximately </w:t>
      </w:r>
      <w:r w:rsidR="009519CA" w:rsidRPr="00EF6B34">
        <w:t>9,500</w:t>
      </w:r>
      <w:r w:rsidRPr="00EF6B34">
        <w:t xml:space="preserve"> comments</w:t>
      </w:r>
      <w:r w:rsidR="00BA704B">
        <w:t xml:space="preserve">, from </w:t>
      </w:r>
      <w:r w:rsidR="00A64CF9">
        <w:t>this second</w:t>
      </w:r>
      <w:r w:rsidR="00BA704B">
        <w:t xml:space="preserve"> review</w:t>
      </w:r>
      <w:r w:rsidR="00A64CF9">
        <w:t>,</w:t>
      </w:r>
      <w:r w:rsidRPr="00EF6B34">
        <w:t xml:space="preserve"> w</w:t>
      </w:r>
      <w:r w:rsidR="002C3288">
        <w:t>as</w:t>
      </w:r>
      <w:r w:rsidRPr="00EF6B34">
        <w:t xml:space="preserve"> received for all </w:t>
      </w:r>
      <w:r w:rsidR="00EF6B34" w:rsidRPr="00EF6B34">
        <w:t xml:space="preserve">six </w:t>
      </w:r>
      <w:r w:rsidRPr="00EF6B34">
        <w:t>chapters</w:t>
      </w:r>
      <w:r w:rsidR="00E26516">
        <w:t xml:space="preserve"> and the summary for policymakers</w:t>
      </w:r>
      <w:r w:rsidRPr="00EF6B34">
        <w:t xml:space="preserve">, from </w:t>
      </w:r>
      <w:r w:rsidR="00EF6B34" w:rsidRPr="00EF6B34">
        <w:t>a</w:t>
      </w:r>
      <w:r w:rsidR="002C3288">
        <w:t xml:space="preserve">bout </w:t>
      </w:r>
      <w:r w:rsidR="009A2BD4">
        <w:t>300</w:t>
      </w:r>
      <w:r w:rsidRPr="00EF6B34">
        <w:t xml:space="preserve"> individuals, of which </w:t>
      </w:r>
      <w:r w:rsidR="002F1DA0" w:rsidRPr="00EF6B34">
        <w:t>26</w:t>
      </w:r>
      <w:r w:rsidRPr="00EF6B34">
        <w:t xml:space="preserve"> were Governments</w:t>
      </w:r>
      <w:r w:rsidR="002F1DA0" w:rsidRPr="00EF6B34">
        <w:t xml:space="preserve"> (and the European Union</w:t>
      </w:r>
      <w:r w:rsidR="00A37B73" w:rsidRPr="00EF6B34">
        <w:t xml:space="preserve"> on behalf of its 28 Member States</w:t>
      </w:r>
      <w:r w:rsidR="002F1DA0" w:rsidRPr="00EF6B34">
        <w:t>)</w:t>
      </w:r>
      <w:r w:rsidRPr="00EF6B34">
        <w:t>.</w:t>
      </w:r>
      <w:r w:rsidR="007B165C">
        <w:t xml:space="preserve"> </w:t>
      </w:r>
    </w:p>
    <w:p w14:paraId="6C41A08A" w14:textId="77777777" w:rsidR="004B73C7" w:rsidRPr="00C12A85" w:rsidRDefault="004B73C7" w:rsidP="004B73C7">
      <w:pPr>
        <w:pStyle w:val="CH2"/>
      </w:pPr>
      <w:r>
        <w:tab/>
      </w:r>
      <w:r w:rsidRPr="00C12A85">
        <w:t>B.</w:t>
      </w:r>
      <w:r w:rsidRPr="00C12A85">
        <w:tab/>
        <w:t>Third author meeting</w:t>
      </w:r>
    </w:p>
    <w:p w14:paraId="32965F62" w14:textId="27BB59C9" w:rsidR="005A268C" w:rsidRPr="00C12A85" w:rsidRDefault="004B73C7" w:rsidP="00B3312C">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C12A85">
        <w:t xml:space="preserve">The third and final author meeting took place at the </w:t>
      </w:r>
      <w:proofErr w:type="spellStart"/>
      <w:r w:rsidR="006B2D28">
        <w:t>Senckenberg</w:t>
      </w:r>
      <w:proofErr w:type="spellEnd"/>
      <w:r w:rsidR="006B2D28">
        <w:t xml:space="preserve"> </w:t>
      </w:r>
      <w:proofErr w:type="spellStart"/>
      <w:r w:rsidR="00405AB3" w:rsidRPr="00405AB3">
        <w:t>Biodiversität</w:t>
      </w:r>
      <w:proofErr w:type="spellEnd"/>
      <w:r w:rsidR="00405AB3" w:rsidRPr="00405AB3">
        <w:t xml:space="preserve"> und Klima </w:t>
      </w:r>
      <w:proofErr w:type="spellStart"/>
      <w:r w:rsidR="00405AB3" w:rsidRPr="00405AB3">
        <w:t>Forschungszentrum</w:t>
      </w:r>
      <w:proofErr w:type="spellEnd"/>
      <w:r w:rsidR="00405AB3" w:rsidRPr="00405AB3">
        <w:t xml:space="preserve"> </w:t>
      </w:r>
      <w:r w:rsidR="00405AB3">
        <w:t>(</w:t>
      </w:r>
      <w:proofErr w:type="spellStart"/>
      <w:r w:rsidR="001066F6">
        <w:t>BiK</w:t>
      </w:r>
      <w:proofErr w:type="spellEnd"/>
      <w:r w:rsidR="001066F6">
        <w:t>-F</w:t>
      </w:r>
      <w:r w:rsidR="00405AB3">
        <w:t>)</w:t>
      </w:r>
      <w:r w:rsidRPr="00C12A85">
        <w:t xml:space="preserve"> in </w:t>
      </w:r>
      <w:r w:rsidR="001066F6">
        <w:t>Frankfurt</w:t>
      </w:r>
      <w:r w:rsidRPr="00C12A85">
        <w:t xml:space="preserve">, </w:t>
      </w:r>
      <w:r w:rsidR="001066F6">
        <w:t>Germany</w:t>
      </w:r>
      <w:r w:rsidRPr="00C12A85">
        <w:t xml:space="preserve">, from </w:t>
      </w:r>
      <w:r w:rsidR="006B2D28">
        <w:t>29</w:t>
      </w:r>
      <w:r w:rsidRPr="00C12A85">
        <w:t xml:space="preserve"> July </w:t>
      </w:r>
      <w:r w:rsidR="006B2D28">
        <w:t>to 3 August 2018</w:t>
      </w:r>
      <w:r w:rsidRPr="00C12A85">
        <w:t xml:space="preserve">, </w:t>
      </w:r>
      <w:r w:rsidR="007B165C">
        <w:t>with additional support from</w:t>
      </w:r>
      <w:r w:rsidR="002A31CD">
        <w:t xml:space="preserve"> the </w:t>
      </w:r>
      <w:r w:rsidR="006B2D28">
        <w:t xml:space="preserve">German </w:t>
      </w:r>
      <w:r w:rsidR="007B165C">
        <w:t>G</w:t>
      </w:r>
      <w:r w:rsidR="006B2D28">
        <w:t>overnment</w:t>
      </w:r>
      <w:r w:rsidR="002A31CD">
        <w:t xml:space="preserve"> and with in-kind support from </w:t>
      </w:r>
      <w:proofErr w:type="spellStart"/>
      <w:r w:rsidR="002A31CD" w:rsidRPr="002A31CD">
        <w:t>Senckenberg</w:t>
      </w:r>
      <w:proofErr w:type="spellEnd"/>
      <w:r w:rsidR="002A31CD" w:rsidRPr="002A31CD">
        <w:t xml:space="preserve"> </w:t>
      </w:r>
      <w:proofErr w:type="spellStart"/>
      <w:r w:rsidR="002A31CD" w:rsidRPr="002A31CD">
        <w:t>BiK</w:t>
      </w:r>
      <w:proofErr w:type="spellEnd"/>
      <w:r w:rsidR="002A31CD" w:rsidRPr="002A31CD">
        <w:t>-F</w:t>
      </w:r>
      <w:r w:rsidRPr="00C12A85">
        <w:t xml:space="preserve">. The objectives were for the experts to address the external review comments and to finalize the development of the assessment chapters. Co-chairs and coordinating lead authors also dedicated </w:t>
      </w:r>
      <w:r w:rsidR="008074C9">
        <w:t xml:space="preserve">two days (3 </w:t>
      </w:r>
      <w:r w:rsidR="006F34A9">
        <w:t>and</w:t>
      </w:r>
      <w:r w:rsidR="008074C9">
        <w:t xml:space="preserve"> 4 August 2018)</w:t>
      </w:r>
      <w:r w:rsidRPr="00C12A85">
        <w:t xml:space="preserve"> to the </w:t>
      </w:r>
      <w:r w:rsidR="002C3288">
        <w:t>finalization</w:t>
      </w:r>
      <w:r w:rsidRPr="00C12A85">
        <w:t xml:space="preserve"> of the summary for policymakers, with support from </w:t>
      </w:r>
      <w:r w:rsidR="002C3288">
        <w:t>management committee</w:t>
      </w:r>
      <w:r w:rsidR="00903E6E">
        <w:t xml:space="preserve"> members</w:t>
      </w:r>
      <w:r w:rsidRPr="00C12A85">
        <w:t>.</w:t>
      </w:r>
      <w:r w:rsidR="007B165C">
        <w:t xml:space="preserve"> </w:t>
      </w:r>
      <w:r w:rsidR="005A268C">
        <w:t xml:space="preserve">Further homogenization of policy-relevant issues across chapters and the summary for policymakers </w:t>
      </w:r>
      <w:r w:rsidR="009E4C55">
        <w:t xml:space="preserve">were </w:t>
      </w:r>
      <w:r w:rsidR="005A268C">
        <w:t>completed during the summary for policymakers’</w:t>
      </w:r>
      <w:r w:rsidR="005A268C" w:rsidRPr="0078468F">
        <w:t xml:space="preserve"> meeting in </w:t>
      </w:r>
      <w:r w:rsidR="005A268C">
        <w:t>Frankfurt, Germany</w:t>
      </w:r>
      <w:r w:rsidR="005A268C" w:rsidRPr="0078468F">
        <w:t xml:space="preserve">. </w:t>
      </w:r>
    </w:p>
    <w:p w14:paraId="4954C50A" w14:textId="77777777" w:rsidR="004B73C7" w:rsidRPr="004D402B" w:rsidRDefault="004B73C7" w:rsidP="004B73C7">
      <w:pPr>
        <w:pStyle w:val="CH2"/>
      </w:pPr>
      <w:r>
        <w:tab/>
        <w:t>C</w:t>
      </w:r>
      <w:r w:rsidRPr="004D402B">
        <w:t>.</w:t>
      </w:r>
      <w:r w:rsidRPr="004D402B">
        <w:tab/>
        <w:t xml:space="preserve">Production of </w:t>
      </w:r>
      <w:r>
        <w:t xml:space="preserve">the </w:t>
      </w:r>
      <w:r w:rsidRPr="004D402B">
        <w:t>final draft</w:t>
      </w:r>
      <w:r>
        <w:t xml:space="preserve"> of the assessment report</w:t>
      </w:r>
    </w:p>
    <w:p w14:paraId="5417F33D" w14:textId="608BB9DE" w:rsidR="004B73C7" w:rsidRPr="00434068"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52285F">
        <w:t xml:space="preserve">The </w:t>
      </w:r>
      <w:r w:rsidR="00EF6B34" w:rsidRPr="0052285F">
        <w:t>six</w:t>
      </w:r>
      <w:r w:rsidRPr="0052285F">
        <w:t xml:space="preserve"> chapters</w:t>
      </w:r>
      <w:r w:rsidRPr="00434068">
        <w:t xml:space="preserve"> of the assessment underwent two external reviews</w:t>
      </w:r>
      <w:r w:rsidR="0052285F">
        <w:t xml:space="preserve"> by experts and Governments</w:t>
      </w:r>
      <w:r w:rsidR="00A64CF9">
        <w:t>. T</w:t>
      </w:r>
      <w:r w:rsidRPr="00434068">
        <w:t xml:space="preserve">he summary for policymakers was reviewed </w:t>
      </w:r>
      <w:r w:rsidR="00A64CF9">
        <w:t xml:space="preserve">by </w:t>
      </w:r>
      <w:r w:rsidRPr="00434068">
        <w:t>Governments</w:t>
      </w:r>
      <w:r w:rsidR="0052285F">
        <w:t xml:space="preserve"> and experts in 2018</w:t>
      </w:r>
      <w:r w:rsidR="00A64CF9">
        <w:t xml:space="preserve"> (as</w:t>
      </w:r>
      <w:r w:rsidR="00313C3E">
        <w:t> </w:t>
      </w:r>
      <w:r w:rsidR="00A64CF9">
        <w:t>part of the second external review)</w:t>
      </w:r>
      <w:r w:rsidR="0052285F">
        <w:t xml:space="preserve"> and by Governments again</w:t>
      </w:r>
      <w:r w:rsidR="00A64CF9">
        <w:t>, during the final review by Governments,</w:t>
      </w:r>
      <w:r w:rsidR="0052285F">
        <w:t xml:space="preserve"> prior to the seventh session of the </w:t>
      </w:r>
      <w:r w:rsidR="00A64CF9">
        <w:t>P</w:t>
      </w:r>
      <w:r w:rsidR="0052285F">
        <w:t>lenary</w:t>
      </w:r>
      <w:r w:rsidRPr="00434068">
        <w:t xml:space="preserve">. </w:t>
      </w:r>
      <w:r w:rsidRPr="0052285F">
        <w:t xml:space="preserve">The </w:t>
      </w:r>
      <w:r w:rsidR="00EF6B34" w:rsidRPr="0052285F">
        <w:t>six</w:t>
      </w:r>
      <w:r w:rsidR="0052285F" w:rsidRPr="0052285F">
        <w:t xml:space="preserve"> </w:t>
      </w:r>
      <w:r w:rsidRPr="0052285F">
        <w:t>chapters received</w:t>
      </w:r>
      <w:r w:rsidRPr="00434068">
        <w:t xml:space="preserve"> a </w:t>
      </w:r>
      <w:r w:rsidR="0072129D">
        <w:t xml:space="preserve">combined </w:t>
      </w:r>
      <w:r w:rsidRPr="00434068">
        <w:t xml:space="preserve">total of </w:t>
      </w:r>
      <w:r w:rsidR="009A2BD4" w:rsidRPr="00596EE1">
        <w:t xml:space="preserve">approximately </w:t>
      </w:r>
      <w:r w:rsidR="0072129D" w:rsidRPr="00596EE1">
        <w:t>1</w:t>
      </w:r>
      <w:r w:rsidR="00596EE1" w:rsidRPr="00596EE1">
        <w:t>0,200</w:t>
      </w:r>
      <w:r w:rsidRPr="00596EE1">
        <w:t xml:space="preserve"> comments from </w:t>
      </w:r>
      <w:r w:rsidR="00FF5080" w:rsidRPr="00596EE1">
        <w:t>4</w:t>
      </w:r>
      <w:r w:rsidR="00596EE1">
        <w:t>42</w:t>
      </w:r>
      <w:r w:rsidRPr="00596EE1">
        <w:t xml:space="preserve"> </w:t>
      </w:r>
      <w:r w:rsidR="0072129D" w:rsidRPr="00596EE1">
        <w:t>expert</w:t>
      </w:r>
      <w:r w:rsidR="0072129D">
        <w:t xml:space="preserve"> reviewers</w:t>
      </w:r>
      <w:r w:rsidRPr="00434068">
        <w:t>, f</w:t>
      </w:r>
      <w:r w:rsidR="0072129D">
        <w:t>rom</w:t>
      </w:r>
      <w:r w:rsidRPr="00434068">
        <w:t xml:space="preserve"> both reviews. </w:t>
      </w:r>
      <w:r w:rsidR="0072129D">
        <w:t xml:space="preserve">The summary for policymakers received </w:t>
      </w:r>
      <w:r w:rsidR="009A2BD4">
        <w:t>approximately 3</w:t>
      </w:r>
      <w:r w:rsidR="00A64CF9">
        <w:t>,</w:t>
      </w:r>
      <w:r w:rsidR="009A2BD4">
        <w:t>500 comments</w:t>
      </w:r>
      <w:r w:rsidR="0072129D" w:rsidRPr="00EF6B34">
        <w:t>, from a</w:t>
      </w:r>
      <w:r w:rsidR="0072129D">
        <w:t xml:space="preserve">bout </w:t>
      </w:r>
      <w:r w:rsidR="009A2BD4">
        <w:t>2</w:t>
      </w:r>
      <w:r w:rsidR="00596EE1">
        <w:t>25</w:t>
      </w:r>
      <w:r w:rsidR="0072129D" w:rsidRPr="00EF6B34">
        <w:t xml:space="preserve"> </w:t>
      </w:r>
      <w:r w:rsidR="009A2BD4">
        <w:t>expert reviewers</w:t>
      </w:r>
      <w:r w:rsidR="0072129D" w:rsidRPr="00EF6B34">
        <w:t>, of which 26</w:t>
      </w:r>
      <w:r w:rsidR="00313C3E">
        <w:t> </w:t>
      </w:r>
      <w:r w:rsidR="0072129D" w:rsidRPr="00EF6B34">
        <w:t>were Governments (and the European Union on behalf of its 28 Member States).</w:t>
      </w:r>
      <w:r w:rsidR="00A64CF9">
        <w:t xml:space="preserve"> The global assessment, overall, thus received a </w:t>
      </w:r>
      <w:r w:rsidR="00A64CF9" w:rsidRPr="00596EE1">
        <w:t xml:space="preserve">total of </w:t>
      </w:r>
      <w:r w:rsidR="00596EE1" w:rsidRPr="00596EE1">
        <w:t xml:space="preserve">13,700 </w:t>
      </w:r>
      <w:r w:rsidR="00A64CF9" w:rsidRPr="00596EE1">
        <w:t>comments.</w:t>
      </w:r>
    </w:p>
    <w:p w14:paraId="35DB4680" w14:textId="2B756B83" w:rsidR="004B73C7" w:rsidRPr="00B03A6A"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B03A6A">
        <w:t xml:space="preserve">These comments were </w:t>
      </w:r>
      <w:r w:rsidR="00027790" w:rsidRPr="00B03A6A">
        <w:t>considered</w:t>
      </w:r>
      <w:r w:rsidRPr="00B03A6A">
        <w:t xml:space="preserve"> by the authors when producing the final draft. The entire process was supported by the review editors, who helped the authors with interpreting review comments and ensured that they were addressed appropriately by the authors. Responses to comments from both the first and second review phases will be published on the IPBES website after the approval of the summary for policymakers and the acceptance of the chapters, </w:t>
      </w:r>
      <w:r w:rsidR="00A64CF9">
        <w:t>following</w:t>
      </w:r>
      <w:r w:rsidR="00A64CF9" w:rsidRPr="00B03A6A">
        <w:t xml:space="preserve"> </w:t>
      </w:r>
      <w:r w:rsidRPr="00B03A6A">
        <w:t xml:space="preserve">the </w:t>
      </w:r>
      <w:r w:rsidR="00B03A6A">
        <w:t>seventh</w:t>
      </w:r>
      <w:r w:rsidRPr="00B03A6A">
        <w:t xml:space="preserve"> session of the Plenary. </w:t>
      </w:r>
    </w:p>
    <w:p w14:paraId="4CC42E62" w14:textId="1CD85758" w:rsidR="00B963AD" w:rsidRPr="00B963AD" w:rsidRDefault="00B963AD" w:rsidP="00EB1737">
      <w:pPr>
        <w:pStyle w:val="CH2"/>
        <w:rPr>
          <w:highlight w:val="yellow"/>
        </w:rPr>
      </w:pPr>
      <w:r>
        <w:tab/>
      </w:r>
      <w:r w:rsidRPr="00C07012">
        <w:t>D.</w:t>
      </w:r>
      <w:r w:rsidRPr="00C07012">
        <w:tab/>
      </w:r>
      <w:r w:rsidR="00A64CF9">
        <w:t>A</w:t>
      </w:r>
      <w:r w:rsidRPr="00C07012">
        <w:t xml:space="preserve">ddressing the requests </w:t>
      </w:r>
      <w:r w:rsidR="00A64CF9">
        <w:t>made by the Plenary at its sixth session</w:t>
      </w:r>
      <w:r w:rsidRPr="00C07012">
        <w:t xml:space="preserve"> </w:t>
      </w:r>
    </w:p>
    <w:p w14:paraId="7DEE5030" w14:textId="21E67655" w:rsidR="00F86701" w:rsidRDefault="0085265F" w:rsidP="00B963AD">
      <w:pPr>
        <w:pStyle w:val="Normalnumber"/>
      </w:pPr>
      <w:r w:rsidRPr="00714284">
        <w:t xml:space="preserve">The Plenary </w:t>
      </w:r>
      <w:r w:rsidR="00A64CF9">
        <w:t>at</w:t>
      </w:r>
      <w:r w:rsidR="00A64CF9" w:rsidRPr="00714284">
        <w:t xml:space="preserve"> </w:t>
      </w:r>
      <w:r w:rsidRPr="00714284">
        <w:t xml:space="preserve">its sixth session requested </w:t>
      </w:r>
      <w:r w:rsidR="00A64CF9">
        <w:t>in decision IPBES-6/1</w:t>
      </w:r>
      <w:r w:rsidR="00B94970">
        <w:t xml:space="preserve">, </w:t>
      </w:r>
      <w:r w:rsidR="00A64CF9">
        <w:t>section IV</w:t>
      </w:r>
      <w:r w:rsidR="00B94970">
        <w:t>,</w:t>
      </w:r>
      <w:r w:rsidR="00A64CF9">
        <w:t xml:space="preserve"> </w:t>
      </w:r>
      <w:r w:rsidR="00550A54" w:rsidRPr="00714284">
        <w:t>the Multidisciplinary Expert Panel and the Bureau to facilitate discussions among the co-chairs of the global assessment of biodiversity and ecosystem services, the regional assessments of biodiversity and ecosystem services and the assessment of land degradation and restoration, Governments and other stakeholders on the lessons learned from the ways in which the concept of “nature’s contributions to people” ha</w:t>
      </w:r>
      <w:r w:rsidR="0085066F" w:rsidRPr="00714284">
        <w:t>d</w:t>
      </w:r>
      <w:r w:rsidR="00550A54" w:rsidRPr="00714284">
        <w:t xml:space="preserve"> been introduced and used in the regional assessments of biodiversity and ecosystem services and in the assessment of land degradation and restoration, and how it ha</w:t>
      </w:r>
      <w:r w:rsidR="0085066F" w:rsidRPr="00714284">
        <w:t>d</w:t>
      </w:r>
      <w:r w:rsidR="00550A54" w:rsidRPr="00714284">
        <w:t xml:space="preserve"> been received, in order to assist Governments and other stakeholders in </w:t>
      </w:r>
      <w:r w:rsidR="00550A54" w:rsidRPr="0078468F">
        <w:t xml:space="preserve">their review of the second draft of the global assessment, noting that the concept </w:t>
      </w:r>
      <w:r w:rsidR="00A64CF9">
        <w:t>wa</w:t>
      </w:r>
      <w:r w:rsidR="00550A54" w:rsidRPr="0078468F">
        <w:t>s an evolving one</w:t>
      </w:r>
      <w:r w:rsidR="0085066F" w:rsidRPr="0078468F">
        <w:t xml:space="preserve">. </w:t>
      </w:r>
    </w:p>
    <w:p w14:paraId="2D6671B2" w14:textId="5247B465" w:rsidR="002D54AF" w:rsidRDefault="00A64CF9" w:rsidP="002D54AF">
      <w:pPr>
        <w:pStyle w:val="Normalnumber"/>
      </w:pPr>
      <w:r>
        <w:t xml:space="preserve">To address this request, </w:t>
      </w:r>
      <w:r w:rsidR="002D54AF">
        <w:t>t</w:t>
      </w:r>
      <w:r>
        <w:t xml:space="preserve">he </w:t>
      </w:r>
      <w:r w:rsidRPr="00714284">
        <w:t xml:space="preserve">Multidisciplinary Expert Panel and the Bureau </w:t>
      </w:r>
      <w:r>
        <w:t xml:space="preserve">convened an </w:t>
      </w:r>
      <w:r w:rsidR="00F86701">
        <w:t>IPBES consultation meeting in Bonn, Germany</w:t>
      </w:r>
      <w:r w:rsidR="00F86701" w:rsidRPr="009766D7">
        <w:t>, from 4 to 6 June</w:t>
      </w:r>
      <w:r w:rsidR="00F86701">
        <w:t xml:space="preserve"> 2018, attended by </w:t>
      </w:r>
      <w:r w:rsidR="00F86701" w:rsidRPr="002A31CD">
        <w:t xml:space="preserve">48 </w:t>
      </w:r>
      <w:r w:rsidR="002D54AF">
        <w:t xml:space="preserve">IPBES </w:t>
      </w:r>
      <w:r w:rsidR="00F86701">
        <w:t xml:space="preserve">national focal points </w:t>
      </w:r>
      <w:r w:rsidR="00F86701" w:rsidRPr="002A31CD">
        <w:t>and the European Union on behalf of its 28 Member States</w:t>
      </w:r>
      <w:r w:rsidR="00F86701">
        <w:t xml:space="preserve">, members of the </w:t>
      </w:r>
      <w:r w:rsidR="00F86701" w:rsidRPr="00714284">
        <w:t>Multidisciplinary Expert Panel and the Bureau</w:t>
      </w:r>
      <w:r w:rsidR="00F86701">
        <w:t>, and the co-chairs and four coordinating lead authors and lead authors of the global assessment, to discuss</w:t>
      </w:r>
      <w:r w:rsidR="002D54AF">
        <w:t xml:space="preserve"> </w:t>
      </w:r>
      <w:r w:rsidR="00F86701">
        <w:t>the relevance and usefulness of the nature’s contributions to people concept. This meeting was organised during the second review period of the global assessment</w:t>
      </w:r>
      <w:r w:rsidR="00F86701" w:rsidRPr="00AA10EC">
        <w:t xml:space="preserve">. </w:t>
      </w:r>
      <w:r w:rsidR="00F86701" w:rsidRPr="002A60C1">
        <w:t>The</w:t>
      </w:r>
      <w:r w:rsidR="002D54AF" w:rsidRPr="002A60C1">
        <w:t xml:space="preserve"> meeting concluded that</w:t>
      </w:r>
      <w:r w:rsidR="002D54AF" w:rsidRPr="00AA10EC">
        <w:t xml:space="preserve"> the global assess</w:t>
      </w:r>
      <w:r w:rsidR="002D54AF">
        <w:t>ment would</w:t>
      </w:r>
      <w:r w:rsidR="00F86701">
        <w:t xml:space="preserve"> use both nature’s contributions to people and ecosystem services </w:t>
      </w:r>
      <w:r w:rsidR="002D54AF">
        <w:t>terminologies</w:t>
      </w:r>
      <w:r w:rsidR="00431D5A">
        <w:t xml:space="preserve">, </w:t>
      </w:r>
      <w:r w:rsidR="00AA10EC">
        <w:t xml:space="preserve">where appropriate, </w:t>
      </w:r>
      <w:r w:rsidR="00F86701">
        <w:t xml:space="preserve">throughout the global assessment </w:t>
      </w:r>
      <w:r w:rsidR="002D54AF">
        <w:t>in order:</w:t>
      </w:r>
      <w:r w:rsidR="00F86701">
        <w:t xml:space="preserve"> </w:t>
      </w:r>
      <w:r w:rsidR="00313C3E">
        <w:br/>
      </w:r>
      <w:proofErr w:type="spellStart"/>
      <w:r w:rsidR="00F86701">
        <w:t>i</w:t>
      </w:r>
      <w:proofErr w:type="spellEnd"/>
      <w:r w:rsidR="00F86701">
        <w:t xml:space="preserve">) </w:t>
      </w:r>
      <w:r w:rsidR="002D54AF">
        <w:t xml:space="preserve">to </w:t>
      </w:r>
      <w:r w:rsidR="00F86701">
        <w:t>reflect the policy questions in the scoping report, ii) to reflect the evolution of thinking and the scientific debate over the ecosystem service concept, and iii) to embrace negative nature’s contributions to people.</w:t>
      </w:r>
      <w:r w:rsidR="002D54AF">
        <w:t xml:space="preserve"> </w:t>
      </w:r>
    </w:p>
    <w:p w14:paraId="540F3072" w14:textId="6B6661CC" w:rsidR="005A268C" w:rsidRDefault="002D54AF" w:rsidP="00B3312C">
      <w:pPr>
        <w:pStyle w:val="Normalnumber"/>
      </w:pPr>
      <w:r w:rsidRPr="00AA10EC">
        <w:t>During that same meeting, t</w:t>
      </w:r>
      <w:r w:rsidR="005A268C" w:rsidRPr="00AA10EC">
        <w:t>he advances</w:t>
      </w:r>
      <w:r w:rsidR="005A268C">
        <w:t xml:space="preserve"> and main results of the summary for policymakers were presented by the co-chairs of the global assessment and part of the coordinating lead authors (key</w:t>
      </w:r>
      <w:r w:rsidR="00313C3E">
        <w:t> </w:t>
      </w:r>
      <w:r w:rsidR="005A268C">
        <w:t xml:space="preserve">chapters with policy content) to national focal points. Comments were received on content and concepts in terms of </w:t>
      </w:r>
      <w:r w:rsidR="005A268C" w:rsidRPr="0078468F">
        <w:t>policy relevance, key messages and cross-cutting topics</w:t>
      </w:r>
      <w:r w:rsidR="005A268C">
        <w:t xml:space="preserve"> and gaps</w:t>
      </w:r>
      <w:r>
        <w:t xml:space="preserve">. A </w:t>
      </w:r>
      <w:r w:rsidR="005A268C">
        <w:t xml:space="preserve">final table of aspirations and options was suggested to ensure </w:t>
      </w:r>
      <w:r>
        <w:t xml:space="preserve">that </w:t>
      </w:r>
      <w:r w:rsidR="005A268C">
        <w:t xml:space="preserve">policy questions are addressed. Additional comments were received on policy-adapted </w:t>
      </w:r>
      <w:r w:rsidR="005A268C" w:rsidRPr="0078468F">
        <w:t xml:space="preserve">style and language. </w:t>
      </w:r>
    </w:p>
    <w:p w14:paraId="24F3CB49" w14:textId="63A2BA30" w:rsidR="00865B42" w:rsidRDefault="002D54AF" w:rsidP="00865B42">
      <w:pPr>
        <w:pStyle w:val="Normalnumber"/>
      </w:pPr>
      <w:r>
        <w:t>Furthermore, in the same decision IPBES-6/1, t</w:t>
      </w:r>
      <w:r w:rsidR="001574EB">
        <w:t>he Plenary</w:t>
      </w:r>
      <w:r w:rsidR="00714284" w:rsidRPr="0078468F">
        <w:t xml:space="preserve"> requested the Bureau and the Multidisciplinary Expert Panel, working with the co-chairs and coordinating lead authors of the global assessment of biodiversity and ecosystem services, to ensure that the results of the completed regional, thematic and methodological assessments, as well as any other relevant assessments undertaken by other international bodies, are taken into account in the preparation and finalization of the global assessment</w:t>
      </w:r>
      <w:r w:rsidR="005E0550" w:rsidRPr="0078468F">
        <w:t xml:space="preserve">. </w:t>
      </w:r>
      <w:r w:rsidR="00686EFC">
        <w:t xml:space="preserve">The </w:t>
      </w:r>
      <w:r w:rsidR="00FD76C4">
        <w:t xml:space="preserve">co-chairs reached out to 11 </w:t>
      </w:r>
      <w:r w:rsidR="00B23FA8">
        <w:t xml:space="preserve">experts, including </w:t>
      </w:r>
      <w:r w:rsidR="00FD76C4" w:rsidRPr="00D43173">
        <w:t xml:space="preserve">regional </w:t>
      </w:r>
      <w:r w:rsidR="00B23FA8" w:rsidRPr="00D43173">
        <w:t xml:space="preserve">and land degradation and restoration </w:t>
      </w:r>
      <w:r w:rsidR="00FD76C4" w:rsidRPr="00D43173">
        <w:t>assessment</w:t>
      </w:r>
      <w:r w:rsidR="00B23FA8" w:rsidRPr="00D43173">
        <w:t>s</w:t>
      </w:r>
      <w:r w:rsidR="00FD76C4" w:rsidRPr="00D43173">
        <w:t xml:space="preserve"> co-chairs and</w:t>
      </w:r>
      <w:r w:rsidR="00B23FA8" w:rsidRPr="00D43173">
        <w:t xml:space="preserve"> </w:t>
      </w:r>
      <w:r w:rsidR="00FD76C4" w:rsidRPr="00D43173">
        <w:t>authors to review the draft global</w:t>
      </w:r>
      <w:r w:rsidR="00FD76C4">
        <w:t xml:space="preserve"> assessment summary for policymakers with targeted requests and to review any relevant sections of the chapters that had significant input from the regional assessment or from the land degradation and restoration assessment</w:t>
      </w:r>
      <w:r w:rsidR="00AE73D8">
        <w:t xml:space="preserve"> to align content and build from the</w:t>
      </w:r>
      <w:r w:rsidR="00D43173">
        <w:t>se</w:t>
      </w:r>
      <w:r w:rsidR="00AE73D8">
        <w:t xml:space="preserve"> past assessments</w:t>
      </w:r>
      <w:r w:rsidR="00FD76C4">
        <w:t xml:space="preserve">. This group of experts, coined </w:t>
      </w:r>
      <w:r w:rsidR="00AE73D8">
        <w:t xml:space="preserve">informally as the </w:t>
      </w:r>
      <w:r w:rsidR="00FD76C4">
        <w:t>“</w:t>
      </w:r>
      <w:r w:rsidR="00D43173">
        <w:t>r</w:t>
      </w:r>
      <w:r w:rsidR="00FD76C4" w:rsidRPr="00FD76C4">
        <w:t xml:space="preserve">egional and </w:t>
      </w:r>
      <w:r w:rsidR="00D43173">
        <w:t>l</w:t>
      </w:r>
      <w:r w:rsidR="00FD76C4" w:rsidRPr="00FD76C4">
        <w:t xml:space="preserve">and </w:t>
      </w:r>
      <w:r w:rsidR="00D43173">
        <w:t>d</w:t>
      </w:r>
      <w:r w:rsidR="00FD76C4" w:rsidRPr="00FD76C4">
        <w:t xml:space="preserve">egradation and </w:t>
      </w:r>
      <w:r w:rsidR="00D43173">
        <w:t>r</w:t>
      </w:r>
      <w:r w:rsidR="00FD76C4" w:rsidRPr="00FD76C4">
        <w:t>estoration assessment</w:t>
      </w:r>
      <w:r w:rsidR="00D43173">
        <w:t>s</w:t>
      </w:r>
      <w:r w:rsidR="00FD76C4" w:rsidRPr="00FD76C4">
        <w:t xml:space="preserve"> ambassadors</w:t>
      </w:r>
      <w:r w:rsidR="00FD76C4">
        <w:t>” w</w:t>
      </w:r>
      <w:r w:rsidR="00D43173">
        <w:t>as</w:t>
      </w:r>
      <w:r w:rsidR="00FD76C4">
        <w:t xml:space="preserve"> also requested to </w:t>
      </w:r>
      <w:r w:rsidR="00FD76C4" w:rsidRPr="00FD76C4">
        <w:t xml:space="preserve">interact directly with the </w:t>
      </w:r>
      <w:r w:rsidR="00FD76C4">
        <w:t xml:space="preserve">coordinating lead authors on alignment of content. </w:t>
      </w:r>
      <w:r w:rsidR="00AE73D8">
        <w:t>As a result of their review or contribution</w:t>
      </w:r>
      <w:r w:rsidR="00BA4A21">
        <w:t>,</w:t>
      </w:r>
      <w:r w:rsidR="00AE73D8">
        <w:t xml:space="preserve"> they were listed either as an expert reviewer or a contributing author. Furthermore, Markus Fischer, Luthando Dziba and Madhav Karki</w:t>
      </w:r>
      <w:r w:rsidR="00D43173">
        <w:t>, who</w:t>
      </w:r>
      <w:r w:rsidR="00AE73D8">
        <w:t xml:space="preserve"> </w:t>
      </w:r>
      <w:r w:rsidR="00D43173">
        <w:t xml:space="preserve">were elected </w:t>
      </w:r>
      <w:r w:rsidR="00B94970">
        <w:t>to</w:t>
      </w:r>
      <w:r w:rsidR="00D43173">
        <w:t xml:space="preserve"> the M</w:t>
      </w:r>
      <w:r w:rsidR="00B94970">
        <w:t xml:space="preserve">ultidisciplinary </w:t>
      </w:r>
      <w:r w:rsidR="00D43173">
        <w:t>E</w:t>
      </w:r>
      <w:r w:rsidR="00B94970">
        <w:t xml:space="preserve">xpert </w:t>
      </w:r>
      <w:r w:rsidR="00D43173">
        <w:t>P</w:t>
      </w:r>
      <w:r w:rsidR="00B94970">
        <w:t>anel</w:t>
      </w:r>
      <w:r w:rsidR="00D43173">
        <w:t>, and are</w:t>
      </w:r>
      <w:r w:rsidR="00AE73D8">
        <w:t xml:space="preserve"> </w:t>
      </w:r>
      <w:r w:rsidR="00D43173">
        <w:t>former</w:t>
      </w:r>
      <w:r w:rsidR="00AE73D8">
        <w:t xml:space="preserve"> co-chairs </w:t>
      </w:r>
      <w:r w:rsidR="00D43173">
        <w:t>of several</w:t>
      </w:r>
      <w:r w:rsidR="00AE73D8">
        <w:t xml:space="preserve"> regional assessments</w:t>
      </w:r>
      <w:r w:rsidR="00D43173">
        <w:t xml:space="preserve">, were </w:t>
      </w:r>
      <w:r w:rsidR="00AE73D8">
        <w:t>a</w:t>
      </w:r>
      <w:r w:rsidR="00CE1BB3">
        <w:t>dditionally requested</w:t>
      </w:r>
      <w:r w:rsidR="00D43173">
        <w:t>, in their capacity as members</w:t>
      </w:r>
      <w:r w:rsidR="00B94970">
        <w:t xml:space="preserve"> of the Panel</w:t>
      </w:r>
      <w:r w:rsidR="00D43173">
        <w:t>,</w:t>
      </w:r>
      <w:r w:rsidR="00AE73D8">
        <w:t xml:space="preserve"> to review the summary for policymakers in multiple iterations to ensure that the global assessment built upon the regional assessments’ key findings. </w:t>
      </w:r>
    </w:p>
    <w:p w14:paraId="0DEBDB33" w14:textId="1F8983E9" w:rsidR="007209EF" w:rsidRPr="0078468F" w:rsidRDefault="007209EF" w:rsidP="007209EF">
      <w:pPr>
        <w:pStyle w:val="Normalnumber"/>
      </w:pPr>
      <w:r>
        <w:t>The Plenary</w:t>
      </w:r>
      <w:r w:rsidRPr="0078468F">
        <w:t xml:space="preserve"> requested the co-chairs of the global assessment of biodiversity and ecosystem services to work with the Multidisciplinary Expert Panel and the Bureau to ensure that the policy questions set out in the scoping report of the assessment are addressed in the draft summary for policymakers</w:t>
      </w:r>
      <w:r>
        <w:t>. The M</w:t>
      </w:r>
      <w:r w:rsidR="00B94970">
        <w:t>ultidisciplinary Expert Panel</w:t>
      </w:r>
      <w:r>
        <w:t xml:space="preserve"> and </w:t>
      </w:r>
      <w:r w:rsidR="00B94970">
        <w:t xml:space="preserve">the </w:t>
      </w:r>
      <w:r>
        <w:t>Bureau, especially those</w:t>
      </w:r>
      <w:r w:rsidR="00B94970">
        <w:t xml:space="preserve"> members</w:t>
      </w:r>
      <w:r>
        <w:t xml:space="preserve"> serving on the global assessment management committee, were asked to review the summary for policymakers </w:t>
      </w:r>
      <w:r w:rsidR="00D43173">
        <w:t>several times</w:t>
      </w:r>
      <w:r>
        <w:t xml:space="preserve"> during the course of its development</w:t>
      </w:r>
      <w:r w:rsidR="00D43173">
        <w:t>, including in preparation for</w:t>
      </w:r>
      <w:r>
        <w:t xml:space="preserve"> both the 11</w:t>
      </w:r>
      <w:r w:rsidRPr="004368D6">
        <w:rPr>
          <w:vertAlign w:val="superscript"/>
        </w:rPr>
        <w:t>th</w:t>
      </w:r>
      <w:r>
        <w:t xml:space="preserve"> </w:t>
      </w:r>
      <w:r w:rsidR="00D43173">
        <w:t>and 12</w:t>
      </w:r>
      <w:r w:rsidR="00D43173" w:rsidRPr="00D43173">
        <w:rPr>
          <w:vertAlign w:val="superscript"/>
        </w:rPr>
        <w:t>th</w:t>
      </w:r>
      <w:r w:rsidR="00D43173">
        <w:t xml:space="preserve"> </w:t>
      </w:r>
      <w:r>
        <w:t xml:space="preserve">meetings of the Bureau and </w:t>
      </w:r>
      <w:r w:rsidR="00B94970">
        <w:t>the Multidisciplinary Expert Panel</w:t>
      </w:r>
      <w:r>
        <w:t xml:space="preserve"> (25-</w:t>
      </w:r>
      <w:r w:rsidRPr="009B1A9D">
        <w:t>29 June 2018</w:t>
      </w:r>
      <w:r w:rsidR="00D43173">
        <w:t xml:space="preserve">, and </w:t>
      </w:r>
      <w:r w:rsidR="00313C3E">
        <w:br/>
      </w:r>
      <w:r>
        <w:t>22-</w:t>
      </w:r>
      <w:r w:rsidRPr="009B1A9D">
        <w:t>26 October 2018</w:t>
      </w:r>
      <w:r>
        <w:t xml:space="preserve">). </w:t>
      </w:r>
      <w:r w:rsidR="00D43173">
        <w:t>T</w:t>
      </w:r>
      <w:r>
        <w:t>he 12</w:t>
      </w:r>
      <w:r w:rsidRPr="004368D6">
        <w:rPr>
          <w:vertAlign w:val="superscript"/>
        </w:rPr>
        <w:t>th</w:t>
      </w:r>
      <w:r>
        <w:t xml:space="preserve"> meetings</w:t>
      </w:r>
      <w:r w:rsidR="00D43173">
        <w:t xml:space="preserve"> invited </w:t>
      </w:r>
      <w:r>
        <w:t xml:space="preserve">the co-chairs </w:t>
      </w:r>
      <w:r w:rsidR="00D43173">
        <w:t>of the global assessment to allow</w:t>
      </w:r>
      <w:r>
        <w:t xml:space="preserve"> for an in-person interaction with the </w:t>
      </w:r>
      <w:r w:rsidR="00B94970">
        <w:t>Multidisciplinary Expert Panel</w:t>
      </w:r>
      <w:r>
        <w:t xml:space="preserve"> and Bureau</w:t>
      </w:r>
      <w:r w:rsidR="00D43173">
        <w:t>, to in particular</w:t>
      </w:r>
      <w:r>
        <w:t xml:space="preserve"> ensure </w:t>
      </w:r>
      <w:r w:rsidR="00D43173">
        <w:t xml:space="preserve">consideration of </w:t>
      </w:r>
      <w:r>
        <w:t xml:space="preserve">the policy-relevant questions </w:t>
      </w:r>
      <w:r w:rsidR="00D43173">
        <w:t>from</w:t>
      </w:r>
      <w:r>
        <w:t xml:space="preserve"> the scoping report </w:t>
      </w:r>
      <w:r w:rsidR="00D43173">
        <w:t>in</w:t>
      </w:r>
      <w:r>
        <w:t xml:space="preserve"> the summary for policymakers. The </w:t>
      </w:r>
      <w:r w:rsidR="00CC4198">
        <w:t>Multidisciplinary Expert Panel</w:t>
      </w:r>
      <w:r>
        <w:t xml:space="preserve"> and </w:t>
      </w:r>
      <w:r w:rsidR="00CC4198">
        <w:t xml:space="preserve">the </w:t>
      </w:r>
      <w:r>
        <w:t xml:space="preserve">Bureau also participated in an internal review late December </w:t>
      </w:r>
      <w:r w:rsidR="00CC4198">
        <w:t>of</w:t>
      </w:r>
      <w:r>
        <w:t xml:space="preserve"> a </w:t>
      </w:r>
      <w:r w:rsidR="00D43173">
        <w:t>close to final</w:t>
      </w:r>
      <w:r>
        <w:t xml:space="preserve"> draft of the summary for policymakers. </w:t>
      </w:r>
    </w:p>
    <w:p w14:paraId="382C6016" w14:textId="580B3F78" w:rsidR="004B73C7" w:rsidRPr="002D54AF" w:rsidRDefault="004B73C7" w:rsidP="002D54AF">
      <w:pPr>
        <w:pStyle w:val="CH1"/>
        <w:rPr>
          <w:sz w:val="24"/>
          <w:szCs w:val="24"/>
        </w:rPr>
      </w:pPr>
      <w:r w:rsidRPr="002D54AF">
        <w:rPr>
          <w:sz w:val="24"/>
          <w:szCs w:val="24"/>
        </w:rPr>
        <w:tab/>
      </w:r>
      <w:r w:rsidR="00405A92">
        <w:rPr>
          <w:sz w:val="24"/>
          <w:szCs w:val="24"/>
        </w:rPr>
        <w:t>E.</w:t>
      </w:r>
      <w:r w:rsidRPr="002D54AF">
        <w:rPr>
          <w:sz w:val="24"/>
          <w:szCs w:val="24"/>
        </w:rPr>
        <w:tab/>
      </w:r>
      <w:r w:rsidR="00EB1737" w:rsidRPr="00A15DFB">
        <w:rPr>
          <w:rFonts w:eastAsia="Gulim"/>
          <w:sz w:val="24"/>
          <w:szCs w:val="24"/>
          <w:lang w:eastAsia="ko-KR"/>
        </w:rPr>
        <w:t>The indigenous and local knowledge approach in the global assessment</w:t>
      </w:r>
      <w:r w:rsidR="00EB1737">
        <w:t xml:space="preserve"> </w:t>
      </w:r>
    </w:p>
    <w:p w14:paraId="4B8A4682" w14:textId="51C2BB61" w:rsidR="00EB1737"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B17414">
        <w:t xml:space="preserve">The </w:t>
      </w:r>
      <w:r w:rsidR="00535044">
        <w:t xml:space="preserve">global assessment </w:t>
      </w:r>
      <w:r w:rsidRPr="00B17414">
        <w:t>expert group interacted with the task force on indigenous and local knowledge systems</w:t>
      </w:r>
      <w:r w:rsidR="00535044">
        <w:t xml:space="preserve"> through </w:t>
      </w:r>
      <w:r w:rsidR="00EB1737">
        <w:t xml:space="preserve">to </w:t>
      </w:r>
      <w:r w:rsidR="00535044">
        <w:t>organiz</w:t>
      </w:r>
      <w:r w:rsidR="00EB1737">
        <w:t>e</w:t>
      </w:r>
      <w:r w:rsidR="00535044">
        <w:t xml:space="preserve"> side events, dialogues and the online call for contributions for the global assessment</w:t>
      </w:r>
      <w:r w:rsidR="00EB1737">
        <w:t>, in order to implement the approach to recognizing and working with indigenous and local knowledge to the global assessment</w:t>
      </w:r>
      <w:r w:rsidR="0027326C">
        <w:t>, following its approval Following the approval (decision</w:t>
      </w:r>
      <w:r w:rsidR="00313C3E">
        <w:t> </w:t>
      </w:r>
      <w:r w:rsidR="0027326C">
        <w:t>IPBES-5/1, section III, and annex II).</w:t>
      </w:r>
    </w:p>
    <w:p w14:paraId="7A494E55" w14:textId="502AA85E" w:rsidR="003F10DB" w:rsidRDefault="0027326C" w:rsidP="00A15DFB">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t>T</w:t>
      </w:r>
      <w:r w:rsidR="00684A5E">
        <w:t xml:space="preserve">he global assessment organized a series of </w:t>
      </w:r>
      <w:r w:rsidR="006520EC">
        <w:t xml:space="preserve">events </w:t>
      </w:r>
      <w:r w:rsidR="003B52BF">
        <w:t>and activities led by a</w:t>
      </w:r>
      <w:r w:rsidR="006520EC">
        <w:t xml:space="preserve"> subgroup of authors </w:t>
      </w:r>
      <w:r w:rsidR="00E0760C">
        <w:t>which formed the</w:t>
      </w:r>
      <w:r w:rsidR="006520EC">
        <w:t xml:space="preserve"> </w:t>
      </w:r>
      <w:r>
        <w:t>“</w:t>
      </w:r>
      <w:r w:rsidR="006520EC">
        <w:t>indigenous and local knowledge liaison group</w:t>
      </w:r>
      <w:r>
        <w:t>”</w:t>
      </w:r>
      <w:r w:rsidR="00EB1737">
        <w:t xml:space="preserve">, </w:t>
      </w:r>
      <w:r>
        <w:t>summarised below</w:t>
      </w:r>
      <w:r w:rsidR="004A3E0B">
        <w:t xml:space="preserve">: </w:t>
      </w:r>
      <w:r w:rsidR="006520EC">
        <w:t xml:space="preserve"> </w:t>
      </w:r>
    </w:p>
    <w:p w14:paraId="04F1AEFA" w14:textId="3DC176A4" w:rsidR="006520EC" w:rsidRDefault="004A3E0B" w:rsidP="003F10DB">
      <w:pPr>
        <w:pStyle w:val="Normalnumber"/>
        <w:numPr>
          <w:ilvl w:val="1"/>
          <w:numId w:val="67"/>
        </w:numPr>
        <w:tabs>
          <w:tab w:val="left" w:pos="624"/>
        </w:tabs>
      </w:pPr>
      <w:r>
        <w:t xml:space="preserve">An indigenous and local knowledge online </w:t>
      </w:r>
      <w:r w:rsidR="00EB1737">
        <w:t>c</w:t>
      </w:r>
      <w:r w:rsidR="006520EC" w:rsidRPr="006520EC">
        <w:t xml:space="preserve">all for </w:t>
      </w:r>
      <w:r w:rsidR="00EB1737">
        <w:t>c</w:t>
      </w:r>
      <w:r w:rsidR="006520EC" w:rsidRPr="006520EC">
        <w:t>ontributions</w:t>
      </w:r>
      <w:r w:rsidR="00546088">
        <w:t>, translated into three languages (English, French and Spanish)</w:t>
      </w:r>
      <w:r w:rsidR="00A47321">
        <w:t>,</w:t>
      </w:r>
      <w:r w:rsidR="00546088">
        <w:t xml:space="preserve"> </w:t>
      </w:r>
      <w:r>
        <w:t>took place for five months from 25 July – 20 December 2017</w:t>
      </w:r>
      <w:r w:rsidR="00546088">
        <w:t xml:space="preserve"> in order to mobilize a wider network of individuals and people who would like to contribute and share information on topics being covered by the global assessment which might not </w:t>
      </w:r>
      <w:r w:rsidR="00A47321">
        <w:t xml:space="preserve">otherwise </w:t>
      </w:r>
      <w:r w:rsidR="00B52793">
        <w:t xml:space="preserve">be generated or discovered in traditional approaches to literature review. This online call for contributions </w:t>
      </w:r>
      <w:r w:rsidR="00D549B7">
        <w:t xml:space="preserve">resulted in almost 1200 relevant publications or pieces of evidence. </w:t>
      </w:r>
    </w:p>
    <w:p w14:paraId="11E82478" w14:textId="369B6436" w:rsidR="003B52BF" w:rsidRDefault="0027326C" w:rsidP="003B52BF">
      <w:pPr>
        <w:pStyle w:val="ListParagraph"/>
        <w:numPr>
          <w:ilvl w:val="1"/>
          <w:numId w:val="67"/>
        </w:numPr>
        <w:spacing w:line="240" w:lineRule="auto"/>
        <w:ind w:left="1253"/>
        <w:rPr>
          <w:rFonts w:ascii="Times New Roman" w:eastAsia="Times New Roman" w:hAnsi="Times New Roman"/>
          <w:sz w:val="20"/>
          <w:szCs w:val="20"/>
          <w:lang w:val="en-GB"/>
        </w:rPr>
      </w:pPr>
      <w:r>
        <w:rPr>
          <w:rFonts w:ascii="Times New Roman" w:hAnsi="Times New Roman"/>
          <w:sz w:val="20"/>
          <w:szCs w:val="20"/>
        </w:rPr>
        <w:t>Participation (</w:t>
      </w:r>
      <w:r w:rsidR="00EC2AEB" w:rsidRPr="00EC2AEB">
        <w:rPr>
          <w:rFonts w:ascii="Times New Roman" w:hAnsi="Times New Roman"/>
          <w:sz w:val="20"/>
          <w:szCs w:val="20"/>
        </w:rPr>
        <w:t xml:space="preserve">Eduardo </w:t>
      </w:r>
      <w:proofErr w:type="spellStart"/>
      <w:r w:rsidR="00EC2AEB" w:rsidRPr="00EC2AEB">
        <w:rPr>
          <w:rFonts w:ascii="Times New Roman" w:hAnsi="Times New Roman"/>
          <w:sz w:val="20"/>
          <w:szCs w:val="20"/>
        </w:rPr>
        <w:t>Brondízio</w:t>
      </w:r>
      <w:proofErr w:type="spellEnd"/>
      <w:r w:rsidR="00EC2AEB" w:rsidRPr="00EC2AEB">
        <w:rPr>
          <w:rFonts w:ascii="Times New Roman" w:hAnsi="Times New Roman"/>
          <w:sz w:val="20"/>
          <w:szCs w:val="20"/>
        </w:rPr>
        <w:t xml:space="preserve"> </w:t>
      </w:r>
      <w:r w:rsidR="00B52793" w:rsidRPr="003F10DB">
        <w:rPr>
          <w:rFonts w:ascii="Times New Roman" w:hAnsi="Times New Roman"/>
          <w:sz w:val="20"/>
          <w:szCs w:val="20"/>
        </w:rPr>
        <w:t>(co-chair)</w:t>
      </w:r>
      <w:r>
        <w:rPr>
          <w:rFonts w:ascii="Times New Roman" w:hAnsi="Times New Roman"/>
          <w:sz w:val="20"/>
          <w:szCs w:val="20"/>
        </w:rPr>
        <w:t>)</w:t>
      </w:r>
      <w:r w:rsidR="00B52793" w:rsidRPr="003F10DB">
        <w:rPr>
          <w:rFonts w:ascii="Times New Roman" w:hAnsi="Times New Roman"/>
          <w:sz w:val="20"/>
          <w:szCs w:val="20"/>
        </w:rPr>
        <w:t xml:space="preserve"> </w:t>
      </w:r>
      <w:r>
        <w:rPr>
          <w:rFonts w:ascii="Times New Roman" w:hAnsi="Times New Roman"/>
          <w:sz w:val="20"/>
          <w:szCs w:val="20"/>
        </w:rPr>
        <w:t>in</w:t>
      </w:r>
      <w:r w:rsidR="00B52793" w:rsidRPr="003F10DB">
        <w:rPr>
          <w:rFonts w:ascii="Times New Roman" w:hAnsi="Times New Roman"/>
          <w:sz w:val="20"/>
          <w:szCs w:val="20"/>
        </w:rPr>
        <w:t xml:space="preserve"> the 16</w:t>
      </w:r>
      <w:r w:rsidR="00B52793" w:rsidRPr="003F10DB">
        <w:rPr>
          <w:rFonts w:ascii="Times New Roman" w:hAnsi="Times New Roman"/>
          <w:sz w:val="20"/>
          <w:szCs w:val="20"/>
          <w:vertAlign w:val="superscript"/>
        </w:rPr>
        <w:t>th</w:t>
      </w:r>
      <w:r w:rsidR="00B52793" w:rsidRPr="003F10DB">
        <w:rPr>
          <w:rFonts w:ascii="Times New Roman" w:hAnsi="Times New Roman"/>
          <w:sz w:val="20"/>
          <w:szCs w:val="20"/>
        </w:rPr>
        <w:t xml:space="preserve"> </w:t>
      </w:r>
      <w:r w:rsidR="003F10DB">
        <w:rPr>
          <w:rFonts w:ascii="Times New Roman" w:hAnsi="Times New Roman"/>
          <w:sz w:val="20"/>
          <w:szCs w:val="20"/>
        </w:rPr>
        <w:t>and 17</w:t>
      </w:r>
      <w:r w:rsidR="003F10DB" w:rsidRPr="003F10DB">
        <w:rPr>
          <w:rFonts w:ascii="Times New Roman" w:hAnsi="Times New Roman"/>
          <w:sz w:val="20"/>
          <w:szCs w:val="20"/>
          <w:vertAlign w:val="superscript"/>
        </w:rPr>
        <w:t>th</w:t>
      </w:r>
      <w:r w:rsidR="003F10DB">
        <w:rPr>
          <w:rFonts w:ascii="Times New Roman" w:hAnsi="Times New Roman"/>
          <w:sz w:val="20"/>
          <w:szCs w:val="20"/>
        </w:rPr>
        <w:t xml:space="preserve"> </w:t>
      </w:r>
      <w:r w:rsidR="00B52793" w:rsidRPr="003F10DB">
        <w:rPr>
          <w:rFonts w:ascii="Times New Roman" w:hAnsi="Times New Roman"/>
          <w:sz w:val="20"/>
          <w:szCs w:val="20"/>
        </w:rPr>
        <w:t>session</w:t>
      </w:r>
      <w:r w:rsidR="003B52BF">
        <w:rPr>
          <w:rFonts w:ascii="Times New Roman" w:hAnsi="Times New Roman"/>
          <w:sz w:val="20"/>
          <w:szCs w:val="20"/>
        </w:rPr>
        <w:t>s</w:t>
      </w:r>
      <w:r w:rsidR="00B52793" w:rsidRPr="003F10DB">
        <w:rPr>
          <w:rFonts w:ascii="Times New Roman" w:hAnsi="Times New Roman"/>
          <w:sz w:val="20"/>
          <w:szCs w:val="20"/>
        </w:rPr>
        <w:t xml:space="preserve"> of the </w:t>
      </w:r>
      <w:r w:rsidR="006520EC" w:rsidRPr="003F10DB">
        <w:rPr>
          <w:rFonts w:ascii="Times New Roman" w:hAnsi="Times New Roman"/>
          <w:sz w:val="20"/>
          <w:szCs w:val="20"/>
        </w:rPr>
        <w:t>United</w:t>
      </w:r>
      <w:r w:rsidR="00313C3E">
        <w:rPr>
          <w:rFonts w:ascii="Times New Roman" w:hAnsi="Times New Roman"/>
          <w:sz w:val="20"/>
          <w:szCs w:val="20"/>
        </w:rPr>
        <w:t> </w:t>
      </w:r>
      <w:r w:rsidR="006520EC" w:rsidRPr="003F10DB">
        <w:rPr>
          <w:rFonts w:ascii="Times New Roman" w:hAnsi="Times New Roman"/>
          <w:sz w:val="20"/>
          <w:szCs w:val="20"/>
        </w:rPr>
        <w:t>Nations Permanent Forum on Indigenous Issues (24 April – 03 May 2017</w:t>
      </w:r>
      <w:r w:rsidR="003F10DB">
        <w:rPr>
          <w:rFonts w:ascii="Times New Roman" w:hAnsi="Times New Roman"/>
          <w:sz w:val="20"/>
          <w:szCs w:val="20"/>
        </w:rPr>
        <w:t xml:space="preserve"> and </w:t>
      </w:r>
      <w:r w:rsidR="003F10DB" w:rsidRPr="003F10DB">
        <w:rPr>
          <w:rFonts w:ascii="Times New Roman" w:eastAsia="Times New Roman" w:hAnsi="Times New Roman"/>
          <w:sz w:val="20"/>
          <w:szCs w:val="20"/>
          <w:lang w:val="en-GB"/>
        </w:rPr>
        <w:t>16 to 27 April 2018</w:t>
      </w:r>
      <w:r w:rsidR="003B52BF">
        <w:rPr>
          <w:rFonts w:ascii="Times New Roman" w:eastAsia="Times New Roman" w:hAnsi="Times New Roman"/>
          <w:sz w:val="20"/>
          <w:szCs w:val="20"/>
          <w:lang w:val="en-GB"/>
        </w:rPr>
        <w:t>,</w:t>
      </w:r>
      <w:r w:rsidR="003F10DB">
        <w:rPr>
          <w:rFonts w:ascii="Times New Roman" w:eastAsia="Times New Roman" w:hAnsi="Times New Roman"/>
          <w:sz w:val="20"/>
          <w:szCs w:val="20"/>
          <w:lang w:val="en-GB"/>
        </w:rPr>
        <w:t xml:space="preserve"> respectively</w:t>
      </w:r>
      <w:r w:rsidR="006520EC" w:rsidRPr="003F10DB">
        <w:rPr>
          <w:rFonts w:ascii="Times New Roman" w:hAnsi="Times New Roman"/>
          <w:sz w:val="20"/>
          <w:szCs w:val="20"/>
        </w:rPr>
        <w:t>)</w:t>
      </w:r>
      <w:r w:rsidR="00B52793" w:rsidRPr="003F10DB">
        <w:rPr>
          <w:rFonts w:ascii="Times New Roman" w:hAnsi="Times New Roman"/>
          <w:sz w:val="20"/>
          <w:szCs w:val="20"/>
        </w:rPr>
        <w:t xml:space="preserve"> </w:t>
      </w:r>
      <w:r w:rsidR="003F10DB">
        <w:rPr>
          <w:rFonts w:ascii="Times New Roman" w:hAnsi="Times New Roman"/>
          <w:sz w:val="20"/>
          <w:szCs w:val="20"/>
        </w:rPr>
        <w:t xml:space="preserve">both </w:t>
      </w:r>
      <w:r w:rsidR="00B52793" w:rsidRPr="003F10DB">
        <w:rPr>
          <w:rFonts w:ascii="Times New Roman" w:eastAsia="Times New Roman" w:hAnsi="Times New Roman"/>
          <w:sz w:val="20"/>
          <w:szCs w:val="20"/>
          <w:lang w:val="en-GB"/>
        </w:rPr>
        <w:t>held in New York, USA</w:t>
      </w:r>
      <w:r w:rsidR="003F10DB">
        <w:rPr>
          <w:rFonts w:ascii="Times New Roman" w:eastAsia="Times New Roman" w:hAnsi="Times New Roman"/>
          <w:sz w:val="20"/>
          <w:szCs w:val="20"/>
          <w:lang w:val="en-GB"/>
        </w:rPr>
        <w:t xml:space="preserve">. Side events and statements were conducted at these sessions </w:t>
      </w:r>
      <w:r w:rsidR="00B52793" w:rsidRPr="003F10DB">
        <w:rPr>
          <w:rFonts w:ascii="Times New Roman" w:eastAsia="Times New Roman" w:hAnsi="Times New Roman"/>
          <w:sz w:val="20"/>
          <w:szCs w:val="20"/>
          <w:lang w:val="en-GB"/>
        </w:rPr>
        <w:t xml:space="preserve">following an invitation to </w:t>
      </w:r>
      <w:r>
        <w:rPr>
          <w:rFonts w:ascii="Times New Roman" w:eastAsia="Times New Roman" w:hAnsi="Times New Roman"/>
          <w:sz w:val="20"/>
          <w:szCs w:val="20"/>
          <w:lang w:val="en-GB"/>
        </w:rPr>
        <w:t>IPBES</w:t>
      </w:r>
      <w:r w:rsidR="00B52793" w:rsidRPr="003F10DB">
        <w:rPr>
          <w:rFonts w:ascii="Times New Roman" w:eastAsia="Times New Roman" w:hAnsi="Times New Roman"/>
          <w:sz w:val="20"/>
          <w:szCs w:val="20"/>
          <w:lang w:val="en-GB"/>
        </w:rPr>
        <w:t xml:space="preserve"> to continue to inform the Forum about the progress of its work</w:t>
      </w:r>
      <w:r w:rsidR="003F10DB">
        <w:rPr>
          <w:rFonts w:ascii="Times New Roman" w:eastAsia="Times New Roman" w:hAnsi="Times New Roman"/>
          <w:sz w:val="20"/>
          <w:szCs w:val="20"/>
          <w:lang w:val="en-GB"/>
        </w:rPr>
        <w:t xml:space="preserve">. </w:t>
      </w:r>
      <w:r w:rsidR="00B52793" w:rsidRPr="003F10DB">
        <w:rPr>
          <w:rFonts w:ascii="Times New Roman" w:eastAsia="Times New Roman" w:hAnsi="Times New Roman"/>
          <w:sz w:val="20"/>
          <w:szCs w:val="20"/>
          <w:lang w:val="en-GB"/>
        </w:rPr>
        <w:t xml:space="preserve"> </w:t>
      </w:r>
    </w:p>
    <w:p w14:paraId="3EC7008E" w14:textId="77777777" w:rsidR="0027326C" w:rsidRPr="00A15DFB" w:rsidRDefault="003B52BF" w:rsidP="003B52BF">
      <w:pPr>
        <w:pStyle w:val="ListParagraph"/>
        <w:numPr>
          <w:ilvl w:val="1"/>
          <w:numId w:val="67"/>
        </w:numPr>
        <w:spacing w:line="240" w:lineRule="auto"/>
        <w:ind w:left="1253"/>
        <w:rPr>
          <w:rFonts w:ascii="Times New Roman" w:eastAsia="Times New Roman" w:hAnsi="Times New Roman"/>
          <w:sz w:val="20"/>
          <w:szCs w:val="20"/>
          <w:lang w:val="en-GB"/>
        </w:rPr>
      </w:pPr>
      <w:r w:rsidRPr="007F25F2">
        <w:rPr>
          <w:rFonts w:ascii="Times New Roman" w:hAnsi="Times New Roman"/>
          <w:sz w:val="20"/>
          <w:szCs w:val="20"/>
        </w:rPr>
        <w:t xml:space="preserve">Three large dialogues were organized in order to contribute to the work of the global assessment: </w:t>
      </w:r>
    </w:p>
    <w:p w14:paraId="1819D4F9" w14:textId="6A9DD785" w:rsidR="0027326C" w:rsidRPr="00A15DFB" w:rsidRDefault="001353FD" w:rsidP="0027326C">
      <w:pPr>
        <w:pStyle w:val="ListParagraph"/>
        <w:numPr>
          <w:ilvl w:val="2"/>
          <w:numId w:val="67"/>
        </w:numPr>
        <w:spacing w:line="240" w:lineRule="auto"/>
        <w:rPr>
          <w:rFonts w:ascii="Times New Roman" w:eastAsia="Times New Roman" w:hAnsi="Times New Roman"/>
          <w:sz w:val="20"/>
          <w:szCs w:val="20"/>
          <w:lang w:val="en-GB"/>
        </w:rPr>
      </w:pPr>
      <w:r>
        <w:rPr>
          <w:rFonts w:ascii="Times New Roman" w:hAnsi="Times New Roman"/>
          <w:sz w:val="20"/>
          <w:szCs w:val="20"/>
        </w:rPr>
        <w:t>In</w:t>
      </w:r>
      <w:r w:rsidR="003B52BF" w:rsidRPr="007F25F2">
        <w:rPr>
          <w:rFonts w:ascii="Times New Roman" w:hAnsi="Times New Roman"/>
          <w:sz w:val="20"/>
          <w:szCs w:val="20"/>
        </w:rPr>
        <w:t xml:space="preserve"> </w:t>
      </w:r>
      <w:r w:rsidR="006E1FCD" w:rsidRPr="006E1FCD">
        <w:rPr>
          <w:rFonts w:ascii="Times New Roman" w:hAnsi="Times New Roman"/>
          <w:sz w:val="20"/>
          <w:szCs w:val="20"/>
        </w:rPr>
        <w:t>Eldoret</w:t>
      </w:r>
      <w:r w:rsidR="003B52BF" w:rsidRPr="007F25F2">
        <w:rPr>
          <w:rFonts w:ascii="Times New Roman" w:hAnsi="Times New Roman"/>
          <w:sz w:val="20"/>
          <w:szCs w:val="20"/>
        </w:rPr>
        <w:t>, Kenya</w:t>
      </w:r>
      <w:r w:rsidR="0027326C">
        <w:rPr>
          <w:rFonts w:ascii="Times New Roman" w:hAnsi="Times New Roman"/>
          <w:sz w:val="20"/>
          <w:szCs w:val="20"/>
        </w:rPr>
        <w:t>,</w:t>
      </w:r>
      <w:r w:rsidR="003B52BF" w:rsidRPr="007F25F2">
        <w:rPr>
          <w:rFonts w:ascii="Times New Roman" w:hAnsi="Times New Roman"/>
          <w:sz w:val="20"/>
          <w:szCs w:val="20"/>
        </w:rPr>
        <w:t xml:space="preserve"> Africa</w:t>
      </w:r>
      <w:r w:rsidR="0027326C">
        <w:rPr>
          <w:rFonts w:ascii="Times New Roman" w:hAnsi="Times New Roman"/>
          <w:sz w:val="20"/>
          <w:szCs w:val="20"/>
        </w:rPr>
        <w:t xml:space="preserve">: </w:t>
      </w:r>
      <w:r w:rsidR="003B52BF" w:rsidRPr="003B52BF">
        <w:rPr>
          <w:rFonts w:ascii="Times New Roman" w:hAnsi="Times New Roman"/>
          <w:sz w:val="20"/>
          <w:szCs w:val="20"/>
        </w:rPr>
        <w:t>Dialogue on Human Rights and Biodiversity Conservation</w:t>
      </w:r>
      <w:r w:rsidR="0027326C">
        <w:rPr>
          <w:rFonts w:ascii="Times New Roman" w:hAnsi="Times New Roman"/>
          <w:sz w:val="20"/>
          <w:szCs w:val="20"/>
        </w:rPr>
        <w:t>,</w:t>
      </w:r>
      <w:r w:rsidR="003B52BF" w:rsidRPr="003B52BF">
        <w:rPr>
          <w:rFonts w:ascii="Times New Roman" w:hAnsi="Times New Roman"/>
          <w:sz w:val="20"/>
          <w:szCs w:val="20"/>
        </w:rPr>
        <w:t xml:space="preserve"> from 20 to 23 November 2017</w:t>
      </w:r>
      <w:r w:rsidR="0027326C">
        <w:rPr>
          <w:rFonts w:ascii="Times New Roman" w:hAnsi="Times New Roman"/>
          <w:sz w:val="20"/>
          <w:szCs w:val="20"/>
        </w:rPr>
        <w:t>,</w:t>
      </w:r>
      <w:r w:rsidR="003B52BF" w:rsidRPr="007F25F2">
        <w:rPr>
          <w:rFonts w:ascii="Times New Roman" w:hAnsi="Times New Roman"/>
          <w:sz w:val="20"/>
          <w:szCs w:val="20"/>
        </w:rPr>
        <w:t xml:space="preserve"> with</w:t>
      </w:r>
      <w:r w:rsidR="003B52BF" w:rsidRPr="003B52BF">
        <w:rPr>
          <w:rFonts w:ascii="Times New Roman" w:hAnsi="Times New Roman"/>
          <w:sz w:val="20"/>
          <w:szCs w:val="20"/>
        </w:rPr>
        <w:t xml:space="preserve"> co-organizers </w:t>
      </w:r>
      <w:proofErr w:type="spellStart"/>
      <w:r w:rsidR="003B52BF" w:rsidRPr="003B52BF">
        <w:rPr>
          <w:rFonts w:ascii="Times New Roman" w:hAnsi="Times New Roman"/>
          <w:sz w:val="20"/>
          <w:szCs w:val="20"/>
        </w:rPr>
        <w:t>SwedBio</w:t>
      </w:r>
      <w:proofErr w:type="spellEnd"/>
      <w:r w:rsidR="003B52BF" w:rsidRPr="003B52BF">
        <w:rPr>
          <w:rFonts w:ascii="Times New Roman" w:hAnsi="Times New Roman"/>
          <w:sz w:val="20"/>
          <w:szCs w:val="20"/>
        </w:rPr>
        <w:t xml:space="preserve"> at Stockholm Resilience Centre, Forest Peoples </w:t>
      </w:r>
      <w:proofErr w:type="spellStart"/>
      <w:r w:rsidR="003B52BF" w:rsidRPr="003B52BF">
        <w:rPr>
          <w:rFonts w:ascii="Times New Roman" w:hAnsi="Times New Roman"/>
          <w:sz w:val="20"/>
          <w:szCs w:val="20"/>
        </w:rPr>
        <w:t>Programme</w:t>
      </w:r>
      <w:proofErr w:type="spellEnd"/>
      <w:r w:rsidR="003B52BF" w:rsidRPr="003B52BF">
        <w:rPr>
          <w:rFonts w:ascii="Times New Roman" w:hAnsi="Times New Roman"/>
          <w:sz w:val="20"/>
          <w:szCs w:val="20"/>
        </w:rPr>
        <w:t xml:space="preserve">, Natural Justice, IUCN CEESP-TGER </w:t>
      </w:r>
      <w:r w:rsidR="003B52BF" w:rsidRPr="007F25F2">
        <w:rPr>
          <w:rFonts w:ascii="Times New Roman" w:hAnsi="Times New Roman"/>
          <w:sz w:val="20"/>
          <w:szCs w:val="20"/>
        </w:rPr>
        <w:t xml:space="preserve">and </w:t>
      </w:r>
      <w:r w:rsidR="003B52BF" w:rsidRPr="003B52BF">
        <w:rPr>
          <w:rFonts w:ascii="Times New Roman" w:hAnsi="Times New Roman"/>
          <w:sz w:val="20"/>
          <w:szCs w:val="20"/>
        </w:rPr>
        <w:t xml:space="preserve">with local hosts </w:t>
      </w:r>
      <w:proofErr w:type="spellStart"/>
      <w:r w:rsidR="003B52BF" w:rsidRPr="003B52BF">
        <w:rPr>
          <w:rFonts w:ascii="Times New Roman" w:hAnsi="Times New Roman"/>
          <w:sz w:val="20"/>
          <w:szCs w:val="20"/>
        </w:rPr>
        <w:t>Chepkitale</w:t>
      </w:r>
      <w:proofErr w:type="spellEnd"/>
      <w:r w:rsidR="003B52BF" w:rsidRPr="003B52BF">
        <w:rPr>
          <w:rFonts w:ascii="Times New Roman" w:hAnsi="Times New Roman"/>
          <w:sz w:val="20"/>
          <w:szCs w:val="20"/>
        </w:rPr>
        <w:t xml:space="preserve"> Indigenous Peoples Development Project</w:t>
      </w:r>
      <w:r w:rsidR="0027326C">
        <w:rPr>
          <w:rFonts w:ascii="Times New Roman" w:hAnsi="Times New Roman"/>
          <w:sz w:val="20"/>
          <w:szCs w:val="20"/>
        </w:rPr>
        <w:t>;</w:t>
      </w:r>
    </w:p>
    <w:p w14:paraId="69A031C0" w14:textId="27BAC7F5" w:rsidR="0027326C" w:rsidRPr="00A15DFB" w:rsidRDefault="0027326C" w:rsidP="0027326C">
      <w:pPr>
        <w:pStyle w:val="ListParagraph"/>
        <w:numPr>
          <w:ilvl w:val="2"/>
          <w:numId w:val="67"/>
        </w:numPr>
        <w:spacing w:line="240" w:lineRule="auto"/>
        <w:rPr>
          <w:rFonts w:ascii="Times New Roman" w:eastAsia="Times New Roman" w:hAnsi="Times New Roman"/>
          <w:sz w:val="20"/>
          <w:szCs w:val="20"/>
          <w:lang w:val="en-GB"/>
        </w:rPr>
      </w:pPr>
      <w:r>
        <w:rPr>
          <w:rFonts w:ascii="Times New Roman" w:hAnsi="Times New Roman"/>
          <w:sz w:val="20"/>
          <w:szCs w:val="20"/>
        </w:rPr>
        <w:t>I</w:t>
      </w:r>
      <w:r w:rsidR="003B52BF" w:rsidRPr="007F25F2">
        <w:rPr>
          <w:rFonts w:ascii="Times New Roman" w:hAnsi="Times New Roman"/>
          <w:sz w:val="20"/>
          <w:szCs w:val="20"/>
        </w:rPr>
        <w:t>n Montreal, Canada</w:t>
      </w:r>
      <w:r>
        <w:rPr>
          <w:rFonts w:ascii="Times New Roman" w:hAnsi="Times New Roman"/>
          <w:sz w:val="20"/>
          <w:szCs w:val="20"/>
        </w:rPr>
        <w:t>,</w:t>
      </w:r>
      <w:r w:rsidR="003B52BF" w:rsidRPr="007F25F2">
        <w:rPr>
          <w:rFonts w:ascii="Times New Roman" w:hAnsi="Times New Roman"/>
          <w:sz w:val="20"/>
          <w:szCs w:val="20"/>
        </w:rPr>
        <w:t xml:space="preserve"> back</w:t>
      </w:r>
      <w:r w:rsidR="007F25F2">
        <w:rPr>
          <w:rFonts w:ascii="Times New Roman" w:hAnsi="Times New Roman"/>
          <w:sz w:val="20"/>
          <w:szCs w:val="20"/>
        </w:rPr>
        <w:t>-</w:t>
      </w:r>
      <w:r w:rsidR="003B52BF" w:rsidRPr="007F25F2">
        <w:rPr>
          <w:rFonts w:ascii="Times New Roman" w:hAnsi="Times New Roman"/>
          <w:sz w:val="20"/>
          <w:szCs w:val="20"/>
        </w:rPr>
        <w:t>to</w:t>
      </w:r>
      <w:r w:rsidR="007F25F2">
        <w:rPr>
          <w:rFonts w:ascii="Times New Roman" w:hAnsi="Times New Roman"/>
          <w:sz w:val="20"/>
          <w:szCs w:val="20"/>
        </w:rPr>
        <w:t>-</w:t>
      </w:r>
      <w:r w:rsidR="003B52BF" w:rsidRPr="007F25F2">
        <w:rPr>
          <w:rFonts w:ascii="Times New Roman" w:hAnsi="Times New Roman"/>
          <w:sz w:val="20"/>
          <w:szCs w:val="20"/>
        </w:rPr>
        <w:t xml:space="preserve">back with the </w:t>
      </w:r>
      <w:r w:rsidR="003B52BF" w:rsidRPr="003B52BF">
        <w:rPr>
          <w:rFonts w:ascii="Times New Roman" w:hAnsi="Times New Roman"/>
          <w:sz w:val="20"/>
          <w:szCs w:val="20"/>
        </w:rPr>
        <w:t>10</w:t>
      </w:r>
      <w:r w:rsidR="003B52BF" w:rsidRPr="003B52BF">
        <w:rPr>
          <w:rFonts w:ascii="Times New Roman" w:hAnsi="Times New Roman"/>
          <w:sz w:val="20"/>
          <w:szCs w:val="20"/>
          <w:vertAlign w:val="superscript"/>
        </w:rPr>
        <w:t>th</w:t>
      </w:r>
      <w:r w:rsidR="003B52BF" w:rsidRPr="003B52BF">
        <w:rPr>
          <w:rFonts w:ascii="Times New Roman" w:hAnsi="Times New Roman"/>
          <w:sz w:val="20"/>
          <w:szCs w:val="20"/>
        </w:rPr>
        <w:t xml:space="preserve"> meeting of the Ad Hoc </w:t>
      </w:r>
      <w:r w:rsidR="00D30739">
        <w:rPr>
          <w:rFonts w:ascii="Times New Roman" w:hAnsi="Times New Roman"/>
          <w:sz w:val="20"/>
          <w:szCs w:val="20"/>
        </w:rPr>
        <w:br/>
      </w:r>
      <w:r w:rsidR="003B52BF" w:rsidRPr="003B52BF">
        <w:rPr>
          <w:rFonts w:ascii="Times New Roman" w:hAnsi="Times New Roman"/>
          <w:sz w:val="20"/>
          <w:szCs w:val="20"/>
        </w:rPr>
        <w:t xml:space="preserve">Open-ended Working Group on Article 8(j) and Related Provisions of the Convention on Biological Diversity (9 December 2017). This was co-organized with the CBD, International Indigenous Forum on Biodiversity (IIFB), the Indigenous Women's Biodiversity Network (IWBN), International Indigenous Forum on Biodiversity and Ecosystem Services (IIF BES), and the Forest Peoples </w:t>
      </w:r>
      <w:proofErr w:type="spellStart"/>
      <w:r w:rsidR="003B52BF" w:rsidRPr="003B52BF">
        <w:rPr>
          <w:rFonts w:ascii="Times New Roman" w:hAnsi="Times New Roman"/>
          <w:sz w:val="20"/>
          <w:szCs w:val="20"/>
        </w:rPr>
        <w:t>Programme</w:t>
      </w:r>
      <w:proofErr w:type="spellEnd"/>
      <w:r w:rsidR="003B52BF" w:rsidRPr="003B52BF">
        <w:rPr>
          <w:rFonts w:ascii="Times New Roman" w:hAnsi="Times New Roman"/>
          <w:sz w:val="20"/>
          <w:szCs w:val="20"/>
        </w:rPr>
        <w:t xml:space="preserve"> (FPP)</w:t>
      </w:r>
      <w:r>
        <w:rPr>
          <w:rFonts w:ascii="Times New Roman" w:hAnsi="Times New Roman"/>
          <w:sz w:val="20"/>
          <w:szCs w:val="20"/>
        </w:rPr>
        <w:t>;</w:t>
      </w:r>
    </w:p>
    <w:p w14:paraId="72095760" w14:textId="5062BD50" w:rsidR="007F25F2" w:rsidRPr="007F25F2" w:rsidRDefault="0027326C" w:rsidP="00A15DFB">
      <w:pPr>
        <w:pStyle w:val="ListParagraph"/>
        <w:numPr>
          <w:ilvl w:val="2"/>
          <w:numId w:val="67"/>
        </w:numPr>
        <w:spacing w:line="240" w:lineRule="auto"/>
        <w:ind w:left="2938" w:hanging="562"/>
        <w:contextualSpacing w:val="0"/>
        <w:rPr>
          <w:rFonts w:ascii="Times New Roman" w:eastAsia="Times New Roman" w:hAnsi="Times New Roman"/>
          <w:sz w:val="20"/>
          <w:szCs w:val="20"/>
          <w:lang w:val="en-GB"/>
        </w:rPr>
      </w:pPr>
      <w:r>
        <w:rPr>
          <w:rFonts w:ascii="Times New Roman" w:hAnsi="Times New Roman"/>
          <w:sz w:val="20"/>
          <w:szCs w:val="20"/>
        </w:rPr>
        <w:t>I</w:t>
      </w:r>
      <w:r w:rsidR="003B52BF" w:rsidRPr="003B52BF">
        <w:rPr>
          <w:rFonts w:ascii="Times New Roman" w:hAnsi="Times New Roman"/>
          <w:sz w:val="20"/>
          <w:szCs w:val="20"/>
        </w:rPr>
        <w:t>n Helsinki, Finland</w:t>
      </w:r>
      <w:r>
        <w:rPr>
          <w:rFonts w:ascii="Times New Roman" w:hAnsi="Times New Roman"/>
          <w:sz w:val="20"/>
          <w:szCs w:val="20"/>
        </w:rPr>
        <w:t xml:space="preserve">: </w:t>
      </w:r>
      <w:r w:rsidR="003B52BF" w:rsidRPr="003B52BF">
        <w:rPr>
          <w:rFonts w:ascii="Times New Roman" w:hAnsi="Times New Roman"/>
          <w:color w:val="000000"/>
          <w:sz w:val="20"/>
          <w:szCs w:val="20"/>
        </w:rPr>
        <w:t>the IPBES Dialogue Workshop on Arctic Indigenous and Local Knowledge</w:t>
      </w:r>
      <w:r>
        <w:rPr>
          <w:rFonts w:ascii="Times New Roman" w:hAnsi="Times New Roman"/>
          <w:color w:val="000000"/>
          <w:sz w:val="20"/>
          <w:szCs w:val="20"/>
        </w:rPr>
        <w:t xml:space="preserve">, </w:t>
      </w:r>
      <w:r w:rsidR="003B52BF" w:rsidRPr="003B52BF">
        <w:rPr>
          <w:rFonts w:ascii="Times New Roman" w:hAnsi="Times New Roman"/>
          <w:color w:val="000000"/>
          <w:sz w:val="20"/>
          <w:szCs w:val="20"/>
        </w:rPr>
        <w:t xml:space="preserve">held from 06 to 08 June 2018. It was funded by the Finnish Ministry of Foreign Affairs and the Finnish Ministry of the Environment, with support from the IPBES, the University of Helsinki and the </w:t>
      </w:r>
      <w:proofErr w:type="spellStart"/>
      <w:r w:rsidR="003B52BF" w:rsidRPr="003B52BF">
        <w:rPr>
          <w:rFonts w:ascii="Times New Roman" w:hAnsi="Times New Roman"/>
          <w:color w:val="000000"/>
          <w:sz w:val="20"/>
          <w:szCs w:val="20"/>
        </w:rPr>
        <w:t>Helmoltz</w:t>
      </w:r>
      <w:proofErr w:type="spellEnd"/>
      <w:r w:rsidR="003B52BF" w:rsidRPr="003B52BF">
        <w:rPr>
          <w:rFonts w:ascii="Times New Roman" w:hAnsi="Times New Roman"/>
          <w:color w:val="000000"/>
          <w:sz w:val="20"/>
          <w:szCs w:val="20"/>
        </w:rPr>
        <w:t>-Centre for Environmental Research (</w:t>
      </w:r>
      <w:proofErr w:type="spellStart"/>
      <w:r w:rsidR="003B52BF" w:rsidRPr="003B52BF">
        <w:rPr>
          <w:rFonts w:ascii="Times New Roman" w:hAnsi="Times New Roman"/>
          <w:color w:val="000000"/>
          <w:sz w:val="20"/>
          <w:szCs w:val="20"/>
        </w:rPr>
        <w:t>UfZ</w:t>
      </w:r>
      <w:proofErr w:type="spellEnd"/>
      <w:r w:rsidR="003B52BF" w:rsidRPr="003B52BF">
        <w:rPr>
          <w:rFonts w:ascii="Times New Roman" w:hAnsi="Times New Roman"/>
          <w:color w:val="000000"/>
          <w:sz w:val="20"/>
          <w:szCs w:val="20"/>
        </w:rPr>
        <w:t xml:space="preserve">, Germany). </w:t>
      </w:r>
    </w:p>
    <w:p w14:paraId="36C1AC69" w14:textId="07E3EB9B" w:rsidR="007F25F2" w:rsidRPr="00A15DFB" w:rsidRDefault="007F25F2" w:rsidP="00181709">
      <w:pPr>
        <w:pStyle w:val="ListParagraph"/>
        <w:numPr>
          <w:ilvl w:val="1"/>
          <w:numId w:val="67"/>
        </w:numPr>
        <w:spacing w:line="240" w:lineRule="auto"/>
        <w:rPr>
          <w:rFonts w:ascii="Times New Roman" w:eastAsia="Times New Roman" w:hAnsi="Times New Roman"/>
          <w:sz w:val="20"/>
          <w:szCs w:val="20"/>
          <w:lang w:val="en-GB"/>
        </w:rPr>
      </w:pPr>
      <w:r w:rsidRPr="003902A7">
        <w:rPr>
          <w:rFonts w:ascii="Times New Roman" w:hAnsi="Times New Roman"/>
          <w:sz w:val="20"/>
          <w:szCs w:val="20"/>
        </w:rPr>
        <w:t xml:space="preserve">More information on the specific approach and steps </w:t>
      </w:r>
      <w:r w:rsidR="0027326C">
        <w:rPr>
          <w:rFonts w:ascii="Times New Roman" w:hAnsi="Times New Roman"/>
          <w:sz w:val="20"/>
          <w:szCs w:val="20"/>
        </w:rPr>
        <w:t xml:space="preserve">taken </w:t>
      </w:r>
      <w:r w:rsidRPr="003902A7">
        <w:rPr>
          <w:rFonts w:ascii="Times New Roman" w:hAnsi="Times New Roman"/>
          <w:sz w:val="20"/>
          <w:szCs w:val="20"/>
        </w:rPr>
        <w:t xml:space="preserve">to </w:t>
      </w:r>
      <w:r w:rsidR="0027326C">
        <w:rPr>
          <w:rFonts w:ascii="Times New Roman" w:hAnsi="Times New Roman"/>
          <w:sz w:val="20"/>
          <w:szCs w:val="20"/>
        </w:rPr>
        <w:t>implement the approach</w:t>
      </w:r>
      <w:r w:rsidRPr="003902A7">
        <w:rPr>
          <w:rFonts w:ascii="Times New Roman" w:hAnsi="Times New Roman"/>
          <w:sz w:val="20"/>
          <w:szCs w:val="20"/>
        </w:rPr>
        <w:t xml:space="preserve"> in the global assessment can be found in IPBES/5/INF/4</w:t>
      </w:r>
      <w:r w:rsidR="0027326C">
        <w:rPr>
          <w:rFonts w:ascii="Times New Roman" w:hAnsi="Times New Roman"/>
          <w:sz w:val="20"/>
          <w:szCs w:val="20"/>
        </w:rPr>
        <w:t xml:space="preserve"> and </w:t>
      </w:r>
      <w:r w:rsidRPr="003902A7">
        <w:rPr>
          <w:rFonts w:ascii="Times New Roman" w:hAnsi="Times New Roman"/>
          <w:sz w:val="20"/>
          <w:szCs w:val="20"/>
        </w:rPr>
        <w:t>IPBES/6/INF/13</w:t>
      </w:r>
      <w:r w:rsidR="00041C86">
        <w:rPr>
          <w:rFonts w:ascii="Times New Roman" w:hAnsi="Times New Roman"/>
          <w:sz w:val="20"/>
          <w:szCs w:val="20"/>
        </w:rPr>
        <w:t>.</w:t>
      </w:r>
      <w:r w:rsidR="00181709">
        <w:rPr>
          <w:rFonts w:ascii="Times New Roman" w:hAnsi="Times New Roman"/>
          <w:sz w:val="20"/>
          <w:szCs w:val="20"/>
        </w:rPr>
        <w:t xml:space="preserve"> Further details on </w:t>
      </w:r>
      <w:r w:rsidR="00181709" w:rsidRPr="00181709">
        <w:rPr>
          <w:rFonts w:ascii="Times New Roman" w:hAnsi="Times New Roman"/>
          <w:sz w:val="20"/>
          <w:szCs w:val="20"/>
        </w:rPr>
        <w:t xml:space="preserve">these activities since the sixth session of the Plenary </w:t>
      </w:r>
      <w:r w:rsidR="00181709">
        <w:rPr>
          <w:rFonts w:ascii="Times New Roman" w:hAnsi="Times New Roman"/>
          <w:sz w:val="20"/>
          <w:szCs w:val="20"/>
        </w:rPr>
        <w:t xml:space="preserve">can be found in </w:t>
      </w:r>
      <w:r w:rsidR="00181709" w:rsidRPr="00181709">
        <w:rPr>
          <w:rFonts w:ascii="Times New Roman" w:hAnsi="Times New Roman"/>
          <w:sz w:val="20"/>
          <w:szCs w:val="20"/>
        </w:rPr>
        <w:t>IPBES/7/INF/8</w:t>
      </w:r>
      <w:r w:rsidR="00181709">
        <w:rPr>
          <w:rFonts w:ascii="Times New Roman" w:hAnsi="Times New Roman"/>
          <w:sz w:val="20"/>
          <w:szCs w:val="20"/>
        </w:rPr>
        <w:t>.</w:t>
      </w:r>
    </w:p>
    <w:p w14:paraId="42DD83B4" w14:textId="77777777" w:rsidR="0027326C" w:rsidRPr="00A15DFB" w:rsidRDefault="0027326C" w:rsidP="00A15DFB">
      <w:pPr>
        <w:pStyle w:val="ListParagraph"/>
        <w:spacing w:line="240" w:lineRule="auto"/>
        <w:ind w:left="1814"/>
        <w:rPr>
          <w:rFonts w:ascii="Times New Roman" w:eastAsia="Times New Roman" w:hAnsi="Times New Roman"/>
          <w:sz w:val="20"/>
          <w:szCs w:val="20"/>
          <w:lang w:val="en-GB"/>
        </w:rPr>
      </w:pPr>
    </w:p>
    <w:p w14:paraId="6CE8FDE0" w14:textId="4EFE3CB5" w:rsidR="0027326C" w:rsidRPr="00A15DFB" w:rsidRDefault="00405A92" w:rsidP="00405A92">
      <w:pPr>
        <w:pStyle w:val="CH2"/>
      </w:pPr>
      <w:r>
        <w:tab/>
        <w:t>F.</w:t>
      </w:r>
      <w:r w:rsidR="0027326C">
        <w:tab/>
      </w:r>
      <w:r w:rsidR="0027326C" w:rsidRPr="00A15DFB">
        <w:t xml:space="preserve">Collaboration with other </w:t>
      </w:r>
      <w:r w:rsidR="0027326C">
        <w:t xml:space="preserve">IPBES </w:t>
      </w:r>
      <w:r w:rsidR="0027326C" w:rsidRPr="00A15DFB">
        <w:t>task forces and expert groups</w:t>
      </w:r>
    </w:p>
    <w:p w14:paraId="09267254" w14:textId="2B2C86BC" w:rsidR="005914EC" w:rsidRDefault="005914EC"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t>In addition to the support received from the task force and technical support unit on indigenous and local knowledge set out above, the global assessment received support from other IPBES task forces and expert groups, and from their respective technical support units as follows.</w:t>
      </w:r>
    </w:p>
    <w:p w14:paraId="4E041022" w14:textId="4E1FF70C" w:rsidR="004B73C7" w:rsidRPr="00781984"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781984">
        <w:t xml:space="preserve">The </w:t>
      </w:r>
      <w:r w:rsidR="000D704E">
        <w:t xml:space="preserve">global assessment </w:t>
      </w:r>
      <w:r w:rsidRPr="00781984">
        <w:t xml:space="preserve">expert group collaborated with the task force on data and knowledge, who </w:t>
      </w:r>
      <w:r w:rsidR="000D704E">
        <w:t>helped facilitate the use of</w:t>
      </w:r>
      <w:r w:rsidRPr="00781984">
        <w:t xml:space="preserve"> core indicators and related data and </w:t>
      </w:r>
      <w:r w:rsidR="000D704E">
        <w:t xml:space="preserve">suggested </w:t>
      </w:r>
      <w:r w:rsidRPr="00781984">
        <w:t>visuals.</w:t>
      </w:r>
      <w:r w:rsidR="00C61BBD">
        <w:t xml:space="preserve"> The technical support unit </w:t>
      </w:r>
      <w:r w:rsidR="005914EC">
        <w:t xml:space="preserve">on knowledge and data </w:t>
      </w:r>
      <w:r w:rsidR="001912E9">
        <w:t xml:space="preserve">organized a workshop attended by experts of the global assessment on </w:t>
      </w:r>
      <w:r w:rsidR="00996BF1">
        <w:t>socio-economic indicators (5-7 December 2017, Seoul, Republic of Korea</w:t>
      </w:r>
      <w:r w:rsidR="000D704E">
        <w:t>)</w:t>
      </w:r>
      <w:r w:rsidR="0027326C">
        <w:t>. T</w:t>
      </w:r>
      <w:r w:rsidR="000D704E">
        <w:t xml:space="preserve">his approach for the use of a bundle of indicators was piloted during </w:t>
      </w:r>
      <w:r w:rsidR="005914EC">
        <w:t xml:space="preserve">that </w:t>
      </w:r>
      <w:r w:rsidR="000D704E">
        <w:t xml:space="preserve">meeting and some of the results </w:t>
      </w:r>
      <w:r w:rsidR="005914EC">
        <w:t xml:space="preserve">were subsequently </w:t>
      </w:r>
      <w:r w:rsidR="000D704E">
        <w:t>used within the global assessment</w:t>
      </w:r>
      <w:r w:rsidR="002B1AD5">
        <w:t xml:space="preserve"> (</w:t>
      </w:r>
      <w:r w:rsidR="008F5866" w:rsidRPr="008F5866">
        <w:t>IPBES/6/INF/14</w:t>
      </w:r>
      <w:r w:rsidR="008F5866">
        <w:t>)</w:t>
      </w:r>
      <w:r w:rsidR="000D704E">
        <w:t xml:space="preserve">. </w:t>
      </w:r>
    </w:p>
    <w:p w14:paraId="43CC9CE0" w14:textId="2534104F" w:rsidR="00973729" w:rsidRDefault="004B73C7" w:rsidP="004B73C7">
      <w:pPr>
        <w:pStyle w:val="Normalnumber"/>
        <w:numPr>
          <w:ilvl w:val="0"/>
          <w:numId w:val="67"/>
        </w:numPr>
        <w:tabs>
          <w:tab w:val="clear" w:pos="1134"/>
          <w:tab w:val="clear" w:pos="1247"/>
          <w:tab w:val="clear" w:pos="1814"/>
          <w:tab w:val="clear" w:pos="2381"/>
          <w:tab w:val="clear" w:pos="2948"/>
          <w:tab w:val="clear" w:pos="3515"/>
          <w:tab w:val="clear" w:pos="4082"/>
          <w:tab w:val="left" w:pos="624"/>
        </w:tabs>
      </w:pPr>
      <w:r w:rsidRPr="00E30697">
        <w:t xml:space="preserve">The </w:t>
      </w:r>
      <w:r w:rsidR="000D6FA8">
        <w:t xml:space="preserve">global assessment </w:t>
      </w:r>
      <w:r w:rsidRPr="00E30697">
        <w:t>expert group received assistance from the expert group on values</w:t>
      </w:r>
      <w:r w:rsidR="005914EC">
        <w:t xml:space="preserve">, who </w:t>
      </w:r>
      <w:r w:rsidRPr="00B3254C">
        <w:t>assisted in reviewing the assessment chapters</w:t>
      </w:r>
      <w:r w:rsidR="00B3254C" w:rsidRPr="00B3254C">
        <w:t xml:space="preserve"> during the external review rounds</w:t>
      </w:r>
      <w:r w:rsidRPr="00B3254C">
        <w:t xml:space="preserve">. The technical support unit </w:t>
      </w:r>
      <w:r w:rsidR="005914EC">
        <w:t xml:space="preserve">on values </w:t>
      </w:r>
      <w:r w:rsidR="00CA414C" w:rsidRPr="00B3254C">
        <w:t>co-</w:t>
      </w:r>
      <w:r w:rsidRPr="00B3254C">
        <w:t xml:space="preserve">organized </w:t>
      </w:r>
      <w:r w:rsidR="00B3254C">
        <w:t>two</w:t>
      </w:r>
      <w:r w:rsidRPr="00B3254C">
        <w:t xml:space="preserve"> workshops</w:t>
      </w:r>
      <w:r w:rsidR="00973729" w:rsidRPr="00B3254C">
        <w:t xml:space="preserve"> attended by </w:t>
      </w:r>
      <w:r w:rsidR="00CA414C" w:rsidRPr="00B3254C">
        <w:t xml:space="preserve">experts of the global assessment </w:t>
      </w:r>
      <w:r w:rsidR="00E97901" w:rsidRPr="00B3254C">
        <w:t xml:space="preserve">to assist </w:t>
      </w:r>
      <w:r w:rsidR="005914EC">
        <w:t>them</w:t>
      </w:r>
      <w:r w:rsidR="005914EC" w:rsidRPr="00B3254C">
        <w:t xml:space="preserve"> </w:t>
      </w:r>
      <w:r w:rsidR="00E97901" w:rsidRPr="00B3254C">
        <w:t xml:space="preserve">in developing content </w:t>
      </w:r>
      <w:r w:rsidR="00CA414C" w:rsidRPr="00B3254C">
        <w:t>(</w:t>
      </w:r>
      <w:r w:rsidR="008261E9" w:rsidRPr="00B3254C">
        <w:t>integration</w:t>
      </w:r>
      <w:r w:rsidR="00CA414C" w:rsidRPr="00B3254C">
        <w:t xml:space="preserve"> of multiple conceptualizations of values</w:t>
      </w:r>
      <w:r w:rsidR="00E97901" w:rsidRPr="00B3254C">
        <w:t xml:space="preserve">, </w:t>
      </w:r>
      <w:r w:rsidR="008261E9" w:rsidRPr="00B3254C">
        <w:t xml:space="preserve">Budapest 3-5 April 2017, and </w:t>
      </w:r>
      <w:r w:rsidR="003B3018" w:rsidRPr="00B3254C">
        <w:t>workshop to catalyse the integration of multiple conceptualizations of values, 18 -20 June 2018, Morelia</w:t>
      </w:r>
      <w:r w:rsidR="003B3018" w:rsidRPr="003B3018">
        <w:t>, Mexico</w:t>
      </w:r>
      <w:r w:rsidR="00E97901">
        <w:t>)</w:t>
      </w:r>
      <w:r w:rsidR="003C0125">
        <w:t xml:space="preserve">. </w:t>
      </w:r>
    </w:p>
    <w:p w14:paraId="1A7708BC" w14:textId="25E68D8C" w:rsidR="000D6FA8" w:rsidRDefault="000D6FA8" w:rsidP="000D6FA8">
      <w:pPr>
        <w:pStyle w:val="Normalnumber"/>
        <w:numPr>
          <w:ilvl w:val="0"/>
          <w:numId w:val="67"/>
        </w:numPr>
        <w:tabs>
          <w:tab w:val="clear" w:pos="1134"/>
          <w:tab w:val="left" w:pos="624"/>
        </w:tabs>
      </w:pPr>
      <w:r>
        <w:t xml:space="preserve">The global assessment experts from chapter 4 and 5 </w:t>
      </w:r>
      <w:r w:rsidR="005914EC">
        <w:t>received</w:t>
      </w:r>
      <w:r>
        <w:t xml:space="preserve"> support </w:t>
      </w:r>
      <w:r w:rsidR="005914EC">
        <w:t xml:space="preserve">from </w:t>
      </w:r>
      <w:r>
        <w:t>the technical support unit on scenarios and models</w:t>
      </w:r>
      <w:r w:rsidR="004B73C7" w:rsidRPr="0091672D">
        <w:t xml:space="preserve">, </w:t>
      </w:r>
      <w:r w:rsidR="005914EC">
        <w:t xml:space="preserve">following the offer </w:t>
      </w:r>
      <w:r>
        <w:t xml:space="preserve">by PBL </w:t>
      </w:r>
      <w:r w:rsidR="006F34A9">
        <w:t xml:space="preserve">– the </w:t>
      </w:r>
      <w:r>
        <w:t>Netherlands Environmental Assessment Agency</w:t>
      </w:r>
      <w:r w:rsidR="005914EC">
        <w:t xml:space="preserve"> to assist the global assessment for its work on scenarios and models</w:t>
      </w:r>
      <w:r>
        <w:t xml:space="preserve">, approved by the Bureau. The technical support unit </w:t>
      </w:r>
      <w:r w:rsidR="005914EC">
        <w:t>on scenarios and models convened</w:t>
      </w:r>
      <w:r>
        <w:t xml:space="preserve"> the chapter 4 and 5 meetings for the global assessment in early 2017. </w:t>
      </w:r>
    </w:p>
    <w:p w14:paraId="1BF2E721" w14:textId="2B7B3DA1" w:rsidR="001B0043" w:rsidRPr="00DC1D1D" w:rsidRDefault="004B73C7" w:rsidP="00DC1D1D">
      <w:pPr>
        <w:pStyle w:val="Normalnumber"/>
        <w:numPr>
          <w:ilvl w:val="0"/>
          <w:numId w:val="67"/>
        </w:numPr>
        <w:tabs>
          <w:tab w:val="clear" w:pos="1134"/>
          <w:tab w:val="left" w:pos="624"/>
        </w:tabs>
      </w:pPr>
      <w:r w:rsidRPr="00DC1D1D">
        <w:t xml:space="preserve">The task force for capacity building, assisted the assessment through the organization of the fellowship programme and of </w:t>
      </w:r>
      <w:r w:rsidR="008F1DDF" w:rsidRPr="00DC1D1D">
        <w:t>the first</w:t>
      </w:r>
      <w:r w:rsidRPr="00DC1D1D">
        <w:t xml:space="preserve"> workshop to develop the summary for policymakers</w:t>
      </w:r>
      <w:r w:rsidR="00D30739">
        <w:t xml:space="preserve"> (</w:t>
      </w:r>
      <w:proofErr w:type="spellStart"/>
      <w:r w:rsidR="00D30739">
        <w:t>Rosendal</w:t>
      </w:r>
      <w:proofErr w:type="spellEnd"/>
      <w:r w:rsidR="00D30739">
        <w:t>, </w:t>
      </w:r>
      <w:r w:rsidR="008F1DDF" w:rsidRPr="00DC1D1D">
        <w:t>Norway, 23-25 February 2018)</w:t>
      </w:r>
      <w:r w:rsidRPr="00DC1D1D">
        <w:t>.</w:t>
      </w:r>
      <w:r w:rsidR="00E6646B" w:rsidRPr="00DC1D1D">
        <w:t xml:space="preserve"> </w:t>
      </w:r>
      <w:r w:rsidR="00372352" w:rsidRPr="00DC1D1D">
        <w:t xml:space="preserve">The technical support unit </w:t>
      </w:r>
      <w:r w:rsidR="005914EC" w:rsidRPr="00DC1D1D">
        <w:t xml:space="preserve">on capacity-building </w:t>
      </w:r>
      <w:r w:rsidR="00D30739">
        <w:br/>
      </w:r>
      <w:r w:rsidR="00372352" w:rsidRPr="00DC1D1D">
        <w:t xml:space="preserve">co-organized </w:t>
      </w:r>
      <w:r w:rsidR="00AC675D" w:rsidRPr="00DC1D1D">
        <w:t xml:space="preserve">the workshop with IPBES national focal points (Bonn, Germany, </w:t>
      </w:r>
      <w:r w:rsidR="004601E0" w:rsidRPr="00DC1D1D">
        <w:t>4-6 June 2018)</w:t>
      </w:r>
      <w:r w:rsidR="00DD5E80" w:rsidRPr="00DC1D1D">
        <w:t xml:space="preserve"> on policy relevance</w:t>
      </w:r>
      <w:r w:rsidR="008D7200" w:rsidRPr="00DC1D1D">
        <w:t xml:space="preserve"> and</w:t>
      </w:r>
      <w:r w:rsidR="00DD5E80" w:rsidRPr="00DC1D1D">
        <w:t xml:space="preserve"> </w:t>
      </w:r>
      <w:r w:rsidR="008D7200" w:rsidRPr="00DC1D1D">
        <w:t>discussion on</w:t>
      </w:r>
      <w:r w:rsidR="00DD5E80" w:rsidRPr="00DC1D1D">
        <w:t xml:space="preserve"> nature’s contributions to people. </w:t>
      </w:r>
    </w:p>
    <w:tbl>
      <w:tblPr>
        <w:tblpPr w:leftFromText="180" w:rightFromText="180" w:vertAnchor="text" w:horzAnchor="margin" w:tblpY="126"/>
        <w:tblW w:w="9498" w:type="dxa"/>
        <w:tblLook w:val="04A0" w:firstRow="1" w:lastRow="0" w:firstColumn="1" w:lastColumn="0" w:noHBand="0" w:noVBand="1"/>
      </w:tblPr>
      <w:tblGrid>
        <w:gridCol w:w="1899"/>
        <w:gridCol w:w="1900"/>
        <w:gridCol w:w="1899"/>
        <w:gridCol w:w="1900"/>
        <w:gridCol w:w="1900"/>
      </w:tblGrid>
      <w:tr w:rsidR="00DC1D1D" w14:paraId="2B0D38AF" w14:textId="77777777" w:rsidTr="001557FA">
        <w:trPr>
          <w:trHeight w:val="50"/>
        </w:trPr>
        <w:tc>
          <w:tcPr>
            <w:tcW w:w="1899" w:type="dxa"/>
          </w:tcPr>
          <w:p w14:paraId="643C4B76" w14:textId="77777777" w:rsidR="00DC1D1D" w:rsidRPr="00487046" w:rsidRDefault="00DC1D1D" w:rsidP="001557FA">
            <w:pPr>
              <w:pStyle w:val="Normal-pool"/>
              <w:spacing w:before="520"/>
            </w:pPr>
          </w:p>
        </w:tc>
        <w:tc>
          <w:tcPr>
            <w:tcW w:w="1900" w:type="dxa"/>
          </w:tcPr>
          <w:p w14:paraId="7827C827" w14:textId="77777777" w:rsidR="00DC1D1D" w:rsidRDefault="00DC1D1D" w:rsidP="001557FA">
            <w:pPr>
              <w:pStyle w:val="Normal-pool"/>
              <w:spacing w:before="520"/>
            </w:pPr>
          </w:p>
        </w:tc>
        <w:tc>
          <w:tcPr>
            <w:tcW w:w="1899" w:type="dxa"/>
            <w:tcBorders>
              <w:top w:val="nil"/>
              <w:left w:val="nil"/>
              <w:bottom w:val="single" w:sz="4" w:space="0" w:color="auto"/>
              <w:right w:val="nil"/>
            </w:tcBorders>
          </w:tcPr>
          <w:p w14:paraId="29367BA7" w14:textId="77777777" w:rsidR="00DC1D1D" w:rsidRDefault="00DC1D1D" w:rsidP="001557FA">
            <w:pPr>
              <w:pStyle w:val="Normal-pool"/>
              <w:spacing w:before="520"/>
            </w:pPr>
          </w:p>
        </w:tc>
        <w:tc>
          <w:tcPr>
            <w:tcW w:w="1900" w:type="dxa"/>
          </w:tcPr>
          <w:p w14:paraId="2A327655" w14:textId="77777777" w:rsidR="00DC1D1D" w:rsidRDefault="00DC1D1D" w:rsidP="001557FA">
            <w:pPr>
              <w:pStyle w:val="Normal-pool"/>
              <w:spacing w:before="520"/>
            </w:pPr>
          </w:p>
        </w:tc>
        <w:tc>
          <w:tcPr>
            <w:tcW w:w="1900" w:type="dxa"/>
          </w:tcPr>
          <w:p w14:paraId="6CF26B59" w14:textId="77777777" w:rsidR="00DC1D1D" w:rsidRDefault="00DC1D1D" w:rsidP="001557FA">
            <w:pPr>
              <w:pStyle w:val="Normal-pool"/>
              <w:spacing w:before="520"/>
            </w:pPr>
          </w:p>
        </w:tc>
      </w:tr>
    </w:tbl>
    <w:p w14:paraId="2347FEAD" w14:textId="6E3C8F27" w:rsidR="00396929" w:rsidRPr="004B73C7" w:rsidRDefault="00396929" w:rsidP="00013EEE">
      <w:pPr>
        <w:pStyle w:val="Normal-pool"/>
      </w:pPr>
    </w:p>
    <w:sectPr w:rsidR="00396929" w:rsidRPr="004B73C7" w:rsidSect="00FD46CA">
      <w:headerReference w:type="even" r:id="rId15"/>
      <w:headerReference w:type="default" r:id="rId16"/>
      <w:footerReference w:type="even" r:id="rId17"/>
      <w:footerReference w:type="default" r:id="rId18"/>
      <w:headerReference w:type="first" r:id="rId19"/>
      <w:footerReference w:type="first" r:id="rId20"/>
      <w:pgSz w:w="11906" w:h="16838" w:code="9"/>
      <w:pgMar w:top="907" w:right="992" w:bottom="1418" w:left="1418" w:header="864" w:footer="794"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1CBF" w14:textId="77777777" w:rsidR="002A47C3" w:rsidRDefault="002A47C3">
      <w:r>
        <w:separator/>
      </w:r>
    </w:p>
  </w:endnote>
  <w:endnote w:type="continuationSeparator" w:id="0">
    <w:p w14:paraId="13B458BB" w14:textId="77777777" w:rsidR="002A47C3" w:rsidRDefault="002A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rPr>
      <w:id w:val="1014189356"/>
      <w:docPartObj>
        <w:docPartGallery w:val="Page Numbers (Bottom of Page)"/>
        <w:docPartUnique/>
      </w:docPartObj>
    </w:sdtPr>
    <w:sdtEndPr>
      <w:rPr>
        <w:noProof/>
      </w:rPr>
    </w:sdtEndPr>
    <w:sdtContent>
      <w:p w14:paraId="3E491063" w14:textId="37400FFC" w:rsidR="004B273A" w:rsidRPr="00FD46CA" w:rsidRDefault="00FD46CA" w:rsidP="00FD46CA">
        <w:pPr>
          <w:pStyle w:val="Footer"/>
          <w:rPr>
            <w:rFonts w:ascii="Times New Roman" w:hAnsi="Times New Roman"/>
            <w:b/>
          </w:rPr>
        </w:pPr>
        <w:r w:rsidRPr="00FD46CA">
          <w:rPr>
            <w:rFonts w:ascii="Times New Roman" w:hAnsi="Times New Roman"/>
            <w:b/>
          </w:rPr>
          <w:fldChar w:fldCharType="begin"/>
        </w:r>
        <w:r w:rsidRPr="00FD46CA">
          <w:rPr>
            <w:rFonts w:ascii="Times New Roman" w:hAnsi="Times New Roman"/>
            <w:b/>
          </w:rPr>
          <w:instrText xml:space="preserve"> PAGE   \* MERGEFORMAT </w:instrText>
        </w:r>
        <w:r w:rsidRPr="00FD46CA">
          <w:rPr>
            <w:rFonts w:ascii="Times New Roman" w:hAnsi="Times New Roman"/>
            <w:b/>
          </w:rPr>
          <w:fldChar w:fldCharType="separate"/>
        </w:r>
        <w:r w:rsidR="00D30739">
          <w:rPr>
            <w:rFonts w:ascii="Times New Roman" w:hAnsi="Times New Roman"/>
            <w:b/>
            <w:noProof/>
          </w:rPr>
          <w:t>6</w:t>
        </w:r>
        <w:r w:rsidRPr="00FD46CA">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736226"/>
      <w:docPartObj>
        <w:docPartGallery w:val="Page Numbers (Bottom of Page)"/>
        <w:docPartUnique/>
      </w:docPartObj>
    </w:sdtPr>
    <w:sdtEndPr>
      <w:rPr>
        <w:rFonts w:ascii="Times New Roman" w:hAnsi="Times New Roman"/>
        <w:b/>
        <w:noProof/>
      </w:rPr>
    </w:sdtEndPr>
    <w:sdtContent>
      <w:p w14:paraId="33CB3D85" w14:textId="7BE7EEA5" w:rsidR="004B273A" w:rsidRPr="00FD46CA" w:rsidRDefault="00FD46CA" w:rsidP="00FD46CA">
        <w:pPr>
          <w:pStyle w:val="Footer"/>
          <w:jc w:val="right"/>
          <w:rPr>
            <w:rFonts w:ascii="Times New Roman" w:hAnsi="Times New Roman"/>
            <w:b/>
          </w:rPr>
        </w:pPr>
        <w:r w:rsidRPr="00FD46CA">
          <w:rPr>
            <w:rFonts w:ascii="Times New Roman" w:hAnsi="Times New Roman"/>
            <w:b/>
          </w:rPr>
          <w:fldChar w:fldCharType="begin"/>
        </w:r>
        <w:r w:rsidRPr="00FD46CA">
          <w:rPr>
            <w:rFonts w:ascii="Times New Roman" w:hAnsi="Times New Roman"/>
            <w:b/>
          </w:rPr>
          <w:instrText xml:space="preserve"> PAGE   \* MERGEFORMAT </w:instrText>
        </w:r>
        <w:r w:rsidRPr="00FD46CA">
          <w:rPr>
            <w:rFonts w:ascii="Times New Roman" w:hAnsi="Times New Roman"/>
            <w:b/>
          </w:rPr>
          <w:fldChar w:fldCharType="separate"/>
        </w:r>
        <w:r w:rsidR="00D30739">
          <w:rPr>
            <w:rFonts w:ascii="Times New Roman" w:hAnsi="Times New Roman"/>
            <w:b/>
            <w:noProof/>
          </w:rPr>
          <w:t>5</w:t>
        </w:r>
        <w:r w:rsidRPr="00FD46CA">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9408" w14:textId="440937FB" w:rsidR="00013EEE" w:rsidRPr="00013EEE" w:rsidRDefault="00405A92" w:rsidP="00013EEE">
    <w:pPr>
      <w:pStyle w:val="Footer"/>
      <w:tabs>
        <w:tab w:val="clear" w:pos="4320"/>
        <w:tab w:val="clear" w:pos="8640"/>
        <w:tab w:val="left" w:pos="624"/>
      </w:tabs>
      <w:spacing w:line="240" w:lineRule="auto"/>
      <w:rPr>
        <w:rFonts w:ascii="Times New Roman" w:hAnsi="Times New Roman"/>
        <w:sz w:val="20"/>
        <w:szCs w:val="20"/>
        <w:lang w:val="en-GB"/>
      </w:rPr>
    </w:pPr>
    <w:r>
      <w:rPr>
        <w:rFonts w:ascii="Times New Roman" w:hAnsi="Times New Roman"/>
        <w:sz w:val="20"/>
        <w:szCs w:val="20"/>
        <w:lang w:val="en-GB"/>
      </w:rPr>
      <w:t>K1901034</w:t>
    </w:r>
    <w:r>
      <w:rPr>
        <w:rFonts w:ascii="Times New Roman" w:hAnsi="Times New Roman"/>
        <w:sz w:val="20"/>
        <w:szCs w:val="20"/>
        <w:lang w:val="en-GB"/>
      </w:rPr>
      <w:tab/>
      <w:t>020419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751" w14:textId="77777777" w:rsidR="002A47C3" w:rsidRPr="00D30739" w:rsidRDefault="002A47C3" w:rsidP="00D30739">
      <w:pPr>
        <w:pStyle w:val="Normal-pool"/>
        <w:tabs>
          <w:tab w:val="clear" w:pos="1247"/>
          <w:tab w:val="clear" w:pos="1814"/>
          <w:tab w:val="clear" w:pos="2381"/>
          <w:tab w:val="clear" w:pos="2948"/>
          <w:tab w:val="clear" w:pos="3515"/>
          <w:tab w:val="clear" w:pos="4082"/>
          <w:tab w:val="left" w:pos="624"/>
        </w:tabs>
        <w:spacing w:after="120"/>
        <w:ind w:left="624"/>
        <w:rPr>
          <w:sz w:val="18"/>
          <w:szCs w:val="18"/>
        </w:rPr>
      </w:pPr>
      <w:r w:rsidRPr="00D30739">
        <w:rPr>
          <w:sz w:val="18"/>
          <w:szCs w:val="18"/>
        </w:rPr>
        <w:separator/>
      </w:r>
    </w:p>
  </w:footnote>
  <w:footnote w:type="continuationSeparator" w:id="0">
    <w:p w14:paraId="4D3930E6" w14:textId="77777777" w:rsidR="002A47C3" w:rsidRDefault="002A47C3">
      <w:r>
        <w:continuationSeparator/>
      </w:r>
    </w:p>
  </w:footnote>
  <w:footnote w:id="1">
    <w:p w14:paraId="76D7E19B" w14:textId="3EC9D891" w:rsidR="004B273A" w:rsidRPr="00D30739" w:rsidRDefault="004B273A" w:rsidP="00D30739">
      <w:pPr>
        <w:pStyle w:val="NormalNonumber"/>
        <w:tabs>
          <w:tab w:val="clear" w:pos="1247"/>
          <w:tab w:val="clear" w:pos="1814"/>
          <w:tab w:val="clear" w:pos="2381"/>
          <w:tab w:val="clear" w:pos="2948"/>
          <w:tab w:val="clear" w:pos="3515"/>
          <w:tab w:val="clear" w:pos="4082"/>
          <w:tab w:val="left" w:pos="624"/>
        </w:tabs>
        <w:spacing w:before="20" w:after="40"/>
        <w:rPr>
          <w:sz w:val="18"/>
          <w:szCs w:val="18"/>
          <w:lang w:val="nl-NL"/>
        </w:rPr>
      </w:pPr>
      <w:r w:rsidRPr="00D30739">
        <w:rPr>
          <w:rStyle w:val="FootnoteReference"/>
          <w:sz w:val="18"/>
          <w:vertAlign w:val="baseline"/>
        </w:rPr>
        <w:t>*</w:t>
      </w:r>
      <w:r w:rsidRPr="00D30739">
        <w:rPr>
          <w:sz w:val="18"/>
          <w:szCs w:val="18"/>
          <w:lang w:val="nl-NL"/>
        </w:rPr>
        <w:t xml:space="preserve"> IPBES/7/1</w:t>
      </w:r>
      <w:r w:rsidR="00FD46CA" w:rsidRPr="00D30739">
        <w:rPr>
          <w:sz w:val="18"/>
          <w:szCs w:val="18"/>
          <w:lang w:val="nl-NL"/>
        </w:rPr>
        <w:t>/Rev.1</w:t>
      </w:r>
      <w:r w:rsidRPr="00D30739">
        <w:rPr>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20595E89" w:rsidR="004B273A" w:rsidRPr="00CB426D" w:rsidRDefault="004B73C7"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06AC54CF" w:rsidR="004B273A" w:rsidRPr="00CB426D" w:rsidRDefault="004B273A" w:rsidP="00CB426D">
    <w:pPr>
      <w:pStyle w:val="Header"/>
      <w:tabs>
        <w:tab w:val="left" w:pos="624"/>
      </w:tabs>
      <w:jc w:val="right"/>
      <w:rPr>
        <w:rFonts w:ascii="Times New Roman" w:eastAsiaTheme="minorEastAsia" w:hAnsi="Times New Roman"/>
        <w:szCs w:val="18"/>
        <w:lang w:val="en-GB"/>
      </w:rPr>
    </w:pPr>
    <w:r w:rsidRPr="004B73C7">
      <w:rPr>
        <w:rFonts w:ascii="Times New Roman" w:hAnsi="Times New Roman"/>
        <w:szCs w:val="18"/>
      </w:rPr>
      <w:t>IPBES/7/INF/</w:t>
    </w:r>
    <w:r w:rsidR="004B73C7" w:rsidRPr="004B73C7">
      <w:rPr>
        <w:rFonts w:ascii="Times New Roman" w:hAnsi="Times New Roman"/>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C238" w14:textId="77777777" w:rsidR="00FD46CA" w:rsidRDefault="00FD46CA" w:rsidP="00FD46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E5F"/>
    <w:multiLevelType w:val="hybridMultilevel"/>
    <w:tmpl w:val="DBCC9FD6"/>
    <w:lvl w:ilvl="0" w:tplc="FFD8A192">
      <w:numFmt w:val="bullet"/>
      <w:lvlText w:val="-"/>
      <w:lvlJc w:val="left"/>
      <w:pPr>
        <w:ind w:left="2055" w:hanging="360"/>
      </w:pPr>
      <w:rPr>
        <w:rFonts w:ascii="Times New Roman" w:eastAsia="Times New Roman" w:hAnsi="Times New Roman" w:cs="Times New Roman" w:hint="default"/>
      </w:rPr>
    </w:lvl>
    <w:lvl w:ilvl="1" w:tplc="04130003" w:tentative="1">
      <w:start w:val="1"/>
      <w:numFmt w:val="bullet"/>
      <w:lvlText w:val="o"/>
      <w:lvlJc w:val="left"/>
      <w:pPr>
        <w:ind w:left="2775" w:hanging="360"/>
      </w:pPr>
      <w:rPr>
        <w:rFonts w:ascii="Courier New" w:hAnsi="Courier New" w:cs="Courier New" w:hint="default"/>
      </w:rPr>
    </w:lvl>
    <w:lvl w:ilvl="2" w:tplc="04130005" w:tentative="1">
      <w:start w:val="1"/>
      <w:numFmt w:val="bullet"/>
      <w:lvlText w:val=""/>
      <w:lvlJc w:val="left"/>
      <w:pPr>
        <w:ind w:left="3495" w:hanging="360"/>
      </w:pPr>
      <w:rPr>
        <w:rFonts w:ascii="Wingdings" w:hAnsi="Wingdings" w:hint="default"/>
      </w:rPr>
    </w:lvl>
    <w:lvl w:ilvl="3" w:tplc="04130001" w:tentative="1">
      <w:start w:val="1"/>
      <w:numFmt w:val="bullet"/>
      <w:lvlText w:val=""/>
      <w:lvlJc w:val="left"/>
      <w:pPr>
        <w:ind w:left="4215" w:hanging="360"/>
      </w:pPr>
      <w:rPr>
        <w:rFonts w:ascii="Symbol" w:hAnsi="Symbol" w:hint="default"/>
      </w:rPr>
    </w:lvl>
    <w:lvl w:ilvl="4" w:tplc="04130003" w:tentative="1">
      <w:start w:val="1"/>
      <w:numFmt w:val="bullet"/>
      <w:lvlText w:val="o"/>
      <w:lvlJc w:val="left"/>
      <w:pPr>
        <w:ind w:left="4935" w:hanging="360"/>
      </w:pPr>
      <w:rPr>
        <w:rFonts w:ascii="Courier New" w:hAnsi="Courier New" w:cs="Courier New" w:hint="default"/>
      </w:rPr>
    </w:lvl>
    <w:lvl w:ilvl="5" w:tplc="04130005" w:tentative="1">
      <w:start w:val="1"/>
      <w:numFmt w:val="bullet"/>
      <w:lvlText w:val=""/>
      <w:lvlJc w:val="left"/>
      <w:pPr>
        <w:ind w:left="5655" w:hanging="360"/>
      </w:pPr>
      <w:rPr>
        <w:rFonts w:ascii="Wingdings" w:hAnsi="Wingdings" w:hint="default"/>
      </w:rPr>
    </w:lvl>
    <w:lvl w:ilvl="6" w:tplc="04130001" w:tentative="1">
      <w:start w:val="1"/>
      <w:numFmt w:val="bullet"/>
      <w:lvlText w:val=""/>
      <w:lvlJc w:val="left"/>
      <w:pPr>
        <w:ind w:left="6375" w:hanging="360"/>
      </w:pPr>
      <w:rPr>
        <w:rFonts w:ascii="Symbol" w:hAnsi="Symbol" w:hint="default"/>
      </w:rPr>
    </w:lvl>
    <w:lvl w:ilvl="7" w:tplc="04130003" w:tentative="1">
      <w:start w:val="1"/>
      <w:numFmt w:val="bullet"/>
      <w:lvlText w:val="o"/>
      <w:lvlJc w:val="left"/>
      <w:pPr>
        <w:ind w:left="7095" w:hanging="360"/>
      </w:pPr>
      <w:rPr>
        <w:rFonts w:ascii="Courier New" w:hAnsi="Courier New" w:cs="Courier New" w:hint="default"/>
      </w:rPr>
    </w:lvl>
    <w:lvl w:ilvl="8" w:tplc="04130005" w:tentative="1">
      <w:start w:val="1"/>
      <w:numFmt w:val="bullet"/>
      <w:lvlText w:val=""/>
      <w:lvlJc w:val="left"/>
      <w:pPr>
        <w:ind w:left="7815" w:hanging="360"/>
      </w:pPr>
      <w:rPr>
        <w:rFonts w:ascii="Wingdings" w:hAnsi="Wingdings" w:hint="default"/>
      </w:rPr>
    </w:lvl>
  </w:abstractNum>
  <w:abstractNum w:abstractNumId="1" w15:restartNumberingAfterBreak="0">
    <w:nsid w:val="0894584B"/>
    <w:multiLevelType w:val="hybridMultilevel"/>
    <w:tmpl w:val="FA5A193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9164FC4"/>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0980350C"/>
    <w:multiLevelType w:val="hybridMultilevel"/>
    <w:tmpl w:val="5124681E"/>
    <w:lvl w:ilvl="0" w:tplc="2C58A472">
      <w:numFmt w:val="bullet"/>
      <w:lvlText w:val="-"/>
      <w:lvlJc w:val="left"/>
      <w:pPr>
        <w:ind w:left="720" w:hanging="360"/>
      </w:pPr>
      <w:rPr>
        <w:rFonts w:ascii="Calibri" w:eastAsia="MS Mincho"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093AFF"/>
    <w:multiLevelType w:val="multilevel"/>
    <w:tmpl w:val="55ECA694"/>
    <w:lvl w:ilvl="0">
      <w:start w:val="2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0E3838D7"/>
    <w:multiLevelType w:val="hybridMultilevel"/>
    <w:tmpl w:val="C1067EC4"/>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6" w15:restartNumberingAfterBreak="0">
    <w:nsid w:val="1234037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171113A7"/>
    <w:multiLevelType w:val="multilevel"/>
    <w:tmpl w:val="138C55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7B23D17"/>
    <w:multiLevelType w:val="hybridMultilevel"/>
    <w:tmpl w:val="2C08ACAC"/>
    <w:lvl w:ilvl="0" w:tplc="889A0A1C">
      <w:start w:val="1"/>
      <w:numFmt w:val="upperLetter"/>
      <w:lvlText w:val="%1."/>
      <w:lvlJc w:val="left"/>
      <w:pPr>
        <w:ind w:left="1268" w:hanging="360"/>
      </w:pPr>
      <w:rPr>
        <w:rFonts w:hint="default"/>
      </w:rPr>
    </w:lvl>
    <w:lvl w:ilvl="1" w:tplc="04130019" w:tentative="1">
      <w:start w:val="1"/>
      <w:numFmt w:val="lowerLetter"/>
      <w:lvlText w:val="%2."/>
      <w:lvlJc w:val="left"/>
      <w:pPr>
        <w:ind w:left="1988" w:hanging="360"/>
      </w:pPr>
    </w:lvl>
    <w:lvl w:ilvl="2" w:tplc="0413001B" w:tentative="1">
      <w:start w:val="1"/>
      <w:numFmt w:val="lowerRoman"/>
      <w:lvlText w:val="%3."/>
      <w:lvlJc w:val="right"/>
      <w:pPr>
        <w:ind w:left="2708" w:hanging="180"/>
      </w:pPr>
    </w:lvl>
    <w:lvl w:ilvl="3" w:tplc="0413000F" w:tentative="1">
      <w:start w:val="1"/>
      <w:numFmt w:val="decimal"/>
      <w:lvlText w:val="%4."/>
      <w:lvlJc w:val="left"/>
      <w:pPr>
        <w:ind w:left="3428" w:hanging="360"/>
      </w:pPr>
    </w:lvl>
    <w:lvl w:ilvl="4" w:tplc="04130019" w:tentative="1">
      <w:start w:val="1"/>
      <w:numFmt w:val="lowerLetter"/>
      <w:lvlText w:val="%5."/>
      <w:lvlJc w:val="left"/>
      <w:pPr>
        <w:ind w:left="4148" w:hanging="360"/>
      </w:pPr>
    </w:lvl>
    <w:lvl w:ilvl="5" w:tplc="0413001B" w:tentative="1">
      <w:start w:val="1"/>
      <w:numFmt w:val="lowerRoman"/>
      <w:lvlText w:val="%6."/>
      <w:lvlJc w:val="right"/>
      <w:pPr>
        <w:ind w:left="4868" w:hanging="180"/>
      </w:pPr>
    </w:lvl>
    <w:lvl w:ilvl="6" w:tplc="0413000F" w:tentative="1">
      <w:start w:val="1"/>
      <w:numFmt w:val="decimal"/>
      <w:lvlText w:val="%7."/>
      <w:lvlJc w:val="left"/>
      <w:pPr>
        <w:ind w:left="5588" w:hanging="360"/>
      </w:pPr>
    </w:lvl>
    <w:lvl w:ilvl="7" w:tplc="04130019" w:tentative="1">
      <w:start w:val="1"/>
      <w:numFmt w:val="lowerLetter"/>
      <w:lvlText w:val="%8."/>
      <w:lvlJc w:val="left"/>
      <w:pPr>
        <w:ind w:left="6308" w:hanging="360"/>
      </w:pPr>
    </w:lvl>
    <w:lvl w:ilvl="8" w:tplc="0413001B" w:tentative="1">
      <w:start w:val="1"/>
      <w:numFmt w:val="lowerRoman"/>
      <w:lvlText w:val="%9."/>
      <w:lvlJc w:val="right"/>
      <w:pPr>
        <w:ind w:left="7028" w:hanging="180"/>
      </w:pPr>
    </w:lvl>
  </w:abstractNum>
  <w:abstractNum w:abstractNumId="9" w15:restartNumberingAfterBreak="0">
    <w:nsid w:val="19B72CF2"/>
    <w:multiLevelType w:val="hybridMultilevel"/>
    <w:tmpl w:val="CD72021C"/>
    <w:lvl w:ilvl="0" w:tplc="E44CC7F0">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D920E0A"/>
    <w:multiLevelType w:val="multilevel"/>
    <w:tmpl w:val="9F480F18"/>
    <w:lvl w:ilvl="0">
      <w:start w:val="1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2281766E"/>
    <w:multiLevelType w:val="multilevel"/>
    <w:tmpl w:val="A3A69308"/>
    <w:lvl w:ilvl="0">
      <w:start w:val="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3BB6ABB"/>
    <w:multiLevelType w:val="multilevel"/>
    <w:tmpl w:val="9F480F18"/>
    <w:lvl w:ilvl="0">
      <w:start w:val="1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28E93CD9"/>
    <w:multiLevelType w:val="hybridMultilevel"/>
    <w:tmpl w:val="3BC0A52A"/>
    <w:lvl w:ilvl="0" w:tplc="9DDEE3E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D64294"/>
    <w:multiLevelType w:val="hybridMultilevel"/>
    <w:tmpl w:val="DA7C770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B8950BD"/>
    <w:multiLevelType w:val="multilevel"/>
    <w:tmpl w:val="64C8B114"/>
    <w:lvl w:ilvl="0">
      <w:start w:val="2"/>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8" w15:restartNumberingAfterBreak="0">
    <w:nsid w:val="37AC75E8"/>
    <w:multiLevelType w:val="hybridMultilevel"/>
    <w:tmpl w:val="232A8000"/>
    <w:lvl w:ilvl="0" w:tplc="834A0DD6">
      <w:start w:val="14"/>
      <w:numFmt w:val="bullet"/>
      <w:lvlText w:val="-"/>
      <w:lvlJc w:val="left"/>
      <w:pPr>
        <w:ind w:left="720" w:hanging="360"/>
      </w:pPr>
      <w:rPr>
        <w:rFonts w:ascii="Calibri" w:eastAsia="Yu Mincho"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70B7"/>
    <w:multiLevelType w:val="hybridMultilevel"/>
    <w:tmpl w:val="B41E92A8"/>
    <w:lvl w:ilvl="0" w:tplc="FB629EA6">
      <w:start w:val="13"/>
      <w:numFmt w:val="bullet"/>
      <w:lvlText w:val=""/>
      <w:lvlJc w:val="left"/>
      <w:pPr>
        <w:ind w:left="720" w:hanging="360"/>
      </w:pPr>
      <w:rPr>
        <w:rFonts w:ascii="Wingdings" w:eastAsia="MS Mincho"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C3912D5"/>
    <w:multiLevelType w:val="multilevel"/>
    <w:tmpl w:val="138C558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44E546E1"/>
    <w:multiLevelType w:val="multilevel"/>
    <w:tmpl w:val="870A251C"/>
    <w:lvl w:ilvl="0">
      <w:start w:val="1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48325704"/>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C073D8"/>
    <w:multiLevelType w:val="multilevel"/>
    <w:tmpl w:val="BCC67394"/>
    <w:lvl w:ilvl="0">
      <w:start w:val="13"/>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4C522195"/>
    <w:multiLevelType w:val="hybridMultilevel"/>
    <w:tmpl w:val="13BECE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50D23FD9"/>
    <w:multiLevelType w:val="hybridMultilevel"/>
    <w:tmpl w:val="5588CF2A"/>
    <w:lvl w:ilvl="0" w:tplc="E44CC7F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6400A4"/>
    <w:multiLevelType w:val="hybridMultilevel"/>
    <w:tmpl w:val="7D5235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5E5238"/>
    <w:multiLevelType w:val="hybridMultilevel"/>
    <w:tmpl w:val="0786D9CC"/>
    <w:lvl w:ilvl="0" w:tplc="9DDEE3EA">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0" w15:restartNumberingAfterBreak="0">
    <w:nsid w:val="5CA45B6E"/>
    <w:multiLevelType w:val="multilevel"/>
    <w:tmpl w:val="161810EE"/>
    <w:lvl w:ilvl="0">
      <w:start w:val="22"/>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5CBE3FEC"/>
    <w:multiLevelType w:val="hybridMultilevel"/>
    <w:tmpl w:val="4D5AD362"/>
    <w:lvl w:ilvl="0" w:tplc="CED8D490">
      <w:start w:val="1"/>
      <w:numFmt w:val="upperLetter"/>
      <w:lvlText w:val="%1."/>
      <w:lvlJc w:val="left"/>
      <w:pPr>
        <w:ind w:left="1268" w:hanging="360"/>
      </w:pPr>
      <w:rPr>
        <w:rFonts w:hint="default"/>
        <w:sz w:val="24"/>
        <w:szCs w:val="24"/>
      </w:rPr>
    </w:lvl>
    <w:lvl w:ilvl="1" w:tplc="04130019" w:tentative="1">
      <w:start w:val="1"/>
      <w:numFmt w:val="lowerLetter"/>
      <w:lvlText w:val="%2."/>
      <w:lvlJc w:val="left"/>
      <w:pPr>
        <w:ind w:left="1988" w:hanging="360"/>
      </w:pPr>
    </w:lvl>
    <w:lvl w:ilvl="2" w:tplc="0413001B" w:tentative="1">
      <w:start w:val="1"/>
      <w:numFmt w:val="lowerRoman"/>
      <w:lvlText w:val="%3."/>
      <w:lvlJc w:val="right"/>
      <w:pPr>
        <w:ind w:left="2708" w:hanging="180"/>
      </w:pPr>
    </w:lvl>
    <w:lvl w:ilvl="3" w:tplc="0413000F" w:tentative="1">
      <w:start w:val="1"/>
      <w:numFmt w:val="decimal"/>
      <w:lvlText w:val="%4."/>
      <w:lvlJc w:val="left"/>
      <w:pPr>
        <w:ind w:left="3428" w:hanging="360"/>
      </w:pPr>
    </w:lvl>
    <w:lvl w:ilvl="4" w:tplc="04130019" w:tentative="1">
      <w:start w:val="1"/>
      <w:numFmt w:val="lowerLetter"/>
      <w:lvlText w:val="%5."/>
      <w:lvlJc w:val="left"/>
      <w:pPr>
        <w:ind w:left="4148" w:hanging="360"/>
      </w:pPr>
    </w:lvl>
    <w:lvl w:ilvl="5" w:tplc="0413001B" w:tentative="1">
      <w:start w:val="1"/>
      <w:numFmt w:val="lowerRoman"/>
      <w:lvlText w:val="%6."/>
      <w:lvlJc w:val="right"/>
      <w:pPr>
        <w:ind w:left="4868" w:hanging="180"/>
      </w:pPr>
    </w:lvl>
    <w:lvl w:ilvl="6" w:tplc="0413000F" w:tentative="1">
      <w:start w:val="1"/>
      <w:numFmt w:val="decimal"/>
      <w:lvlText w:val="%7."/>
      <w:lvlJc w:val="left"/>
      <w:pPr>
        <w:ind w:left="5588" w:hanging="360"/>
      </w:pPr>
    </w:lvl>
    <w:lvl w:ilvl="7" w:tplc="04130019" w:tentative="1">
      <w:start w:val="1"/>
      <w:numFmt w:val="lowerLetter"/>
      <w:lvlText w:val="%8."/>
      <w:lvlJc w:val="left"/>
      <w:pPr>
        <w:ind w:left="6308" w:hanging="360"/>
      </w:pPr>
    </w:lvl>
    <w:lvl w:ilvl="8" w:tplc="0413001B" w:tentative="1">
      <w:start w:val="1"/>
      <w:numFmt w:val="lowerRoman"/>
      <w:lvlText w:val="%9."/>
      <w:lvlJc w:val="right"/>
      <w:pPr>
        <w:ind w:left="7028" w:hanging="180"/>
      </w:pPr>
    </w:lvl>
  </w:abstractNum>
  <w:abstractNum w:abstractNumId="32" w15:restartNumberingAfterBreak="0">
    <w:nsid w:val="603640E6"/>
    <w:multiLevelType w:val="multilevel"/>
    <w:tmpl w:val="4C248AD0"/>
    <w:lvl w:ilvl="0">
      <w:start w:val="13"/>
      <w:numFmt w:val="decimal"/>
      <w:lvlText w:val="%1."/>
      <w:lvlJc w:val="left"/>
      <w:pPr>
        <w:tabs>
          <w:tab w:val="num" w:pos="567"/>
        </w:tabs>
        <w:ind w:left="1247" w:firstLine="0"/>
      </w:pPr>
      <w:rPr>
        <w:rFonts w:hint="default"/>
        <w:lang w:val="en-U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3" w15:restartNumberingAfterBreak="0">
    <w:nsid w:val="606437A2"/>
    <w:multiLevelType w:val="multilevel"/>
    <w:tmpl w:val="D07A6E4C"/>
    <w:numStyleLink w:val="Normallist"/>
  </w:abstractNum>
  <w:abstractNum w:abstractNumId="34" w15:restartNumberingAfterBreak="0">
    <w:nsid w:val="69274C1B"/>
    <w:multiLevelType w:val="hybridMultilevel"/>
    <w:tmpl w:val="C1B84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7A06CB"/>
    <w:multiLevelType w:val="multilevel"/>
    <w:tmpl w:val="4BDC997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7"/>
  </w:num>
  <w:num w:numId="2">
    <w:abstractNumId w:val="10"/>
  </w:num>
  <w:num w:numId="3">
    <w:abstractNumId w:val="17"/>
  </w:num>
  <w:num w:numId="4">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27"/>
  </w:num>
  <w:num w:numId="11">
    <w:abstractNumId w:val="27"/>
  </w:num>
  <w:num w:numId="12">
    <w:abstractNumId w:val="27"/>
  </w:num>
  <w:num w:numId="13">
    <w:abstractNumId w:val="2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35"/>
  </w:num>
  <w:num w:numId="16">
    <w:abstractNumId w:val="20"/>
  </w:num>
  <w:num w:numId="17">
    <w:abstractNumId w:val="12"/>
  </w:num>
  <w:num w:numId="18">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 w:ilvl="0">
        <w:start w:val="1"/>
        <w:numFmt w:val="decimal"/>
        <w:pStyle w:val="Normalnumber"/>
        <w:lvlText w:val=""/>
        <w:lvlJc w:val="left"/>
      </w:lvl>
    </w:lvlOverride>
    <w:lvlOverride w:ilvl="1">
      <w:startOverride w:val="1"/>
      <w:lvl w:ilvl="1">
        <w:start w:val="1"/>
        <w:numFmt w:val="lowerLetter"/>
        <w:lvlText w:val="(%2)"/>
        <w:lvlJc w:val="left"/>
        <w:pPr>
          <w:tabs>
            <w:tab w:val="num" w:pos="1134"/>
          </w:tabs>
          <w:ind w:left="1247" w:firstLine="567"/>
        </w:pPr>
        <w:rPr>
          <w:rFonts w:hint="default"/>
        </w:rPr>
      </w:lvl>
    </w:lvlOverride>
  </w:num>
  <w:num w:numId="23">
    <w:abstractNumId w:val="4"/>
  </w:num>
  <w:num w:numId="24">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30"/>
  </w:num>
  <w:num w:numId="26">
    <w:abstractNumId w:val="13"/>
  </w:num>
  <w:num w:numId="27">
    <w:abstractNumId w:val="11"/>
  </w:num>
  <w:num w:numId="28">
    <w:abstractNumId w:val="23"/>
  </w:num>
  <w:num w:numId="29">
    <w:abstractNumId w:val="9"/>
  </w:num>
  <w:num w:numId="30">
    <w:abstractNumId w:val="15"/>
  </w:num>
  <w:num w:numId="31">
    <w:abstractNumId w:val="24"/>
  </w:num>
  <w:num w:numId="32">
    <w:abstractNumId w:val="1"/>
  </w:num>
  <w:num w:numId="33">
    <w:abstractNumId w:val="25"/>
  </w:num>
  <w:num w:numId="34">
    <w:abstractNumId w:val="26"/>
  </w:num>
  <w:num w:numId="35">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5"/>
  </w:num>
  <w:num w:numId="37">
    <w:abstractNumId w:val="34"/>
  </w:num>
  <w:num w:numId="38">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32"/>
  </w:num>
  <w:num w:numId="43">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16"/>
  </w:num>
  <w:num w:numId="47">
    <w:abstractNumId w:val="8"/>
  </w:num>
  <w:num w:numId="48">
    <w:abstractNumId w:val="31"/>
  </w:num>
  <w:num w:numId="49">
    <w:abstractNumId w:val="18"/>
  </w:num>
  <w:num w:numId="50">
    <w:abstractNumId w:val="3"/>
  </w:num>
  <w:num w:numId="51">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2">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3">
    <w:abstractNumId w:val="33"/>
  </w:num>
  <w:num w:numId="54">
    <w:abstractNumId w:val="19"/>
  </w:num>
  <w:num w:numId="55">
    <w:abstractNumId w:val="14"/>
  </w:num>
  <w:num w:numId="56">
    <w:abstractNumId w:val="0"/>
  </w:num>
  <w:num w:numId="57">
    <w:abstractNumId w:val="29"/>
  </w:num>
  <w:num w:numId="58">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9">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0">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1">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22"/>
  </w:num>
  <w:num w:numId="64">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68">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27"/>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836"/>
    <w:rsid w:val="00006A17"/>
    <w:rsid w:val="00007485"/>
    <w:rsid w:val="00013EEE"/>
    <w:rsid w:val="000149E6"/>
    <w:rsid w:val="00015283"/>
    <w:rsid w:val="0002212A"/>
    <w:rsid w:val="000241F3"/>
    <w:rsid w:val="000247B0"/>
    <w:rsid w:val="0002620C"/>
    <w:rsid w:val="00026997"/>
    <w:rsid w:val="00026E62"/>
    <w:rsid w:val="000270BB"/>
    <w:rsid w:val="00027790"/>
    <w:rsid w:val="00033E0B"/>
    <w:rsid w:val="00034258"/>
    <w:rsid w:val="00035EDE"/>
    <w:rsid w:val="00037CC2"/>
    <w:rsid w:val="00041C86"/>
    <w:rsid w:val="0004381A"/>
    <w:rsid w:val="00046D18"/>
    <w:rsid w:val="00047992"/>
    <w:rsid w:val="000506BC"/>
    <w:rsid w:val="000509B4"/>
    <w:rsid w:val="0005227D"/>
    <w:rsid w:val="00052AF9"/>
    <w:rsid w:val="0005318A"/>
    <w:rsid w:val="00053C76"/>
    <w:rsid w:val="000566F8"/>
    <w:rsid w:val="00056B61"/>
    <w:rsid w:val="00056FD8"/>
    <w:rsid w:val="000576DF"/>
    <w:rsid w:val="0006035B"/>
    <w:rsid w:val="000645B3"/>
    <w:rsid w:val="000647DB"/>
    <w:rsid w:val="00064E82"/>
    <w:rsid w:val="00065148"/>
    <w:rsid w:val="00065C7B"/>
    <w:rsid w:val="00067F9D"/>
    <w:rsid w:val="00071886"/>
    <w:rsid w:val="000725B6"/>
    <w:rsid w:val="000730F4"/>
    <w:rsid w:val="0007395E"/>
    <w:rsid w:val="000741DC"/>
    <w:rsid w:val="000742BC"/>
    <w:rsid w:val="00074382"/>
    <w:rsid w:val="000756B8"/>
    <w:rsid w:val="000770E2"/>
    <w:rsid w:val="00082A0C"/>
    <w:rsid w:val="00083504"/>
    <w:rsid w:val="00083E4A"/>
    <w:rsid w:val="00090668"/>
    <w:rsid w:val="00095732"/>
    <w:rsid w:val="0009640C"/>
    <w:rsid w:val="00097F57"/>
    <w:rsid w:val="000A0CA7"/>
    <w:rsid w:val="000A146D"/>
    <w:rsid w:val="000A2141"/>
    <w:rsid w:val="000A597D"/>
    <w:rsid w:val="000A5B1F"/>
    <w:rsid w:val="000A65E9"/>
    <w:rsid w:val="000A704B"/>
    <w:rsid w:val="000B22A2"/>
    <w:rsid w:val="000B3FDB"/>
    <w:rsid w:val="000B6AC0"/>
    <w:rsid w:val="000C2A52"/>
    <w:rsid w:val="000C7316"/>
    <w:rsid w:val="000C7826"/>
    <w:rsid w:val="000D33C0"/>
    <w:rsid w:val="000D3D1A"/>
    <w:rsid w:val="000D463E"/>
    <w:rsid w:val="000D6941"/>
    <w:rsid w:val="000D6F90"/>
    <w:rsid w:val="000D6FA8"/>
    <w:rsid w:val="000D704E"/>
    <w:rsid w:val="000E1885"/>
    <w:rsid w:val="000E5752"/>
    <w:rsid w:val="000E6593"/>
    <w:rsid w:val="000F595A"/>
    <w:rsid w:val="000F6661"/>
    <w:rsid w:val="00101BE9"/>
    <w:rsid w:val="001066F6"/>
    <w:rsid w:val="00107772"/>
    <w:rsid w:val="00110AD1"/>
    <w:rsid w:val="001121C3"/>
    <w:rsid w:val="0011406C"/>
    <w:rsid w:val="001172A0"/>
    <w:rsid w:val="001202E3"/>
    <w:rsid w:val="00123699"/>
    <w:rsid w:val="00125FC2"/>
    <w:rsid w:val="00130063"/>
    <w:rsid w:val="0013059D"/>
    <w:rsid w:val="0013088E"/>
    <w:rsid w:val="001324B9"/>
    <w:rsid w:val="001353FD"/>
    <w:rsid w:val="00141A55"/>
    <w:rsid w:val="001446A3"/>
    <w:rsid w:val="00151BE7"/>
    <w:rsid w:val="00152247"/>
    <w:rsid w:val="00155395"/>
    <w:rsid w:val="00156CFD"/>
    <w:rsid w:val="001574EB"/>
    <w:rsid w:val="00160D74"/>
    <w:rsid w:val="00163C96"/>
    <w:rsid w:val="00167D02"/>
    <w:rsid w:val="0017064C"/>
    <w:rsid w:val="00177AB6"/>
    <w:rsid w:val="00177B80"/>
    <w:rsid w:val="00181709"/>
    <w:rsid w:val="00181A60"/>
    <w:rsid w:val="00181EC8"/>
    <w:rsid w:val="001823F3"/>
    <w:rsid w:val="00184349"/>
    <w:rsid w:val="00186E79"/>
    <w:rsid w:val="00187FA9"/>
    <w:rsid w:val="001912E9"/>
    <w:rsid w:val="00191B3F"/>
    <w:rsid w:val="00192C0A"/>
    <w:rsid w:val="00195F33"/>
    <w:rsid w:val="00197067"/>
    <w:rsid w:val="001A0322"/>
    <w:rsid w:val="001A1536"/>
    <w:rsid w:val="001A630A"/>
    <w:rsid w:val="001A6C35"/>
    <w:rsid w:val="001B0043"/>
    <w:rsid w:val="001B1617"/>
    <w:rsid w:val="001B31A7"/>
    <w:rsid w:val="001B504B"/>
    <w:rsid w:val="001C05FF"/>
    <w:rsid w:val="001C0D99"/>
    <w:rsid w:val="001C2151"/>
    <w:rsid w:val="001C71D1"/>
    <w:rsid w:val="001D0FDE"/>
    <w:rsid w:val="001D2903"/>
    <w:rsid w:val="001D2D5F"/>
    <w:rsid w:val="001D3874"/>
    <w:rsid w:val="001D4FA4"/>
    <w:rsid w:val="001D59F3"/>
    <w:rsid w:val="001D7E75"/>
    <w:rsid w:val="001E0800"/>
    <w:rsid w:val="001E29A9"/>
    <w:rsid w:val="001E370F"/>
    <w:rsid w:val="001E4552"/>
    <w:rsid w:val="001E5439"/>
    <w:rsid w:val="001E56D2"/>
    <w:rsid w:val="001E6656"/>
    <w:rsid w:val="001E7D56"/>
    <w:rsid w:val="001F30F0"/>
    <w:rsid w:val="001F4C91"/>
    <w:rsid w:val="001F740C"/>
    <w:rsid w:val="001F75DE"/>
    <w:rsid w:val="00200D58"/>
    <w:rsid w:val="002013BE"/>
    <w:rsid w:val="002030D2"/>
    <w:rsid w:val="002063A4"/>
    <w:rsid w:val="00207353"/>
    <w:rsid w:val="0021145B"/>
    <w:rsid w:val="00212A94"/>
    <w:rsid w:val="002150BD"/>
    <w:rsid w:val="00226644"/>
    <w:rsid w:val="00243D36"/>
    <w:rsid w:val="0024513B"/>
    <w:rsid w:val="00245AC2"/>
    <w:rsid w:val="00247707"/>
    <w:rsid w:val="00254515"/>
    <w:rsid w:val="00254A73"/>
    <w:rsid w:val="0026018E"/>
    <w:rsid w:val="0026199B"/>
    <w:rsid w:val="00264E9C"/>
    <w:rsid w:val="0027037D"/>
    <w:rsid w:val="00271EDD"/>
    <w:rsid w:val="0027326C"/>
    <w:rsid w:val="0027671F"/>
    <w:rsid w:val="00280286"/>
    <w:rsid w:val="00280F74"/>
    <w:rsid w:val="002813DD"/>
    <w:rsid w:val="00281409"/>
    <w:rsid w:val="00286740"/>
    <w:rsid w:val="00286EF0"/>
    <w:rsid w:val="002874CC"/>
    <w:rsid w:val="00291377"/>
    <w:rsid w:val="002929D8"/>
    <w:rsid w:val="002931EE"/>
    <w:rsid w:val="00293A03"/>
    <w:rsid w:val="00294DE4"/>
    <w:rsid w:val="002A237D"/>
    <w:rsid w:val="002A31CD"/>
    <w:rsid w:val="002A47C3"/>
    <w:rsid w:val="002A4C53"/>
    <w:rsid w:val="002A60C1"/>
    <w:rsid w:val="002B0672"/>
    <w:rsid w:val="002B1AD5"/>
    <w:rsid w:val="002B2446"/>
    <w:rsid w:val="002B247F"/>
    <w:rsid w:val="002B27F6"/>
    <w:rsid w:val="002B4529"/>
    <w:rsid w:val="002B71EB"/>
    <w:rsid w:val="002B72DA"/>
    <w:rsid w:val="002C1316"/>
    <w:rsid w:val="002C145D"/>
    <w:rsid w:val="002C281E"/>
    <w:rsid w:val="002C2C3E"/>
    <w:rsid w:val="002C2F81"/>
    <w:rsid w:val="002C3288"/>
    <w:rsid w:val="002C4C60"/>
    <w:rsid w:val="002C533E"/>
    <w:rsid w:val="002C572D"/>
    <w:rsid w:val="002D027F"/>
    <w:rsid w:val="002D1755"/>
    <w:rsid w:val="002D2C2F"/>
    <w:rsid w:val="002D54AF"/>
    <w:rsid w:val="002D54FF"/>
    <w:rsid w:val="002D6E82"/>
    <w:rsid w:val="002D7A85"/>
    <w:rsid w:val="002D7B60"/>
    <w:rsid w:val="002E0330"/>
    <w:rsid w:val="002E2371"/>
    <w:rsid w:val="002E2D54"/>
    <w:rsid w:val="002E6D30"/>
    <w:rsid w:val="002E740C"/>
    <w:rsid w:val="002F0B8A"/>
    <w:rsid w:val="002F11F9"/>
    <w:rsid w:val="002F1DA0"/>
    <w:rsid w:val="002F2683"/>
    <w:rsid w:val="002F4761"/>
    <w:rsid w:val="002F4A45"/>
    <w:rsid w:val="002F504A"/>
    <w:rsid w:val="002F5C79"/>
    <w:rsid w:val="003019E2"/>
    <w:rsid w:val="003030CA"/>
    <w:rsid w:val="00303337"/>
    <w:rsid w:val="003038D1"/>
    <w:rsid w:val="00303BE6"/>
    <w:rsid w:val="00306862"/>
    <w:rsid w:val="00306AEF"/>
    <w:rsid w:val="00307BF9"/>
    <w:rsid w:val="00310B12"/>
    <w:rsid w:val="003118F1"/>
    <w:rsid w:val="00313C3E"/>
    <w:rsid w:val="00313E1A"/>
    <w:rsid w:val="0031413F"/>
    <w:rsid w:val="003148BB"/>
    <w:rsid w:val="00317976"/>
    <w:rsid w:val="003209E0"/>
    <w:rsid w:val="00325541"/>
    <w:rsid w:val="00331F81"/>
    <w:rsid w:val="00345E9E"/>
    <w:rsid w:val="00347C30"/>
    <w:rsid w:val="003507FE"/>
    <w:rsid w:val="00353DA6"/>
    <w:rsid w:val="00354948"/>
    <w:rsid w:val="00355EA9"/>
    <w:rsid w:val="00356152"/>
    <w:rsid w:val="003578DE"/>
    <w:rsid w:val="003579DC"/>
    <w:rsid w:val="00360B0F"/>
    <w:rsid w:val="0036111B"/>
    <w:rsid w:val="00361CB5"/>
    <w:rsid w:val="00363946"/>
    <w:rsid w:val="00364476"/>
    <w:rsid w:val="00365846"/>
    <w:rsid w:val="0037008D"/>
    <w:rsid w:val="00372352"/>
    <w:rsid w:val="00372792"/>
    <w:rsid w:val="00373551"/>
    <w:rsid w:val="00374255"/>
    <w:rsid w:val="00382BF6"/>
    <w:rsid w:val="00396257"/>
    <w:rsid w:val="00396929"/>
    <w:rsid w:val="00397A9C"/>
    <w:rsid w:val="00397EB8"/>
    <w:rsid w:val="003A0C3F"/>
    <w:rsid w:val="003A1CFE"/>
    <w:rsid w:val="003A25F2"/>
    <w:rsid w:val="003A371C"/>
    <w:rsid w:val="003A380B"/>
    <w:rsid w:val="003A4FD0"/>
    <w:rsid w:val="003A69D1"/>
    <w:rsid w:val="003A7642"/>
    <w:rsid w:val="003A7705"/>
    <w:rsid w:val="003A77F1"/>
    <w:rsid w:val="003A7B83"/>
    <w:rsid w:val="003B1545"/>
    <w:rsid w:val="003B3018"/>
    <w:rsid w:val="003B52BF"/>
    <w:rsid w:val="003B5369"/>
    <w:rsid w:val="003B74F8"/>
    <w:rsid w:val="003C0125"/>
    <w:rsid w:val="003C370C"/>
    <w:rsid w:val="003C409D"/>
    <w:rsid w:val="003C5008"/>
    <w:rsid w:val="003C5BA6"/>
    <w:rsid w:val="003C6ABD"/>
    <w:rsid w:val="003C7411"/>
    <w:rsid w:val="003D04A0"/>
    <w:rsid w:val="003D107C"/>
    <w:rsid w:val="003D1C0C"/>
    <w:rsid w:val="003D1FA0"/>
    <w:rsid w:val="003D7365"/>
    <w:rsid w:val="003E05AA"/>
    <w:rsid w:val="003E0B20"/>
    <w:rsid w:val="003F0E85"/>
    <w:rsid w:val="003F10DB"/>
    <w:rsid w:val="003F589C"/>
    <w:rsid w:val="00405A92"/>
    <w:rsid w:val="00405AB3"/>
    <w:rsid w:val="00406C61"/>
    <w:rsid w:val="00410646"/>
    <w:rsid w:val="00410C55"/>
    <w:rsid w:val="00416854"/>
    <w:rsid w:val="00416BE7"/>
    <w:rsid w:val="00417725"/>
    <w:rsid w:val="00420782"/>
    <w:rsid w:val="004212BE"/>
    <w:rsid w:val="00424081"/>
    <w:rsid w:val="00425286"/>
    <w:rsid w:val="00431D5A"/>
    <w:rsid w:val="00431FDA"/>
    <w:rsid w:val="00434068"/>
    <w:rsid w:val="00436355"/>
    <w:rsid w:val="004368D6"/>
    <w:rsid w:val="00437F26"/>
    <w:rsid w:val="004423E5"/>
    <w:rsid w:val="00444097"/>
    <w:rsid w:val="00445487"/>
    <w:rsid w:val="00445524"/>
    <w:rsid w:val="004463BF"/>
    <w:rsid w:val="00447330"/>
    <w:rsid w:val="0045217F"/>
    <w:rsid w:val="004525FB"/>
    <w:rsid w:val="00454769"/>
    <w:rsid w:val="00455573"/>
    <w:rsid w:val="004601E0"/>
    <w:rsid w:val="00462F13"/>
    <w:rsid w:val="00466991"/>
    <w:rsid w:val="0047064C"/>
    <w:rsid w:val="00471270"/>
    <w:rsid w:val="004735B3"/>
    <w:rsid w:val="00481FD7"/>
    <w:rsid w:val="004854F8"/>
    <w:rsid w:val="0048707E"/>
    <w:rsid w:val="004900E5"/>
    <w:rsid w:val="00490359"/>
    <w:rsid w:val="00494887"/>
    <w:rsid w:val="004953CD"/>
    <w:rsid w:val="00496D4C"/>
    <w:rsid w:val="004979DB"/>
    <w:rsid w:val="004A0B68"/>
    <w:rsid w:val="004A345B"/>
    <w:rsid w:val="004A3E0B"/>
    <w:rsid w:val="004A42E1"/>
    <w:rsid w:val="004B162C"/>
    <w:rsid w:val="004B273A"/>
    <w:rsid w:val="004B3EA1"/>
    <w:rsid w:val="004B4A33"/>
    <w:rsid w:val="004B5AF1"/>
    <w:rsid w:val="004B5CE7"/>
    <w:rsid w:val="004B6E32"/>
    <w:rsid w:val="004B73C7"/>
    <w:rsid w:val="004C1E7B"/>
    <w:rsid w:val="004C3DBE"/>
    <w:rsid w:val="004C4962"/>
    <w:rsid w:val="004C5C96"/>
    <w:rsid w:val="004D06A4"/>
    <w:rsid w:val="004E3753"/>
    <w:rsid w:val="004E45D2"/>
    <w:rsid w:val="004E4FCD"/>
    <w:rsid w:val="004F10FF"/>
    <w:rsid w:val="004F1A81"/>
    <w:rsid w:val="004F35DE"/>
    <w:rsid w:val="0050253D"/>
    <w:rsid w:val="00504857"/>
    <w:rsid w:val="00505ECC"/>
    <w:rsid w:val="00511565"/>
    <w:rsid w:val="0051220F"/>
    <w:rsid w:val="00516BB6"/>
    <w:rsid w:val="00516FE2"/>
    <w:rsid w:val="005207DD"/>
    <w:rsid w:val="00520B3F"/>
    <w:rsid w:val="005218D9"/>
    <w:rsid w:val="00521DE8"/>
    <w:rsid w:val="0052285F"/>
    <w:rsid w:val="00530A66"/>
    <w:rsid w:val="00531D87"/>
    <w:rsid w:val="00531E72"/>
    <w:rsid w:val="00532254"/>
    <w:rsid w:val="00535044"/>
    <w:rsid w:val="00536186"/>
    <w:rsid w:val="00544CBB"/>
    <w:rsid w:val="00546088"/>
    <w:rsid w:val="00550A54"/>
    <w:rsid w:val="00553606"/>
    <w:rsid w:val="00554812"/>
    <w:rsid w:val="005567F6"/>
    <w:rsid w:val="00560599"/>
    <w:rsid w:val="00561607"/>
    <w:rsid w:val="0056673F"/>
    <w:rsid w:val="005709B3"/>
    <w:rsid w:val="0057186C"/>
    <w:rsid w:val="0057315F"/>
    <w:rsid w:val="00576104"/>
    <w:rsid w:val="005914EC"/>
    <w:rsid w:val="00595D9E"/>
    <w:rsid w:val="00596EE1"/>
    <w:rsid w:val="005A1727"/>
    <w:rsid w:val="005A268C"/>
    <w:rsid w:val="005A7A20"/>
    <w:rsid w:val="005B0062"/>
    <w:rsid w:val="005B0381"/>
    <w:rsid w:val="005B1760"/>
    <w:rsid w:val="005B31C7"/>
    <w:rsid w:val="005C23A8"/>
    <w:rsid w:val="005C499B"/>
    <w:rsid w:val="005C67C8"/>
    <w:rsid w:val="005D0249"/>
    <w:rsid w:val="005D2ED3"/>
    <w:rsid w:val="005D6E8C"/>
    <w:rsid w:val="005E037A"/>
    <w:rsid w:val="005E0550"/>
    <w:rsid w:val="005E16D8"/>
    <w:rsid w:val="005E2E97"/>
    <w:rsid w:val="005E3E5D"/>
    <w:rsid w:val="005E6E01"/>
    <w:rsid w:val="005E775D"/>
    <w:rsid w:val="005F06C5"/>
    <w:rsid w:val="005F100C"/>
    <w:rsid w:val="005F1B9F"/>
    <w:rsid w:val="005F1D04"/>
    <w:rsid w:val="005F38F2"/>
    <w:rsid w:val="005F4C22"/>
    <w:rsid w:val="005F555D"/>
    <w:rsid w:val="005F68DA"/>
    <w:rsid w:val="005F78A8"/>
    <w:rsid w:val="006002F4"/>
    <w:rsid w:val="006018C0"/>
    <w:rsid w:val="00606765"/>
    <w:rsid w:val="006070A4"/>
    <w:rsid w:val="0060773B"/>
    <w:rsid w:val="006157B5"/>
    <w:rsid w:val="00616371"/>
    <w:rsid w:val="00626FC6"/>
    <w:rsid w:val="006302A6"/>
    <w:rsid w:val="00630358"/>
    <w:rsid w:val="006303B4"/>
    <w:rsid w:val="00632246"/>
    <w:rsid w:val="00633D3D"/>
    <w:rsid w:val="00635263"/>
    <w:rsid w:val="006373A3"/>
    <w:rsid w:val="00637E4C"/>
    <w:rsid w:val="00641703"/>
    <w:rsid w:val="006431A6"/>
    <w:rsid w:val="006459F6"/>
    <w:rsid w:val="006501AD"/>
    <w:rsid w:val="00651BFA"/>
    <w:rsid w:val="006520EC"/>
    <w:rsid w:val="00654475"/>
    <w:rsid w:val="00657136"/>
    <w:rsid w:val="00661A50"/>
    <w:rsid w:val="00661F2F"/>
    <w:rsid w:val="00663131"/>
    <w:rsid w:val="00665A4B"/>
    <w:rsid w:val="00671935"/>
    <w:rsid w:val="00674D0B"/>
    <w:rsid w:val="006759FE"/>
    <w:rsid w:val="00676210"/>
    <w:rsid w:val="0068010A"/>
    <w:rsid w:val="00681C0A"/>
    <w:rsid w:val="00684A5E"/>
    <w:rsid w:val="0068656E"/>
    <w:rsid w:val="00686D2D"/>
    <w:rsid w:val="00686EFC"/>
    <w:rsid w:val="0069138F"/>
    <w:rsid w:val="006917A6"/>
    <w:rsid w:val="00692E2A"/>
    <w:rsid w:val="00693AE4"/>
    <w:rsid w:val="00694674"/>
    <w:rsid w:val="006948A0"/>
    <w:rsid w:val="0069539B"/>
    <w:rsid w:val="00696B4B"/>
    <w:rsid w:val="006973A7"/>
    <w:rsid w:val="00697EB8"/>
    <w:rsid w:val="006A11F4"/>
    <w:rsid w:val="006A6BBB"/>
    <w:rsid w:val="006A76F2"/>
    <w:rsid w:val="006A7F3F"/>
    <w:rsid w:val="006B2B1D"/>
    <w:rsid w:val="006B2D28"/>
    <w:rsid w:val="006C10B1"/>
    <w:rsid w:val="006C2398"/>
    <w:rsid w:val="006C28AA"/>
    <w:rsid w:val="006C4F9B"/>
    <w:rsid w:val="006C5880"/>
    <w:rsid w:val="006C6189"/>
    <w:rsid w:val="006D5CCA"/>
    <w:rsid w:val="006D66CD"/>
    <w:rsid w:val="006D7EFB"/>
    <w:rsid w:val="006E0A0C"/>
    <w:rsid w:val="006E1CE6"/>
    <w:rsid w:val="006E1FCD"/>
    <w:rsid w:val="006E410F"/>
    <w:rsid w:val="006E6672"/>
    <w:rsid w:val="006E6722"/>
    <w:rsid w:val="006F34A9"/>
    <w:rsid w:val="006F65D5"/>
    <w:rsid w:val="007018C2"/>
    <w:rsid w:val="00701E7A"/>
    <w:rsid w:val="007027B9"/>
    <w:rsid w:val="007032B5"/>
    <w:rsid w:val="00703311"/>
    <w:rsid w:val="007064D6"/>
    <w:rsid w:val="00706C68"/>
    <w:rsid w:val="007111CD"/>
    <w:rsid w:val="007133E4"/>
    <w:rsid w:val="00714284"/>
    <w:rsid w:val="0071497C"/>
    <w:rsid w:val="00715E88"/>
    <w:rsid w:val="007209EF"/>
    <w:rsid w:val="0072129D"/>
    <w:rsid w:val="00726D46"/>
    <w:rsid w:val="00732336"/>
    <w:rsid w:val="00734CAA"/>
    <w:rsid w:val="00734DC5"/>
    <w:rsid w:val="007414B3"/>
    <w:rsid w:val="0074693E"/>
    <w:rsid w:val="007476C3"/>
    <w:rsid w:val="0075015C"/>
    <w:rsid w:val="007538EE"/>
    <w:rsid w:val="00754D45"/>
    <w:rsid w:val="0075533C"/>
    <w:rsid w:val="00757581"/>
    <w:rsid w:val="007575D6"/>
    <w:rsid w:val="00760581"/>
    <w:rsid w:val="007611A0"/>
    <w:rsid w:val="00764A22"/>
    <w:rsid w:val="00765E22"/>
    <w:rsid w:val="00766294"/>
    <w:rsid w:val="00766EFA"/>
    <w:rsid w:val="0077101B"/>
    <w:rsid w:val="007745F8"/>
    <w:rsid w:val="00781984"/>
    <w:rsid w:val="00782732"/>
    <w:rsid w:val="0078468F"/>
    <w:rsid w:val="0078683D"/>
    <w:rsid w:val="00793319"/>
    <w:rsid w:val="00796D3F"/>
    <w:rsid w:val="007A1683"/>
    <w:rsid w:val="007A559E"/>
    <w:rsid w:val="007A5C12"/>
    <w:rsid w:val="007A7CB0"/>
    <w:rsid w:val="007B165C"/>
    <w:rsid w:val="007B497E"/>
    <w:rsid w:val="007B68A3"/>
    <w:rsid w:val="007B7781"/>
    <w:rsid w:val="007C0CF5"/>
    <w:rsid w:val="007C2541"/>
    <w:rsid w:val="007C2E5C"/>
    <w:rsid w:val="007C690D"/>
    <w:rsid w:val="007C71BC"/>
    <w:rsid w:val="007D2945"/>
    <w:rsid w:val="007D3760"/>
    <w:rsid w:val="007D3FF0"/>
    <w:rsid w:val="007D667B"/>
    <w:rsid w:val="007D66A8"/>
    <w:rsid w:val="007D6CE0"/>
    <w:rsid w:val="007D77FA"/>
    <w:rsid w:val="007D7AC4"/>
    <w:rsid w:val="007E003F"/>
    <w:rsid w:val="007E0F8D"/>
    <w:rsid w:val="007E25F5"/>
    <w:rsid w:val="007F25F2"/>
    <w:rsid w:val="007F3044"/>
    <w:rsid w:val="008019B7"/>
    <w:rsid w:val="00803D3B"/>
    <w:rsid w:val="00804C03"/>
    <w:rsid w:val="00805646"/>
    <w:rsid w:val="00806AAC"/>
    <w:rsid w:val="008074C9"/>
    <w:rsid w:val="0081058C"/>
    <w:rsid w:val="008115EC"/>
    <w:rsid w:val="00811B6F"/>
    <w:rsid w:val="00814F1E"/>
    <w:rsid w:val="008151D6"/>
    <w:rsid w:val="008164F2"/>
    <w:rsid w:val="00817632"/>
    <w:rsid w:val="00820C9C"/>
    <w:rsid w:val="00820D21"/>
    <w:rsid w:val="00821395"/>
    <w:rsid w:val="00821753"/>
    <w:rsid w:val="00823174"/>
    <w:rsid w:val="008261E9"/>
    <w:rsid w:val="00827BE7"/>
    <w:rsid w:val="008309CB"/>
    <w:rsid w:val="00830E26"/>
    <w:rsid w:val="00831807"/>
    <w:rsid w:val="008417B3"/>
    <w:rsid w:val="008421C3"/>
    <w:rsid w:val="008424F6"/>
    <w:rsid w:val="00843576"/>
    <w:rsid w:val="00843B64"/>
    <w:rsid w:val="008478FC"/>
    <w:rsid w:val="00847CAE"/>
    <w:rsid w:val="0085066F"/>
    <w:rsid w:val="008520C8"/>
    <w:rsid w:val="0085265F"/>
    <w:rsid w:val="00852950"/>
    <w:rsid w:val="00857D1B"/>
    <w:rsid w:val="008605B6"/>
    <w:rsid w:val="00865B42"/>
    <w:rsid w:val="0086658F"/>
    <w:rsid w:val="00866E60"/>
    <w:rsid w:val="00867BFF"/>
    <w:rsid w:val="008702B1"/>
    <w:rsid w:val="008733CC"/>
    <w:rsid w:val="00881464"/>
    <w:rsid w:val="0088480A"/>
    <w:rsid w:val="008864B7"/>
    <w:rsid w:val="0088757A"/>
    <w:rsid w:val="00892578"/>
    <w:rsid w:val="008942CD"/>
    <w:rsid w:val="00894CBD"/>
    <w:rsid w:val="008957DD"/>
    <w:rsid w:val="008957F7"/>
    <w:rsid w:val="00896552"/>
    <w:rsid w:val="00897D98"/>
    <w:rsid w:val="008A2823"/>
    <w:rsid w:val="008A6C38"/>
    <w:rsid w:val="008A6DF2"/>
    <w:rsid w:val="008A6FC3"/>
    <w:rsid w:val="008A7807"/>
    <w:rsid w:val="008B0B47"/>
    <w:rsid w:val="008B1E1A"/>
    <w:rsid w:val="008B2DD6"/>
    <w:rsid w:val="008B4CC9"/>
    <w:rsid w:val="008C2016"/>
    <w:rsid w:val="008C4F46"/>
    <w:rsid w:val="008D24EF"/>
    <w:rsid w:val="008D3D25"/>
    <w:rsid w:val="008D3E39"/>
    <w:rsid w:val="008D7200"/>
    <w:rsid w:val="008D7C99"/>
    <w:rsid w:val="008E0FCB"/>
    <w:rsid w:val="008E31EA"/>
    <w:rsid w:val="008E33DB"/>
    <w:rsid w:val="008E3768"/>
    <w:rsid w:val="008E3D8C"/>
    <w:rsid w:val="008F0D5D"/>
    <w:rsid w:val="008F1DDF"/>
    <w:rsid w:val="008F5866"/>
    <w:rsid w:val="008F66F2"/>
    <w:rsid w:val="008F7BA3"/>
    <w:rsid w:val="00901E56"/>
    <w:rsid w:val="009021C1"/>
    <w:rsid w:val="00903E6E"/>
    <w:rsid w:val="00905079"/>
    <w:rsid w:val="00907456"/>
    <w:rsid w:val="00907880"/>
    <w:rsid w:val="00910AF8"/>
    <w:rsid w:val="009114B4"/>
    <w:rsid w:val="009118B4"/>
    <w:rsid w:val="00911A51"/>
    <w:rsid w:val="0091672D"/>
    <w:rsid w:val="0091680F"/>
    <w:rsid w:val="00917DD6"/>
    <w:rsid w:val="0092178C"/>
    <w:rsid w:val="00922DE4"/>
    <w:rsid w:val="00925449"/>
    <w:rsid w:val="0092687E"/>
    <w:rsid w:val="00930B88"/>
    <w:rsid w:val="0093200C"/>
    <w:rsid w:val="00933736"/>
    <w:rsid w:val="00935127"/>
    <w:rsid w:val="00936E92"/>
    <w:rsid w:val="0093755D"/>
    <w:rsid w:val="00940795"/>
    <w:rsid w:val="00940DCC"/>
    <w:rsid w:val="00940DD4"/>
    <w:rsid w:val="0094179A"/>
    <w:rsid w:val="0094459E"/>
    <w:rsid w:val="009447FD"/>
    <w:rsid w:val="00944DBC"/>
    <w:rsid w:val="00945DA7"/>
    <w:rsid w:val="00947536"/>
    <w:rsid w:val="00950977"/>
    <w:rsid w:val="009519CA"/>
    <w:rsid w:val="00951A7B"/>
    <w:rsid w:val="00952BB4"/>
    <w:rsid w:val="00955984"/>
    <w:rsid w:val="009564A6"/>
    <w:rsid w:val="00956649"/>
    <w:rsid w:val="00957706"/>
    <w:rsid w:val="009627EB"/>
    <w:rsid w:val="00962FDA"/>
    <w:rsid w:val="00967621"/>
    <w:rsid w:val="00967E6A"/>
    <w:rsid w:val="00970123"/>
    <w:rsid w:val="00973729"/>
    <w:rsid w:val="00975BDF"/>
    <w:rsid w:val="009766D7"/>
    <w:rsid w:val="0098162F"/>
    <w:rsid w:val="0098781D"/>
    <w:rsid w:val="009959B0"/>
    <w:rsid w:val="00996851"/>
    <w:rsid w:val="00996BF1"/>
    <w:rsid w:val="009A0F77"/>
    <w:rsid w:val="009A2BD4"/>
    <w:rsid w:val="009B1A9D"/>
    <w:rsid w:val="009B1D00"/>
    <w:rsid w:val="009B4A0F"/>
    <w:rsid w:val="009B7083"/>
    <w:rsid w:val="009B7AEE"/>
    <w:rsid w:val="009C11D2"/>
    <w:rsid w:val="009C3E29"/>
    <w:rsid w:val="009C5526"/>
    <w:rsid w:val="009C68C6"/>
    <w:rsid w:val="009C6C70"/>
    <w:rsid w:val="009C7B17"/>
    <w:rsid w:val="009D0B63"/>
    <w:rsid w:val="009D1314"/>
    <w:rsid w:val="009D2465"/>
    <w:rsid w:val="009D2AE3"/>
    <w:rsid w:val="009D7833"/>
    <w:rsid w:val="009E103A"/>
    <w:rsid w:val="009E307E"/>
    <w:rsid w:val="009E4C55"/>
    <w:rsid w:val="009E4C5B"/>
    <w:rsid w:val="009E552A"/>
    <w:rsid w:val="009E56FA"/>
    <w:rsid w:val="009F464A"/>
    <w:rsid w:val="009F55CE"/>
    <w:rsid w:val="009F6A85"/>
    <w:rsid w:val="00A00DDD"/>
    <w:rsid w:val="00A010C0"/>
    <w:rsid w:val="00A02C80"/>
    <w:rsid w:val="00A04404"/>
    <w:rsid w:val="00A07870"/>
    <w:rsid w:val="00A07F19"/>
    <w:rsid w:val="00A12FB9"/>
    <w:rsid w:val="00A1348D"/>
    <w:rsid w:val="00A145E6"/>
    <w:rsid w:val="00A14B99"/>
    <w:rsid w:val="00A15DFB"/>
    <w:rsid w:val="00A16DD3"/>
    <w:rsid w:val="00A179C6"/>
    <w:rsid w:val="00A232EE"/>
    <w:rsid w:val="00A31182"/>
    <w:rsid w:val="00A378D4"/>
    <w:rsid w:val="00A37B73"/>
    <w:rsid w:val="00A4175F"/>
    <w:rsid w:val="00A44411"/>
    <w:rsid w:val="00A46028"/>
    <w:rsid w:val="00A4637B"/>
    <w:rsid w:val="00A469FA"/>
    <w:rsid w:val="00A47321"/>
    <w:rsid w:val="00A475C7"/>
    <w:rsid w:val="00A5357D"/>
    <w:rsid w:val="00A55B01"/>
    <w:rsid w:val="00A56B5B"/>
    <w:rsid w:val="00A57FCD"/>
    <w:rsid w:val="00A600D8"/>
    <w:rsid w:val="00A603FF"/>
    <w:rsid w:val="00A60D1F"/>
    <w:rsid w:val="00A623D9"/>
    <w:rsid w:val="00A6409E"/>
    <w:rsid w:val="00A64CF9"/>
    <w:rsid w:val="00A653CB"/>
    <w:rsid w:val="00A657DD"/>
    <w:rsid w:val="00A666A6"/>
    <w:rsid w:val="00A66760"/>
    <w:rsid w:val="00A675FD"/>
    <w:rsid w:val="00A72437"/>
    <w:rsid w:val="00A72B76"/>
    <w:rsid w:val="00A72FC1"/>
    <w:rsid w:val="00A73C3E"/>
    <w:rsid w:val="00A80611"/>
    <w:rsid w:val="00A855BE"/>
    <w:rsid w:val="00A86781"/>
    <w:rsid w:val="00A901DA"/>
    <w:rsid w:val="00A90830"/>
    <w:rsid w:val="00A92B24"/>
    <w:rsid w:val="00A92BCA"/>
    <w:rsid w:val="00A97D9A"/>
    <w:rsid w:val="00AA10EC"/>
    <w:rsid w:val="00AA5BD1"/>
    <w:rsid w:val="00AA6B20"/>
    <w:rsid w:val="00AB1622"/>
    <w:rsid w:val="00AB5340"/>
    <w:rsid w:val="00AC0A89"/>
    <w:rsid w:val="00AC675D"/>
    <w:rsid w:val="00AC7C96"/>
    <w:rsid w:val="00AD16FF"/>
    <w:rsid w:val="00AD3A21"/>
    <w:rsid w:val="00AD5AA3"/>
    <w:rsid w:val="00AD5AC5"/>
    <w:rsid w:val="00AE237D"/>
    <w:rsid w:val="00AE502A"/>
    <w:rsid w:val="00AE6F14"/>
    <w:rsid w:val="00AE73D8"/>
    <w:rsid w:val="00AF2384"/>
    <w:rsid w:val="00AF7C07"/>
    <w:rsid w:val="00B00D01"/>
    <w:rsid w:val="00B00FC6"/>
    <w:rsid w:val="00B03A6A"/>
    <w:rsid w:val="00B058B1"/>
    <w:rsid w:val="00B0662D"/>
    <w:rsid w:val="00B1147B"/>
    <w:rsid w:val="00B126F8"/>
    <w:rsid w:val="00B13457"/>
    <w:rsid w:val="00B16384"/>
    <w:rsid w:val="00B17414"/>
    <w:rsid w:val="00B21D25"/>
    <w:rsid w:val="00B21F7F"/>
    <w:rsid w:val="00B22C93"/>
    <w:rsid w:val="00B23FA8"/>
    <w:rsid w:val="00B27589"/>
    <w:rsid w:val="00B307F9"/>
    <w:rsid w:val="00B30DE3"/>
    <w:rsid w:val="00B3242C"/>
    <w:rsid w:val="00B3254C"/>
    <w:rsid w:val="00B3312C"/>
    <w:rsid w:val="00B3347B"/>
    <w:rsid w:val="00B401F9"/>
    <w:rsid w:val="00B405B7"/>
    <w:rsid w:val="00B40EC2"/>
    <w:rsid w:val="00B42DD8"/>
    <w:rsid w:val="00B50082"/>
    <w:rsid w:val="00B50134"/>
    <w:rsid w:val="00B52222"/>
    <w:rsid w:val="00B52793"/>
    <w:rsid w:val="00B5314B"/>
    <w:rsid w:val="00B5452B"/>
    <w:rsid w:val="00B54FE7"/>
    <w:rsid w:val="00B56C7C"/>
    <w:rsid w:val="00B61D82"/>
    <w:rsid w:val="00B6215A"/>
    <w:rsid w:val="00B66901"/>
    <w:rsid w:val="00B671AA"/>
    <w:rsid w:val="00B71E6D"/>
    <w:rsid w:val="00B72070"/>
    <w:rsid w:val="00B72E9A"/>
    <w:rsid w:val="00B739DE"/>
    <w:rsid w:val="00B74C45"/>
    <w:rsid w:val="00B75826"/>
    <w:rsid w:val="00B779E1"/>
    <w:rsid w:val="00B822FD"/>
    <w:rsid w:val="00B83797"/>
    <w:rsid w:val="00B86535"/>
    <w:rsid w:val="00B86730"/>
    <w:rsid w:val="00B90579"/>
    <w:rsid w:val="00B91EE1"/>
    <w:rsid w:val="00B925FF"/>
    <w:rsid w:val="00B94970"/>
    <w:rsid w:val="00B94F9B"/>
    <w:rsid w:val="00B963AD"/>
    <w:rsid w:val="00BA0090"/>
    <w:rsid w:val="00BA04E5"/>
    <w:rsid w:val="00BA1A67"/>
    <w:rsid w:val="00BA2F1D"/>
    <w:rsid w:val="00BA4A21"/>
    <w:rsid w:val="00BA704B"/>
    <w:rsid w:val="00BB03D8"/>
    <w:rsid w:val="00BB3856"/>
    <w:rsid w:val="00BB44C2"/>
    <w:rsid w:val="00BB6644"/>
    <w:rsid w:val="00BC6512"/>
    <w:rsid w:val="00BD0418"/>
    <w:rsid w:val="00BD4A4B"/>
    <w:rsid w:val="00BE1B7C"/>
    <w:rsid w:val="00BE3C07"/>
    <w:rsid w:val="00BE5B5F"/>
    <w:rsid w:val="00BE7FB7"/>
    <w:rsid w:val="00BF02EC"/>
    <w:rsid w:val="00BF6C7B"/>
    <w:rsid w:val="00BF76D6"/>
    <w:rsid w:val="00C067A6"/>
    <w:rsid w:val="00C0692B"/>
    <w:rsid w:val="00C07012"/>
    <w:rsid w:val="00C07A06"/>
    <w:rsid w:val="00C12619"/>
    <w:rsid w:val="00C126D4"/>
    <w:rsid w:val="00C12A85"/>
    <w:rsid w:val="00C137C5"/>
    <w:rsid w:val="00C15190"/>
    <w:rsid w:val="00C17832"/>
    <w:rsid w:val="00C24D27"/>
    <w:rsid w:val="00C26F55"/>
    <w:rsid w:val="00C2797D"/>
    <w:rsid w:val="00C30C63"/>
    <w:rsid w:val="00C3527C"/>
    <w:rsid w:val="00C36B8B"/>
    <w:rsid w:val="00C415C1"/>
    <w:rsid w:val="00C41E30"/>
    <w:rsid w:val="00C459DD"/>
    <w:rsid w:val="00C4787D"/>
    <w:rsid w:val="00C47DBF"/>
    <w:rsid w:val="00C51088"/>
    <w:rsid w:val="00C53BB8"/>
    <w:rsid w:val="00C552FF"/>
    <w:rsid w:val="00C5588B"/>
    <w:rsid w:val="00C558DA"/>
    <w:rsid w:val="00C55AF3"/>
    <w:rsid w:val="00C5770D"/>
    <w:rsid w:val="00C610CA"/>
    <w:rsid w:val="00C61BBD"/>
    <w:rsid w:val="00C711B1"/>
    <w:rsid w:val="00C75F80"/>
    <w:rsid w:val="00C83085"/>
    <w:rsid w:val="00C83FF9"/>
    <w:rsid w:val="00C84759"/>
    <w:rsid w:val="00C850AB"/>
    <w:rsid w:val="00C8525A"/>
    <w:rsid w:val="00C8544D"/>
    <w:rsid w:val="00C862E3"/>
    <w:rsid w:val="00C90B40"/>
    <w:rsid w:val="00C92F9A"/>
    <w:rsid w:val="00C94E24"/>
    <w:rsid w:val="00CA0833"/>
    <w:rsid w:val="00CA22CD"/>
    <w:rsid w:val="00CA414C"/>
    <w:rsid w:val="00CA6C7F"/>
    <w:rsid w:val="00CA7798"/>
    <w:rsid w:val="00CB34FF"/>
    <w:rsid w:val="00CB426D"/>
    <w:rsid w:val="00CB4F5B"/>
    <w:rsid w:val="00CB5320"/>
    <w:rsid w:val="00CC049E"/>
    <w:rsid w:val="00CC10A6"/>
    <w:rsid w:val="00CC1C63"/>
    <w:rsid w:val="00CC4198"/>
    <w:rsid w:val="00CC5E27"/>
    <w:rsid w:val="00CC63AF"/>
    <w:rsid w:val="00CD2F3B"/>
    <w:rsid w:val="00CD5B40"/>
    <w:rsid w:val="00CD5EB8"/>
    <w:rsid w:val="00CD7044"/>
    <w:rsid w:val="00CE08B9"/>
    <w:rsid w:val="00CE1BB3"/>
    <w:rsid w:val="00CE1E81"/>
    <w:rsid w:val="00CE1F54"/>
    <w:rsid w:val="00CE404F"/>
    <w:rsid w:val="00CE524C"/>
    <w:rsid w:val="00CE621B"/>
    <w:rsid w:val="00CF0269"/>
    <w:rsid w:val="00CF141F"/>
    <w:rsid w:val="00CF2A25"/>
    <w:rsid w:val="00CF4777"/>
    <w:rsid w:val="00D0410F"/>
    <w:rsid w:val="00D04269"/>
    <w:rsid w:val="00D05764"/>
    <w:rsid w:val="00D067BB"/>
    <w:rsid w:val="00D06CCB"/>
    <w:rsid w:val="00D112FA"/>
    <w:rsid w:val="00D12CA4"/>
    <w:rsid w:val="00D1352A"/>
    <w:rsid w:val="00D13B9B"/>
    <w:rsid w:val="00D13D35"/>
    <w:rsid w:val="00D14A0B"/>
    <w:rsid w:val="00D169AF"/>
    <w:rsid w:val="00D21E16"/>
    <w:rsid w:val="00D23330"/>
    <w:rsid w:val="00D25249"/>
    <w:rsid w:val="00D30739"/>
    <w:rsid w:val="00D31564"/>
    <w:rsid w:val="00D348E1"/>
    <w:rsid w:val="00D3777B"/>
    <w:rsid w:val="00D43173"/>
    <w:rsid w:val="00D44172"/>
    <w:rsid w:val="00D47A2F"/>
    <w:rsid w:val="00D47BFE"/>
    <w:rsid w:val="00D47EDC"/>
    <w:rsid w:val="00D53DA4"/>
    <w:rsid w:val="00D5414E"/>
    <w:rsid w:val="00D549B7"/>
    <w:rsid w:val="00D55C0D"/>
    <w:rsid w:val="00D60C72"/>
    <w:rsid w:val="00D61B2E"/>
    <w:rsid w:val="00D62282"/>
    <w:rsid w:val="00D63B8C"/>
    <w:rsid w:val="00D67213"/>
    <w:rsid w:val="00D72FDA"/>
    <w:rsid w:val="00D739CC"/>
    <w:rsid w:val="00D77E31"/>
    <w:rsid w:val="00D8093D"/>
    <w:rsid w:val="00D8108C"/>
    <w:rsid w:val="00D8225B"/>
    <w:rsid w:val="00D83355"/>
    <w:rsid w:val="00D842AE"/>
    <w:rsid w:val="00D86EE7"/>
    <w:rsid w:val="00D9211C"/>
    <w:rsid w:val="00D92DE0"/>
    <w:rsid w:val="00D92FEF"/>
    <w:rsid w:val="00D93A0F"/>
    <w:rsid w:val="00D93BF9"/>
    <w:rsid w:val="00D93BFF"/>
    <w:rsid w:val="00D9440E"/>
    <w:rsid w:val="00D97314"/>
    <w:rsid w:val="00DA1BCA"/>
    <w:rsid w:val="00DA272D"/>
    <w:rsid w:val="00DA39C6"/>
    <w:rsid w:val="00DA3EA9"/>
    <w:rsid w:val="00DA6680"/>
    <w:rsid w:val="00DA71F5"/>
    <w:rsid w:val="00DB07C1"/>
    <w:rsid w:val="00DB27F9"/>
    <w:rsid w:val="00DB3C71"/>
    <w:rsid w:val="00DC1A57"/>
    <w:rsid w:val="00DC1D1D"/>
    <w:rsid w:val="00DC1D69"/>
    <w:rsid w:val="00DC46FF"/>
    <w:rsid w:val="00DC48BB"/>
    <w:rsid w:val="00DC5254"/>
    <w:rsid w:val="00DD183C"/>
    <w:rsid w:val="00DD1A4F"/>
    <w:rsid w:val="00DD3107"/>
    <w:rsid w:val="00DD5E80"/>
    <w:rsid w:val="00DD69A3"/>
    <w:rsid w:val="00DD6BEF"/>
    <w:rsid w:val="00DD7C2C"/>
    <w:rsid w:val="00DE08A5"/>
    <w:rsid w:val="00DE11C6"/>
    <w:rsid w:val="00DE131F"/>
    <w:rsid w:val="00DE39A5"/>
    <w:rsid w:val="00DE49E5"/>
    <w:rsid w:val="00DE71CA"/>
    <w:rsid w:val="00DF17EE"/>
    <w:rsid w:val="00DF1E4C"/>
    <w:rsid w:val="00DF228D"/>
    <w:rsid w:val="00DF243F"/>
    <w:rsid w:val="00DF36BA"/>
    <w:rsid w:val="00DF7243"/>
    <w:rsid w:val="00DF7E30"/>
    <w:rsid w:val="00E0027E"/>
    <w:rsid w:val="00E00762"/>
    <w:rsid w:val="00E00E04"/>
    <w:rsid w:val="00E03395"/>
    <w:rsid w:val="00E03A0C"/>
    <w:rsid w:val="00E043EA"/>
    <w:rsid w:val="00E052BD"/>
    <w:rsid w:val="00E06797"/>
    <w:rsid w:val="00E0760C"/>
    <w:rsid w:val="00E07703"/>
    <w:rsid w:val="00E10207"/>
    <w:rsid w:val="00E10D04"/>
    <w:rsid w:val="00E12306"/>
    <w:rsid w:val="00E1265B"/>
    <w:rsid w:val="00E1322D"/>
    <w:rsid w:val="00E13594"/>
    <w:rsid w:val="00E13B48"/>
    <w:rsid w:val="00E13F65"/>
    <w:rsid w:val="00E1404F"/>
    <w:rsid w:val="00E15538"/>
    <w:rsid w:val="00E15B03"/>
    <w:rsid w:val="00E17D05"/>
    <w:rsid w:val="00E21C83"/>
    <w:rsid w:val="00E21FCD"/>
    <w:rsid w:val="00E22AEA"/>
    <w:rsid w:val="00E24ADA"/>
    <w:rsid w:val="00E25D56"/>
    <w:rsid w:val="00E26516"/>
    <w:rsid w:val="00E30697"/>
    <w:rsid w:val="00E32F59"/>
    <w:rsid w:val="00E36DD7"/>
    <w:rsid w:val="00E46A67"/>
    <w:rsid w:val="00E46D9A"/>
    <w:rsid w:val="00E47433"/>
    <w:rsid w:val="00E50CA5"/>
    <w:rsid w:val="00E527F0"/>
    <w:rsid w:val="00E560E5"/>
    <w:rsid w:val="00E565FF"/>
    <w:rsid w:val="00E57BEC"/>
    <w:rsid w:val="00E61115"/>
    <w:rsid w:val="00E61AA6"/>
    <w:rsid w:val="00E6359E"/>
    <w:rsid w:val="00E65388"/>
    <w:rsid w:val="00E65D3E"/>
    <w:rsid w:val="00E65D51"/>
    <w:rsid w:val="00E6646B"/>
    <w:rsid w:val="00E72BBB"/>
    <w:rsid w:val="00E755A0"/>
    <w:rsid w:val="00E77EE6"/>
    <w:rsid w:val="00E82A4F"/>
    <w:rsid w:val="00E8326E"/>
    <w:rsid w:val="00E839CC"/>
    <w:rsid w:val="00E84DE3"/>
    <w:rsid w:val="00E85B7D"/>
    <w:rsid w:val="00E9121B"/>
    <w:rsid w:val="00E922DB"/>
    <w:rsid w:val="00E92894"/>
    <w:rsid w:val="00E94A3F"/>
    <w:rsid w:val="00E95F12"/>
    <w:rsid w:val="00E97901"/>
    <w:rsid w:val="00EA08D1"/>
    <w:rsid w:val="00EA0AE2"/>
    <w:rsid w:val="00EA39E5"/>
    <w:rsid w:val="00EA6378"/>
    <w:rsid w:val="00EB1178"/>
    <w:rsid w:val="00EB1737"/>
    <w:rsid w:val="00EB6B59"/>
    <w:rsid w:val="00EC0EF9"/>
    <w:rsid w:val="00EC2AEB"/>
    <w:rsid w:val="00EC3C23"/>
    <w:rsid w:val="00EC46E7"/>
    <w:rsid w:val="00EC5A46"/>
    <w:rsid w:val="00EC62FA"/>
    <w:rsid w:val="00EC63E2"/>
    <w:rsid w:val="00ED0E16"/>
    <w:rsid w:val="00ED101D"/>
    <w:rsid w:val="00ED1304"/>
    <w:rsid w:val="00ED7366"/>
    <w:rsid w:val="00EE01A1"/>
    <w:rsid w:val="00EE092F"/>
    <w:rsid w:val="00EE1806"/>
    <w:rsid w:val="00EE46C7"/>
    <w:rsid w:val="00EE5C1C"/>
    <w:rsid w:val="00EF22B3"/>
    <w:rsid w:val="00EF3E16"/>
    <w:rsid w:val="00EF6B34"/>
    <w:rsid w:val="00F01301"/>
    <w:rsid w:val="00F014E9"/>
    <w:rsid w:val="00F03B69"/>
    <w:rsid w:val="00F0453F"/>
    <w:rsid w:val="00F04B6F"/>
    <w:rsid w:val="00F05443"/>
    <w:rsid w:val="00F07A50"/>
    <w:rsid w:val="00F113DA"/>
    <w:rsid w:val="00F14FF3"/>
    <w:rsid w:val="00F156CE"/>
    <w:rsid w:val="00F20595"/>
    <w:rsid w:val="00F21414"/>
    <w:rsid w:val="00F24E9D"/>
    <w:rsid w:val="00F277EB"/>
    <w:rsid w:val="00F27CE5"/>
    <w:rsid w:val="00F30A6C"/>
    <w:rsid w:val="00F32C60"/>
    <w:rsid w:val="00F32DB7"/>
    <w:rsid w:val="00F37113"/>
    <w:rsid w:val="00F379CA"/>
    <w:rsid w:val="00F37A56"/>
    <w:rsid w:val="00F37DC8"/>
    <w:rsid w:val="00F416DC"/>
    <w:rsid w:val="00F439B3"/>
    <w:rsid w:val="00F50ACF"/>
    <w:rsid w:val="00F531C4"/>
    <w:rsid w:val="00F5340F"/>
    <w:rsid w:val="00F56735"/>
    <w:rsid w:val="00F61341"/>
    <w:rsid w:val="00F64660"/>
    <w:rsid w:val="00F650C3"/>
    <w:rsid w:val="00F65D85"/>
    <w:rsid w:val="00F716EE"/>
    <w:rsid w:val="00F748EF"/>
    <w:rsid w:val="00F7492D"/>
    <w:rsid w:val="00F76ADC"/>
    <w:rsid w:val="00F8091E"/>
    <w:rsid w:val="00F80AD1"/>
    <w:rsid w:val="00F8135D"/>
    <w:rsid w:val="00F8615C"/>
    <w:rsid w:val="00F86701"/>
    <w:rsid w:val="00F874E0"/>
    <w:rsid w:val="00F91E61"/>
    <w:rsid w:val="00F93B3F"/>
    <w:rsid w:val="00F9609D"/>
    <w:rsid w:val="00F969E5"/>
    <w:rsid w:val="00FA6BB0"/>
    <w:rsid w:val="00FA6DF8"/>
    <w:rsid w:val="00FB04DE"/>
    <w:rsid w:val="00FB6E86"/>
    <w:rsid w:val="00FC003B"/>
    <w:rsid w:val="00FC0D95"/>
    <w:rsid w:val="00FC5D4B"/>
    <w:rsid w:val="00FC7CF9"/>
    <w:rsid w:val="00FD28F5"/>
    <w:rsid w:val="00FD3B75"/>
    <w:rsid w:val="00FD3F04"/>
    <w:rsid w:val="00FD46CA"/>
    <w:rsid w:val="00FD5860"/>
    <w:rsid w:val="00FD7116"/>
    <w:rsid w:val="00FD76C4"/>
    <w:rsid w:val="00FD7A9F"/>
    <w:rsid w:val="00FE2868"/>
    <w:rsid w:val="00FE352D"/>
    <w:rsid w:val="00FE40EB"/>
    <w:rsid w:val="00FE4D02"/>
    <w:rsid w:val="00FE574D"/>
    <w:rsid w:val="00FE5C8E"/>
    <w:rsid w:val="00FE7D62"/>
    <w:rsid w:val="00FE7E77"/>
    <w:rsid w:val="00FF0933"/>
    <w:rsid w:val="00FF17BE"/>
    <w:rsid w:val="00FF3819"/>
    <w:rsid w:val="00FF5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docId w15:val="{E844EDAB-7DF4-4838-A509-030836D3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ZZAnxheader"/>
    <w:next w:val="Normalnumber"/>
    <w:qFormat/>
    <w:rsid w:val="002F4A45"/>
    <w:pPr>
      <w:outlineLvl w:val="0"/>
    </w:pPr>
  </w:style>
  <w:style w:type="paragraph" w:styleId="Heading2">
    <w:name w:val="heading 2"/>
    <w:basedOn w:val="CH1"/>
    <w:next w:val="Normalnumber"/>
    <w:qFormat/>
    <w:rsid w:val="002F4A45"/>
    <w:pPr>
      <w:ind w:left="0" w:firstLine="0"/>
      <w:outlineLvl w:val="1"/>
    </w:pPr>
    <w:rPr>
      <w:rFonts w:eastAsia="Calibri"/>
      <w:w w:val="103"/>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5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7133E4"/>
    <w:pPr>
      <w:ind w:left="720"/>
      <w:contextualSpacing/>
    </w:pPr>
  </w:style>
  <w:style w:type="character" w:customStyle="1" w:styleId="ListParagraphChar">
    <w:name w:val="List Paragraph Char"/>
    <w:basedOn w:val="DefaultParagraphFont"/>
    <w:link w:val="ListParagraph"/>
    <w:uiPriority w:val="34"/>
    <w:locked/>
    <w:rsid w:val="003507FE"/>
    <w:rPr>
      <w:rFonts w:ascii="Calibri" w:eastAsia="MS Mincho" w:hAnsi="Calibri"/>
      <w:sz w:val="22"/>
      <w:szCs w:val="22"/>
      <w:lang w:val="en-US" w:eastAsia="en-US"/>
    </w:rPr>
  </w:style>
  <w:style w:type="table" w:customStyle="1" w:styleId="TableGrid1">
    <w:name w:val="Table Grid1"/>
    <w:basedOn w:val="TableNormal"/>
    <w:next w:val="TableGrid"/>
    <w:uiPriority w:val="39"/>
    <w:rsid w:val="003507F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38F2"/>
    <w:rPr>
      <w:rFonts w:ascii="Calibri" w:eastAsia="MS Mincho" w:hAnsi="Calibri"/>
      <w:sz w:val="22"/>
      <w:szCs w:val="22"/>
      <w:lang w:val="en-US" w:eastAsia="en-US"/>
    </w:rPr>
  </w:style>
  <w:style w:type="character" w:customStyle="1" w:styleId="FooterChar">
    <w:name w:val="Footer Char"/>
    <w:basedOn w:val="DefaultParagraphFont"/>
    <w:link w:val="Footer"/>
    <w:uiPriority w:val="99"/>
    <w:rsid w:val="0017064C"/>
    <w:rPr>
      <w:rFonts w:ascii="Calibri" w:eastAsia="MS Mincho" w:hAnsi="Calibri"/>
      <w:sz w:val="18"/>
      <w:szCs w:val="22"/>
      <w:lang w:val="en-US" w:eastAsia="en-US"/>
    </w:rPr>
  </w:style>
  <w:style w:type="character" w:styleId="EndnoteReference">
    <w:name w:val="endnote reference"/>
    <w:basedOn w:val="DefaultParagraphFont"/>
    <w:rsid w:val="00F04B6F"/>
    <w:rPr>
      <w:vertAlign w:val="superscript"/>
    </w:rPr>
  </w:style>
  <w:style w:type="character" w:customStyle="1" w:styleId="spellingerror">
    <w:name w:val="spellingerror"/>
    <w:basedOn w:val="DefaultParagraphFont"/>
    <w:rsid w:val="008F1DDF"/>
  </w:style>
  <w:style w:type="character" w:customStyle="1" w:styleId="normaltextrun">
    <w:name w:val="normaltextrun"/>
    <w:basedOn w:val="DefaultParagraphFont"/>
    <w:rsid w:val="008F1DDF"/>
  </w:style>
  <w:style w:type="paragraph" w:styleId="NormalWeb">
    <w:name w:val="Normal (Web)"/>
    <w:basedOn w:val="Normal"/>
    <w:uiPriority w:val="99"/>
    <w:unhideWhenUsed/>
    <w:rsid w:val="006520E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ED0E16"/>
    <w:rPr>
      <w:color w:val="605E5C"/>
      <w:shd w:val="clear" w:color="auto" w:fill="E1DFDD"/>
    </w:rPr>
  </w:style>
  <w:style w:type="character" w:styleId="FollowedHyperlink">
    <w:name w:val="FollowedHyperlink"/>
    <w:basedOn w:val="DefaultParagraphFont"/>
    <w:rsid w:val="006F3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54007712">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444836000">
      <w:bodyDiv w:val="1"/>
      <w:marLeft w:val="0"/>
      <w:marRight w:val="0"/>
      <w:marTop w:val="0"/>
      <w:marBottom w:val="0"/>
      <w:divBdr>
        <w:top w:val="none" w:sz="0" w:space="0" w:color="auto"/>
        <w:left w:val="none" w:sz="0" w:space="0" w:color="auto"/>
        <w:bottom w:val="none" w:sz="0" w:space="0" w:color="auto"/>
        <w:right w:val="none" w:sz="0" w:space="0" w:color="auto"/>
      </w:divBdr>
    </w:div>
    <w:div w:id="161775839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global-assessment-expe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BF0B4-8A65-4CFF-8BC4-A18788E16F34}">
  <ds:schemaRefs>
    <ds:schemaRef ds:uri="http://schemas.openxmlformats.org/officeDocument/2006/bibliography"/>
  </ds:schemaRefs>
</ds:datastoreItem>
</file>

<file path=customXml/itemProps2.xml><?xml version="1.0" encoding="utf-8"?>
<ds:datastoreItem xmlns:ds="http://schemas.openxmlformats.org/officeDocument/2006/customXml" ds:itemID="{E527825B-5EEC-4A31-8CE3-B6C51FF60A05}"/>
</file>

<file path=customXml/itemProps3.xml><?xml version="1.0" encoding="utf-8"?>
<ds:datastoreItem xmlns:ds="http://schemas.openxmlformats.org/officeDocument/2006/customXml" ds:itemID="{CA7FF15B-9D48-47E2-8940-E49A3F78DAFB}"/>
</file>

<file path=customXml/itemProps4.xml><?xml version="1.0" encoding="utf-8"?>
<ds:datastoreItem xmlns:ds="http://schemas.openxmlformats.org/officeDocument/2006/customXml" ds:itemID="{C5C865D2-5048-4E87-9AE9-57DA7162B436}"/>
</file>

<file path=docProps/app.xml><?xml version="1.0" encoding="utf-8"?>
<Properties xmlns="http://schemas.openxmlformats.org/officeDocument/2006/extended-properties" xmlns:vt="http://schemas.openxmlformats.org/officeDocument/2006/docPropsVTypes">
  <Template>Normal</Template>
  <TotalTime>0</TotalTime>
  <Pages>6</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Simone Schiele</cp:lastModifiedBy>
  <cp:revision>2</cp:revision>
  <cp:lastPrinted>2019-03-26T10:46:00Z</cp:lastPrinted>
  <dcterms:created xsi:type="dcterms:W3CDTF">2019-04-03T08:21:00Z</dcterms:created>
  <dcterms:modified xsi:type="dcterms:W3CDTF">2019-04-03T08:21:00Z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