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D41CFF" w14:paraId="03107217" w14:textId="77777777" w:rsidTr="00485DFD">
        <w:trPr>
          <w:cantSplit/>
          <w:trHeight w:val="20"/>
          <w:jc w:val="right"/>
        </w:trPr>
        <w:tc>
          <w:tcPr>
            <w:tcW w:w="1526" w:type="dxa"/>
          </w:tcPr>
          <w:p w14:paraId="43289B2B" w14:textId="77777777" w:rsidR="00396929" w:rsidRPr="00D41CFF" w:rsidRDefault="00396929" w:rsidP="000D51D4">
            <w:pPr>
              <w:pStyle w:val="Normal-pool"/>
              <w:rPr>
                <w:rFonts w:ascii="Arial" w:hAnsi="Arial" w:cs="Arial"/>
                <w:b/>
                <w:sz w:val="27"/>
                <w:szCs w:val="27"/>
              </w:rPr>
            </w:pPr>
            <w:r w:rsidRPr="00D41CFF">
              <w:rPr>
                <w:rFonts w:ascii="Arial" w:hAnsi="Arial" w:cs="Arial"/>
                <w:b/>
                <w:noProof/>
                <w:sz w:val="27"/>
                <w:szCs w:val="27"/>
              </w:rPr>
              <w:t xml:space="preserve">UNITED </w:t>
            </w:r>
            <w:r w:rsidRPr="00D41CFF">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D41CFF" w:rsidRDefault="00396929" w:rsidP="000D51D4">
            <w:pPr>
              <w:pStyle w:val="Normal-pool"/>
              <w:ind w:left="-108"/>
              <w:jc w:val="both"/>
            </w:pPr>
            <w:r w:rsidRPr="00D41CFF">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D41CFF" w:rsidRDefault="00396929" w:rsidP="000D51D4">
            <w:pPr>
              <w:pStyle w:val="Normal-pool"/>
              <w:ind w:left="-108"/>
            </w:pPr>
            <w:r w:rsidRPr="00D41CFF">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D41CFF" w:rsidRDefault="00396929" w:rsidP="000D51D4">
            <w:pPr>
              <w:pStyle w:val="Normal-pool"/>
              <w:ind w:left="-108"/>
            </w:pPr>
            <w:r w:rsidRPr="00D41CFF">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D41CFF" w:rsidRDefault="00396929" w:rsidP="000D51D4">
            <w:pPr>
              <w:pStyle w:val="Normal-pool"/>
              <w:ind w:left="-108"/>
            </w:pPr>
            <w:r w:rsidRPr="00D41CFF">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D41CFF" w:rsidRDefault="00396929" w:rsidP="000D51D4">
            <w:pPr>
              <w:pStyle w:val="Normal-pool"/>
            </w:pPr>
            <w:r w:rsidRPr="00D41CFF">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D41CFF" w:rsidRDefault="00396929" w:rsidP="000D51D4">
            <w:pPr>
              <w:pStyle w:val="Normal-pool"/>
            </w:pPr>
          </w:p>
        </w:tc>
        <w:tc>
          <w:tcPr>
            <w:tcW w:w="1666" w:type="dxa"/>
          </w:tcPr>
          <w:p w14:paraId="2B76AE7B" w14:textId="77777777" w:rsidR="00396929" w:rsidRPr="00D41CFF" w:rsidRDefault="00396929" w:rsidP="000D51D4">
            <w:pPr>
              <w:pStyle w:val="Normal-pool"/>
              <w:rPr>
                <w:rFonts w:ascii="Arial" w:hAnsi="Arial" w:cs="Arial"/>
                <w:b/>
                <w:sz w:val="64"/>
                <w:szCs w:val="64"/>
              </w:rPr>
            </w:pPr>
            <w:r w:rsidRPr="00D41CFF">
              <w:rPr>
                <w:rFonts w:ascii="Arial" w:hAnsi="Arial" w:cs="Arial"/>
                <w:b/>
                <w:sz w:val="64"/>
                <w:szCs w:val="64"/>
              </w:rPr>
              <w:t>BES</w:t>
            </w:r>
          </w:p>
        </w:tc>
      </w:tr>
      <w:tr w:rsidR="00396929" w:rsidRPr="00D41CFF" w14:paraId="1E9A5538" w14:textId="77777777" w:rsidTr="00485DFD">
        <w:trPr>
          <w:cantSplit/>
          <w:trHeight w:val="20"/>
          <w:jc w:val="right"/>
        </w:trPr>
        <w:tc>
          <w:tcPr>
            <w:tcW w:w="1526" w:type="dxa"/>
            <w:tcBorders>
              <w:bottom w:val="single" w:sz="2" w:space="0" w:color="auto"/>
            </w:tcBorders>
          </w:tcPr>
          <w:p w14:paraId="28F581D2" w14:textId="77777777" w:rsidR="00396929" w:rsidRPr="00D41CFF" w:rsidRDefault="00396929" w:rsidP="000D51D4">
            <w:pPr>
              <w:pStyle w:val="Normal-pool"/>
              <w:rPr>
                <w:noProof/>
              </w:rPr>
            </w:pPr>
          </w:p>
        </w:tc>
        <w:tc>
          <w:tcPr>
            <w:tcW w:w="5953" w:type="dxa"/>
            <w:gridSpan w:val="6"/>
            <w:tcBorders>
              <w:bottom w:val="single" w:sz="2" w:space="0" w:color="auto"/>
            </w:tcBorders>
          </w:tcPr>
          <w:p w14:paraId="6D82283C" w14:textId="77777777" w:rsidR="00396929" w:rsidRPr="00D41CFF" w:rsidRDefault="00396929" w:rsidP="000D51D4">
            <w:pPr>
              <w:pStyle w:val="Normal-pool"/>
              <w:rPr>
                <w:sz w:val="24"/>
                <w:szCs w:val="24"/>
              </w:rPr>
            </w:pPr>
          </w:p>
        </w:tc>
        <w:tc>
          <w:tcPr>
            <w:tcW w:w="2233" w:type="dxa"/>
            <w:gridSpan w:val="2"/>
            <w:tcBorders>
              <w:bottom w:val="single" w:sz="2" w:space="0" w:color="auto"/>
            </w:tcBorders>
          </w:tcPr>
          <w:p w14:paraId="354E7990" w14:textId="09EF72EE" w:rsidR="00396929" w:rsidRPr="00D41CFF" w:rsidRDefault="00396929" w:rsidP="000D51D4">
            <w:pPr>
              <w:pStyle w:val="Normal-pool"/>
              <w:rPr>
                <w:sz w:val="24"/>
                <w:szCs w:val="24"/>
              </w:rPr>
            </w:pPr>
            <w:r w:rsidRPr="00D41CFF">
              <w:rPr>
                <w:b/>
                <w:sz w:val="24"/>
                <w:szCs w:val="24"/>
              </w:rPr>
              <w:t>IPBES</w:t>
            </w:r>
            <w:r w:rsidRPr="00D41CFF">
              <w:t>/</w:t>
            </w:r>
            <w:r w:rsidR="005F06C5" w:rsidRPr="00D41CFF">
              <w:t>7</w:t>
            </w:r>
            <w:r w:rsidRPr="00D41CFF">
              <w:t>/</w:t>
            </w:r>
            <w:r w:rsidR="00485DFD" w:rsidRPr="00D41CFF">
              <w:t>INF/15</w:t>
            </w:r>
          </w:p>
        </w:tc>
      </w:tr>
      <w:tr w:rsidR="00396929" w:rsidRPr="00D41CFF" w14:paraId="44558741" w14:textId="77777777" w:rsidTr="00485DFD">
        <w:trPr>
          <w:cantSplit/>
          <w:trHeight w:val="20"/>
          <w:jc w:val="right"/>
        </w:trPr>
        <w:tc>
          <w:tcPr>
            <w:tcW w:w="2009" w:type="dxa"/>
            <w:gridSpan w:val="2"/>
            <w:tcBorders>
              <w:top w:val="single" w:sz="2" w:space="0" w:color="auto"/>
              <w:bottom w:val="single" w:sz="24" w:space="0" w:color="auto"/>
            </w:tcBorders>
          </w:tcPr>
          <w:p w14:paraId="21C3F8E6" w14:textId="77777777" w:rsidR="00396929" w:rsidRPr="00D41CFF" w:rsidRDefault="00396929" w:rsidP="000D51D4">
            <w:pPr>
              <w:pStyle w:val="Normal-pool"/>
              <w:spacing w:before="240" w:after="240"/>
              <w:rPr>
                <w:sz w:val="28"/>
                <w:szCs w:val="28"/>
              </w:rPr>
            </w:pPr>
            <w:r w:rsidRPr="00D41CFF">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D41CFF" w:rsidRDefault="00396929" w:rsidP="000D51D4">
            <w:pPr>
              <w:pStyle w:val="Normal-pool"/>
              <w:spacing w:before="120" w:after="240"/>
              <w:rPr>
                <w:rFonts w:ascii="Arial" w:hAnsi="Arial" w:cs="Arial"/>
                <w:b/>
              </w:rPr>
            </w:pPr>
            <w:r w:rsidRPr="00D41CFF">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5CD59842" w:rsidR="00396929" w:rsidRPr="00B513F7" w:rsidRDefault="00396929" w:rsidP="00471270">
            <w:pPr>
              <w:pStyle w:val="Normal-pool"/>
              <w:spacing w:before="120"/>
            </w:pPr>
            <w:r w:rsidRPr="00B513F7">
              <w:t>Distr.: General</w:t>
            </w:r>
            <w:r w:rsidR="005F06C5" w:rsidRPr="00B513F7">
              <w:t xml:space="preserve"> </w:t>
            </w:r>
            <w:r w:rsidRPr="00B513F7">
              <w:br/>
            </w:r>
            <w:r w:rsidR="00485DFD" w:rsidRPr="00B513F7">
              <w:t>12 March 2019</w:t>
            </w:r>
          </w:p>
          <w:p w14:paraId="09C7780F" w14:textId="45BC919E" w:rsidR="00396929" w:rsidRPr="00D41CFF" w:rsidRDefault="00396929" w:rsidP="00471270">
            <w:pPr>
              <w:pStyle w:val="Normal-pool"/>
              <w:spacing w:before="120"/>
            </w:pPr>
            <w:r w:rsidRPr="00B513F7">
              <w:t>English</w:t>
            </w:r>
            <w:r w:rsidR="00485DFD" w:rsidRPr="00B513F7">
              <w:t xml:space="preserve"> only</w:t>
            </w:r>
          </w:p>
        </w:tc>
      </w:tr>
    </w:tbl>
    <w:p w14:paraId="20329E1C" w14:textId="77777777" w:rsidR="00396929" w:rsidRPr="00D41CFF" w:rsidRDefault="00396929" w:rsidP="00396929">
      <w:pPr>
        <w:pStyle w:val="AATitle"/>
      </w:pPr>
      <w:r w:rsidRPr="00D41CFF">
        <w:t>Plenary of the Intergovernmental Science-Policy</w:t>
      </w:r>
    </w:p>
    <w:p w14:paraId="50E85550" w14:textId="77777777" w:rsidR="00396929" w:rsidRPr="00D41CFF" w:rsidRDefault="00396929" w:rsidP="00396929">
      <w:pPr>
        <w:pStyle w:val="AATitle"/>
      </w:pPr>
      <w:r w:rsidRPr="00D41CFF">
        <w:t>Platform on Biodiversity and Ecosystem Services</w:t>
      </w:r>
    </w:p>
    <w:p w14:paraId="7C1DC04A" w14:textId="77777777" w:rsidR="00396929" w:rsidRPr="00D41CFF" w:rsidRDefault="005F06C5" w:rsidP="00396929">
      <w:pPr>
        <w:pStyle w:val="AATitle"/>
      </w:pPr>
      <w:r w:rsidRPr="00D41CFF">
        <w:t xml:space="preserve">Seventh </w:t>
      </w:r>
      <w:r w:rsidR="00396929" w:rsidRPr="00D41CFF">
        <w:t>session</w:t>
      </w:r>
    </w:p>
    <w:p w14:paraId="1C66DC1C" w14:textId="72FA6B28" w:rsidR="00396929" w:rsidRPr="00D41CFF" w:rsidRDefault="005F06C5" w:rsidP="005F06C5">
      <w:pPr>
        <w:pStyle w:val="AATitle"/>
        <w:rPr>
          <w:b w:val="0"/>
        </w:rPr>
      </w:pPr>
      <w:r w:rsidRPr="00D41CFF">
        <w:rPr>
          <w:b w:val="0"/>
          <w:lang w:eastAsia="ja-JP"/>
        </w:rPr>
        <w:t>Paris, 29 April–4 May 2019</w:t>
      </w:r>
    </w:p>
    <w:p w14:paraId="276E316F" w14:textId="77777777" w:rsidR="00485DFD" w:rsidRPr="00D41CFF" w:rsidRDefault="00485DFD" w:rsidP="00485DFD">
      <w:pPr>
        <w:pStyle w:val="AATitle"/>
        <w:rPr>
          <w:b w:val="0"/>
        </w:rPr>
      </w:pPr>
      <w:r w:rsidRPr="00D41CFF">
        <w:rPr>
          <w:b w:val="0"/>
        </w:rPr>
        <w:t>Item 5 of the provisional agenda</w:t>
      </w:r>
      <w:r w:rsidRPr="00D41CFF">
        <w:rPr>
          <w:b w:val="0"/>
          <w:szCs w:val="18"/>
        </w:rPr>
        <w:footnoteReference w:customMarkFollows="1" w:id="1"/>
        <w:t>*</w:t>
      </w:r>
    </w:p>
    <w:p w14:paraId="496B3B3A" w14:textId="77777777" w:rsidR="00485DFD" w:rsidRPr="00D41CFF" w:rsidRDefault="00485DFD" w:rsidP="00485DFD">
      <w:pPr>
        <w:pStyle w:val="AATitle2"/>
        <w:spacing w:before="60"/>
      </w:pPr>
      <w:r w:rsidRPr="00D41CFF">
        <w:t>Report of the Executive Secretary on the implementation of the first work programme for the period 2014–2018</w:t>
      </w:r>
    </w:p>
    <w:p w14:paraId="31CBF9FC" w14:textId="77777777" w:rsidR="00485DFD" w:rsidRPr="00D41CFF" w:rsidRDefault="00485DFD" w:rsidP="00485DFD">
      <w:pPr>
        <w:pStyle w:val="BBTitle"/>
        <w:rPr>
          <w:lang w:val="en-US"/>
        </w:rPr>
      </w:pPr>
      <w:r w:rsidRPr="00D41CFF">
        <w:t>Information on collaboration and partnerships</w:t>
      </w:r>
    </w:p>
    <w:p w14:paraId="7942112F" w14:textId="77777777" w:rsidR="00485DFD" w:rsidRPr="00D41CFF" w:rsidRDefault="00485DFD" w:rsidP="00485DFD">
      <w:pPr>
        <w:pStyle w:val="CH2"/>
      </w:pPr>
      <w:r w:rsidRPr="00D41CFF">
        <w:tab/>
      </w:r>
      <w:r w:rsidRPr="00D41CFF">
        <w:tab/>
        <w:t>Note by the secretariat</w:t>
      </w:r>
    </w:p>
    <w:p w14:paraId="769A33B4" w14:textId="5F1FF5B7" w:rsidR="00485DFD" w:rsidRPr="00D41CFF" w:rsidRDefault="00485DFD" w:rsidP="00485DFD">
      <w:pPr>
        <w:numPr>
          <w:ilvl w:val="0"/>
          <w:numId w:val="5"/>
        </w:numPr>
        <w:tabs>
          <w:tab w:val="clear" w:pos="567"/>
          <w:tab w:val="num" w:pos="624"/>
        </w:tabs>
        <w:spacing w:after="120" w:line="240" w:lineRule="auto"/>
        <w:rPr>
          <w:rFonts w:ascii="Times New Roman" w:eastAsia="Droid Sans Fallback" w:hAnsi="Times New Roman" w:cs="Calibri"/>
          <w:sz w:val="20"/>
          <w:lang w:val="en-GB"/>
        </w:rPr>
      </w:pPr>
      <w:r w:rsidRPr="00D41CFF">
        <w:rPr>
          <w:rFonts w:ascii="Times New Roman" w:eastAsia="Droid Sans Fallback" w:hAnsi="Times New Roman" w:cs="Calibri"/>
          <w:sz w:val="20"/>
          <w:lang w:val="en-GB"/>
        </w:rPr>
        <w:t xml:space="preserve">In its decision IPBES-2/8, the Plenary of the </w:t>
      </w:r>
      <w:r w:rsidRPr="00D41CFF">
        <w:rPr>
          <w:rFonts w:ascii="Times New Roman" w:eastAsia="Droid Sans Fallback" w:hAnsi="Times New Roman" w:cs="Calibri"/>
          <w:sz w:val="20"/>
        </w:rPr>
        <w:t xml:space="preserve">Intergovernmental Science-Policy Platform on Biodiversity and Ecosystem Services (IPBES) </w:t>
      </w:r>
      <w:r w:rsidRPr="00D41CFF">
        <w:rPr>
          <w:rFonts w:ascii="Times New Roman" w:eastAsia="Droid Sans Fallback" w:hAnsi="Times New Roman" w:cs="Calibri"/>
          <w:sz w:val="20"/>
          <w:lang w:val="en-GB"/>
        </w:rPr>
        <w:t xml:space="preserve">approved the </w:t>
      </w:r>
      <w:r w:rsidRPr="00E76AD2">
        <w:rPr>
          <w:rFonts w:ascii="Times New Roman" w:eastAsia="Droid Sans Fallback" w:hAnsi="Times New Roman" w:cs="Calibri"/>
          <w:sz w:val="20"/>
          <w:lang w:val="en-GB"/>
        </w:rPr>
        <w:t>collaborative partnership arrangement</w:t>
      </w:r>
      <w:r w:rsidRPr="00D41CFF">
        <w:rPr>
          <w:rFonts w:ascii="Times New Roman" w:eastAsia="Droid Sans Fallback" w:hAnsi="Times New Roman" w:cs="Calibri"/>
          <w:sz w:val="20"/>
          <w:lang w:val="en-GB"/>
        </w:rPr>
        <w:t xml:space="preserve"> to establish an institutional link between the Plenary and the United Nations Environment Programme, the United Nations Educational, Scientific and Cultural Organization, the Food and Agriculture Organization of the United Nations and the United Nations Development Programme</w:t>
      </w:r>
      <w:r w:rsidR="00065E8E" w:rsidRPr="00D41CFF">
        <w:rPr>
          <w:rFonts w:ascii="Times New Roman" w:eastAsia="Droid Sans Fallback" w:hAnsi="Times New Roman" w:cs="Calibri"/>
          <w:sz w:val="20"/>
          <w:lang w:val="en-GB"/>
        </w:rPr>
        <w:t>, as</w:t>
      </w:r>
      <w:r w:rsidRPr="00D41CFF">
        <w:rPr>
          <w:rFonts w:ascii="Times New Roman" w:eastAsia="Droid Sans Fallback" w:hAnsi="Times New Roman" w:cs="Calibri"/>
          <w:sz w:val="20"/>
          <w:lang w:val="en-GB"/>
        </w:rPr>
        <w:t xml:space="preserve"> set out in the annex to th</w:t>
      </w:r>
      <w:r w:rsidR="00065E8E" w:rsidRPr="00D41CFF">
        <w:rPr>
          <w:rFonts w:ascii="Times New Roman" w:eastAsia="Droid Sans Fallback" w:hAnsi="Times New Roman" w:cs="Calibri"/>
          <w:sz w:val="20"/>
          <w:lang w:val="en-GB"/>
        </w:rPr>
        <w:t>at</w:t>
      </w:r>
      <w:r w:rsidRPr="00D41CFF">
        <w:rPr>
          <w:rFonts w:ascii="Times New Roman" w:eastAsia="Droid Sans Fallback" w:hAnsi="Times New Roman" w:cs="Calibri"/>
          <w:sz w:val="20"/>
          <w:lang w:val="en-GB"/>
        </w:rPr>
        <w:t xml:space="preserve"> decision.</w:t>
      </w:r>
    </w:p>
    <w:p w14:paraId="14BE7582" w14:textId="68226956" w:rsidR="00485DFD" w:rsidRPr="00D41CFF" w:rsidRDefault="00485DFD" w:rsidP="00485DFD">
      <w:pPr>
        <w:numPr>
          <w:ilvl w:val="0"/>
          <w:numId w:val="5"/>
        </w:numPr>
        <w:tabs>
          <w:tab w:val="clear" w:pos="567"/>
          <w:tab w:val="num" w:pos="624"/>
        </w:tabs>
        <w:spacing w:after="120" w:line="240" w:lineRule="auto"/>
        <w:rPr>
          <w:rFonts w:ascii="Times New Roman" w:eastAsia="Droid Sans Fallback" w:hAnsi="Times New Roman" w:cs="Calibri"/>
          <w:sz w:val="20"/>
          <w:lang w:val="en-GB"/>
        </w:rPr>
      </w:pPr>
      <w:r w:rsidRPr="00D41CFF">
        <w:rPr>
          <w:rFonts w:ascii="Times New Roman" w:eastAsia="Droid Sans Fallback" w:hAnsi="Times New Roman" w:cs="Calibri"/>
          <w:sz w:val="20"/>
          <w:lang w:val="en-GB"/>
        </w:rPr>
        <w:t xml:space="preserve">In its decision IPBES-3/4, the Plenary approved the guidance on the development of </w:t>
      </w:r>
      <w:r w:rsidR="00065E8E" w:rsidRPr="00D41CFF">
        <w:rPr>
          <w:rFonts w:ascii="Times New Roman" w:eastAsia="Droid Sans Fallback" w:hAnsi="Times New Roman" w:cs="Calibri"/>
          <w:sz w:val="20"/>
          <w:lang w:val="en-GB"/>
        </w:rPr>
        <w:t xml:space="preserve">strategic </w:t>
      </w:r>
      <w:r w:rsidRPr="00D41CFF">
        <w:rPr>
          <w:rFonts w:ascii="Times New Roman" w:eastAsia="Droid Sans Fallback" w:hAnsi="Times New Roman" w:cs="Calibri"/>
          <w:sz w:val="20"/>
          <w:lang w:val="en-GB"/>
        </w:rPr>
        <w:t xml:space="preserve">partnerships and other collaborative arrangements, </w:t>
      </w:r>
      <w:r w:rsidR="00065E8E" w:rsidRPr="00D41CFF">
        <w:rPr>
          <w:rFonts w:ascii="Times New Roman" w:eastAsia="Droid Sans Fallback" w:hAnsi="Times New Roman" w:cs="Calibri"/>
          <w:sz w:val="20"/>
          <w:lang w:val="en-GB"/>
        </w:rPr>
        <w:t xml:space="preserve">as </w:t>
      </w:r>
      <w:r w:rsidRPr="00D41CFF">
        <w:rPr>
          <w:rFonts w:ascii="Times New Roman" w:eastAsia="Droid Sans Fallback" w:hAnsi="Times New Roman" w:cs="Calibri"/>
          <w:sz w:val="20"/>
          <w:lang w:val="en-GB"/>
        </w:rPr>
        <w:t>set out in annex III to th</w:t>
      </w:r>
      <w:r w:rsidR="00065E8E" w:rsidRPr="00D41CFF">
        <w:rPr>
          <w:rFonts w:ascii="Times New Roman" w:eastAsia="Droid Sans Fallback" w:hAnsi="Times New Roman" w:cs="Calibri"/>
          <w:sz w:val="20"/>
          <w:lang w:val="en-GB"/>
        </w:rPr>
        <w:t>at</w:t>
      </w:r>
      <w:r w:rsidRPr="00D41CFF">
        <w:rPr>
          <w:rFonts w:ascii="Times New Roman" w:eastAsia="Droid Sans Fallback" w:hAnsi="Times New Roman" w:cs="Calibri"/>
          <w:sz w:val="20"/>
          <w:lang w:val="en-GB"/>
        </w:rPr>
        <w:t xml:space="preserve"> decision, containing a list of means by which strategic partnerships were expected to support the implementation of the IPBES work programme, </w:t>
      </w:r>
      <w:r w:rsidRPr="00D41CFF">
        <w:rPr>
          <w:rFonts w:ascii="Times New Roman" w:eastAsia="Droid Sans Fallback" w:hAnsi="Times New Roman" w:cs="Arial"/>
          <w:sz w:val="20"/>
          <w:lang w:val="en-GB"/>
        </w:rPr>
        <w:t>criteria to be used in identifying whether a strategic partnership was appropriate and necessary, and</w:t>
      </w:r>
      <w:r w:rsidRPr="00D41CFF">
        <w:rPr>
          <w:rFonts w:ascii="Times New Roman" w:eastAsia="Droid Sans Fallback" w:hAnsi="Times New Roman" w:cs="Calibri"/>
          <w:sz w:val="20"/>
          <w:lang w:val="en-GB"/>
        </w:rPr>
        <w:t xml:space="preserve"> a list of actions that could be undertaken without entering into more formal partnership agreements.</w:t>
      </w:r>
    </w:p>
    <w:p w14:paraId="69AEAC1B" w14:textId="207CEC43" w:rsidR="00485DFD" w:rsidRPr="00D41CFF" w:rsidRDefault="00485DFD" w:rsidP="00485DFD">
      <w:pPr>
        <w:numPr>
          <w:ilvl w:val="0"/>
          <w:numId w:val="5"/>
        </w:numPr>
        <w:tabs>
          <w:tab w:val="clear" w:pos="567"/>
          <w:tab w:val="num" w:pos="624"/>
        </w:tabs>
        <w:spacing w:after="120" w:line="240" w:lineRule="auto"/>
        <w:rPr>
          <w:rFonts w:ascii="Times New Roman" w:eastAsia="Droid Sans Fallback" w:hAnsi="Times New Roman" w:cs="Calibri"/>
          <w:sz w:val="20"/>
          <w:lang w:val="en-GB"/>
        </w:rPr>
      </w:pPr>
      <w:r w:rsidRPr="00D41CFF">
        <w:rPr>
          <w:rFonts w:ascii="Times New Roman" w:eastAsia="Droid Sans Fallback" w:hAnsi="Times New Roman" w:cs="Calibri"/>
          <w:sz w:val="20"/>
          <w:lang w:val="en-GB"/>
        </w:rPr>
        <w:t xml:space="preserve">In section III of its decision IPBES-4/4, the Plenary, recognizing the importance of stakeholder engagement and strategic partnerships for the success of IPBES in seeking to strengthen the </w:t>
      </w:r>
      <w:r w:rsidRPr="00D41CFF">
        <w:rPr>
          <w:rFonts w:ascii="Times New Roman" w:eastAsia="Droid Sans Fallback" w:hAnsi="Times New Roman" w:cs="Calibri"/>
          <w:sz w:val="20"/>
          <w:lang w:val="en-GB"/>
        </w:rPr>
        <w:br/>
        <w:t xml:space="preserve">science-policy interface, requested the Executive Secretary to </w:t>
      </w:r>
      <w:r w:rsidRPr="00D41CFF">
        <w:rPr>
          <w:rFonts w:ascii="Times New Roman" w:eastAsia="Droid Sans Fallback" w:hAnsi="Times New Roman" w:cs="Arial"/>
          <w:sz w:val="20"/>
          <w:lang w:val="en-GB"/>
        </w:rPr>
        <w:t>finalize memorand</w:t>
      </w:r>
      <w:r w:rsidR="001B4B67">
        <w:rPr>
          <w:rFonts w:ascii="Times New Roman" w:eastAsia="Droid Sans Fallback" w:hAnsi="Times New Roman" w:cs="Arial"/>
          <w:sz w:val="20"/>
          <w:lang w:val="en-GB"/>
        </w:rPr>
        <w:t>ums</w:t>
      </w:r>
      <w:r w:rsidRPr="00D41CFF">
        <w:rPr>
          <w:rFonts w:ascii="Times New Roman" w:eastAsia="Droid Sans Fallback" w:hAnsi="Times New Roman" w:cs="Arial"/>
          <w:sz w:val="20"/>
          <w:lang w:val="en-GB"/>
        </w:rPr>
        <w:t xml:space="preserve"> of cooperation </w:t>
      </w:r>
      <w:r w:rsidR="00455FD3" w:rsidRPr="00D41CFF">
        <w:rPr>
          <w:rFonts w:ascii="Times New Roman" w:eastAsia="Droid Sans Fallback" w:hAnsi="Times New Roman" w:cs="Arial"/>
          <w:sz w:val="20"/>
          <w:lang w:val="en-GB"/>
        </w:rPr>
        <w:t xml:space="preserve">with </w:t>
      </w:r>
      <w:r w:rsidRPr="00D41CFF">
        <w:rPr>
          <w:rFonts w:ascii="Times New Roman" w:eastAsia="Droid Sans Fallback" w:hAnsi="Times New Roman" w:cs="Arial"/>
          <w:sz w:val="20"/>
          <w:lang w:val="en-GB"/>
        </w:rPr>
        <w:t>the secretariats of the individual multilateral environmental agreements related to biodiversity and ecosystem services, and to report to the Plenary at its fifth session and regularly thereafter on outreach and collaboration with other relevant international bodies.</w:t>
      </w:r>
    </w:p>
    <w:p w14:paraId="6D0D6445" w14:textId="1C061B71" w:rsidR="00485DFD" w:rsidRPr="00D41CFF" w:rsidRDefault="00485DFD" w:rsidP="00485DFD">
      <w:pPr>
        <w:numPr>
          <w:ilvl w:val="0"/>
          <w:numId w:val="5"/>
        </w:numPr>
        <w:tabs>
          <w:tab w:val="clear" w:pos="567"/>
          <w:tab w:val="num" w:pos="624"/>
        </w:tabs>
        <w:spacing w:after="120" w:line="240" w:lineRule="auto"/>
        <w:rPr>
          <w:rFonts w:ascii="Times New Roman" w:eastAsia="Droid Sans Fallback" w:hAnsi="Times New Roman" w:cs="Calibri"/>
          <w:sz w:val="20"/>
          <w:lang w:val="en-GB"/>
        </w:rPr>
      </w:pPr>
      <w:r w:rsidRPr="00D41CFF">
        <w:rPr>
          <w:rFonts w:ascii="Times New Roman" w:eastAsia="Droid Sans Fallback" w:hAnsi="Times New Roman" w:cs="Calibri"/>
          <w:sz w:val="20"/>
          <w:lang w:val="en-GB"/>
        </w:rPr>
        <w:t>In section II of its decision IPBES-6/1, the Plenary, welcoming the efforts of partner organizations in support of capacity-building initiatives under the rolling plan, invited other organizations to join those efforts by offering technical and financial contributions that match</w:t>
      </w:r>
      <w:r w:rsidR="00455FD3" w:rsidRPr="00D41CFF">
        <w:rPr>
          <w:rFonts w:ascii="Times New Roman" w:eastAsia="Droid Sans Fallback" w:hAnsi="Times New Roman" w:cs="Calibri"/>
          <w:sz w:val="20"/>
          <w:lang w:val="en-GB"/>
        </w:rPr>
        <w:t>ed</w:t>
      </w:r>
      <w:r w:rsidRPr="00D41CFF">
        <w:rPr>
          <w:rFonts w:ascii="Times New Roman" w:eastAsia="Droid Sans Fallback" w:hAnsi="Times New Roman" w:cs="Calibri"/>
          <w:sz w:val="20"/>
          <w:lang w:val="en-GB"/>
        </w:rPr>
        <w:t xml:space="preserve"> identified capacity-building needs. In section III of the decision, the Plenary welcomed the efforts of indigenous peoples and local communities and partner organizations in support of the approach to recognizing and working with indigenous and local knowledge and invited other indigenous peoples and local communities and other organizations to join those efforts. </w:t>
      </w:r>
    </w:p>
    <w:p w14:paraId="35CC8A73" w14:textId="7380782A" w:rsidR="00485DFD" w:rsidRPr="00D41CFF" w:rsidRDefault="00485DFD" w:rsidP="00485DFD">
      <w:pPr>
        <w:numPr>
          <w:ilvl w:val="0"/>
          <w:numId w:val="5"/>
        </w:numPr>
        <w:tabs>
          <w:tab w:val="clear" w:pos="567"/>
          <w:tab w:val="num" w:pos="624"/>
        </w:tabs>
        <w:spacing w:after="120" w:line="240" w:lineRule="auto"/>
        <w:rPr>
          <w:rFonts w:ascii="Times New Roman" w:eastAsia="Droid Sans Fallback" w:hAnsi="Times New Roman" w:cs="Calibri"/>
          <w:sz w:val="20"/>
          <w:lang w:val="en-GB"/>
        </w:rPr>
      </w:pPr>
      <w:r w:rsidRPr="00D41CFF">
        <w:rPr>
          <w:rFonts w:ascii="Times New Roman" w:eastAsia="Droid Sans Fallback" w:hAnsi="Times New Roman" w:cs="Calibri"/>
          <w:sz w:val="20"/>
          <w:lang w:val="en-GB"/>
        </w:rPr>
        <w:t xml:space="preserve">The annex to the present note, which is presented without formal editing, sets out a report on further progress in various types of collaboration and partnerships, as well as information on developments intended to further strengthen engagement with partner organizations. </w:t>
      </w:r>
    </w:p>
    <w:p w14:paraId="02E84076" w14:textId="77777777" w:rsidR="00485DFD" w:rsidRPr="00B7740C" w:rsidRDefault="00485DFD" w:rsidP="00485DFD">
      <w:pPr>
        <w:tabs>
          <w:tab w:val="left" w:pos="720"/>
          <w:tab w:val="left" w:pos="1247"/>
          <w:tab w:val="left" w:pos="1814"/>
          <w:tab w:val="left" w:pos="2381"/>
          <w:tab w:val="left" w:pos="2948"/>
          <w:tab w:val="left" w:pos="3515"/>
        </w:tabs>
        <w:spacing w:after="160" w:line="256" w:lineRule="auto"/>
        <w:rPr>
          <w:rFonts w:ascii="Times New Roman" w:eastAsia="Droid Sans Fallback" w:hAnsi="Times New Roman" w:cs="Calibri"/>
          <w:sz w:val="20"/>
          <w:lang w:val="en-GB"/>
        </w:rPr>
      </w:pPr>
      <w:r w:rsidRPr="00B7740C">
        <w:rPr>
          <w:rFonts w:ascii="Times New Roman" w:eastAsia="Times New Roman" w:hAnsi="Times New Roman"/>
          <w:sz w:val="20"/>
          <w:szCs w:val="20"/>
          <w:lang w:val="en-GB"/>
        </w:rPr>
        <w:br w:type="page"/>
      </w:r>
    </w:p>
    <w:p w14:paraId="22FDAAD0" w14:textId="77777777" w:rsidR="00485DFD" w:rsidRPr="00B7740C" w:rsidRDefault="00485DFD" w:rsidP="00485DFD">
      <w:pPr>
        <w:pStyle w:val="ZZAnxheader"/>
        <w:rPr>
          <w:rFonts w:eastAsia="Calibri"/>
          <w:w w:val="103"/>
        </w:rPr>
      </w:pPr>
      <w:r w:rsidRPr="00B7740C">
        <w:rPr>
          <w:rFonts w:eastAsia="Calibri"/>
          <w:w w:val="103"/>
        </w:rPr>
        <w:lastRenderedPageBreak/>
        <w:t>Annex</w:t>
      </w:r>
    </w:p>
    <w:p w14:paraId="788EAD07" w14:textId="77777777" w:rsidR="00485DFD" w:rsidRPr="00B7740C" w:rsidRDefault="00485DFD" w:rsidP="00485DFD">
      <w:pPr>
        <w:pStyle w:val="ZZAnxtitle"/>
      </w:pPr>
      <w:bookmarkStart w:id="1" w:name="_Hlk498935495"/>
      <w:r w:rsidRPr="00B7740C">
        <w:t xml:space="preserve">Report on ongoing and new partnerships </w:t>
      </w:r>
    </w:p>
    <w:p w14:paraId="1490D09E"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bookmarkStart w:id="2" w:name="_Hlk498935511"/>
      <w:bookmarkEnd w:id="1"/>
      <w:r w:rsidRPr="00B7740C">
        <w:rPr>
          <w:rFonts w:ascii="Times New Roman" w:eastAsia="Times New Roman" w:hAnsi="Times New Roman"/>
          <w:sz w:val="20"/>
          <w:szCs w:val="20"/>
          <w:lang w:val="en-GB" w:eastAsia="en-GB"/>
        </w:rPr>
        <w:t>The following sections set out information on progress regarding new and ongoing partnerships, and a plan to actively seek new partners.</w:t>
      </w:r>
    </w:p>
    <w:p w14:paraId="12A0069B" w14:textId="77777777" w:rsidR="00485DFD" w:rsidRPr="00B7740C" w:rsidRDefault="00485DFD" w:rsidP="00485DFD">
      <w:pPr>
        <w:pStyle w:val="CH2"/>
      </w:pPr>
      <w:r w:rsidRPr="00B7740C">
        <w:tab/>
        <w:t>A.</w:t>
      </w:r>
      <w:r w:rsidRPr="00B7740C">
        <w:tab/>
        <w:t>Collaboration with United Nation partners</w:t>
      </w:r>
    </w:p>
    <w:p w14:paraId="202A2D8B"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In its decision IPBES-2/8, the Plenary approved the collaborative partnership arrangement to establish an institutional link between the Plenary of IPBES and the United Nations Environment Programme, the United Nations Educational, Scientific and Cultural Organization (UNESCO), the Food and Agriculture Organization of the United Nations (FAO) and the United Nations Development Programme (UNDP). </w:t>
      </w:r>
    </w:p>
    <w:p w14:paraId="0D22010B"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 xml:space="preserve">As set out in the annex to the decision, this core partnership arrangement provides a framework for collaboration under which, inter alia, the Partners establish an institutional link between </w:t>
      </w:r>
      <w:r>
        <w:rPr>
          <w:rFonts w:ascii="Times New Roman" w:eastAsia="Times New Roman" w:hAnsi="Times New Roman"/>
          <w:sz w:val="20"/>
          <w:szCs w:val="20"/>
          <w:lang w:val="en-GB" w:eastAsia="en-GB"/>
        </w:rPr>
        <w:t>IPBES</w:t>
      </w:r>
      <w:r w:rsidRPr="00B7740C">
        <w:rPr>
          <w:rFonts w:ascii="Times New Roman" w:eastAsia="Times New Roman" w:hAnsi="Times New Roman"/>
          <w:sz w:val="20"/>
          <w:szCs w:val="20"/>
          <w:lang w:val="en-GB" w:eastAsia="en-GB"/>
        </w:rPr>
        <w:t xml:space="preserve"> and the </w:t>
      </w:r>
      <w:r>
        <w:rPr>
          <w:rFonts w:ascii="Times New Roman" w:eastAsia="Times New Roman" w:hAnsi="Times New Roman"/>
          <w:sz w:val="20"/>
          <w:szCs w:val="20"/>
          <w:lang w:val="en-GB" w:eastAsia="en-GB"/>
        </w:rPr>
        <w:t>o</w:t>
      </w:r>
      <w:r w:rsidRPr="00B7740C">
        <w:rPr>
          <w:rFonts w:ascii="Times New Roman" w:eastAsia="Times New Roman" w:hAnsi="Times New Roman"/>
          <w:sz w:val="20"/>
          <w:szCs w:val="20"/>
          <w:lang w:val="en-GB" w:eastAsia="en-GB"/>
        </w:rPr>
        <w:t>rganizations whereby the U</w:t>
      </w:r>
      <w:r>
        <w:rPr>
          <w:rFonts w:ascii="Times New Roman" w:eastAsia="Times New Roman" w:hAnsi="Times New Roman"/>
          <w:sz w:val="20"/>
          <w:szCs w:val="20"/>
          <w:lang w:val="en-GB" w:eastAsia="en-GB"/>
        </w:rPr>
        <w:t xml:space="preserve">nited </w:t>
      </w:r>
      <w:r w:rsidRPr="00B7740C">
        <w:rPr>
          <w:rFonts w:ascii="Times New Roman" w:eastAsia="Times New Roman" w:hAnsi="Times New Roman"/>
          <w:sz w:val="20"/>
          <w:szCs w:val="20"/>
          <w:lang w:val="en-GB" w:eastAsia="en-GB"/>
        </w:rPr>
        <w:t>N</w:t>
      </w:r>
      <w:r>
        <w:rPr>
          <w:rFonts w:ascii="Times New Roman" w:eastAsia="Times New Roman" w:hAnsi="Times New Roman"/>
          <w:sz w:val="20"/>
          <w:szCs w:val="20"/>
          <w:lang w:val="en-GB" w:eastAsia="en-GB"/>
        </w:rPr>
        <w:t>ations</w:t>
      </w:r>
      <w:r w:rsidRPr="00B7740C">
        <w:rPr>
          <w:rFonts w:ascii="Times New Roman" w:eastAsia="Times New Roman" w:hAnsi="Times New Roman"/>
          <w:sz w:val="20"/>
          <w:szCs w:val="20"/>
          <w:lang w:val="en-GB" w:eastAsia="en-GB"/>
        </w:rPr>
        <w:t xml:space="preserve"> partners coordinate relevant activities and cooperate in areas related to the functions of </w:t>
      </w:r>
      <w:r>
        <w:rPr>
          <w:rFonts w:ascii="Times New Roman" w:eastAsia="Times New Roman" w:hAnsi="Times New Roman"/>
          <w:sz w:val="20"/>
          <w:szCs w:val="20"/>
          <w:lang w:val="en-GB" w:eastAsia="en-GB"/>
        </w:rPr>
        <w:t>IPBES</w:t>
      </w:r>
      <w:r w:rsidRPr="00B7740C">
        <w:rPr>
          <w:rFonts w:ascii="Times New Roman" w:eastAsia="Times New Roman" w:hAnsi="Times New Roman"/>
          <w:sz w:val="20"/>
          <w:szCs w:val="20"/>
          <w:lang w:val="en-GB" w:eastAsia="en-GB"/>
        </w:rPr>
        <w:t>, make available dedicated capacity and secondments to support the secretariat, provide technical and programmatic support to the implementation of the work programme, undertake joint fundraising and communication activities.</w:t>
      </w:r>
    </w:p>
    <w:p w14:paraId="6C8ECAC6" w14:textId="3A5F176A"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The U</w:t>
      </w:r>
      <w:r>
        <w:rPr>
          <w:rFonts w:ascii="Times New Roman" w:eastAsia="Times New Roman" w:hAnsi="Times New Roman"/>
          <w:sz w:val="20"/>
          <w:szCs w:val="20"/>
          <w:lang w:val="en-GB" w:eastAsia="en-GB"/>
        </w:rPr>
        <w:t xml:space="preserve">nited </w:t>
      </w:r>
      <w:r w:rsidRPr="00B7740C">
        <w:rPr>
          <w:rFonts w:ascii="Times New Roman" w:eastAsia="Times New Roman" w:hAnsi="Times New Roman"/>
          <w:sz w:val="20"/>
          <w:szCs w:val="20"/>
          <w:lang w:val="en-GB" w:eastAsia="en-GB"/>
        </w:rPr>
        <w:t>N</w:t>
      </w:r>
      <w:r>
        <w:rPr>
          <w:rFonts w:ascii="Times New Roman" w:eastAsia="Times New Roman" w:hAnsi="Times New Roman"/>
          <w:sz w:val="20"/>
          <w:szCs w:val="20"/>
          <w:lang w:val="en-GB" w:eastAsia="en-GB"/>
        </w:rPr>
        <w:t>ations</w:t>
      </w:r>
      <w:r w:rsidRPr="00B7740C">
        <w:rPr>
          <w:rFonts w:ascii="Times New Roman" w:eastAsia="Times New Roman" w:hAnsi="Times New Roman"/>
          <w:sz w:val="20"/>
          <w:szCs w:val="20"/>
          <w:lang w:val="en-GB" w:eastAsia="en-GB"/>
        </w:rPr>
        <w:t xml:space="preserve"> partners have continued to support IPBES in various ways since the </w:t>
      </w:r>
      <w:r>
        <w:rPr>
          <w:rFonts w:ascii="Times New Roman" w:eastAsia="Times New Roman" w:hAnsi="Times New Roman"/>
          <w:sz w:val="20"/>
          <w:szCs w:val="20"/>
          <w:lang w:val="en-GB" w:eastAsia="en-GB"/>
        </w:rPr>
        <w:t>sixth</w:t>
      </w:r>
      <w:r w:rsidRPr="00B7740C">
        <w:rPr>
          <w:rFonts w:ascii="Times New Roman" w:eastAsia="Times New Roman" w:hAnsi="Times New Roman"/>
          <w:sz w:val="20"/>
          <w:szCs w:val="20"/>
          <w:lang w:val="en-GB" w:eastAsia="en-GB"/>
        </w:rPr>
        <w:t xml:space="preserve"> session of the Plenary. </w:t>
      </w:r>
      <w:r>
        <w:rPr>
          <w:rFonts w:ascii="Times New Roman" w:eastAsia="Times New Roman" w:hAnsi="Times New Roman"/>
          <w:sz w:val="20"/>
          <w:szCs w:val="20"/>
          <w:lang w:val="en-GB" w:eastAsia="en-GB"/>
        </w:rPr>
        <w:t xml:space="preserve">Representatives of the United Nations partners have closely followed the work of IPBES by attending the meetings of the Multidisciplinary Expert Panel as observers and participating in regular teleconferences with the IPBES secretariat. </w:t>
      </w:r>
      <w:r w:rsidRPr="00B7740C">
        <w:rPr>
          <w:rFonts w:ascii="Times New Roman" w:eastAsia="Times New Roman" w:hAnsi="Times New Roman"/>
          <w:sz w:val="20"/>
          <w:szCs w:val="20"/>
          <w:lang w:val="en-GB" w:eastAsia="en-GB"/>
        </w:rPr>
        <w:t>A progress report on the United</w:t>
      </w:r>
      <w:r w:rsidR="00C7661A">
        <w:rPr>
          <w:rFonts w:ascii="Times New Roman" w:eastAsia="Times New Roman" w:hAnsi="Times New Roman"/>
          <w:sz w:val="20"/>
          <w:szCs w:val="20"/>
          <w:lang w:val="en-GB" w:eastAsia="en-GB"/>
        </w:rPr>
        <w:t> </w:t>
      </w:r>
      <w:r w:rsidRPr="00B7740C">
        <w:rPr>
          <w:rFonts w:ascii="Times New Roman" w:eastAsia="Times New Roman" w:hAnsi="Times New Roman"/>
          <w:sz w:val="20"/>
          <w:szCs w:val="20"/>
          <w:lang w:val="en-GB" w:eastAsia="en-GB"/>
        </w:rPr>
        <w:t>Nation Collaborative Partnership Arrangement is set ou</w:t>
      </w:r>
      <w:r>
        <w:rPr>
          <w:rFonts w:ascii="Times New Roman" w:eastAsia="Times New Roman" w:hAnsi="Times New Roman"/>
          <w:sz w:val="20"/>
          <w:szCs w:val="20"/>
          <w:lang w:val="en-GB" w:eastAsia="en-GB"/>
        </w:rPr>
        <w:t>t in background document IPBES/7</w:t>
      </w:r>
      <w:r w:rsidRPr="00B7740C">
        <w:rPr>
          <w:rFonts w:ascii="Times New Roman" w:eastAsia="Times New Roman" w:hAnsi="Times New Roman"/>
          <w:sz w:val="20"/>
          <w:szCs w:val="20"/>
          <w:lang w:val="en-GB" w:eastAsia="en-GB"/>
        </w:rPr>
        <w:t>/INF/</w:t>
      </w:r>
      <w:r>
        <w:rPr>
          <w:rFonts w:ascii="Times New Roman" w:eastAsia="Times New Roman" w:hAnsi="Times New Roman"/>
          <w:sz w:val="20"/>
          <w:szCs w:val="20"/>
          <w:lang w:val="en-GB" w:eastAsia="en-GB"/>
        </w:rPr>
        <w:t>12</w:t>
      </w:r>
      <w:r w:rsidRPr="00B7740C">
        <w:rPr>
          <w:rFonts w:ascii="Times New Roman" w:eastAsia="Times New Roman" w:hAnsi="Times New Roman"/>
          <w:sz w:val="20"/>
          <w:szCs w:val="20"/>
          <w:lang w:val="en-GB" w:eastAsia="en-GB"/>
        </w:rPr>
        <w:t>.</w:t>
      </w:r>
    </w:p>
    <w:p w14:paraId="3D060E95" w14:textId="77777777" w:rsidR="00485DFD" w:rsidRPr="00B7740C" w:rsidRDefault="00485DFD" w:rsidP="00485DFD">
      <w:pPr>
        <w:pStyle w:val="CH2"/>
      </w:pPr>
      <w:r w:rsidRPr="00B7740C">
        <w:tab/>
        <w:t>B.</w:t>
      </w:r>
      <w:r w:rsidRPr="00B7740C">
        <w:tab/>
        <w:t>Collaboration with multilateral environmental agreements related to biodiversity and ecosystem services</w:t>
      </w:r>
    </w:p>
    <w:p w14:paraId="2C6A3F53"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 xml:space="preserve">In </w:t>
      </w:r>
      <w:r>
        <w:rPr>
          <w:rFonts w:ascii="Times New Roman" w:eastAsia="Times New Roman" w:hAnsi="Times New Roman"/>
          <w:sz w:val="20"/>
          <w:szCs w:val="20"/>
          <w:lang w:val="en-GB" w:eastAsia="en-GB"/>
        </w:rPr>
        <w:t>January 2019</w:t>
      </w:r>
      <w:r w:rsidRPr="00B67F17">
        <w:rPr>
          <w:rFonts w:ascii="Times New Roman" w:eastAsia="Times New Roman" w:hAnsi="Times New Roman"/>
          <w:sz w:val="20"/>
          <w:szCs w:val="20"/>
          <w:lang w:val="en-GB" w:eastAsia="en-GB"/>
        </w:rPr>
        <w:t>, a memorandum of cooperation was concluded with the secretariat</w:t>
      </w:r>
      <w:r w:rsidRPr="00B7740C">
        <w:rPr>
          <w:rFonts w:ascii="Times New Roman" w:eastAsia="Times New Roman" w:hAnsi="Times New Roman"/>
          <w:sz w:val="20"/>
          <w:szCs w:val="20"/>
          <w:lang w:val="en-GB" w:eastAsia="en-GB"/>
        </w:rPr>
        <w:t xml:space="preserve"> of the </w:t>
      </w:r>
      <w:r w:rsidRPr="00B67F17">
        <w:rPr>
          <w:rFonts w:ascii="Times New Roman" w:eastAsia="Times New Roman" w:hAnsi="Times New Roman"/>
          <w:sz w:val="20"/>
          <w:szCs w:val="20"/>
          <w:lang w:val="en-GB" w:eastAsia="en-GB"/>
        </w:rPr>
        <w:t xml:space="preserve">United Nations Convention to Combat Desertification in Those Countries Experiencing Serious Drought and/or Desertification, Particularly in Africa. Earlier, memoranda of understanding were concluded with the secretariats of the </w:t>
      </w:r>
      <w:r w:rsidRPr="00B7740C">
        <w:rPr>
          <w:rFonts w:ascii="Times New Roman" w:eastAsia="Times New Roman" w:hAnsi="Times New Roman"/>
          <w:sz w:val="20"/>
          <w:szCs w:val="20"/>
          <w:lang w:val="en-GB" w:eastAsia="en-GB"/>
        </w:rPr>
        <w:t>Convention on Biological Diversity</w:t>
      </w:r>
      <w:r>
        <w:rPr>
          <w:rFonts w:ascii="Times New Roman" w:eastAsia="Times New Roman" w:hAnsi="Times New Roman"/>
          <w:sz w:val="20"/>
          <w:szCs w:val="20"/>
          <w:lang w:val="en-GB" w:eastAsia="en-GB"/>
        </w:rPr>
        <w:t>, the C</w:t>
      </w:r>
      <w:r w:rsidRPr="00B7740C">
        <w:rPr>
          <w:rFonts w:ascii="Times New Roman" w:eastAsia="Times New Roman" w:hAnsi="Times New Roman"/>
          <w:sz w:val="20"/>
          <w:szCs w:val="20"/>
          <w:lang w:val="en-GB" w:eastAsia="en-GB"/>
        </w:rPr>
        <w:t xml:space="preserve">onvention on the Conservation of Migratory Species of Wild Animals, the Convention on International Trade in Endangered Species of Wild Fauna and Flora and the </w:t>
      </w:r>
      <w:r w:rsidRPr="00B67F17">
        <w:rPr>
          <w:rFonts w:ascii="Times New Roman" w:eastAsia="Times New Roman" w:hAnsi="Times New Roman"/>
          <w:sz w:val="20"/>
          <w:szCs w:val="20"/>
          <w:lang w:val="en-GB" w:eastAsia="en-GB"/>
        </w:rPr>
        <w:t>Ramsar Convention on Wetlands of International Importance especially as Waterfowl Habitat</w:t>
      </w:r>
      <w:r w:rsidRPr="00B7740C">
        <w:rPr>
          <w:rFonts w:ascii="Times New Roman" w:eastAsia="Times New Roman" w:hAnsi="Times New Roman"/>
          <w:sz w:val="20"/>
          <w:szCs w:val="20"/>
          <w:lang w:val="en-GB" w:eastAsia="en-GB"/>
        </w:rPr>
        <w:t>. All memoranda of cooperation are available on the IPBES website at www.ipbes.net/document-library-categories/agreements.</w:t>
      </w:r>
    </w:p>
    <w:p w14:paraId="030C1ACA" w14:textId="77777777" w:rsid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 xml:space="preserve">The secretariat has closely collaborated with the secretariats of these conventions regarding the distribution of calls and notifications to their national focal points and networks, for example regarding the review of draft assessments. </w:t>
      </w:r>
    </w:p>
    <w:p w14:paraId="026C5D60" w14:textId="4DF9EDD1"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In the context of the development of the next work programme of IPBES, requests on </w:t>
      </w:r>
      <w:r w:rsidR="00C7661A">
        <w:rPr>
          <w:rFonts w:ascii="Times New Roman" w:eastAsia="Times New Roman" w:hAnsi="Times New Roman"/>
          <w:sz w:val="20"/>
          <w:szCs w:val="20"/>
          <w:lang w:val="en-GB" w:eastAsia="en-GB"/>
        </w:rPr>
        <w:br/>
      </w:r>
      <w:r>
        <w:rPr>
          <w:rFonts w:ascii="Times New Roman" w:eastAsia="Times New Roman" w:hAnsi="Times New Roman"/>
          <w:sz w:val="20"/>
          <w:szCs w:val="20"/>
          <w:lang w:val="en-GB" w:eastAsia="en-GB"/>
        </w:rPr>
        <w:t>short-term priorities and longer-term strategic needs have been received from the Convention on Biological Diversity</w:t>
      </w:r>
      <w:r w:rsidRPr="00B7740C">
        <w:rPr>
          <w:rFonts w:ascii="Times New Roman" w:eastAsia="Times New Roman" w:hAnsi="Times New Roman"/>
          <w:sz w:val="20"/>
          <w:szCs w:val="20"/>
          <w:lang w:val="en-GB" w:eastAsia="en-GB"/>
        </w:rPr>
        <w:t>, the Convention on International Trade in Endangered Spe</w:t>
      </w:r>
      <w:r>
        <w:rPr>
          <w:rFonts w:ascii="Times New Roman" w:eastAsia="Times New Roman" w:hAnsi="Times New Roman"/>
          <w:sz w:val="20"/>
          <w:szCs w:val="20"/>
          <w:lang w:val="en-GB" w:eastAsia="en-GB"/>
        </w:rPr>
        <w:t>cies of Wild Fauna and Flora,</w:t>
      </w:r>
      <w:r w:rsidRPr="00B7740C">
        <w:rPr>
          <w:rFonts w:ascii="Times New Roman" w:eastAsia="Times New Roman" w:hAnsi="Times New Roman"/>
          <w:sz w:val="20"/>
          <w:szCs w:val="20"/>
          <w:lang w:val="en-GB" w:eastAsia="en-GB"/>
        </w:rPr>
        <w:t xml:space="preserve"> the </w:t>
      </w:r>
      <w:r w:rsidRPr="00B67F17">
        <w:rPr>
          <w:rFonts w:ascii="Times New Roman" w:eastAsia="Times New Roman" w:hAnsi="Times New Roman"/>
          <w:sz w:val="20"/>
          <w:szCs w:val="20"/>
          <w:lang w:val="en-GB" w:eastAsia="en-GB"/>
        </w:rPr>
        <w:t>Ramsar Convention on Wetlands</w:t>
      </w:r>
      <w:r>
        <w:rPr>
          <w:rFonts w:ascii="Times New Roman" w:eastAsia="Times New Roman" w:hAnsi="Times New Roman"/>
          <w:sz w:val="20"/>
          <w:szCs w:val="20"/>
          <w:lang w:val="en-GB" w:eastAsia="en-GB"/>
        </w:rPr>
        <w:t xml:space="preserve">, the </w:t>
      </w:r>
      <w:r w:rsidRPr="00B67F17">
        <w:rPr>
          <w:rFonts w:ascii="Times New Roman" w:eastAsia="Times New Roman" w:hAnsi="Times New Roman"/>
          <w:sz w:val="20"/>
          <w:szCs w:val="20"/>
          <w:lang w:val="en-GB" w:eastAsia="en-GB"/>
        </w:rPr>
        <w:t>United Nations Convention to Combat Desertification</w:t>
      </w:r>
      <w:r>
        <w:rPr>
          <w:rFonts w:ascii="Times New Roman" w:eastAsia="Times New Roman" w:hAnsi="Times New Roman"/>
          <w:sz w:val="20"/>
          <w:szCs w:val="20"/>
          <w:lang w:val="en-GB" w:eastAsia="en-GB"/>
        </w:rPr>
        <w:t xml:space="preserve"> and a joint request from the C</w:t>
      </w:r>
      <w:r w:rsidRPr="00B7740C">
        <w:rPr>
          <w:rFonts w:ascii="Times New Roman" w:eastAsia="Times New Roman" w:hAnsi="Times New Roman"/>
          <w:sz w:val="20"/>
          <w:szCs w:val="20"/>
          <w:lang w:val="en-GB" w:eastAsia="en-GB"/>
        </w:rPr>
        <w:t>onvention on the Conservation of Migratory Species of Wild Animals</w:t>
      </w:r>
      <w:r>
        <w:rPr>
          <w:rFonts w:ascii="Times New Roman" w:eastAsia="Times New Roman" w:hAnsi="Times New Roman"/>
          <w:sz w:val="20"/>
          <w:szCs w:val="20"/>
          <w:lang w:val="en-GB" w:eastAsia="en-GB"/>
        </w:rPr>
        <w:t xml:space="preserve"> and the </w:t>
      </w:r>
      <w:r w:rsidRPr="007B289C">
        <w:rPr>
          <w:rFonts w:ascii="Times New Roman" w:eastAsia="Times New Roman" w:hAnsi="Times New Roman"/>
          <w:sz w:val="20"/>
          <w:szCs w:val="20"/>
          <w:lang w:val="en-GB" w:eastAsia="en-GB"/>
        </w:rPr>
        <w:t>Convention concerning the Protection of the World Cultural and Natural Heritage</w:t>
      </w:r>
      <w:r>
        <w:rPr>
          <w:rFonts w:ascii="Times New Roman" w:eastAsia="Times New Roman" w:hAnsi="Times New Roman"/>
          <w:sz w:val="20"/>
          <w:szCs w:val="20"/>
          <w:lang w:val="en-GB" w:eastAsia="en-GB"/>
        </w:rPr>
        <w:t xml:space="preserve"> (see</w:t>
      </w:r>
      <w:r w:rsidR="00C7661A">
        <w:rPr>
          <w:rFonts w:ascii="Times New Roman" w:eastAsia="Times New Roman" w:hAnsi="Times New Roman"/>
          <w:sz w:val="20"/>
          <w:szCs w:val="20"/>
          <w:lang w:val="en-GB" w:eastAsia="en-GB"/>
        </w:rPr>
        <w:t> </w:t>
      </w:r>
      <w:r>
        <w:rPr>
          <w:rFonts w:ascii="Times New Roman" w:eastAsia="Times New Roman" w:hAnsi="Times New Roman"/>
          <w:sz w:val="20"/>
          <w:szCs w:val="20"/>
          <w:lang w:val="en-GB" w:eastAsia="en-GB"/>
        </w:rPr>
        <w:t>documents IPBES/7/6 and IPBES/7/INF/21).</w:t>
      </w:r>
    </w:p>
    <w:p w14:paraId="1246E2E1"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 xml:space="preserve">The </w:t>
      </w:r>
      <w:r>
        <w:rPr>
          <w:rFonts w:ascii="Times New Roman" w:eastAsia="Times New Roman" w:hAnsi="Times New Roman"/>
          <w:sz w:val="20"/>
          <w:szCs w:val="20"/>
          <w:lang w:val="en-GB" w:eastAsia="en-GB"/>
        </w:rPr>
        <w:t>Conference of the Parties to</w:t>
      </w:r>
      <w:r w:rsidRPr="00B7740C">
        <w:rPr>
          <w:rFonts w:ascii="Times New Roman" w:eastAsia="Times New Roman" w:hAnsi="Times New Roman"/>
          <w:sz w:val="20"/>
          <w:szCs w:val="20"/>
          <w:lang w:val="en-GB" w:eastAsia="en-GB"/>
        </w:rPr>
        <w:t xml:space="preserve"> the Convention on Biological Diversity, at its </w:t>
      </w:r>
      <w:r>
        <w:rPr>
          <w:rFonts w:ascii="Times New Roman" w:eastAsia="Times New Roman" w:hAnsi="Times New Roman"/>
          <w:sz w:val="20"/>
          <w:szCs w:val="20"/>
          <w:lang w:val="en-GB" w:eastAsia="en-GB"/>
        </w:rPr>
        <w:t xml:space="preserve">fourteenth </w:t>
      </w:r>
      <w:r w:rsidRPr="00B7740C">
        <w:rPr>
          <w:rFonts w:ascii="Times New Roman" w:eastAsia="Times New Roman" w:hAnsi="Times New Roman"/>
          <w:sz w:val="20"/>
          <w:szCs w:val="20"/>
          <w:lang w:val="en-GB" w:eastAsia="en-GB"/>
        </w:rPr>
        <w:t xml:space="preserve">meeting, held from </w:t>
      </w:r>
      <w:r>
        <w:rPr>
          <w:rFonts w:ascii="Times New Roman" w:eastAsia="Times New Roman" w:hAnsi="Times New Roman"/>
          <w:sz w:val="20"/>
          <w:szCs w:val="20"/>
          <w:lang w:val="en-GB" w:eastAsia="en-GB"/>
        </w:rPr>
        <w:t>17 to 29 November 2018 in</w:t>
      </w:r>
      <w:r w:rsidRPr="001D090B">
        <w:rPr>
          <w:rFonts w:ascii="Times New Roman" w:eastAsia="Times New Roman" w:hAnsi="Times New Roman"/>
          <w:sz w:val="20"/>
          <w:szCs w:val="20"/>
          <w:lang w:val="en-GB" w:eastAsia="en-GB"/>
        </w:rPr>
        <w:t xml:space="preserve"> Sharm El-Sheikh, Egyp</w:t>
      </w:r>
      <w:r>
        <w:rPr>
          <w:rFonts w:ascii="Times New Roman" w:eastAsia="Times New Roman" w:hAnsi="Times New Roman"/>
          <w:sz w:val="20"/>
          <w:szCs w:val="20"/>
          <w:lang w:val="en-GB" w:eastAsia="en-GB"/>
        </w:rPr>
        <w:t xml:space="preserve">t, adopted </w:t>
      </w:r>
      <w:proofErr w:type="gramStart"/>
      <w:r>
        <w:rPr>
          <w:rFonts w:ascii="Times New Roman" w:eastAsia="Times New Roman" w:hAnsi="Times New Roman"/>
          <w:sz w:val="20"/>
          <w:szCs w:val="20"/>
          <w:lang w:val="en-GB" w:eastAsia="en-GB"/>
        </w:rPr>
        <w:t>a number of</w:t>
      </w:r>
      <w:proofErr w:type="gramEnd"/>
      <w:r>
        <w:rPr>
          <w:rFonts w:ascii="Times New Roman" w:eastAsia="Times New Roman" w:hAnsi="Times New Roman"/>
          <w:sz w:val="20"/>
          <w:szCs w:val="20"/>
          <w:lang w:val="en-GB" w:eastAsia="en-GB"/>
        </w:rPr>
        <w:t xml:space="preserve"> decisions </w:t>
      </w:r>
      <w:r w:rsidRPr="00B7740C">
        <w:rPr>
          <w:rFonts w:ascii="Times New Roman" w:eastAsia="Times New Roman" w:hAnsi="Times New Roman"/>
          <w:sz w:val="20"/>
          <w:szCs w:val="20"/>
          <w:lang w:val="en-GB" w:eastAsia="en-GB"/>
        </w:rPr>
        <w:t>linked to the work of IPBES, including</w:t>
      </w:r>
      <w:r>
        <w:rPr>
          <w:rFonts w:ascii="Times New Roman" w:eastAsia="Times New Roman" w:hAnsi="Times New Roman"/>
          <w:sz w:val="20"/>
          <w:szCs w:val="20"/>
          <w:lang w:val="en-GB" w:eastAsia="en-GB"/>
        </w:rPr>
        <w:t xml:space="preserve">: </w:t>
      </w:r>
    </w:p>
    <w:p w14:paraId="447A824A" w14:textId="77777777" w:rsidR="00485DFD" w:rsidRPr="00331C24" w:rsidRDefault="00485DFD" w:rsidP="00485DFD">
      <w:pPr>
        <w:pStyle w:val="Normalnumber"/>
        <w:numPr>
          <w:ilvl w:val="1"/>
          <w:numId w:val="6"/>
        </w:numPr>
        <w:tabs>
          <w:tab w:val="left" w:pos="624"/>
        </w:tabs>
        <w:rPr>
          <w:lang w:eastAsia="en-GB"/>
        </w:rPr>
      </w:pPr>
      <w:r w:rsidRPr="00331C24">
        <w:rPr>
          <w:lang w:eastAsia="en-GB"/>
        </w:rPr>
        <w:t xml:space="preserve">Decision 14/1: </w:t>
      </w:r>
      <w:r>
        <w:rPr>
          <w:lang w:eastAsia="en-GB"/>
        </w:rPr>
        <w:t>Updated assessment of progress towards selected Aichi Biodiversity Targets and options to accelerate progress, in which the Conference of the Parties welcomed with appreciation the IPBES Regional Assessments of Biodiversity and Ecosystem Services for Africa, the Americas, Asia and the Pacific, and Europe and Central Asia, and the thematic Assessment of Land Degradation and Restoration; encouraged parties to the convention and other Governments</w:t>
      </w:r>
      <w:r w:rsidRPr="00262984">
        <w:rPr>
          <w:lang w:eastAsia="en-GB"/>
        </w:rPr>
        <w:t xml:space="preserve"> </w:t>
      </w:r>
      <w:r>
        <w:rPr>
          <w:lang w:eastAsia="en-GB"/>
        </w:rPr>
        <w:t>to make use of these assessments, with a view to informing actions at the national level; urged parties and invited other Governments and relevant organizations to s</w:t>
      </w:r>
      <w:r w:rsidRPr="00262984">
        <w:rPr>
          <w:lang w:eastAsia="en-GB"/>
        </w:rPr>
        <w:t>trengthen the capacities of</w:t>
      </w:r>
      <w:r>
        <w:rPr>
          <w:lang w:eastAsia="en-GB"/>
        </w:rPr>
        <w:t xml:space="preserve"> national focal points for the c</w:t>
      </w:r>
      <w:r w:rsidRPr="00262984">
        <w:rPr>
          <w:lang w:eastAsia="en-GB"/>
        </w:rPr>
        <w:t xml:space="preserve">onvention </w:t>
      </w:r>
      <w:r>
        <w:rPr>
          <w:lang w:eastAsia="en-GB"/>
        </w:rPr>
        <w:t>and</w:t>
      </w:r>
      <w:r w:rsidRPr="00262984">
        <w:rPr>
          <w:lang w:eastAsia="en-GB"/>
        </w:rPr>
        <w:t xml:space="preserve"> decision makers to make effective use of the findings of the assessments;</w:t>
      </w:r>
      <w:r>
        <w:rPr>
          <w:lang w:eastAsia="en-GB"/>
        </w:rPr>
        <w:t xml:space="preserve"> and requested </w:t>
      </w:r>
      <w:r w:rsidRPr="00D52E65">
        <w:rPr>
          <w:lang w:eastAsia="en-GB"/>
        </w:rPr>
        <w:t xml:space="preserve">the Executive Secretary of the convention to </w:t>
      </w:r>
      <w:r w:rsidRPr="005C6807">
        <w:t xml:space="preserve">use and analyse the outcomes of all products of IPBES, in the preparation of the post-2020 global biodiversity framework under the </w:t>
      </w:r>
      <w:r>
        <w:t>c</w:t>
      </w:r>
      <w:r w:rsidRPr="005C6807">
        <w:t>onvention;</w:t>
      </w:r>
    </w:p>
    <w:p w14:paraId="2AE517B6" w14:textId="77777777" w:rsidR="00485DFD" w:rsidRPr="005E20B8" w:rsidRDefault="00485DFD" w:rsidP="00485DFD">
      <w:pPr>
        <w:pStyle w:val="Normalnumber"/>
        <w:numPr>
          <w:ilvl w:val="1"/>
          <w:numId w:val="6"/>
        </w:numPr>
        <w:tabs>
          <w:tab w:val="left" w:pos="624"/>
        </w:tabs>
        <w:rPr>
          <w:lang w:eastAsia="en-GB"/>
        </w:rPr>
      </w:pPr>
      <w:r w:rsidRPr="001F6B4F">
        <w:rPr>
          <w:lang w:eastAsia="en-GB"/>
        </w:rPr>
        <w:t xml:space="preserve">Decision 14/2: Scenarios for the 2050 vision for biodiversity, in which the Conference of the Parties noted the relevance of the IPBES Assessment of Scenarios and Models to the discussions on the long-term strategic directions to the 2050 Vision for Biodiversity, approaches to living in harmony with nature and the process of developing a post-2020 global biodiversity framework and invited the scientific and other relevant communities working on scenarios and related assessments to take into account the following issues which are relevant to the development of the </w:t>
      </w:r>
      <w:r w:rsidRPr="005E20B8">
        <w:rPr>
          <w:lang w:eastAsia="en-GB"/>
        </w:rPr>
        <w:t xml:space="preserve">post-2020 global biodiversity framework; </w:t>
      </w:r>
    </w:p>
    <w:p w14:paraId="31CB65AE" w14:textId="77777777" w:rsidR="00485DFD" w:rsidRPr="005E20B8" w:rsidRDefault="00485DFD" w:rsidP="00485DFD">
      <w:pPr>
        <w:pStyle w:val="Normalnumber"/>
        <w:numPr>
          <w:ilvl w:val="1"/>
          <w:numId w:val="6"/>
        </w:numPr>
        <w:tabs>
          <w:tab w:val="left" w:pos="624"/>
        </w:tabs>
        <w:rPr>
          <w:lang w:eastAsia="en-GB"/>
        </w:rPr>
      </w:pPr>
      <w:bookmarkStart w:id="3" w:name="_Hlk536195141"/>
      <w:r w:rsidRPr="005E20B8">
        <w:rPr>
          <w:lang w:eastAsia="en-GB"/>
        </w:rPr>
        <w:t xml:space="preserve">Decision 14/5: Biodiversity and climate change, in which the Conference of the Parties adopted voluntary guidelines for the design and effective implementation of ecosystem-based approaches to climate change adaptation and disaster risk reduction; welcomed the IPBES </w:t>
      </w:r>
      <w:r>
        <w:rPr>
          <w:lang w:eastAsia="en-GB"/>
        </w:rPr>
        <w:t>A</w:t>
      </w:r>
      <w:r w:rsidRPr="005E20B8">
        <w:rPr>
          <w:lang w:eastAsia="en-GB"/>
        </w:rPr>
        <w:t xml:space="preserve">ssessment on </w:t>
      </w:r>
      <w:r>
        <w:rPr>
          <w:lang w:eastAsia="en-GB"/>
        </w:rPr>
        <w:t>L</w:t>
      </w:r>
      <w:r w:rsidRPr="005E20B8">
        <w:rPr>
          <w:lang w:eastAsia="en-GB"/>
        </w:rPr>
        <w:t xml:space="preserve">and </w:t>
      </w:r>
      <w:r>
        <w:rPr>
          <w:lang w:eastAsia="en-GB"/>
        </w:rPr>
        <w:t>D</w:t>
      </w:r>
      <w:r w:rsidRPr="005E20B8">
        <w:rPr>
          <w:lang w:eastAsia="en-GB"/>
        </w:rPr>
        <w:t xml:space="preserve">egradation and </w:t>
      </w:r>
      <w:r>
        <w:rPr>
          <w:lang w:eastAsia="en-GB"/>
        </w:rPr>
        <w:t>R</w:t>
      </w:r>
      <w:r w:rsidRPr="005E20B8">
        <w:rPr>
          <w:lang w:eastAsia="en-GB"/>
        </w:rPr>
        <w:t xml:space="preserve">estoration and the </w:t>
      </w:r>
      <w:r>
        <w:rPr>
          <w:lang w:eastAsia="en-GB"/>
        </w:rPr>
        <w:t>R</w:t>
      </w:r>
      <w:r w:rsidRPr="005E20B8">
        <w:rPr>
          <w:lang w:eastAsia="en-GB"/>
        </w:rPr>
        <w:t xml:space="preserve">egional </w:t>
      </w:r>
      <w:r>
        <w:rPr>
          <w:lang w:eastAsia="en-GB"/>
        </w:rPr>
        <w:t>A</w:t>
      </w:r>
      <w:r w:rsidRPr="005E20B8">
        <w:rPr>
          <w:lang w:eastAsia="en-GB"/>
        </w:rPr>
        <w:t xml:space="preserve">ssessments on </w:t>
      </w:r>
      <w:r>
        <w:rPr>
          <w:lang w:eastAsia="en-GB"/>
        </w:rPr>
        <w:t>B</w:t>
      </w:r>
      <w:r w:rsidRPr="005E20B8">
        <w:rPr>
          <w:lang w:eastAsia="en-GB"/>
        </w:rPr>
        <w:t xml:space="preserve">iodiversity and </w:t>
      </w:r>
      <w:r>
        <w:rPr>
          <w:lang w:eastAsia="en-GB"/>
        </w:rPr>
        <w:t>E</w:t>
      </w:r>
      <w:r w:rsidRPr="005E20B8">
        <w:rPr>
          <w:lang w:eastAsia="en-GB"/>
        </w:rPr>
        <w:t xml:space="preserve">cosystem </w:t>
      </w:r>
      <w:r>
        <w:rPr>
          <w:lang w:eastAsia="en-GB"/>
        </w:rPr>
        <w:t>S</w:t>
      </w:r>
      <w:r w:rsidRPr="005E20B8">
        <w:rPr>
          <w:lang w:eastAsia="en-GB"/>
        </w:rPr>
        <w:t xml:space="preserve">ervices; endorsed their key messages that support achieving the Sustainable Development Goals through the use of ecosystem-based approaches to climate change adaptation and mitigation, disaster risk reduction, and combating land degradation, clearly showing how the achievement of the Sustainable Development Goals, the Strategic Plan for Biodiversity 2011-2020 and the Paris Agreement depend on the environment in all its diversity and complexity; and requested the Executive Secretary of the convention to consider the linkages and interdependencies between biodiversity and climate change in the preparation of the post-2020 global biodiversity framework, informed by the reports and assessments of the Intergovernmental Panel on Climate Change and IPBES without prejudice to the process for developing the post-2020 global biodiversity framework, and respecting the mandates of the Convention on Biological Diversity and the United Nations Framework Convention on Climate Change; </w:t>
      </w:r>
    </w:p>
    <w:p w14:paraId="63087F67" w14:textId="77777777" w:rsidR="00485DFD" w:rsidRPr="001F6B4F" w:rsidRDefault="00485DFD" w:rsidP="00485DFD">
      <w:pPr>
        <w:pStyle w:val="Normalnumber"/>
        <w:numPr>
          <w:ilvl w:val="1"/>
          <w:numId w:val="6"/>
        </w:numPr>
        <w:tabs>
          <w:tab w:val="left" w:pos="624"/>
        </w:tabs>
        <w:rPr>
          <w:lang w:eastAsia="en-GB"/>
        </w:rPr>
      </w:pPr>
      <w:bookmarkStart w:id="4" w:name="_Hlk534198011"/>
      <w:bookmarkEnd w:id="3"/>
      <w:r>
        <w:rPr>
          <w:lang w:eastAsia="en-GB"/>
        </w:rPr>
        <w:t>Decision 14/6: Conservation and sustainable use of pollinators, in which the Conference of the Parties adopted the Plan of Action 2018-2030 for the International Initiative for the Conservation and Sustainable use of Pollinators, which references the IPBES Assessment of Pollination, Pollinators and Food Production;</w:t>
      </w:r>
    </w:p>
    <w:bookmarkEnd w:id="4"/>
    <w:p w14:paraId="580C7F4A" w14:textId="77777777" w:rsidR="00485DFD" w:rsidRDefault="00485DFD" w:rsidP="00485DFD">
      <w:pPr>
        <w:pStyle w:val="Normalnumber"/>
        <w:numPr>
          <w:ilvl w:val="1"/>
          <w:numId w:val="6"/>
        </w:numPr>
        <w:tabs>
          <w:tab w:val="clear" w:pos="1247"/>
          <w:tab w:val="clear" w:pos="1814"/>
          <w:tab w:val="clear" w:pos="2381"/>
          <w:tab w:val="clear" w:pos="2948"/>
          <w:tab w:val="clear" w:pos="3515"/>
          <w:tab w:val="clear" w:pos="4082"/>
          <w:tab w:val="left" w:pos="624"/>
        </w:tabs>
        <w:rPr>
          <w:lang w:eastAsia="en-GB"/>
        </w:rPr>
      </w:pPr>
      <w:r w:rsidRPr="003369D7">
        <w:rPr>
          <w:lang w:eastAsia="en-GB"/>
        </w:rPr>
        <w:t>Decision 14/7: Sustainable wildlife management, in which the Conference of the Parties welcomed voluntary guidance for</w:t>
      </w:r>
      <w:r>
        <w:rPr>
          <w:lang w:eastAsia="en-GB"/>
        </w:rPr>
        <w:t xml:space="preserve"> a sustainable wild meat sector</w:t>
      </w:r>
      <w:r w:rsidRPr="003369D7">
        <w:rPr>
          <w:lang w:eastAsia="en-GB"/>
        </w:rPr>
        <w:t xml:space="preserve"> </w:t>
      </w:r>
      <w:r>
        <w:rPr>
          <w:lang w:eastAsia="en-GB"/>
        </w:rPr>
        <w:t xml:space="preserve">and </w:t>
      </w:r>
      <w:r w:rsidRPr="003369D7">
        <w:rPr>
          <w:lang w:eastAsia="en-GB"/>
        </w:rPr>
        <w:t xml:space="preserve">requested the Executive Secretary of the convention to communicate with the Executive Secretary of IPBES with a view to facilitating the wide dissemination of the outcomes of the assessment of the sustainable use of wild species </w:t>
      </w:r>
      <w:proofErr w:type="gramStart"/>
      <w:r w:rsidRPr="003369D7">
        <w:rPr>
          <w:lang w:eastAsia="en-GB"/>
        </w:rPr>
        <w:t>in order to</w:t>
      </w:r>
      <w:proofErr w:type="gramEnd"/>
      <w:r w:rsidRPr="003369D7">
        <w:rPr>
          <w:lang w:eastAsia="en-GB"/>
        </w:rPr>
        <w:t xml:space="preserve"> help strengthen capacities and tools;</w:t>
      </w:r>
    </w:p>
    <w:p w14:paraId="727C10CC" w14:textId="77777777" w:rsidR="00485DFD" w:rsidRPr="00E573EC" w:rsidRDefault="00485DFD" w:rsidP="00485DFD">
      <w:pPr>
        <w:pStyle w:val="Normalnumber"/>
        <w:numPr>
          <w:ilvl w:val="1"/>
          <w:numId w:val="6"/>
        </w:numPr>
        <w:tabs>
          <w:tab w:val="left" w:pos="624"/>
        </w:tabs>
        <w:rPr>
          <w:lang w:eastAsia="en-GB"/>
        </w:rPr>
      </w:pPr>
      <w:r w:rsidRPr="00E573EC">
        <w:rPr>
          <w:lang w:eastAsia="en-GB"/>
        </w:rPr>
        <w:t>Decision 14/11: Invasive alien species, in which the Conference of the Parties welcomed the undertaking of the assessment of invasive alien species; and supplementary voluntary guidance for avoiding unintentional introductions of invasive alien species associated with trade in live organisms; and decided, subject to the availability of resources, to establish an Ad Hoc Technical Expert Group to ensure timely provision of advice on achieving Aichi Biodiversity Target 9. The group would address matters that are not covered by the IPBES assessment;</w:t>
      </w:r>
    </w:p>
    <w:p w14:paraId="1C9D56ED" w14:textId="00499353" w:rsidR="00485DFD" w:rsidRDefault="00485DFD" w:rsidP="00485DFD">
      <w:pPr>
        <w:pStyle w:val="Normalnumber"/>
        <w:numPr>
          <w:ilvl w:val="1"/>
          <w:numId w:val="6"/>
        </w:numPr>
        <w:tabs>
          <w:tab w:val="left" w:pos="624"/>
        </w:tabs>
        <w:rPr>
          <w:lang w:eastAsia="en-GB"/>
        </w:rPr>
      </w:pPr>
      <w:bookmarkStart w:id="5" w:name="_Hlk534204728"/>
      <w:r>
        <w:rPr>
          <w:lang w:eastAsia="en-GB"/>
        </w:rPr>
        <w:t xml:space="preserve">Decision 14/16: Methodological guidance concerning the contributions of indigenous peoples and local communities, in which the Conference of the Parties took note of an indicative, </w:t>
      </w:r>
      <w:r w:rsidR="00E21F4C">
        <w:rPr>
          <w:lang w:eastAsia="en-GB"/>
        </w:rPr>
        <w:br/>
      </w:r>
      <w:r>
        <w:rPr>
          <w:lang w:eastAsia="en-GB"/>
        </w:rPr>
        <w:t>non-exhaustive list of elements of methodological guidance for identifying, monitoring and assessing the contribution of indigenous peoples and local communities to the achievement of the objectives of the Strategic Plan for Biodiversity 2011-2020 and the Aichi Biodiversity Targets and invited IPBES to take the list of elements into account</w:t>
      </w:r>
      <w:bookmarkEnd w:id="5"/>
      <w:r>
        <w:rPr>
          <w:lang w:eastAsia="en-GB"/>
        </w:rPr>
        <w:t xml:space="preserve">; </w:t>
      </w:r>
    </w:p>
    <w:p w14:paraId="5B1C7C77" w14:textId="7EC7D417" w:rsidR="00485DFD" w:rsidRDefault="00485DFD" w:rsidP="00485DFD">
      <w:pPr>
        <w:pStyle w:val="Normalnumber"/>
        <w:numPr>
          <w:ilvl w:val="1"/>
          <w:numId w:val="6"/>
        </w:numPr>
        <w:tabs>
          <w:tab w:val="left" w:pos="624"/>
        </w:tabs>
        <w:rPr>
          <w:lang w:eastAsia="en-GB"/>
        </w:rPr>
      </w:pPr>
      <w:r>
        <w:rPr>
          <w:lang w:eastAsia="en-GB"/>
        </w:rPr>
        <w:t xml:space="preserve">Decision 14/24: Capacity-building and technical and scientific cooperation, in which the Conference of the Parties requested the Executive Secretary of the convention to commission a study to provide an information base for the preparation of the long-term strategic framework for </w:t>
      </w:r>
      <w:r w:rsidR="00FB7D55">
        <w:rPr>
          <w:lang w:eastAsia="en-GB"/>
        </w:rPr>
        <w:br/>
      </w:r>
      <w:r>
        <w:rPr>
          <w:lang w:eastAsia="en-GB"/>
        </w:rPr>
        <w:t xml:space="preserve">capacity-building beyond 2020. IPBES was invited to contribute to </w:t>
      </w:r>
      <w:r w:rsidRPr="00A00091">
        <w:rPr>
          <w:lang w:eastAsia="en-GB"/>
        </w:rPr>
        <w:t>the development of the draf</w:t>
      </w:r>
      <w:r>
        <w:rPr>
          <w:lang w:eastAsia="en-GB"/>
        </w:rPr>
        <w:t xml:space="preserve">t </w:t>
      </w:r>
      <w:r w:rsidR="00FB7D55">
        <w:rPr>
          <w:lang w:eastAsia="en-GB"/>
        </w:rPr>
        <w:br/>
      </w:r>
      <w:r>
        <w:rPr>
          <w:lang w:eastAsia="en-GB"/>
        </w:rPr>
        <w:t xml:space="preserve">long-term strategic framework; the IPBES regional assessments were mentioned as one of the sources on which the development of the strategic framework will draw upon; </w:t>
      </w:r>
    </w:p>
    <w:p w14:paraId="6EDFCE2C" w14:textId="77777777" w:rsidR="00485DFD" w:rsidRDefault="00485DFD" w:rsidP="00485DFD">
      <w:pPr>
        <w:pStyle w:val="Normalnumber"/>
        <w:numPr>
          <w:ilvl w:val="1"/>
          <w:numId w:val="6"/>
        </w:numPr>
        <w:tabs>
          <w:tab w:val="left" w:pos="624"/>
        </w:tabs>
        <w:rPr>
          <w:lang w:eastAsia="en-GB"/>
        </w:rPr>
      </w:pPr>
      <w:r>
        <w:rPr>
          <w:lang w:eastAsia="en-GB"/>
        </w:rPr>
        <w:t xml:space="preserve">Decision 14/26: Communication, in which the Conference of the Parties requested the Executive Secretary, subject to the availability of funding, to develop, in collaboration with IPBES, relevant multilateral environmental agreements, and other relevant organizations, such as the International Union for Conservation of Nature, and in consultation with the Informal Advisory Committee on Communication, Education and Public Awareness, themes and background material around which parties, other Governments, relevant organizations, and indigenous peoples and local communities, can organize communication and public awareness campaigns in the coming biennium on the current state of biodiversity and the discussions towards the preparation of the post-2020 global biodiversity framework; </w:t>
      </w:r>
    </w:p>
    <w:p w14:paraId="1AF5723C" w14:textId="21CDD6F5" w:rsidR="00485DFD" w:rsidRDefault="00485DFD" w:rsidP="00485DFD">
      <w:pPr>
        <w:pStyle w:val="Normalnumber"/>
        <w:numPr>
          <w:ilvl w:val="1"/>
          <w:numId w:val="6"/>
        </w:numPr>
        <w:tabs>
          <w:tab w:val="left" w:pos="624"/>
        </w:tabs>
        <w:rPr>
          <w:lang w:eastAsia="en-GB"/>
        </w:rPr>
      </w:pPr>
      <w:r>
        <w:rPr>
          <w:lang w:eastAsia="en-GB"/>
        </w:rPr>
        <w:t xml:space="preserve">Decision 14/34: </w:t>
      </w:r>
      <w:r w:rsidRPr="00331C24">
        <w:rPr>
          <w:lang w:eastAsia="en-GB"/>
        </w:rPr>
        <w:t xml:space="preserve">Preparatory process for the development of the post-2020 global biodiversity framework, in which the Conference of the Parties to the convention established an </w:t>
      </w:r>
      <w:r>
        <w:rPr>
          <w:lang w:eastAsia="en-GB"/>
        </w:rPr>
        <w:br/>
      </w:r>
      <w:r w:rsidRPr="00331C24">
        <w:rPr>
          <w:lang w:eastAsia="en-GB"/>
        </w:rPr>
        <w:t>open-ended intersessional working group to support the preparation of the post-2020 global biodiversity framework for consideration by the Conference of the Parties at its 15</w:t>
      </w:r>
      <w:r w:rsidRPr="00331C24">
        <w:rPr>
          <w:vertAlign w:val="superscript"/>
          <w:lang w:eastAsia="en-GB"/>
        </w:rPr>
        <w:t>th</w:t>
      </w:r>
      <w:r w:rsidRPr="00331C24">
        <w:rPr>
          <w:lang w:eastAsia="en-GB"/>
        </w:rPr>
        <w:t xml:space="preserve"> session in 2020. The IPBES global assessment and regional assessments of biodiversity and ecosystem services and completed thematic assessments and other IPBES products were listed as key sources of information that would be used in developing documentation related to the post-2020 process;</w:t>
      </w:r>
    </w:p>
    <w:p w14:paraId="552C3233" w14:textId="77777777" w:rsidR="00485DFD" w:rsidRDefault="00485DFD" w:rsidP="00485DFD">
      <w:pPr>
        <w:pStyle w:val="Normalnumber"/>
        <w:numPr>
          <w:ilvl w:val="1"/>
          <w:numId w:val="6"/>
        </w:numPr>
        <w:tabs>
          <w:tab w:val="left" w:pos="624"/>
        </w:tabs>
        <w:rPr>
          <w:lang w:eastAsia="en-GB"/>
        </w:rPr>
      </w:pPr>
      <w:r>
        <w:rPr>
          <w:lang w:eastAsia="en-GB"/>
        </w:rPr>
        <w:t xml:space="preserve">Decision 14/35: Global Biodiversity Outlook, in which the Conference of the Parties took note of the plan and cost estimates for the preparation of the fifth edition of the Global Biodiversity Outlook, highlighted the fact that the global and regional assessment of biodiversity and ecosystem services and the thematic assessments carried out by the IPBES, as well as other relevant national and </w:t>
      </w:r>
      <w:proofErr w:type="spellStart"/>
      <w:r>
        <w:rPr>
          <w:lang w:eastAsia="en-GB"/>
        </w:rPr>
        <w:t>subregional</w:t>
      </w:r>
      <w:proofErr w:type="spellEnd"/>
      <w:r>
        <w:rPr>
          <w:lang w:eastAsia="en-GB"/>
        </w:rPr>
        <w:t xml:space="preserve"> assessments, formed an important evidence base for the assessment of progress towards the achievement of the Aichi Biodiversity Targets in the fifth edition of the Global Biodiversity Outlook and requested the Executive Secretary of the convention to continue collaborating with other biodiversity-related conventions and other relevant processes and organizations in the preparation and review of the fifth edition of the Global Biodiversity Outlook, as appropriate and in accordance with their respective mandates, including IPBES;</w:t>
      </w:r>
    </w:p>
    <w:p w14:paraId="1B8EB688" w14:textId="6C0D9417" w:rsidR="00485DFD" w:rsidRDefault="00485DFD" w:rsidP="00485DFD">
      <w:pPr>
        <w:pStyle w:val="Normalnumber"/>
        <w:numPr>
          <w:ilvl w:val="1"/>
          <w:numId w:val="6"/>
        </w:numPr>
        <w:tabs>
          <w:tab w:val="left" w:pos="624"/>
        </w:tabs>
        <w:rPr>
          <w:lang w:eastAsia="en-GB"/>
        </w:rPr>
      </w:pPr>
      <w:r>
        <w:rPr>
          <w:lang w:eastAsia="en-GB"/>
        </w:rPr>
        <w:t xml:space="preserve">Decision 14/36: Second work programme of IPBES, in which the Conference of the Parties welcomed with appreciation the progress in implementing the first work programme of IPBES, welcomed the undertaking of the assessments of the sustainable use of wild species, invasive alien species and the assessment on values; agreed that the next work programme of IPBES should be relevant to the post-2020 global biodiversity framework, and would contribute to supporting its implementation and assessing progress; recognized that the rolling nature of the work plan should allow for ongoing exchange of information and further requests from the convention in the light of the needs arising from the final form and implementation of the post-2020 global biodiversity framework; noted that the next work programme of IPBES was also expected to be relevant to the 2030 Agenda for Sustainable Development and the Paris Agreement on Climate Change and other </w:t>
      </w:r>
      <w:r w:rsidR="00FB7D55">
        <w:rPr>
          <w:lang w:eastAsia="en-GB"/>
        </w:rPr>
        <w:br/>
      </w:r>
      <w:r>
        <w:rPr>
          <w:lang w:eastAsia="en-GB"/>
        </w:rPr>
        <w:t>biodiversity-relevant processes; welcomed the efforts of IPBES to further enhance its cooperation with the Intergovernmental Panel on Climate Change; invited IPBES</w:t>
      </w:r>
      <w:r w:rsidRPr="00951F6B">
        <w:rPr>
          <w:lang w:eastAsia="en-GB"/>
        </w:rPr>
        <w:t xml:space="preserve"> to continue to collaborate with relevant international organizations, including those engaged in activities relevant to the mainstreaming of biodiversity in production sectors</w:t>
      </w:r>
      <w:r>
        <w:rPr>
          <w:lang w:eastAsia="en-GB"/>
        </w:rPr>
        <w:t>; decided on a list of requests to IPBES (see</w:t>
      </w:r>
      <w:r w:rsidR="00FB7D55">
        <w:rPr>
          <w:lang w:eastAsia="en-GB"/>
        </w:rPr>
        <w:t> </w:t>
      </w:r>
      <w:r>
        <w:rPr>
          <w:lang w:eastAsia="en-GB"/>
        </w:rPr>
        <w:t>document IPBES/7/6/Add.1); invited IPBES</w:t>
      </w:r>
      <w:r w:rsidRPr="00B13EA1">
        <w:rPr>
          <w:lang w:eastAsia="en-GB"/>
        </w:rPr>
        <w:t xml:space="preserve"> to allow for additional inputs to its work programme towards 2030 in the light of the development of the post-2020 global biodiversity framework</w:t>
      </w:r>
      <w:r>
        <w:rPr>
          <w:lang w:eastAsia="en-GB"/>
        </w:rPr>
        <w:t xml:space="preserve">; requested the Executive Secretary of the convention to prepare for consideration by the Conference of the Parties at its fifteenth meeting, proposals for a further request to be considered for inclusion in the work programme towards 2030 of IPBES with a view to supporting the implementation of the </w:t>
      </w:r>
      <w:r w:rsidR="00B01102">
        <w:rPr>
          <w:lang w:eastAsia="en-GB"/>
        </w:rPr>
        <w:br/>
      </w:r>
      <w:r>
        <w:rPr>
          <w:lang w:eastAsia="en-GB"/>
        </w:rPr>
        <w:t xml:space="preserve">post-2020 global biodiversity framework; and also requested the Executive Secretary of the convention to develop modalities for the systematic consideration of all deliverables of IPBES, taking into consideration the findings of the review of IPBES, with a view to optimizing their use in support of the implementation of the convention. </w:t>
      </w:r>
    </w:p>
    <w:p w14:paraId="4CFD3761"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The Executive Secretary of IPBES and</w:t>
      </w:r>
      <w:r>
        <w:rPr>
          <w:rFonts w:ascii="Times New Roman" w:eastAsia="Times New Roman" w:hAnsi="Times New Roman"/>
          <w:sz w:val="20"/>
          <w:szCs w:val="20"/>
          <w:lang w:val="en-GB" w:eastAsia="en-GB"/>
        </w:rPr>
        <w:t xml:space="preserve"> members of the IPBES communications and assessment</w:t>
      </w:r>
      <w:r w:rsidRPr="00B7740C">
        <w:rPr>
          <w:rFonts w:ascii="Times New Roman" w:eastAsia="Times New Roman" w:hAnsi="Times New Roman"/>
          <w:sz w:val="20"/>
          <w:szCs w:val="20"/>
          <w:lang w:val="en-GB" w:eastAsia="en-GB"/>
        </w:rPr>
        <w:t xml:space="preserve"> team</w:t>
      </w:r>
      <w:r>
        <w:rPr>
          <w:rFonts w:ascii="Times New Roman" w:eastAsia="Times New Roman" w:hAnsi="Times New Roman"/>
          <w:sz w:val="20"/>
          <w:szCs w:val="20"/>
          <w:lang w:val="en-GB" w:eastAsia="en-GB"/>
        </w:rPr>
        <w:t>s</w:t>
      </w:r>
      <w:r w:rsidRPr="00B7740C">
        <w:rPr>
          <w:rFonts w:ascii="Times New Roman" w:eastAsia="Times New Roman" w:hAnsi="Times New Roman"/>
          <w:sz w:val="20"/>
          <w:szCs w:val="20"/>
          <w:lang w:val="en-GB" w:eastAsia="en-GB"/>
        </w:rPr>
        <w:t xml:space="preserve"> participated in the </w:t>
      </w:r>
      <w:r>
        <w:rPr>
          <w:rFonts w:ascii="Times New Roman" w:eastAsia="Times New Roman" w:hAnsi="Times New Roman"/>
          <w:sz w:val="20"/>
          <w:szCs w:val="20"/>
          <w:lang w:val="en-GB" w:eastAsia="en-GB"/>
        </w:rPr>
        <w:t>fourteenth meeting of the Conference of the Parties. Two</w:t>
      </w:r>
      <w:r w:rsidRPr="00B7740C">
        <w:rPr>
          <w:rFonts w:ascii="Times New Roman" w:eastAsia="Times New Roman" w:hAnsi="Times New Roman"/>
          <w:sz w:val="20"/>
          <w:szCs w:val="20"/>
          <w:lang w:val="en-GB" w:eastAsia="en-GB"/>
        </w:rPr>
        <w:t xml:space="preserve"> side event</w:t>
      </w:r>
      <w:r>
        <w:rPr>
          <w:rFonts w:ascii="Times New Roman" w:eastAsia="Times New Roman" w:hAnsi="Times New Roman"/>
          <w:sz w:val="20"/>
          <w:szCs w:val="20"/>
          <w:lang w:val="en-GB" w:eastAsia="en-GB"/>
        </w:rPr>
        <w:t>s</w:t>
      </w:r>
      <w:r w:rsidRPr="00B7740C">
        <w:rPr>
          <w:rFonts w:ascii="Times New Roman" w:eastAsia="Times New Roman" w:hAnsi="Times New Roman"/>
          <w:sz w:val="20"/>
          <w:szCs w:val="20"/>
          <w:lang w:val="en-GB" w:eastAsia="en-GB"/>
        </w:rPr>
        <w:t xml:space="preserve">, presenting </w:t>
      </w:r>
      <w:r>
        <w:rPr>
          <w:rFonts w:ascii="Times New Roman" w:eastAsia="Times New Roman" w:hAnsi="Times New Roman"/>
          <w:sz w:val="20"/>
          <w:szCs w:val="20"/>
          <w:lang w:val="en-GB" w:eastAsia="en-GB"/>
        </w:rPr>
        <w:t xml:space="preserve">information on the completed IPBES assessments and on </w:t>
      </w:r>
      <w:r w:rsidRPr="00B7740C">
        <w:rPr>
          <w:rFonts w:ascii="Times New Roman" w:eastAsia="Times New Roman" w:hAnsi="Times New Roman"/>
          <w:sz w:val="20"/>
          <w:szCs w:val="20"/>
          <w:lang w:val="en-GB" w:eastAsia="en-GB"/>
        </w:rPr>
        <w:t>work undertaken on the global assessment</w:t>
      </w:r>
      <w:r>
        <w:rPr>
          <w:rFonts w:ascii="Times New Roman" w:eastAsia="Times New Roman" w:hAnsi="Times New Roman"/>
          <w:sz w:val="20"/>
          <w:szCs w:val="20"/>
          <w:lang w:val="en-GB" w:eastAsia="en-GB"/>
        </w:rPr>
        <w:t xml:space="preserve"> and the next work programme of IPBES, were</w:t>
      </w:r>
      <w:r w:rsidRPr="00B7740C">
        <w:rPr>
          <w:rFonts w:ascii="Times New Roman" w:eastAsia="Times New Roman" w:hAnsi="Times New Roman"/>
          <w:sz w:val="20"/>
          <w:szCs w:val="20"/>
          <w:lang w:val="en-GB" w:eastAsia="en-GB"/>
        </w:rPr>
        <w:t xml:space="preserve"> organised </w:t>
      </w:r>
      <w:r>
        <w:rPr>
          <w:rFonts w:ascii="Times New Roman" w:eastAsia="Times New Roman" w:hAnsi="Times New Roman"/>
          <w:sz w:val="20"/>
          <w:szCs w:val="20"/>
          <w:lang w:val="en-GB" w:eastAsia="en-GB"/>
        </w:rPr>
        <w:t>on 18 and 19 November 2018</w:t>
      </w:r>
      <w:r w:rsidRPr="00B7740C">
        <w:rPr>
          <w:rFonts w:ascii="Times New Roman" w:eastAsia="Times New Roman" w:hAnsi="Times New Roman"/>
          <w:sz w:val="20"/>
          <w:szCs w:val="20"/>
          <w:lang w:val="en-GB" w:eastAsia="en-GB"/>
        </w:rPr>
        <w:t xml:space="preserve">. </w:t>
      </w:r>
    </w:p>
    <w:p w14:paraId="29425204" w14:textId="77777777" w:rsid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The thirteenth meeting</w:t>
      </w:r>
      <w:r w:rsidRPr="00B7740C">
        <w:rPr>
          <w:rFonts w:ascii="Times New Roman" w:eastAsia="Times New Roman" w:hAnsi="Times New Roman"/>
          <w:sz w:val="20"/>
          <w:szCs w:val="20"/>
          <w:lang w:val="en-GB" w:eastAsia="en-GB"/>
        </w:rPr>
        <w:t xml:space="preserve"> of the Conference of the Parties to the</w:t>
      </w:r>
      <w:r w:rsidRPr="00597EAB">
        <w:rPr>
          <w:rFonts w:ascii="Times New Roman" w:eastAsia="Times New Roman" w:hAnsi="Times New Roman"/>
          <w:sz w:val="20"/>
          <w:szCs w:val="20"/>
          <w:lang w:val="en-GB" w:eastAsia="en-GB"/>
        </w:rPr>
        <w:t xml:space="preserve"> Ramsar Convention on Wetlands was held from 21 to 29 October 2018 in Dubai, United Arab Emirates. The Conference of the Partie</w:t>
      </w:r>
      <w:r>
        <w:rPr>
          <w:rFonts w:ascii="Times New Roman" w:eastAsia="Times New Roman" w:hAnsi="Times New Roman"/>
          <w:sz w:val="20"/>
          <w:szCs w:val="20"/>
          <w:lang w:val="en-GB" w:eastAsia="en-GB"/>
        </w:rPr>
        <w:t>s approved</w:t>
      </w:r>
      <w:r w:rsidRPr="00597EAB">
        <w:rPr>
          <w:rFonts w:ascii="Times New Roman" w:eastAsia="Times New Roman" w:hAnsi="Times New Roman"/>
          <w:sz w:val="20"/>
          <w:szCs w:val="20"/>
          <w:lang w:val="en-GB" w:eastAsia="en-GB"/>
        </w:rPr>
        <w:t xml:space="preserve">, in </w:t>
      </w:r>
      <w:r>
        <w:rPr>
          <w:rFonts w:ascii="Times New Roman" w:eastAsia="Times New Roman" w:hAnsi="Times New Roman"/>
          <w:sz w:val="20"/>
          <w:szCs w:val="20"/>
          <w:lang w:val="en-GB" w:eastAsia="en-GB"/>
        </w:rPr>
        <w:t>r</w:t>
      </w:r>
      <w:r w:rsidRPr="00597EAB">
        <w:rPr>
          <w:rFonts w:ascii="Times New Roman" w:eastAsia="Times New Roman" w:hAnsi="Times New Roman"/>
          <w:sz w:val="20"/>
          <w:szCs w:val="20"/>
          <w:lang w:val="en-GB" w:eastAsia="en-GB"/>
        </w:rPr>
        <w:t>esolution XIII.8</w:t>
      </w:r>
      <w:r>
        <w:rPr>
          <w:rFonts w:ascii="Times New Roman" w:eastAsia="Times New Roman" w:hAnsi="Times New Roman"/>
          <w:sz w:val="20"/>
          <w:szCs w:val="20"/>
          <w:lang w:val="en-GB" w:eastAsia="en-GB"/>
        </w:rPr>
        <w:t xml:space="preserve"> on f</w:t>
      </w:r>
      <w:r w:rsidRPr="00597EAB">
        <w:rPr>
          <w:rFonts w:ascii="Times New Roman" w:eastAsia="Times New Roman" w:hAnsi="Times New Roman"/>
          <w:sz w:val="20"/>
          <w:szCs w:val="20"/>
          <w:lang w:val="en-GB" w:eastAsia="en-GB"/>
        </w:rPr>
        <w:t xml:space="preserve">uture implementation of scientific and technical aspects of the </w:t>
      </w:r>
      <w:r>
        <w:rPr>
          <w:rFonts w:ascii="Times New Roman" w:eastAsia="Times New Roman" w:hAnsi="Times New Roman"/>
          <w:sz w:val="20"/>
          <w:szCs w:val="20"/>
          <w:lang w:val="en-GB" w:eastAsia="en-GB"/>
        </w:rPr>
        <w:t>c</w:t>
      </w:r>
      <w:r w:rsidRPr="00597EAB">
        <w:rPr>
          <w:rFonts w:ascii="Times New Roman" w:eastAsia="Times New Roman" w:hAnsi="Times New Roman"/>
          <w:sz w:val="20"/>
          <w:szCs w:val="20"/>
          <w:lang w:val="en-GB" w:eastAsia="en-GB"/>
        </w:rPr>
        <w:t>onvention for 2019-2021</w:t>
      </w:r>
      <w:r>
        <w:rPr>
          <w:rFonts w:ascii="Times New Roman" w:eastAsia="Times New Roman" w:hAnsi="Times New Roman"/>
          <w:sz w:val="20"/>
          <w:szCs w:val="20"/>
          <w:lang w:val="en-GB" w:eastAsia="en-GB"/>
        </w:rPr>
        <w:t xml:space="preserve">, </w:t>
      </w:r>
      <w:r w:rsidRPr="00597EAB">
        <w:rPr>
          <w:rFonts w:ascii="Times New Roman" w:eastAsia="Times New Roman" w:hAnsi="Times New Roman"/>
          <w:sz w:val="20"/>
          <w:szCs w:val="20"/>
          <w:lang w:val="en-GB" w:eastAsia="en-GB"/>
        </w:rPr>
        <w:t xml:space="preserve">guidelines for submitting proposals to </w:t>
      </w:r>
      <w:r>
        <w:rPr>
          <w:rFonts w:ascii="Times New Roman" w:eastAsia="Times New Roman" w:hAnsi="Times New Roman"/>
          <w:sz w:val="20"/>
          <w:szCs w:val="20"/>
          <w:lang w:val="en-GB" w:eastAsia="en-GB"/>
        </w:rPr>
        <w:t>IPBES, which are contained in a</w:t>
      </w:r>
      <w:r w:rsidRPr="00597EAB">
        <w:rPr>
          <w:rFonts w:ascii="Times New Roman" w:eastAsia="Times New Roman" w:hAnsi="Times New Roman"/>
          <w:sz w:val="20"/>
          <w:szCs w:val="20"/>
          <w:lang w:val="en-GB" w:eastAsia="en-GB"/>
        </w:rPr>
        <w:t xml:space="preserve">nnex 4 </w:t>
      </w:r>
      <w:r>
        <w:rPr>
          <w:rFonts w:ascii="Times New Roman" w:eastAsia="Times New Roman" w:hAnsi="Times New Roman"/>
          <w:sz w:val="20"/>
          <w:szCs w:val="20"/>
          <w:lang w:val="en-GB" w:eastAsia="en-GB"/>
        </w:rPr>
        <w:t xml:space="preserve">to the resolution. </w:t>
      </w:r>
    </w:p>
    <w:p w14:paraId="70512BC2" w14:textId="77777777" w:rsidR="00485DFD" w:rsidRPr="00597EAB"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4011B1">
        <w:rPr>
          <w:rFonts w:ascii="Times New Roman" w:eastAsia="Times New Roman" w:hAnsi="Times New Roman"/>
          <w:sz w:val="20"/>
          <w:szCs w:val="20"/>
          <w:lang w:val="en-GB" w:eastAsia="en-GB"/>
        </w:rPr>
        <w:t xml:space="preserve">The Standing Committee of the </w:t>
      </w:r>
      <w:r w:rsidRPr="00B7740C">
        <w:rPr>
          <w:rFonts w:ascii="Times New Roman" w:eastAsia="Times New Roman" w:hAnsi="Times New Roman"/>
          <w:sz w:val="20"/>
          <w:szCs w:val="20"/>
          <w:lang w:val="en-GB" w:eastAsia="en-GB"/>
        </w:rPr>
        <w:t>Convention on International Trade in Endangered Spe</w:t>
      </w:r>
      <w:r w:rsidRPr="004011B1">
        <w:rPr>
          <w:rFonts w:ascii="Times New Roman" w:eastAsia="Times New Roman" w:hAnsi="Times New Roman"/>
          <w:sz w:val="20"/>
          <w:szCs w:val="20"/>
          <w:lang w:val="en-GB" w:eastAsia="en-GB"/>
        </w:rPr>
        <w:t>cies of Wild Fauna and Flora at its 70</w:t>
      </w:r>
      <w:r w:rsidRPr="00485DFD">
        <w:rPr>
          <w:rFonts w:ascii="Times New Roman" w:eastAsia="Times New Roman" w:hAnsi="Times New Roman"/>
          <w:sz w:val="20"/>
          <w:szCs w:val="20"/>
          <w:lang w:val="en-GB" w:eastAsia="en-GB"/>
        </w:rPr>
        <w:t>th</w:t>
      </w:r>
      <w:r w:rsidRPr="004011B1">
        <w:rPr>
          <w:rFonts w:ascii="Times New Roman" w:eastAsia="Times New Roman" w:hAnsi="Times New Roman"/>
          <w:sz w:val="20"/>
          <w:szCs w:val="20"/>
          <w:lang w:val="en-GB" w:eastAsia="en-GB"/>
        </w:rPr>
        <w:t xml:space="preserve"> meeting held from 1 to 5 October 2018 in Rosa Khutor, Sochi, Russian Federation, agreed to propose to the 8</w:t>
      </w:r>
      <w:r w:rsidRPr="004011B1">
        <w:rPr>
          <w:rFonts w:ascii="Times New Roman" w:eastAsia="Times New Roman" w:hAnsi="Times New Roman"/>
          <w:sz w:val="20"/>
          <w:szCs w:val="20"/>
          <w:vertAlign w:val="superscript"/>
          <w:lang w:val="en-GB" w:eastAsia="en-GB"/>
        </w:rPr>
        <w:t>th</w:t>
      </w:r>
      <w:r w:rsidRPr="004011B1">
        <w:rPr>
          <w:rFonts w:ascii="Times New Roman" w:eastAsia="Times New Roman" w:hAnsi="Times New Roman"/>
          <w:sz w:val="20"/>
          <w:szCs w:val="20"/>
          <w:lang w:val="en-GB" w:eastAsia="en-GB"/>
        </w:rPr>
        <w:t xml:space="preserve"> meeting of the Conference of the Parties to be held from 23 May to 3 June 2019 that the current short-term decisions of the Conference of the Parties regarding interactions with IPBES</w:t>
      </w:r>
      <w:r>
        <w:rPr>
          <w:rFonts w:ascii="Times New Roman" w:eastAsia="Times New Roman" w:hAnsi="Times New Roman"/>
          <w:sz w:val="20"/>
          <w:szCs w:val="20"/>
          <w:lang w:val="en-GB" w:eastAsia="en-GB"/>
        </w:rPr>
        <w:t xml:space="preserve"> be converted into a long-term resolution</w:t>
      </w:r>
      <w:r w:rsidRPr="00920A32">
        <w:rPr>
          <w:rFonts w:ascii="Times New Roman" w:eastAsia="Times New Roman" w:hAnsi="Times New Roman"/>
          <w:sz w:val="20"/>
          <w:szCs w:val="20"/>
          <w:lang w:val="en-GB" w:eastAsia="en-GB"/>
        </w:rPr>
        <w:t>.</w:t>
      </w:r>
    </w:p>
    <w:p w14:paraId="7508962D" w14:textId="77777777" w:rsidR="00485DFD" w:rsidRPr="00B7740C" w:rsidRDefault="00485DFD" w:rsidP="00485DFD">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Times New Roman" w:hAnsi="Times New Roman"/>
          <w:b/>
          <w:sz w:val="24"/>
          <w:szCs w:val="24"/>
          <w:lang w:val="en-GB"/>
        </w:rPr>
      </w:pPr>
      <w:bookmarkStart w:id="6" w:name="_Toc495932557"/>
      <w:r w:rsidRPr="00B7740C">
        <w:rPr>
          <w:rFonts w:ascii="Times New Roman" w:eastAsia="Times New Roman" w:hAnsi="Times New Roman"/>
          <w:b/>
          <w:sz w:val="24"/>
          <w:szCs w:val="24"/>
          <w:lang w:val="en-GB"/>
        </w:rPr>
        <w:tab/>
        <w:t>C.</w:t>
      </w:r>
      <w:r w:rsidRPr="00B7740C">
        <w:rPr>
          <w:rFonts w:ascii="Times New Roman" w:eastAsia="Times New Roman" w:hAnsi="Times New Roman"/>
          <w:b/>
          <w:sz w:val="24"/>
          <w:szCs w:val="24"/>
          <w:lang w:val="en-GB"/>
        </w:rPr>
        <w:tab/>
        <w:t xml:space="preserve">Collaboration with </w:t>
      </w:r>
      <w:bookmarkEnd w:id="6"/>
      <w:r w:rsidRPr="00B7740C">
        <w:rPr>
          <w:rFonts w:ascii="Times New Roman" w:eastAsia="Times New Roman" w:hAnsi="Times New Roman"/>
          <w:b/>
          <w:sz w:val="24"/>
          <w:szCs w:val="24"/>
          <w:lang w:val="en-GB"/>
        </w:rPr>
        <w:t>the Intergovernmental Panel on Climate Change</w:t>
      </w:r>
    </w:p>
    <w:p w14:paraId="65764158" w14:textId="77777777" w:rsidR="00485DFD" w:rsidRPr="005C6807"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5C6807">
        <w:rPr>
          <w:rFonts w:ascii="Times New Roman" w:eastAsia="Times New Roman" w:hAnsi="Times New Roman"/>
          <w:sz w:val="20"/>
          <w:szCs w:val="20"/>
          <w:lang w:val="en-GB" w:eastAsia="en-GB"/>
        </w:rPr>
        <w:t>At its 46</w:t>
      </w:r>
      <w:r w:rsidRPr="005C6807">
        <w:rPr>
          <w:rFonts w:ascii="Times New Roman" w:eastAsia="Times New Roman" w:hAnsi="Times New Roman"/>
          <w:sz w:val="20"/>
          <w:szCs w:val="20"/>
          <w:vertAlign w:val="superscript"/>
          <w:lang w:val="en-GB" w:eastAsia="en-GB"/>
        </w:rPr>
        <w:t>th</w:t>
      </w:r>
      <w:r w:rsidRPr="005C6807">
        <w:rPr>
          <w:rFonts w:ascii="Times New Roman" w:eastAsia="Times New Roman" w:hAnsi="Times New Roman"/>
          <w:sz w:val="20"/>
          <w:szCs w:val="20"/>
          <w:lang w:val="en-GB" w:eastAsia="en-GB"/>
        </w:rPr>
        <w:t xml:space="preserve"> session, the Intergovernmental Panel on Climate Change granted observer status to IPBES. The secretariat was represented at the 48</w:t>
      </w:r>
      <w:r w:rsidRPr="005C6807">
        <w:rPr>
          <w:rFonts w:ascii="Times New Roman" w:eastAsia="Times New Roman" w:hAnsi="Times New Roman"/>
          <w:sz w:val="20"/>
          <w:szCs w:val="20"/>
          <w:vertAlign w:val="superscript"/>
          <w:lang w:val="en-GB" w:eastAsia="en-GB"/>
        </w:rPr>
        <w:t>th</w:t>
      </w:r>
      <w:r w:rsidRPr="005C6807">
        <w:rPr>
          <w:rFonts w:ascii="Times New Roman" w:eastAsia="Times New Roman" w:hAnsi="Times New Roman"/>
          <w:sz w:val="20"/>
          <w:szCs w:val="20"/>
          <w:lang w:val="en-GB" w:eastAsia="en-GB"/>
        </w:rPr>
        <w:t xml:space="preserve"> session of the Panel</w:t>
      </w:r>
      <w:r>
        <w:rPr>
          <w:rFonts w:ascii="Times New Roman" w:eastAsia="Times New Roman" w:hAnsi="Times New Roman"/>
          <w:sz w:val="20"/>
          <w:szCs w:val="20"/>
          <w:lang w:val="en-GB" w:eastAsia="en-GB"/>
        </w:rPr>
        <w:t xml:space="preserve"> held in October 2018</w:t>
      </w:r>
      <w:r w:rsidRPr="005C6807">
        <w:rPr>
          <w:rFonts w:ascii="Times New Roman" w:eastAsia="Times New Roman" w:hAnsi="Times New Roman"/>
          <w:sz w:val="20"/>
          <w:szCs w:val="20"/>
          <w:lang w:val="en-GB" w:eastAsia="en-GB"/>
        </w:rPr>
        <w:t xml:space="preserve"> at which the Panel approved the special report on the impacts of global warming of 1.5 °C above pre-industrial levels and related global greenhouse gas emission pathways, in the context of strengthening the global response to the threat of climate change, sustainable development, and efforts to eradicate poverty. The Deputy Secretary of the Intergovernmental Panel on Climate Change participated on behalf of the Chair of the Panel as an observer in the 11</w:t>
      </w:r>
      <w:r w:rsidRPr="005C6807">
        <w:rPr>
          <w:rFonts w:ascii="Times New Roman" w:eastAsia="Times New Roman" w:hAnsi="Times New Roman"/>
          <w:sz w:val="20"/>
          <w:szCs w:val="20"/>
          <w:vertAlign w:val="superscript"/>
          <w:lang w:val="en-GB" w:eastAsia="en-GB"/>
        </w:rPr>
        <w:t>th</w:t>
      </w:r>
      <w:r w:rsidRPr="005C6807">
        <w:rPr>
          <w:rFonts w:ascii="Times New Roman" w:eastAsia="Times New Roman" w:hAnsi="Times New Roman"/>
          <w:sz w:val="20"/>
          <w:szCs w:val="20"/>
          <w:lang w:val="en-GB" w:eastAsia="en-GB"/>
        </w:rPr>
        <w:t xml:space="preserve"> and 12</w:t>
      </w:r>
      <w:r w:rsidRPr="005C6807">
        <w:rPr>
          <w:rFonts w:ascii="Times New Roman" w:eastAsia="Times New Roman" w:hAnsi="Times New Roman"/>
          <w:sz w:val="20"/>
          <w:szCs w:val="20"/>
          <w:vertAlign w:val="superscript"/>
          <w:lang w:val="en-GB" w:eastAsia="en-GB"/>
        </w:rPr>
        <w:t>th</w:t>
      </w:r>
      <w:r w:rsidRPr="005C6807">
        <w:rPr>
          <w:rFonts w:ascii="Times New Roman" w:eastAsia="Times New Roman" w:hAnsi="Times New Roman"/>
          <w:sz w:val="20"/>
          <w:szCs w:val="20"/>
          <w:lang w:val="en-GB" w:eastAsia="en-GB"/>
        </w:rPr>
        <w:t xml:space="preserve"> meetings of the Multidisciplinary Expert Panel. </w:t>
      </w:r>
      <w:proofErr w:type="spellStart"/>
      <w:r w:rsidRPr="005C6807">
        <w:rPr>
          <w:rFonts w:ascii="Times New Roman" w:eastAsia="Times New Roman" w:hAnsi="Times New Roman"/>
          <w:sz w:val="20"/>
          <w:szCs w:val="20"/>
          <w:lang w:val="en-GB" w:eastAsia="en-GB"/>
        </w:rPr>
        <w:t>Dr.</w:t>
      </w:r>
      <w:proofErr w:type="spellEnd"/>
      <w:r w:rsidRPr="005C6807">
        <w:rPr>
          <w:rFonts w:ascii="Times New Roman" w:eastAsia="Times New Roman" w:hAnsi="Times New Roman"/>
          <w:sz w:val="20"/>
          <w:szCs w:val="20"/>
          <w:lang w:val="en-GB" w:eastAsia="en-GB"/>
        </w:rPr>
        <w:t xml:space="preserve"> Hans-Otto </w:t>
      </w:r>
      <w:proofErr w:type="spellStart"/>
      <w:r w:rsidRPr="005C6807">
        <w:rPr>
          <w:rFonts w:ascii="Times New Roman" w:eastAsia="Times New Roman" w:hAnsi="Times New Roman"/>
          <w:sz w:val="20"/>
          <w:szCs w:val="20"/>
          <w:lang w:val="en-GB" w:eastAsia="en-GB"/>
        </w:rPr>
        <w:t>Pörtner</w:t>
      </w:r>
      <w:proofErr w:type="spellEnd"/>
      <w:r w:rsidRPr="005C6807">
        <w:rPr>
          <w:rFonts w:ascii="Times New Roman" w:eastAsia="Times New Roman" w:hAnsi="Times New Roman"/>
          <w:sz w:val="20"/>
          <w:szCs w:val="20"/>
          <w:lang w:val="en-GB" w:eastAsia="en-GB"/>
        </w:rPr>
        <w:t>, Chair of working group II of the Panel, gave a presentation to the Multidisciplinary Expert Panel and the Bureau at their 11</w:t>
      </w:r>
      <w:r w:rsidRPr="005C6807">
        <w:rPr>
          <w:rFonts w:ascii="Times New Roman" w:eastAsia="Times New Roman" w:hAnsi="Times New Roman"/>
          <w:sz w:val="20"/>
          <w:szCs w:val="20"/>
          <w:vertAlign w:val="superscript"/>
          <w:lang w:val="en-GB" w:eastAsia="en-GB"/>
        </w:rPr>
        <w:t>th</w:t>
      </w:r>
      <w:r w:rsidRPr="005C6807">
        <w:rPr>
          <w:rFonts w:ascii="Times New Roman" w:eastAsia="Times New Roman" w:hAnsi="Times New Roman"/>
          <w:sz w:val="20"/>
          <w:szCs w:val="20"/>
          <w:lang w:val="en-GB" w:eastAsia="en-GB"/>
        </w:rPr>
        <w:t xml:space="preserve"> meetings. </w:t>
      </w:r>
    </w:p>
    <w:p w14:paraId="04B5B6B2" w14:textId="77777777" w:rsidR="00485DFD" w:rsidRDefault="00485DFD" w:rsidP="00485DFD">
      <w:pPr>
        <w:pStyle w:val="Normalnumber"/>
        <w:numPr>
          <w:ilvl w:val="0"/>
          <w:numId w:val="6"/>
        </w:numPr>
        <w:tabs>
          <w:tab w:val="clear" w:pos="4082"/>
          <w:tab w:val="left" w:pos="624"/>
        </w:tabs>
      </w:pPr>
      <w:r>
        <w:t xml:space="preserve">On 18 October 2018, the </w:t>
      </w:r>
      <w:r w:rsidRPr="00907AB4">
        <w:t xml:space="preserve">Secretariat of the Convention on Biological Diversity organized a workshop on “Biodiversity and climate change: integrated science for coherent policy”, in cooperation with IPBES and </w:t>
      </w:r>
      <w:r>
        <w:rPr>
          <w:lang w:eastAsia="en-GB"/>
        </w:rPr>
        <w:t xml:space="preserve">the </w:t>
      </w:r>
      <w:r w:rsidRPr="00B7740C">
        <w:rPr>
          <w:lang w:eastAsia="en-GB"/>
        </w:rPr>
        <w:t>Intergovernmental Panel on Climate Change</w:t>
      </w:r>
      <w:r w:rsidRPr="00907AB4">
        <w:t xml:space="preserve">, as well as the United Nations Framework Convention on Climate Change. The workshop was attended by experts in the fields of biodiversity and climate change science, mitigation and adaptation, mainly from the </w:t>
      </w:r>
      <w:r w:rsidRPr="00B7740C">
        <w:rPr>
          <w:lang w:eastAsia="en-GB"/>
        </w:rPr>
        <w:t>Intergovernmental Panel on Climate Change</w:t>
      </w:r>
      <w:r w:rsidRPr="00907AB4">
        <w:t xml:space="preserve"> and IPBES communities. The workshop was co-chaired by Mr. Robert Watson, Chair of IPBES, and Mr. </w:t>
      </w:r>
      <w:proofErr w:type="spellStart"/>
      <w:r w:rsidRPr="00907AB4">
        <w:t>Youba</w:t>
      </w:r>
      <w:proofErr w:type="spellEnd"/>
      <w:r w:rsidRPr="00907AB4">
        <w:t xml:space="preserve"> </w:t>
      </w:r>
      <w:proofErr w:type="spellStart"/>
      <w:r w:rsidRPr="00907AB4">
        <w:t>Sokona</w:t>
      </w:r>
      <w:proofErr w:type="spellEnd"/>
      <w:r w:rsidRPr="00907AB4">
        <w:t>, Vice-Chair of</w:t>
      </w:r>
      <w:r>
        <w:t xml:space="preserve"> the</w:t>
      </w:r>
      <w:r w:rsidRPr="00907AB4">
        <w:t xml:space="preserve"> </w:t>
      </w:r>
      <w:r w:rsidRPr="00B7740C">
        <w:rPr>
          <w:lang w:eastAsia="en-GB"/>
        </w:rPr>
        <w:t>Intergovernmental Panel on Climate Change</w:t>
      </w:r>
      <w:r w:rsidRPr="00907AB4">
        <w:t>.</w:t>
      </w:r>
    </w:p>
    <w:p w14:paraId="4A2E8974" w14:textId="77777777" w:rsidR="00485DFD" w:rsidRP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485DFD">
        <w:rPr>
          <w:rFonts w:ascii="Times New Roman" w:eastAsia="Times New Roman" w:hAnsi="Times New Roman"/>
          <w:sz w:val="20"/>
          <w:szCs w:val="20"/>
          <w:lang w:val="en-GB" w:eastAsia="en-GB"/>
        </w:rPr>
        <w:t xml:space="preserve">The workshop featured presentations by experts from the Intergovernmental Panel on Climate Change and IPBES on the content of the most recent reports of the Panel and IPBES and discussions on key issues on the interface between biodiversity and climate change, the major challenges for science, assessment and policy with regards to biodiversity and climate change and communication and collaboration between the two scientific communities on (a) impacts of climate change mitigation and adaptation measures on biodiversity and impacts of biodiversity conservation or restoration measures on climate change mitigation and adaptation: how to avoid or minimize negative and maximize positive impacts; and (b) nature-based solutions and “win-win” measures for achieving the co-benefits between addressing climate change and biodiversity, and the Sustainable Development Goals. </w:t>
      </w:r>
    </w:p>
    <w:p w14:paraId="765C0938" w14:textId="777B44D4" w:rsidR="00485DFD" w:rsidRPr="00C722AB"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C722AB">
        <w:rPr>
          <w:rFonts w:ascii="Times New Roman" w:eastAsia="Times New Roman" w:hAnsi="Times New Roman"/>
          <w:sz w:val="20"/>
          <w:szCs w:val="20"/>
          <w:lang w:val="en-GB" w:eastAsia="en-GB"/>
        </w:rPr>
        <w:t>The Multidisciplinary Expert Panel and the Bureau suggest to the Plenary to agree</w:t>
      </w:r>
      <w:r>
        <w:rPr>
          <w:rFonts w:ascii="Times New Roman" w:eastAsia="Times New Roman" w:hAnsi="Times New Roman"/>
          <w:sz w:val="20"/>
          <w:szCs w:val="20"/>
          <w:lang w:val="en-GB" w:eastAsia="en-GB"/>
        </w:rPr>
        <w:t>, as part of the next work programme of IPBES (see document IPBES/7/6)</w:t>
      </w:r>
      <w:r w:rsidRPr="00C722AB">
        <w:rPr>
          <w:rFonts w:ascii="Times New Roman" w:eastAsia="Times New Roman" w:hAnsi="Times New Roman"/>
          <w:sz w:val="20"/>
          <w:szCs w:val="20"/>
          <w:lang w:val="en-GB" w:eastAsia="en-GB"/>
        </w:rPr>
        <w:t xml:space="preserve"> on the preparation of a</w:t>
      </w:r>
      <w:r>
        <w:rPr>
          <w:rFonts w:ascii="Times New Roman" w:eastAsia="Times New Roman" w:hAnsi="Times New Roman"/>
          <w:sz w:val="20"/>
          <w:szCs w:val="20"/>
          <w:lang w:val="en-GB" w:eastAsia="en-GB"/>
        </w:rPr>
        <w:t>n</w:t>
      </w:r>
      <w:r w:rsidRPr="00C722AB">
        <w:rPr>
          <w:rFonts w:ascii="Times New Roman" w:eastAsia="Times New Roman" w:hAnsi="Times New Roman"/>
          <w:sz w:val="20"/>
          <w:szCs w:val="20"/>
          <w:lang w:val="en-GB" w:eastAsia="en-GB"/>
        </w:rPr>
        <w:t xml:space="preserve"> IPBES and </w:t>
      </w:r>
      <w:r w:rsidRPr="00B7740C">
        <w:rPr>
          <w:rFonts w:ascii="Times New Roman" w:eastAsia="Times New Roman" w:hAnsi="Times New Roman"/>
          <w:sz w:val="20"/>
          <w:szCs w:val="20"/>
          <w:lang w:val="en-GB" w:eastAsia="en-GB"/>
        </w:rPr>
        <w:t>Intergovernmental Panel on Climate Change</w:t>
      </w:r>
      <w:r w:rsidRPr="00C722AB">
        <w:rPr>
          <w:rFonts w:ascii="Times New Roman" w:eastAsia="Times New Roman" w:hAnsi="Times New Roman"/>
          <w:sz w:val="20"/>
          <w:szCs w:val="20"/>
          <w:lang w:val="en-GB" w:eastAsia="en-GB"/>
        </w:rPr>
        <w:t xml:space="preserve"> joint technical paper on biodiversity and climate change, derived fro</w:t>
      </w:r>
      <w:r>
        <w:rPr>
          <w:rFonts w:ascii="Times New Roman" w:eastAsia="Times New Roman" w:hAnsi="Times New Roman"/>
          <w:sz w:val="20"/>
          <w:szCs w:val="20"/>
          <w:lang w:val="en-GB" w:eastAsia="en-GB"/>
        </w:rPr>
        <w:t>m the reports published by I</w:t>
      </w:r>
      <w:r w:rsidRPr="00C722AB">
        <w:rPr>
          <w:rFonts w:ascii="Times New Roman" w:eastAsia="Times New Roman" w:hAnsi="Times New Roman"/>
          <w:sz w:val="20"/>
          <w:szCs w:val="20"/>
          <w:lang w:val="en-GB" w:eastAsia="en-GB"/>
        </w:rPr>
        <w:t xml:space="preserve">PBES and </w:t>
      </w:r>
      <w:r>
        <w:rPr>
          <w:rFonts w:ascii="Times New Roman" w:eastAsia="Times New Roman" w:hAnsi="Times New Roman"/>
          <w:sz w:val="20"/>
          <w:szCs w:val="20"/>
          <w:lang w:val="en-GB" w:eastAsia="en-GB"/>
        </w:rPr>
        <w:t>the Panel</w:t>
      </w:r>
      <w:r w:rsidRPr="00C722AB">
        <w:rPr>
          <w:rFonts w:ascii="Times New Roman" w:eastAsia="Times New Roman" w:hAnsi="Times New Roman"/>
          <w:sz w:val="20"/>
          <w:szCs w:val="20"/>
          <w:lang w:val="en-GB" w:eastAsia="en-GB"/>
        </w:rPr>
        <w:t>.</w:t>
      </w:r>
      <w:r>
        <w:rPr>
          <w:rFonts w:ascii="Times New Roman" w:eastAsia="Times New Roman" w:hAnsi="Times New Roman"/>
          <w:sz w:val="20"/>
          <w:szCs w:val="20"/>
          <w:lang w:val="en-GB" w:eastAsia="en-GB"/>
        </w:rPr>
        <w:t xml:space="preserve"> The </w:t>
      </w:r>
      <w:r w:rsidRPr="00B7740C">
        <w:rPr>
          <w:rFonts w:ascii="Times New Roman" w:eastAsia="Times New Roman" w:hAnsi="Times New Roman"/>
          <w:sz w:val="20"/>
          <w:szCs w:val="20"/>
          <w:lang w:val="en-GB" w:eastAsia="en-GB"/>
        </w:rPr>
        <w:t>Intergovernmental Panel on Climate Change</w:t>
      </w:r>
      <w:r>
        <w:rPr>
          <w:rFonts w:ascii="Times New Roman" w:eastAsia="Times New Roman" w:hAnsi="Times New Roman"/>
          <w:sz w:val="20"/>
          <w:szCs w:val="20"/>
          <w:lang w:val="en-GB" w:eastAsia="en-GB"/>
        </w:rPr>
        <w:t xml:space="preserve"> may subsequently consider the matter at its </w:t>
      </w:r>
      <w:r w:rsidRPr="00C722AB">
        <w:rPr>
          <w:rFonts w:ascii="Times New Roman" w:eastAsia="Times New Roman" w:hAnsi="Times New Roman"/>
          <w:sz w:val="20"/>
          <w:szCs w:val="20"/>
          <w:lang w:val="en-GB" w:eastAsia="en-GB"/>
        </w:rPr>
        <w:t>49</w:t>
      </w:r>
      <w:r w:rsidRPr="00B83579">
        <w:rPr>
          <w:rFonts w:ascii="Times New Roman" w:eastAsia="Times New Roman" w:hAnsi="Times New Roman"/>
          <w:sz w:val="20"/>
          <w:szCs w:val="20"/>
          <w:vertAlign w:val="superscript"/>
          <w:lang w:val="en-GB" w:eastAsia="en-GB"/>
        </w:rPr>
        <w:t>th</w:t>
      </w:r>
      <w:r>
        <w:rPr>
          <w:rFonts w:ascii="Times New Roman" w:eastAsia="Times New Roman" w:hAnsi="Times New Roman"/>
          <w:sz w:val="20"/>
          <w:szCs w:val="20"/>
          <w:lang w:val="en-GB" w:eastAsia="en-GB"/>
        </w:rPr>
        <w:t xml:space="preserve"> </w:t>
      </w:r>
      <w:r w:rsidR="00E92EA3">
        <w:rPr>
          <w:rFonts w:ascii="Times New Roman" w:eastAsia="Times New Roman" w:hAnsi="Times New Roman"/>
          <w:sz w:val="20"/>
          <w:szCs w:val="20"/>
          <w:lang w:val="en-GB" w:eastAsia="en-GB"/>
        </w:rPr>
        <w:t>s</w:t>
      </w:r>
      <w:r w:rsidRPr="00C722AB">
        <w:rPr>
          <w:rFonts w:ascii="Times New Roman" w:eastAsia="Times New Roman" w:hAnsi="Times New Roman"/>
          <w:sz w:val="20"/>
          <w:szCs w:val="20"/>
          <w:lang w:val="en-GB" w:eastAsia="en-GB"/>
        </w:rPr>
        <w:t xml:space="preserve">ession </w:t>
      </w:r>
      <w:r>
        <w:rPr>
          <w:rFonts w:ascii="Times New Roman" w:eastAsia="Times New Roman" w:hAnsi="Times New Roman"/>
          <w:sz w:val="20"/>
          <w:szCs w:val="20"/>
          <w:lang w:val="en-GB" w:eastAsia="en-GB"/>
        </w:rPr>
        <w:t xml:space="preserve">scheduled for May 2019. A joint technical paper would need to be mandated by the governing bodies of both the Panel and IPBES.  </w:t>
      </w:r>
    </w:p>
    <w:p w14:paraId="43DAA0A1" w14:textId="77777777" w:rsidR="00485DFD" w:rsidRPr="00B7740C" w:rsidRDefault="00485DFD" w:rsidP="00485DFD">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8"/>
          <w:szCs w:val="28"/>
          <w:lang w:val="en-GB"/>
        </w:rPr>
      </w:pPr>
      <w:r w:rsidRPr="00B7740C">
        <w:rPr>
          <w:rFonts w:ascii="Times New Roman" w:eastAsia="Times New Roman" w:hAnsi="Times New Roman"/>
          <w:b/>
          <w:sz w:val="28"/>
          <w:szCs w:val="28"/>
          <w:lang w:val="en-GB"/>
        </w:rPr>
        <w:tab/>
      </w:r>
      <w:r w:rsidRPr="00B7740C">
        <w:rPr>
          <w:rFonts w:ascii="Times New Roman" w:eastAsia="Times New Roman" w:hAnsi="Times New Roman"/>
          <w:b/>
          <w:sz w:val="24"/>
          <w:szCs w:val="24"/>
          <w:lang w:val="en-GB"/>
        </w:rPr>
        <w:t>D.</w:t>
      </w:r>
      <w:r w:rsidRPr="00B7740C">
        <w:rPr>
          <w:rFonts w:ascii="Times New Roman" w:eastAsia="Times New Roman" w:hAnsi="Times New Roman"/>
          <w:b/>
          <w:sz w:val="28"/>
          <w:szCs w:val="28"/>
          <w:lang w:val="en-GB"/>
        </w:rPr>
        <w:tab/>
      </w:r>
      <w:r w:rsidRPr="00B7740C">
        <w:rPr>
          <w:rFonts w:ascii="Times New Roman" w:eastAsia="Times New Roman" w:hAnsi="Times New Roman"/>
          <w:b/>
          <w:sz w:val="24"/>
          <w:szCs w:val="24"/>
          <w:lang w:val="en-GB"/>
        </w:rPr>
        <w:t>Collaboration with other strategic partners</w:t>
      </w:r>
    </w:p>
    <w:p w14:paraId="355120EC"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In support of key areas of work</w:t>
      </w:r>
      <w:r>
        <w:rPr>
          <w:rFonts w:ascii="Times New Roman" w:eastAsia="Times New Roman" w:hAnsi="Times New Roman"/>
          <w:sz w:val="20"/>
          <w:szCs w:val="20"/>
          <w:lang w:val="en-GB" w:eastAsia="en-GB"/>
        </w:rPr>
        <w:t>,</w:t>
      </w:r>
      <w:r w:rsidRPr="00B7740C">
        <w:rPr>
          <w:rFonts w:ascii="Times New Roman" w:eastAsia="Times New Roman" w:hAnsi="Times New Roman"/>
          <w:sz w:val="20"/>
          <w:szCs w:val="20"/>
          <w:lang w:val="en-GB" w:eastAsia="en-GB"/>
        </w:rPr>
        <w:t xml:space="preserve"> IPBES has established </w:t>
      </w:r>
      <w:proofErr w:type="gramStart"/>
      <w:r w:rsidRPr="00B7740C">
        <w:rPr>
          <w:rFonts w:ascii="Times New Roman" w:eastAsia="Times New Roman" w:hAnsi="Times New Roman"/>
          <w:sz w:val="20"/>
          <w:szCs w:val="20"/>
          <w:lang w:val="en-GB" w:eastAsia="en-GB"/>
        </w:rPr>
        <w:t>a number of</w:t>
      </w:r>
      <w:proofErr w:type="gramEnd"/>
      <w:r w:rsidRPr="00B7740C">
        <w:rPr>
          <w:rFonts w:ascii="Times New Roman" w:eastAsia="Times New Roman" w:hAnsi="Times New Roman"/>
          <w:sz w:val="20"/>
          <w:szCs w:val="20"/>
          <w:lang w:val="en-GB" w:eastAsia="en-GB"/>
        </w:rPr>
        <w:t xml:space="preserve"> memoranda of understanding with strategic partners. </w:t>
      </w:r>
    </w:p>
    <w:p w14:paraId="0468CED0" w14:textId="77777777" w:rsidR="00485DFD" w:rsidRPr="00B7740C" w:rsidRDefault="00485DFD" w:rsidP="00485DFD">
      <w:pPr>
        <w:numPr>
          <w:ilvl w:val="0"/>
          <w:numId w:val="6"/>
        </w:numPr>
        <w:tabs>
          <w:tab w:val="left" w:pos="624"/>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Already in 2016, a memorandum</w:t>
      </w:r>
      <w:r>
        <w:rPr>
          <w:rFonts w:ascii="Times New Roman" w:eastAsia="Times New Roman" w:hAnsi="Times New Roman"/>
          <w:sz w:val="20"/>
          <w:szCs w:val="20"/>
          <w:lang w:val="en-GB" w:eastAsia="en-GB"/>
        </w:rPr>
        <w:t xml:space="preserve"> of understanding</w:t>
      </w:r>
      <w:r w:rsidRPr="00B7740C">
        <w:rPr>
          <w:rFonts w:ascii="Times New Roman" w:eastAsia="Times New Roman" w:hAnsi="Times New Roman"/>
          <w:sz w:val="20"/>
          <w:szCs w:val="20"/>
          <w:lang w:val="en-GB" w:eastAsia="en-GB"/>
        </w:rPr>
        <w:t xml:space="preserve"> was finalized and signed with</w:t>
      </w:r>
      <w:r>
        <w:rPr>
          <w:rFonts w:ascii="Times New Roman" w:eastAsia="Times New Roman" w:hAnsi="Times New Roman"/>
          <w:sz w:val="20"/>
          <w:szCs w:val="20"/>
          <w:lang w:val="en-GB" w:eastAsia="en-GB"/>
        </w:rPr>
        <w:t xml:space="preserve"> the</w:t>
      </w:r>
      <w:r w:rsidRPr="00B7740C">
        <w:rPr>
          <w:rFonts w:ascii="Times New Roman" w:eastAsia="Times New Roman" w:hAnsi="Times New Roman"/>
          <w:sz w:val="20"/>
          <w:szCs w:val="20"/>
          <w:lang w:val="en-GB" w:eastAsia="en-GB"/>
        </w:rPr>
        <w:t xml:space="preserve"> </w:t>
      </w:r>
      <w:r w:rsidRPr="0087306E">
        <w:rPr>
          <w:rFonts w:ascii="Times New Roman" w:eastAsia="Times New Roman" w:hAnsi="Times New Roman"/>
          <w:sz w:val="20"/>
          <w:szCs w:val="20"/>
          <w:lang w:val="en-GB" w:eastAsia="en-GB"/>
        </w:rPr>
        <w:t xml:space="preserve">International Union for Conservation of Nature </w:t>
      </w:r>
      <w:r>
        <w:rPr>
          <w:rFonts w:ascii="Times New Roman" w:eastAsia="Times New Roman" w:hAnsi="Times New Roman"/>
          <w:sz w:val="20"/>
          <w:szCs w:val="20"/>
          <w:lang w:val="en-GB" w:eastAsia="en-GB"/>
        </w:rPr>
        <w:t>(</w:t>
      </w:r>
      <w:r w:rsidRPr="00B7740C">
        <w:rPr>
          <w:rFonts w:ascii="Times New Roman" w:eastAsia="Times New Roman" w:hAnsi="Times New Roman"/>
          <w:sz w:val="20"/>
          <w:szCs w:val="20"/>
          <w:lang w:val="en-GB" w:eastAsia="en-GB"/>
        </w:rPr>
        <w:t>IUCN</w:t>
      </w:r>
      <w:r>
        <w:rPr>
          <w:rFonts w:ascii="Times New Roman" w:eastAsia="Times New Roman" w:hAnsi="Times New Roman"/>
          <w:sz w:val="20"/>
          <w:szCs w:val="20"/>
          <w:lang w:val="en-GB" w:eastAsia="en-GB"/>
        </w:rPr>
        <w:t>)</w:t>
      </w:r>
      <w:r w:rsidRPr="00B7740C">
        <w:rPr>
          <w:rFonts w:ascii="Times New Roman" w:eastAsia="Times New Roman" w:hAnsi="Times New Roman"/>
          <w:sz w:val="20"/>
          <w:szCs w:val="20"/>
          <w:lang w:val="en-GB" w:eastAsia="en-GB"/>
        </w:rPr>
        <w:t xml:space="preserve"> covering the main overarching</w:t>
      </w:r>
      <w:r>
        <w:rPr>
          <w:rFonts w:ascii="Times New Roman" w:eastAsia="Times New Roman" w:hAnsi="Times New Roman"/>
          <w:sz w:val="20"/>
          <w:szCs w:val="20"/>
          <w:lang w:val="en-GB" w:eastAsia="en-GB"/>
        </w:rPr>
        <w:t xml:space="preserve"> </w:t>
      </w:r>
      <w:r w:rsidRPr="00B7740C">
        <w:rPr>
          <w:rFonts w:ascii="Times New Roman" w:eastAsia="Times New Roman" w:hAnsi="Times New Roman"/>
          <w:sz w:val="20"/>
          <w:szCs w:val="20"/>
          <w:lang w:val="en-GB" w:eastAsia="en-GB"/>
        </w:rPr>
        <w:t>areas of the work programme, including data and knowledge, capacity building and stakeholder engagement.</w:t>
      </w:r>
    </w:p>
    <w:p w14:paraId="43D2A335"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7740C">
        <w:rPr>
          <w:rFonts w:ascii="Times New Roman" w:eastAsia="Times New Roman" w:hAnsi="Times New Roman"/>
          <w:sz w:val="20"/>
          <w:szCs w:val="20"/>
          <w:lang w:val="en-GB" w:eastAsia="en-GB"/>
        </w:rPr>
        <w:t>In 2017</w:t>
      </w:r>
      <w:r>
        <w:rPr>
          <w:rFonts w:ascii="Times New Roman" w:eastAsia="Times New Roman" w:hAnsi="Times New Roman"/>
          <w:sz w:val="20"/>
          <w:szCs w:val="20"/>
          <w:lang w:val="en-GB" w:eastAsia="en-GB"/>
        </w:rPr>
        <w:t xml:space="preserve"> and 2018</w:t>
      </w:r>
      <w:r w:rsidRPr="00B7740C">
        <w:rPr>
          <w:rFonts w:ascii="Times New Roman" w:eastAsia="Times New Roman" w:hAnsi="Times New Roman"/>
          <w:sz w:val="20"/>
          <w:szCs w:val="20"/>
          <w:lang w:val="en-GB" w:eastAsia="en-GB"/>
        </w:rPr>
        <w:t>, memoranda</w:t>
      </w:r>
      <w:r>
        <w:rPr>
          <w:rFonts w:ascii="Times New Roman" w:eastAsia="Times New Roman" w:hAnsi="Times New Roman"/>
          <w:sz w:val="20"/>
          <w:szCs w:val="20"/>
          <w:lang w:val="en-GB" w:eastAsia="en-GB"/>
        </w:rPr>
        <w:t xml:space="preserve"> of understanding</w:t>
      </w:r>
      <w:r w:rsidRPr="00B7740C">
        <w:rPr>
          <w:rFonts w:ascii="Times New Roman" w:eastAsia="Times New Roman" w:hAnsi="Times New Roman"/>
          <w:sz w:val="20"/>
          <w:szCs w:val="20"/>
          <w:lang w:val="en-GB" w:eastAsia="en-GB"/>
        </w:rPr>
        <w:t xml:space="preserve"> were established with </w:t>
      </w:r>
      <w:proofErr w:type="gramStart"/>
      <w:r w:rsidRPr="00B7740C">
        <w:rPr>
          <w:rFonts w:ascii="Times New Roman" w:eastAsia="Times New Roman" w:hAnsi="Times New Roman"/>
          <w:sz w:val="20"/>
          <w:szCs w:val="20"/>
          <w:lang w:val="en-GB" w:eastAsia="en-GB"/>
        </w:rPr>
        <w:t>a number of</w:t>
      </w:r>
      <w:proofErr w:type="gramEnd"/>
      <w:r w:rsidRPr="00B7740C">
        <w:rPr>
          <w:rFonts w:ascii="Times New Roman" w:eastAsia="Times New Roman" w:hAnsi="Times New Roman"/>
          <w:sz w:val="20"/>
          <w:szCs w:val="20"/>
          <w:lang w:val="en-GB" w:eastAsia="en-GB"/>
        </w:rPr>
        <w:t xml:space="preserve"> other strategic partners in support of the various areas of work, including:</w:t>
      </w:r>
    </w:p>
    <w:p w14:paraId="02CBF117" w14:textId="77777777" w:rsidR="00485DFD" w:rsidRPr="00B7740C" w:rsidRDefault="00485DFD" w:rsidP="00485DFD">
      <w:pPr>
        <w:pStyle w:val="Normalnumber"/>
        <w:numPr>
          <w:ilvl w:val="1"/>
          <w:numId w:val="6"/>
        </w:numPr>
        <w:tabs>
          <w:tab w:val="clear" w:pos="567"/>
          <w:tab w:val="clear" w:pos="1247"/>
          <w:tab w:val="clear" w:pos="1814"/>
          <w:tab w:val="clear" w:pos="2381"/>
          <w:tab w:val="clear" w:pos="2948"/>
          <w:tab w:val="clear" w:pos="3515"/>
          <w:tab w:val="clear" w:pos="4082"/>
          <w:tab w:val="num" w:pos="624"/>
        </w:tabs>
        <w:ind w:firstLine="624"/>
        <w:rPr>
          <w:lang w:eastAsia="en-GB"/>
        </w:rPr>
      </w:pPr>
      <w:r w:rsidRPr="00B7740C">
        <w:rPr>
          <w:lang w:eastAsia="en-GB"/>
        </w:rPr>
        <w:t>A memorandum</w:t>
      </w:r>
      <w:r>
        <w:rPr>
          <w:lang w:eastAsia="en-GB"/>
        </w:rPr>
        <w:t xml:space="preserve"> of understanding</w:t>
      </w:r>
      <w:r w:rsidRPr="00B7740C">
        <w:rPr>
          <w:lang w:eastAsia="en-GB"/>
        </w:rPr>
        <w:t xml:space="preserve"> with Future Earth, concluded in March 2017, addressing support, inter alia, to IPBES work on assessments, on knowledge generation, and stakeholder engagement; and</w:t>
      </w:r>
    </w:p>
    <w:p w14:paraId="64ECA1BF" w14:textId="77777777" w:rsidR="00485DFD" w:rsidRDefault="00485DFD" w:rsidP="00485DFD">
      <w:pPr>
        <w:pStyle w:val="Normalnumber"/>
        <w:numPr>
          <w:ilvl w:val="1"/>
          <w:numId w:val="6"/>
        </w:numPr>
        <w:tabs>
          <w:tab w:val="clear" w:pos="567"/>
          <w:tab w:val="clear" w:pos="1247"/>
          <w:tab w:val="clear" w:pos="1814"/>
          <w:tab w:val="clear" w:pos="2381"/>
          <w:tab w:val="clear" w:pos="2948"/>
          <w:tab w:val="clear" w:pos="3515"/>
          <w:tab w:val="clear" w:pos="4082"/>
          <w:tab w:val="num" w:pos="624"/>
        </w:tabs>
        <w:ind w:firstLine="624"/>
        <w:rPr>
          <w:lang w:eastAsia="en-GB"/>
        </w:rPr>
      </w:pPr>
      <w:r w:rsidRPr="00B7740C">
        <w:rPr>
          <w:lang w:eastAsia="en-GB"/>
        </w:rPr>
        <w:t xml:space="preserve">A memorandum </w:t>
      </w:r>
      <w:r>
        <w:rPr>
          <w:lang w:eastAsia="en-GB"/>
        </w:rPr>
        <w:t xml:space="preserve">of understanding </w:t>
      </w:r>
      <w:r w:rsidRPr="00B7740C">
        <w:rPr>
          <w:lang w:eastAsia="en-GB"/>
        </w:rPr>
        <w:t>with the United Nations University Institute of Advanced Studies (UNU-IAS), concluded in July 2017, addressing support, inter alia, to IPBES work on capacity building, indigenous and local knowledge, and policy support tools.</w:t>
      </w:r>
    </w:p>
    <w:p w14:paraId="6506048A" w14:textId="77777777" w:rsidR="00485DFD" w:rsidRPr="00E3696F" w:rsidRDefault="00485DFD" w:rsidP="00485DFD">
      <w:pPr>
        <w:pStyle w:val="Normalnumber"/>
        <w:numPr>
          <w:ilvl w:val="1"/>
          <w:numId w:val="6"/>
        </w:numPr>
        <w:tabs>
          <w:tab w:val="clear" w:pos="567"/>
          <w:tab w:val="clear" w:pos="1247"/>
          <w:tab w:val="clear" w:pos="1814"/>
          <w:tab w:val="clear" w:pos="2381"/>
          <w:tab w:val="clear" w:pos="2948"/>
          <w:tab w:val="clear" w:pos="3515"/>
          <w:tab w:val="clear" w:pos="4082"/>
          <w:tab w:val="num" w:pos="624"/>
        </w:tabs>
        <w:ind w:firstLine="624"/>
        <w:rPr>
          <w:rFonts w:cs="Arial"/>
          <w:lang w:eastAsia="en-GB"/>
        </w:rPr>
      </w:pPr>
      <w:r>
        <w:rPr>
          <w:lang w:eastAsia="en-GB"/>
        </w:rPr>
        <w:t xml:space="preserve">A memorandum of understanding with the </w:t>
      </w:r>
      <w:r w:rsidRPr="00B7740C">
        <w:rPr>
          <w:lang w:eastAsia="en-GB"/>
        </w:rPr>
        <w:t>Global Biodivers</w:t>
      </w:r>
      <w:r>
        <w:rPr>
          <w:lang w:eastAsia="en-GB"/>
        </w:rPr>
        <w:t xml:space="preserve">ity Information Facility (GBIF), concluded in March 2018, </w:t>
      </w:r>
      <w:r w:rsidRPr="00B7740C">
        <w:rPr>
          <w:lang w:eastAsia="en-GB"/>
        </w:rPr>
        <w:t xml:space="preserve">addressing support, inter alia, to IPBES work on </w:t>
      </w:r>
      <w:r>
        <w:rPr>
          <w:lang w:eastAsia="en-GB"/>
        </w:rPr>
        <w:t>knowledge and data;</w:t>
      </w:r>
    </w:p>
    <w:p w14:paraId="32E8FF0C" w14:textId="01CD765A" w:rsidR="00485DFD" w:rsidRPr="00E3696F" w:rsidRDefault="00485DFD" w:rsidP="00485DFD">
      <w:pPr>
        <w:pStyle w:val="Normalnumber"/>
        <w:numPr>
          <w:ilvl w:val="1"/>
          <w:numId w:val="6"/>
        </w:numPr>
        <w:tabs>
          <w:tab w:val="clear" w:pos="567"/>
          <w:tab w:val="clear" w:pos="1247"/>
          <w:tab w:val="clear" w:pos="1814"/>
          <w:tab w:val="clear" w:pos="2381"/>
          <w:tab w:val="clear" w:pos="2948"/>
          <w:tab w:val="clear" w:pos="3515"/>
          <w:tab w:val="clear" w:pos="4082"/>
          <w:tab w:val="num" w:pos="624"/>
        </w:tabs>
        <w:ind w:firstLine="624"/>
        <w:rPr>
          <w:rFonts w:cs="Arial"/>
          <w:lang w:eastAsia="en-GB"/>
        </w:rPr>
      </w:pPr>
      <w:r>
        <w:rPr>
          <w:lang w:eastAsia="en-GB"/>
        </w:rPr>
        <w:t xml:space="preserve">A memorandum of understanding with the </w:t>
      </w:r>
      <w:r w:rsidRPr="00B7740C">
        <w:rPr>
          <w:lang w:eastAsia="en-GB"/>
        </w:rPr>
        <w:t>Inter-American Institute f</w:t>
      </w:r>
      <w:r>
        <w:rPr>
          <w:lang w:eastAsia="en-GB"/>
        </w:rPr>
        <w:t xml:space="preserve">or Global Change Research (IAI), concluded in March 2018, </w:t>
      </w:r>
      <w:r w:rsidRPr="00B7740C">
        <w:rPr>
          <w:lang w:eastAsia="en-GB"/>
        </w:rPr>
        <w:t xml:space="preserve">addressing support, inter alia, to IPBES work on </w:t>
      </w:r>
      <w:r w:rsidR="00C7661A">
        <w:rPr>
          <w:lang w:eastAsia="en-GB"/>
        </w:rPr>
        <w:br/>
      </w:r>
      <w:r>
        <w:rPr>
          <w:lang w:eastAsia="en-GB"/>
        </w:rPr>
        <w:t>capacity-building.</w:t>
      </w:r>
    </w:p>
    <w:p w14:paraId="2F8D2BD4" w14:textId="77777777" w:rsid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1820E6">
        <w:rPr>
          <w:rFonts w:ascii="Times New Roman" w:eastAsia="Times New Roman" w:hAnsi="Times New Roman"/>
          <w:sz w:val="20"/>
          <w:szCs w:val="20"/>
          <w:lang w:val="en-GB" w:eastAsia="en-GB"/>
        </w:rPr>
        <w:t xml:space="preserve">The conclusion of further partnerships, including with the </w:t>
      </w:r>
      <w:r w:rsidRPr="00B7740C">
        <w:rPr>
          <w:rFonts w:ascii="Times New Roman" w:eastAsia="Times New Roman" w:hAnsi="Times New Roman"/>
          <w:sz w:val="20"/>
          <w:szCs w:val="20"/>
          <w:lang w:val="en-GB" w:eastAsia="en-GB"/>
        </w:rPr>
        <w:t>Group on Earth Observations - Biodiversity</w:t>
      </w:r>
      <w:r w:rsidRPr="001820E6">
        <w:rPr>
          <w:rFonts w:ascii="Times New Roman" w:eastAsia="Times New Roman" w:hAnsi="Times New Roman"/>
          <w:sz w:val="20"/>
          <w:szCs w:val="20"/>
          <w:lang w:val="en-GB" w:eastAsia="en-GB"/>
        </w:rPr>
        <w:t xml:space="preserve"> Observation Network (GEO BON)</w:t>
      </w:r>
      <w:r>
        <w:rPr>
          <w:rFonts w:ascii="Times New Roman" w:eastAsia="Times New Roman" w:hAnsi="Times New Roman"/>
          <w:sz w:val="20"/>
          <w:szCs w:val="20"/>
          <w:lang w:val="en-GB" w:eastAsia="en-GB"/>
        </w:rPr>
        <w:t>,</w:t>
      </w:r>
      <w:r w:rsidRPr="001820E6">
        <w:rPr>
          <w:rFonts w:ascii="Times New Roman" w:eastAsia="Times New Roman" w:hAnsi="Times New Roman"/>
          <w:sz w:val="20"/>
          <w:szCs w:val="20"/>
          <w:lang w:val="en-GB" w:eastAsia="en-GB"/>
        </w:rPr>
        <w:t xml:space="preserve"> will be pursued in the context of the next work programme of IPBES. </w:t>
      </w:r>
    </w:p>
    <w:p w14:paraId="55D72DE5" w14:textId="77777777" w:rsidR="00485DFD" w:rsidRPr="001820E6" w:rsidRDefault="00485DFD" w:rsidP="00485DFD">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sz w:val="24"/>
          <w:szCs w:val="24"/>
          <w:lang w:val="en-GB"/>
        </w:rPr>
      </w:pPr>
      <w:bookmarkStart w:id="7" w:name="_Hlk498335569"/>
      <w:bookmarkEnd w:id="2"/>
      <w:r>
        <w:rPr>
          <w:rFonts w:ascii="Times New Roman" w:eastAsia="Times New Roman" w:hAnsi="Times New Roman"/>
          <w:b/>
          <w:sz w:val="24"/>
          <w:szCs w:val="24"/>
          <w:lang w:val="en-GB"/>
        </w:rPr>
        <w:tab/>
      </w:r>
      <w:r w:rsidRPr="001820E6">
        <w:rPr>
          <w:rFonts w:ascii="Times New Roman" w:eastAsia="Times New Roman" w:hAnsi="Times New Roman"/>
          <w:b/>
          <w:sz w:val="24"/>
          <w:szCs w:val="24"/>
          <w:lang w:val="en-GB"/>
        </w:rPr>
        <w:t xml:space="preserve">E. </w:t>
      </w:r>
      <w:r w:rsidRPr="001820E6">
        <w:rPr>
          <w:rFonts w:ascii="Times New Roman" w:eastAsia="Times New Roman" w:hAnsi="Times New Roman"/>
          <w:b/>
          <w:sz w:val="24"/>
          <w:szCs w:val="24"/>
          <w:lang w:val="en-GB"/>
        </w:rPr>
        <w:tab/>
      </w:r>
      <w:r>
        <w:rPr>
          <w:rFonts w:ascii="Times New Roman" w:eastAsia="Times New Roman" w:hAnsi="Times New Roman"/>
          <w:b/>
          <w:sz w:val="24"/>
          <w:szCs w:val="24"/>
          <w:lang w:val="en-GB"/>
        </w:rPr>
        <w:t>IPBES collaborative supporters</w:t>
      </w:r>
    </w:p>
    <w:p w14:paraId="3B0887C7" w14:textId="77777777" w:rsid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The guidance on the development of strategic partnerships and other collaborative arrangements approved by the Plenary in decision IPBES-3/4 (annex III) highlights as part of the activities in which IPBES may engage with a broader set of entities “recognizing what others produce or do as contributions to the Platform”; “promoting cooperation and coordination among organizations” and “informing and potentially influencing the priorities of others”. </w:t>
      </w:r>
    </w:p>
    <w:p w14:paraId="514DB21C" w14:textId="794072A2" w:rsidR="00485DFD"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 xml:space="preserve">The latter two activities were implemented mainly through the IPBES work on </w:t>
      </w:r>
      <w:r>
        <w:rPr>
          <w:rFonts w:ascii="Times New Roman" w:eastAsia="Times New Roman" w:hAnsi="Times New Roman"/>
          <w:sz w:val="20"/>
          <w:szCs w:val="20"/>
          <w:lang w:val="en-GB" w:eastAsia="en-GB"/>
        </w:rPr>
        <w:br/>
        <w:t xml:space="preserve">capacity-building, and specifically in the implementation of the IPBES capacity-building rolling plan and through the IPBES forum (see document IPBES/7/INF/7 and addendum for more information). </w:t>
      </w:r>
    </w:p>
    <w:p w14:paraId="2CB6CDB1" w14:textId="77777777" w:rsidR="00485DFD" w:rsidRPr="00B7740C" w:rsidRDefault="00485DFD" w:rsidP="00485DFD">
      <w:pPr>
        <w:numPr>
          <w:ilvl w:val="0"/>
          <w:numId w:val="6"/>
        </w:numPr>
        <w:tabs>
          <w:tab w:val="clear" w:pos="567"/>
          <w:tab w:val="num" w:pos="624"/>
        </w:tabs>
        <w:spacing w:after="120" w:line="240" w:lineRule="auto"/>
        <w:rPr>
          <w:rFonts w:ascii="Times New Roman" w:eastAsia="Times New Roman" w:hAnsi="Times New Roman"/>
          <w:sz w:val="20"/>
          <w:szCs w:val="20"/>
          <w:lang w:val="en-GB" w:eastAsia="en-GB"/>
        </w:rPr>
      </w:pPr>
      <w:r w:rsidRPr="00BD20BF">
        <w:rPr>
          <w:rFonts w:ascii="Times New Roman" w:eastAsia="Times New Roman" w:hAnsi="Times New Roman"/>
          <w:sz w:val="20"/>
          <w:szCs w:val="20"/>
          <w:lang w:val="en-GB" w:eastAsia="en-GB"/>
        </w:rPr>
        <w:t xml:space="preserve">To recognize the work of other entities that are supporting the work of the Platform, the Bureau has piloted a process where the IPBES task forces, based on calls for contributions, propose to the Bureau for endorsement a list of potential “IPBES collaborative supporters”. After endorsement by the Bureau, the entities and their supportive activities are listed on the IPBES website at </w:t>
      </w:r>
      <w:hyperlink r:id="rId14" w:history="1">
        <w:r w:rsidRPr="00E64F4D">
          <w:rPr>
            <w:rStyle w:val="Hyperlink"/>
            <w:lang w:val="en-GB"/>
          </w:rPr>
          <w:t>https://www.ipbes.net/collaborative-supporters</w:t>
        </w:r>
      </w:hyperlink>
      <w:r w:rsidRPr="00BD20BF">
        <w:rPr>
          <w:rFonts w:ascii="Times New Roman" w:eastAsia="Times New Roman" w:hAnsi="Times New Roman"/>
          <w:sz w:val="20"/>
          <w:szCs w:val="20"/>
          <w:lang w:val="en-GB" w:eastAsia="en-GB"/>
        </w:rPr>
        <w:t xml:space="preserve"> in acknowledgement of their crucial </w:t>
      </w:r>
      <w:r>
        <w:rPr>
          <w:rFonts w:ascii="Times New Roman" w:eastAsia="Times New Roman" w:hAnsi="Times New Roman"/>
          <w:sz w:val="20"/>
          <w:szCs w:val="20"/>
          <w:lang w:val="en-GB" w:eastAsia="en-GB"/>
        </w:rPr>
        <w:t>support</w:t>
      </w:r>
      <w:r w:rsidRPr="00BD20BF">
        <w:rPr>
          <w:rFonts w:ascii="Times New Roman" w:eastAsia="Times New Roman" w:hAnsi="Times New Roman"/>
          <w:sz w:val="20"/>
          <w:szCs w:val="20"/>
          <w:lang w:val="en-GB" w:eastAsia="en-GB"/>
        </w:rPr>
        <w:t xml:space="preserve"> to achieving the objective of IPBES. </w:t>
      </w:r>
      <w:bookmarkEnd w:id="7"/>
    </w:p>
    <w:p w14:paraId="20CA7A46" w14:textId="77777777" w:rsidR="00485DFD" w:rsidRPr="009379B9" w:rsidRDefault="00485DFD" w:rsidP="00485DFD">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14:paraId="78E998AD" w14:textId="77777777" w:rsidTr="005F06C5">
        <w:tc>
          <w:tcPr>
            <w:tcW w:w="1897" w:type="dxa"/>
          </w:tcPr>
          <w:p w14:paraId="536F2DF2" w14:textId="77777777" w:rsidR="005F06C5" w:rsidRDefault="005F06C5" w:rsidP="00485DFD">
            <w:pPr>
              <w:pStyle w:val="Normal-pool"/>
              <w:spacing w:before="520" w:after="0"/>
            </w:pPr>
          </w:p>
        </w:tc>
        <w:tc>
          <w:tcPr>
            <w:tcW w:w="1897" w:type="dxa"/>
          </w:tcPr>
          <w:p w14:paraId="6B427374" w14:textId="77777777" w:rsidR="005F06C5" w:rsidRDefault="005F06C5" w:rsidP="00485DFD">
            <w:pPr>
              <w:pStyle w:val="Normal-pool"/>
              <w:spacing w:before="520" w:after="0"/>
            </w:pPr>
          </w:p>
        </w:tc>
        <w:tc>
          <w:tcPr>
            <w:tcW w:w="1897" w:type="dxa"/>
            <w:tcBorders>
              <w:bottom w:val="single" w:sz="4" w:space="0" w:color="auto"/>
            </w:tcBorders>
          </w:tcPr>
          <w:p w14:paraId="6F542179" w14:textId="77777777" w:rsidR="005F06C5" w:rsidRDefault="005F06C5" w:rsidP="00485DFD">
            <w:pPr>
              <w:pStyle w:val="Normal-pool"/>
              <w:spacing w:before="520" w:after="0"/>
            </w:pPr>
          </w:p>
        </w:tc>
        <w:tc>
          <w:tcPr>
            <w:tcW w:w="1897" w:type="dxa"/>
          </w:tcPr>
          <w:p w14:paraId="09951460" w14:textId="77777777" w:rsidR="005F06C5" w:rsidRDefault="005F06C5" w:rsidP="00485DFD">
            <w:pPr>
              <w:pStyle w:val="Normal-pool"/>
              <w:spacing w:before="520" w:after="0"/>
            </w:pPr>
          </w:p>
        </w:tc>
        <w:tc>
          <w:tcPr>
            <w:tcW w:w="1898" w:type="dxa"/>
          </w:tcPr>
          <w:p w14:paraId="373B4C44" w14:textId="77777777" w:rsidR="005F06C5" w:rsidRDefault="005F06C5" w:rsidP="00485DFD">
            <w:pPr>
              <w:pStyle w:val="Normal-pool"/>
              <w:spacing w:before="520" w:after="0"/>
            </w:pPr>
          </w:p>
        </w:tc>
      </w:tr>
    </w:tbl>
    <w:p w14:paraId="2347FEAD" w14:textId="77777777" w:rsidR="00396929" w:rsidRPr="00A4175F" w:rsidRDefault="00396929" w:rsidP="005F06C5">
      <w:pPr>
        <w:pStyle w:val="Normal-pool"/>
      </w:pPr>
    </w:p>
    <w:sectPr w:rsidR="00396929" w:rsidRPr="00A4175F" w:rsidSect="006E6722">
      <w:headerReference w:type="even" r:id="rId15"/>
      <w:headerReference w:type="default" r:id="rId16"/>
      <w:footerReference w:type="even" r:id="rId17"/>
      <w:footerReference w:type="defaul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2D22" w14:textId="77777777" w:rsidR="008A21CE" w:rsidRDefault="008A21CE">
      <w:r>
        <w:separator/>
      </w:r>
    </w:p>
  </w:endnote>
  <w:endnote w:type="continuationSeparator" w:id="0">
    <w:p w14:paraId="759639CD" w14:textId="77777777" w:rsidR="008A21CE" w:rsidRDefault="008A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600F951F" w:rsidR="00123699" w:rsidRDefault="00123699" w:rsidP="00485DFD">
    <w:pPr>
      <w:pStyle w:val="Normal-pool"/>
    </w:pPr>
    <w:r>
      <w:rPr>
        <w:rStyle w:val="PageNumber"/>
      </w:rPr>
      <w:fldChar w:fldCharType="begin"/>
    </w:r>
    <w:r>
      <w:rPr>
        <w:rStyle w:val="PageNumber"/>
      </w:rPr>
      <w:instrText xml:space="preserve"> PAGE </w:instrText>
    </w:r>
    <w:r>
      <w:rPr>
        <w:rStyle w:val="PageNumber"/>
      </w:rPr>
      <w:fldChar w:fldCharType="separate"/>
    </w:r>
    <w:r w:rsidR="00B01102">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7E8B562D" w:rsidR="00123699" w:rsidRDefault="00123699" w:rsidP="00485DFD">
    <w:pPr>
      <w:pStyle w:val="Normal-pool"/>
      <w:jc w:val="right"/>
    </w:pPr>
    <w:r>
      <w:rPr>
        <w:rStyle w:val="PageNumber"/>
      </w:rPr>
      <w:fldChar w:fldCharType="begin"/>
    </w:r>
    <w:r>
      <w:rPr>
        <w:rStyle w:val="PageNumber"/>
      </w:rPr>
      <w:instrText xml:space="preserve"> PAGE </w:instrText>
    </w:r>
    <w:r>
      <w:rPr>
        <w:rStyle w:val="PageNumber"/>
      </w:rPr>
      <w:fldChar w:fldCharType="separate"/>
    </w:r>
    <w:r w:rsidR="00B01102">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423BCD7A" w:rsidR="005F06C5" w:rsidRDefault="00471270" w:rsidP="005F06C5">
    <w:pPr>
      <w:pStyle w:val="Normal-pool"/>
      <w:tabs>
        <w:tab w:val="clear" w:pos="1247"/>
        <w:tab w:val="clear" w:pos="1814"/>
        <w:tab w:val="clear" w:pos="2381"/>
        <w:tab w:val="clear" w:pos="2948"/>
        <w:tab w:val="clear" w:pos="3515"/>
        <w:tab w:val="clear" w:pos="4082"/>
        <w:tab w:val="left" w:pos="624"/>
      </w:tabs>
      <w:spacing w:before="60" w:after="120"/>
    </w:pPr>
    <w:r>
      <w:t>K</w:t>
    </w:r>
    <w:r w:rsidR="00485DFD">
      <w:t>1900793</w:t>
    </w:r>
    <w:r>
      <w:tab/>
    </w:r>
    <w:r w:rsidR="00B513F7">
      <w:t>18</w:t>
    </w:r>
    <w:r w:rsidR="00485DFD">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6BE9" w14:textId="77777777" w:rsidR="008A21CE" w:rsidRDefault="008A21CE" w:rsidP="00485DFD">
      <w:pPr>
        <w:pStyle w:val="Normal-pool"/>
        <w:spacing w:after="120"/>
        <w:ind w:left="624"/>
      </w:pPr>
      <w:r>
        <w:separator/>
      </w:r>
    </w:p>
  </w:footnote>
  <w:footnote w:type="continuationSeparator" w:id="0">
    <w:p w14:paraId="039031E6" w14:textId="77777777" w:rsidR="008A21CE" w:rsidRDefault="008A21CE" w:rsidP="00485DFD">
      <w:pPr>
        <w:pStyle w:val="Normal-pool"/>
        <w:spacing w:before="120"/>
        <w:ind w:left="624"/>
      </w:pPr>
      <w:r>
        <w:continuationSeparator/>
      </w:r>
    </w:p>
  </w:footnote>
  <w:footnote w:id="1">
    <w:p w14:paraId="35A2AF55" w14:textId="77777777" w:rsidR="00485DFD" w:rsidRDefault="00485DFD" w:rsidP="00485DFD">
      <w:pPr>
        <w:pStyle w:val="NormalNonumber"/>
        <w:tabs>
          <w:tab w:val="left" w:pos="624"/>
        </w:tabs>
        <w:spacing w:before="20" w:after="40"/>
        <w:rPr>
          <w:szCs w:val="18"/>
          <w:lang w:val="en-US"/>
        </w:rPr>
      </w:pPr>
      <w:r w:rsidRPr="00B513F7">
        <w:rPr>
          <w:rStyle w:val="FootnoteReference"/>
          <w:sz w:val="18"/>
          <w:vertAlign w:val="baseline"/>
        </w:rPr>
        <w:t>*</w:t>
      </w:r>
      <w:r w:rsidRPr="00B513F7">
        <w:rPr>
          <w:sz w:val="18"/>
          <w:szCs w:val="18"/>
        </w:rPr>
        <w:t xml:space="preserve"> IPBES/7/1/Rev.1.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611672E6" w:rsidR="00123699" w:rsidRPr="00485DFD" w:rsidRDefault="00485DFD" w:rsidP="00485DFD">
    <w:pPr>
      <w:pStyle w:val="Normal-pool"/>
      <w:pBdr>
        <w:bottom w:val="single" w:sz="4" w:space="1" w:color="auto"/>
      </w:pBdr>
      <w:rPr>
        <w:b/>
        <w:sz w:val="18"/>
        <w:szCs w:val="18"/>
      </w:rPr>
    </w:pPr>
    <w:r w:rsidRPr="00485DFD">
      <w:rPr>
        <w:b/>
        <w:sz w:val="18"/>
        <w:szCs w:val="18"/>
      </w:rPr>
      <w:t>IPBES/7/INF/15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10302ABD" w:rsidR="00123699" w:rsidRPr="00485DFD" w:rsidRDefault="00485DFD" w:rsidP="00485DFD">
    <w:pPr>
      <w:pStyle w:val="Normal-pool"/>
      <w:pBdr>
        <w:bottom w:val="single" w:sz="4" w:space="1" w:color="auto"/>
      </w:pBdr>
      <w:jc w:val="right"/>
      <w:rPr>
        <w:b/>
        <w:sz w:val="18"/>
        <w:szCs w:val="18"/>
      </w:rPr>
    </w:pPr>
    <w:r w:rsidRPr="00485DFD">
      <w:rPr>
        <w:b/>
        <w:sz w:val="18"/>
        <w:szCs w:val="18"/>
      </w:rPr>
      <w:t>IPBES/7/INF/15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22A6DE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num>
  <w:num w:numId="5">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35EF1"/>
    <w:rsid w:val="000509B4"/>
    <w:rsid w:val="0006035B"/>
    <w:rsid w:val="00065148"/>
    <w:rsid w:val="00065E8E"/>
    <w:rsid w:val="00071886"/>
    <w:rsid w:val="000742BC"/>
    <w:rsid w:val="00082A0C"/>
    <w:rsid w:val="00083504"/>
    <w:rsid w:val="0009640C"/>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8707C"/>
    <w:rsid w:val="00195F33"/>
    <w:rsid w:val="001A1536"/>
    <w:rsid w:val="001B1617"/>
    <w:rsid w:val="001B4B67"/>
    <w:rsid w:val="001B504B"/>
    <w:rsid w:val="001D3874"/>
    <w:rsid w:val="001D7E75"/>
    <w:rsid w:val="001E56D2"/>
    <w:rsid w:val="001E7D56"/>
    <w:rsid w:val="001F75DE"/>
    <w:rsid w:val="00200D58"/>
    <w:rsid w:val="002013BE"/>
    <w:rsid w:val="002063A4"/>
    <w:rsid w:val="0021145B"/>
    <w:rsid w:val="00243D36"/>
    <w:rsid w:val="00244AB2"/>
    <w:rsid w:val="00247707"/>
    <w:rsid w:val="0026018E"/>
    <w:rsid w:val="00286740"/>
    <w:rsid w:val="002874CC"/>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6862"/>
    <w:rsid w:val="0031413F"/>
    <w:rsid w:val="003148BB"/>
    <w:rsid w:val="003172D2"/>
    <w:rsid w:val="00317976"/>
    <w:rsid w:val="00355EA9"/>
    <w:rsid w:val="003578DE"/>
    <w:rsid w:val="00396257"/>
    <w:rsid w:val="00396929"/>
    <w:rsid w:val="00397EB8"/>
    <w:rsid w:val="003A4FD0"/>
    <w:rsid w:val="003A69D1"/>
    <w:rsid w:val="003A7705"/>
    <w:rsid w:val="003A77F1"/>
    <w:rsid w:val="003B1545"/>
    <w:rsid w:val="003C409D"/>
    <w:rsid w:val="003C5BA6"/>
    <w:rsid w:val="003C6ABD"/>
    <w:rsid w:val="003F0E85"/>
    <w:rsid w:val="00410C55"/>
    <w:rsid w:val="00412AFD"/>
    <w:rsid w:val="00416854"/>
    <w:rsid w:val="00417725"/>
    <w:rsid w:val="00437F26"/>
    <w:rsid w:val="00444097"/>
    <w:rsid w:val="00445487"/>
    <w:rsid w:val="00454769"/>
    <w:rsid w:val="00455FD3"/>
    <w:rsid w:val="00466991"/>
    <w:rsid w:val="0047064C"/>
    <w:rsid w:val="00471270"/>
    <w:rsid w:val="00485DFD"/>
    <w:rsid w:val="004A345B"/>
    <w:rsid w:val="004A42E1"/>
    <w:rsid w:val="004B162C"/>
    <w:rsid w:val="004C3DBE"/>
    <w:rsid w:val="004C5C96"/>
    <w:rsid w:val="004D06A4"/>
    <w:rsid w:val="004F1A81"/>
    <w:rsid w:val="005218D9"/>
    <w:rsid w:val="00536186"/>
    <w:rsid w:val="00544CBB"/>
    <w:rsid w:val="0057315F"/>
    <w:rsid w:val="00576104"/>
    <w:rsid w:val="005A1727"/>
    <w:rsid w:val="005B29A0"/>
    <w:rsid w:val="005C67C8"/>
    <w:rsid w:val="005D0249"/>
    <w:rsid w:val="005D6E8C"/>
    <w:rsid w:val="005F06C5"/>
    <w:rsid w:val="005F100C"/>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76F2"/>
    <w:rsid w:val="006C10B1"/>
    <w:rsid w:val="006D7EFB"/>
    <w:rsid w:val="006E6672"/>
    <w:rsid w:val="006E6722"/>
    <w:rsid w:val="007027B9"/>
    <w:rsid w:val="00715E88"/>
    <w:rsid w:val="00734CAA"/>
    <w:rsid w:val="0075533C"/>
    <w:rsid w:val="00757581"/>
    <w:rsid w:val="007611A0"/>
    <w:rsid w:val="00764A22"/>
    <w:rsid w:val="00796D3F"/>
    <w:rsid w:val="007A1683"/>
    <w:rsid w:val="007A5C12"/>
    <w:rsid w:val="007A7CB0"/>
    <w:rsid w:val="007B68A3"/>
    <w:rsid w:val="007C2541"/>
    <w:rsid w:val="007D66A8"/>
    <w:rsid w:val="007D792B"/>
    <w:rsid w:val="007E003F"/>
    <w:rsid w:val="0081058C"/>
    <w:rsid w:val="008164F2"/>
    <w:rsid w:val="00821395"/>
    <w:rsid w:val="00830E26"/>
    <w:rsid w:val="00843576"/>
    <w:rsid w:val="00843B64"/>
    <w:rsid w:val="008478FC"/>
    <w:rsid w:val="00867BFF"/>
    <w:rsid w:val="0088480A"/>
    <w:rsid w:val="0088757A"/>
    <w:rsid w:val="008957DD"/>
    <w:rsid w:val="00897D98"/>
    <w:rsid w:val="008A21CE"/>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F19"/>
    <w:rsid w:val="00A1348D"/>
    <w:rsid w:val="00A232EE"/>
    <w:rsid w:val="00A4175F"/>
    <w:rsid w:val="00A44411"/>
    <w:rsid w:val="00A469FA"/>
    <w:rsid w:val="00A55B01"/>
    <w:rsid w:val="00A56B5B"/>
    <w:rsid w:val="00A603FF"/>
    <w:rsid w:val="00A61816"/>
    <w:rsid w:val="00A653CB"/>
    <w:rsid w:val="00A657DD"/>
    <w:rsid w:val="00A666A6"/>
    <w:rsid w:val="00A675FD"/>
    <w:rsid w:val="00A72437"/>
    <w:rsid w:val="00A73C3E"/>
    <w:rsid w:val="00A80611"/>
    <w:rsid w:val="00AA057B"/>
    <w:rsid w:val="00AB5340"/>
    <w:rsid w:val="00AC0A89"/>
    <w:rsid w:val="00AC6D61"/>
    <w:rsid w:val="00AC7C96"/>
    <w:rsid w:val="00AE237D"/>
    <w:rsid w:val="00AE502A"/>
    <w:rsid w:val="00AF7C07"/>
    <w:rsid w:val="00B01102"/>
    <w:rsid w:val="00B1147B"/>
    <w:rsid w:val="00B22C93"/>
    <w:rsid w:val="00B27589"/>
    <w:rsid w:val="00B405B7"/>
    <w:rsid w:val="00B513F7"/>
    <w:rsid w:val="00B52222"/>
    <w:rsid w:val="00B54FE7"/>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7661A"/>
    <w:rsid w:val="00C84759"/>
    <w:rsid w:val="00C84AD2"/>
    <w:rsid w:val="00CA22CD"/>
    <w:rsid w:val="00CA6C7F"/>
    <w:rsid w:val="00CC10A6"/>
    <w:rsid w:val="00CD5EB8"/>
    <w:rsid w:val="00CD7044"/>
    <w:rsid w:val="00CE08B9"/>
    <w:rsid w:val="00CE404F"/>
    <w:rsid w:val="00CE524C"/>
    <w:rsid w:val="00CF141F"/>
    <w:rsid w:val="00CF4777"/>
    <w:rsid w:val="00D067BB"/>
    <w:rsid w:val="00D1352A"/>
    <w:rsid w:val="00D169AF"/>
    <w:rsid w:val="00D25249"/>
    <w:rsid w:val="00D3401D"/>
    <w:rsid w:val="00D41CFF"/>
    <w:rsid w:val="00D44172"/>
    <w:rsid w:val="00D63B8C"/>
    <w:rsid w:val="00D739CC"/>
    <w:rsid w:val="00D8093D"/>
    <w:rsid w:val="00D8108C"/>
    <w:rsid w:val="00D842AE"/>
    <w:rsid w:val="00D9211C"/>
    <w:rsid w:val="00D92DE0"/>
    <w:rsid w:val="00D92FEF"/>
    <w:rsid w:val="00D93A0F"/>
    <w:rsid w:val="00DA1BCA"/>
    <w:rsid w:val="00DA3EA9"/>
    <w:rsid w:val="00DB5076"/>
    <w:rsid w:val="00DC1A57"/>
    <w:rsid w:val="00DC46FF"/>
    <w:rsid w:val="00DC5254"/>
    <w:rsid w:val="00DD1A4F"/>
    <w:rsid w:val="00DD3107"/>
    <w:rsid w:val="00DD7C2C"/>
    <w:rsid w:val="00DF1E4C"/>
    <w:rsid w:val="00E06797"/>
    <w:rsid w:val="00E1265B"/>
    <w:rsid w:val="00E13B48"/>
    <w:rsid w:val="00E1404F"/>
    <w:rsid w:val="00E21C83"/>
    <w:rsid w:val="00E21F4C"/>
    <w:rsid w:val="00E24ADA"/>
    <w:rsid w:val="00E32F59"/>
    <w:rsid w:val="00E46D9A"/>
    <w:rsid w:val="00E565FF"/>
    <w:rsid w:val="00E64F4D"/>
    <w:rsid w:val="00E65388"/>
    <w:rsid w:val="00E76AD2"/>
    <w:rsid w:val="00E85B7D"/>
    <w:rsid w:val="00E9121B"/>
    <w:rsid w:val="00E92EA3"/>
    <w:rsid w:val="00EA0AE2"/>
    <w:rsid w:val="00EA39E5"/>
    <w:rsid w:val="00EB3227"/>
    <w:rsid w:val="00EC5A46"/>
    <w:rsid w:val="00EC63E2"/>
    <w:rsid w:val="00EF22B3"/>
    <w:rsid w:val="00F03B69"/>
    <w:rsid w:val="00F07A50"/>
    <w:rsid w:val="00F113DA"/>
    <w:rsid w:val="00F277EB"/>
    <w:rsid w:val="00F37DC8"/>
    <w:rsid w:val="00F439B3"/>
    <w:rsid w:val="00F650C3"/>
    <w:rsid w:val="00F65D85"/>
    <w:rsid w:val="00F8091E"/>
    <w:rsid w:val="00F8615C"/>
    <w:rsid w:val="00F874E0"/>
    <w:rsid w:val="00F969E5"/>
    <w:rsid w:val="00FA6BB0"/>
    <w:rsid w:val="00FB7D55"/>
    <w:rsid w:val="00FC0D95"/>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485DFD"/>
    <w:rPr>
      <w:lang w:eastAsia="en-US"/>
    </w:rPr>
  </w:style>
  <w:style w:type="character" w:customStyle="1" w:styleId="CH2Char">
    <w:name w:val="CH2 Char"/>
    <w:link w:val="CH2"/>
    <w:locked/>
    <w:rsid w:val="00485DFD"/>
    <w:rPr>
      <w:b/>
      <w:sz w:val="24"/>
      <w:szCs w:val="24"/>
      <w:lang w:eastAsia="en-US"/>
    </w:rPr>
  </w:style>
  <w:style w:type="table" w:customStyle="1" w:styleId="TableGrid1">
    <w:name w:val="Table Grid1"/>
    <w:basedOn w:val="TableNormal"/>
    <w:next w:val="TableGrid"/>
    <w:uiPriority w:val="99"/>
    <w:rsid w:val="00485DFD"/>
    <w:rPr>
      <w:rFonts w:ascii="Calibri" w:eastAsia="MS Mincho"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bes.net/collaborative-supporte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5517E-5309-41E2-AB43-F3C5DDC74FF7}">
  <ds:schemaRefs>
    <ds:schemaRef ds:uri="http://schemas.openxmlformats.org/officeDocument/2006/bibliography"/>
  </ds:schemaRefs>
</ds:datastoreItem>
</file>

<file path=customXml/itemProps2.xml><?xml version="1.0" encoding="utf-8"?>
<ds:datastoreItem xmlns:ds="http://schemas.openxmlformats.org/officeDocument/2006/customXml" ds:itemID="{3BA71B0F-A6ED-4702-9F73-4B18546B86E3}"/>
</file>

<file path=customXml/itemProps3.xml><?xml version="1.0" encoding="utf-8"?>
<ds:datastoreItem xmlns:ds="http://schemas.openxmlformats.org/officeDocument/2006/customXml" ds:itemID="{806366AF-52A7-4D0B-BF04-370E711A6E51}"/>
</file>

<file path=customXml/itemProps4.xml><?xml version="1.0" encoding="utf-8"?>
<ds:datastoreItem xmlns:ds="http://schemas.openxmlformats.org/officeDocument/2006/customXml" ds:itemID="{2D0DCDBC-3E1F-4A09-AA11-156AF6919D6B}"/>
</file>

<file path=docProps/app.xml><?xml version="1.0" encoding="utf-8"?>
<Properties xmlns="http://schemas.openxmlformats.org/officeDocument/2006/extended-properties" xmlns:vt="http://schemas.openxmlformats.org/officeDocument/2006/docPropsVTypes">
  <Template>Normal</Template>
  <TotalTime>0</TotalTime>
  <Pages>6</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2019-03-18T06:17:00Z</cp:lastPrinted>
  <dcterms:created xsi:type="dcterms:W3CDTF">2019-03-18T16:15:00Z</dcterms:created>
  <dcterms:modified xsi:type="dcterms:W3CDTF">2019-03-18T16:15:00Z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