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8034CE" w:rsidRPr="008C00D6" w14:paraId="037BF4F6" w14:textId="77777777" w:rsidTr="005E4BBB">
        <w:trPr>
          <w:cantSplit/>
          <w:trHeight w:val="1079"/>
          <w:jc w:val="right"/>
        </w:trPr>
        <w:tc>
          <w:tcPr>
            <w:tcW w:w="1526" w:type="dxa"/>
          </w:tcPr>
          <w:p w14:paraId="01A5EC7E" w14:textId="77777777" w:rsidR="008034CE" w:rsidRPr="00024C14" w:rsidRDefault="008034CE" w:rsidP="00024C14">
            <w:pPr>
              <w:pStyle w:val="Normal-pool"/>
              <w:rPr>
                <w:rFonts w:ascii="Arial" w:hAnsi="Arial" w:cs="Arial"/>
                <w:b/>
                <w:sz w:val="27"/>
                <w:szCs w:val="27"/>
              </w:rPr>
            </w:pPr>
            <w:bookmarkStart w:id="0" w:name="_GoBack"/>
            <w:bookmarkEnd w:id="0"/>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556E519F" w14:textId="77777777" w:rsidR="008034CE" w:rsidRPr="0081483A" w:rsidRDefault="008034CE" w:rsidP="001B6CA5">
            <w:pPr>
              <w:pStyle w:val="Normal-pool"/>
              <w:ind w:left="-108"/>
              <w:jc w:val="both"/>
            </w:pPr>
            <w:r w:rsidRPr="0060577D">
              <w:rPr>
                <w:noProof/>
                <w:lang w:eastAsia="en-GB"/>
              </w:rPr>
              <w:drawing>
                <wp:inline distT="0" distB="0" distL="0" distR="0" wp14:anchorId="7E3EC16A" wp14:editId="488EF7EB">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043E3548" w14:textId="77777777" w:rsidR="008034CE" w:rsidRPr="0081483A" w:rsidRDefault="008034CE" w:rsidP="001B6CA5">
            <w:pPr>
              <w:pStyle w:val="Normal-pool"/>
              <w:ind w:left="-108"/>
            </w:pPr>
            <w:r w:rsidRPr="005E4BBB">
              <w:rPr>
                <w:noProof/>
                <w:lang w:eastAsia="en-GB"/>
              </w:rPr>
              <w:drawing>
                <wp:inline distT="0" distB="0" distL="0" distR="0" wp14:anchorId="2FC9C851" wp14:editId="6B168C03">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618EB50A" w14:textId="77777777" w:rsidR="008034CE" w:rsidRPr="0081483A" w:rsidRDefault="008034CE" w:rsidP="001B6CA5">
            <w:pPr>
              <w:pStyle w:val="Normal-pool"/>
              <w:ind w:left="-108"/>
            </w:pPr>
            <w:r w:rsidRPr="005E4BBB">
              <w:rPr>
                <w:noProof/>
                <w:lang w:eastAsia="en-GB"/>
              </w:rPr>
              <w:drawing>
                <wp:inline distT="0" distB="0" distL="0" distR="0" wp14:anchorId="5B063EF5" wp14:editId="19AA1E30">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3AC42F14" w14:textId="77777777" w:rsidR="008034CE" w:rsidRPr="0081483A" w:rsidRDefault="008034CE" w:rsidP="001B6CA5">
            <w:pPr>
              <w:pStyle w:val="Normal-pool"/>
              <w:ind w:left="-108"/>
            </w:pPr>
            <w:r w:rsidRPr="005E4BBB">
              <w:rPr>
                <w:noProof/>
                <w:lang w:eastAsia="en-GB"/>
              </w:rPr>
              <w:drawing>
                <wp:inline distT="0" distB="0" distL="0" distR="0" wp14:anchorId="2E54E178" wp14:editId="095A7DC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134EE211" w14:textId="77777777" w:rsidR="008034CE" w:rsidRPr="0081483A" w:rsidRDefault="008034CE" w:rsidP="00024C14">
            <w:pPr>
              <w:pStyle w:val="Normal-pool"/>
            </w:pPr>
            <w:r w:rsidRPr="005E4BBB">
              <w:rPr>
                <w:noProof/>
                <w:lang w:eastAsia="en-GB"/>
              </w:rPr>
              <w:drawing>
                <wp:inline distT="0" distB="0" distL="0" distR="0" wp14:anchorId="6F9721B0" wp14:editId="13F44F3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54436ACF" w14:textId="77777777" w:rsidR="008034CE" w:rsidRPr="0081483A" w:rsidRDefault="008034CE" w:rsidP="00024C14">
            <w:pPr>
              <w:pStyle w:val="Normal-pool"/>
            </w:pPr>
          </w:p>
        </w:tc>
        <w:tc>
          <w:tcPr>
            <w:tcW w:w="1666" w:type="dxa"/>
          </w:tcPr>
          <w:p w14:paraId="39656FBA" w14:textId="77777777" w:rsidR="008034CE" w:rsidRPr="00024C14" w:rsidRDefault="008034CE" w:rsidP="00024C14">
            <w:pPr>
              <w:pStyle w:val="Normal-pool"/>
              <w:rPr>
                <w:rFonts w:ascii="Arial" w:hAnsi="Arial" w:cs="Arial"/>
                <w:b/>
                <w:sz w:val="64"/>
                <w:szCs w:val="64"/>
              </w:rPr>
            </w:pPr>
            <w:r w:rsidRPr="00024C14">
              <w:rPr>
                <w:rFonts w:ascii="Arial" w:hAnsi="Arial" w:cs="Arial"/>
                <w:b/>
                <w:sz w:val="64"/>
                <w:szCs w:val="64"/>
              </w:rPr>
              <w:t>BES</w:t>
            </w:r>
          </w:p>
        </w:tc>
      </w:tr>
      <w:tr w:rsidR="008034CE" w:rsidRPr="008C00D6" w14:paraId="60915CEC" w14:textId="77777777" w:rsidTr="005E4BBB">
        <w:trPr>
          <w:cantSplit/>
          <w:trHeight w:val="282"/>
          <w:jc w:val="right"/>
        </w:trPr>
        <w:tc>
          <w:tcPr>
            <w:tcW w:w="1526" w:type="dxa"/>
            <w:tcBorders>
              <w:bottom w:val="single" w:sz="2" w:space="0" w:color="auto"/>
            </w:tcBorders>
          </w:tcPr>
          <w:p w14:paraId="4571324C" w14:textId="77777777" w:rsidR="008034CE" w:rsidRPr="0081483A" w:rsidRDefault="008034CE" w:rsidP="00024C14">
            <w:pPr>
              <w:pStyle w:val="Normal-pool"/>
              <w:rPr>
                <w:noProof/>
              </w:rPr>
            </w:pPr>
          </w:p>
        </w:tc>
        <w:tc>
          <w:tcPr>
            <w:tcW w:w="5953" w:type="dxa"/>
            <w:gridSpan w:val="6"/>
            <w:tcBorders>
              <w:bottom w:val="single" w:sz="2" w:space="0" w:color="auto"/>
            </w:tcBorders>
          </w:tcPr>
          <w:p w14:paraId="22A3588A" w14:textId="77777777" w:rsidR="008034CE" w:rsidRPr="00EA5E72" w:rsidRDefault="008034CE" w:rsidP="00024C14">
            <w:pPr>
              <w:pStyle w:val="Normal-pool"/>
              <w:rPr>
                <w:sz w:val="24"/>
                <w:szCs w:val="24"/>
              </w:rPr>
            </w:pPr>
          </w:p>
        </w:tc>
        <w:tc>
          <w:tcPr>
            <w:tcW w:w="2233" w:type="dxa"/>
            <w:gridSpan w:val="2"/>
            <w:tcBorders>
              <w:bottom w:val="single" w:sz="2" w:space="0" w:color="auto"/>
            </w:tcBorders>
          </w:tcPr>
          <w:p w14:paraId="6F88722F" w14:textId="77777777" w:rsidR="008034CE" w:rsidRPr="00EA5E72" w:rsidRDefault="008034CE" w:rsidP="00024C14">
            <w:pPr>
              <w:pStyle w:val="Normal-pool"/>
              <w:rPr>
                <w:sz w:val="24"/>
                <w:szCs w:val="24"/>
              </w:rPr>
            </w:pPr>
            <w:r w:rsidRPr="001B6CA5">
              <w:rPr>
                <w:b/>
                <w:sz w:val="24"/>
                <w:szCs w:val="24"/>
              </w:rPr>
              <w:t>IPBES</w:t>
            </w:r>
            <w:r w:rsidR="007E2B3C" w:rsidRPr="00024C14">
              <w:t>/</w:t>
            </w:r>
            <w:r w:rsidR="007E2B3C">
              <w:t>6</w:t>
            </w:r>
            <w:r w:rsidR="006B503A">
              <w:t>/</w:t>
            </w:r>
            <w:r w:rsidR="00D27057">
              <w:t>8</w:t>
            </w:r>
          </w:p>
        </w:tc>
      </w:tr>
      <w:tr w:rsidR="008034CE" w:rsidRPr="008C00D6" w14:paraId="76D949BF" w14:textId="77777777" w:rsidTr="005E4BBB">
        <w:trPr>
          <w:cantSplit/>
          <w:trHeight w:val="1433"/>
          <w:jc w:val="right"/>
        </w:trPr>
        <w:tc>
          <w:tcPr>
            <w:tcW w:w="2009" w:type="dxa"/>
            <w:gridSpan w:val="2"/>
            <w:tcBorders>
              <w:top w:val="single" w:sz="2" w:space="0" w:color="auto"/>
              <w:bottom w:val="single" w:sz="24" w:space="0" w:color="auto"/>
            </w:tcBorders>
          </w:tcPr>
          <w:p w14:paraId="43A6C0A5" w14:textId="77777777" w:rsidR="008034CE" w:rsidRPr="0081483A" w:rsidRDefault="008034CE" w:rsidP="00024C14">
            <w:pPr>
              <w:pStyle w:val="Normal-pool"/>
              <w:spacing w:before="240" w:after="240"/>
              <w:rPr>
                <w:sz w:val="28"/>
                <w:szCs w:val="28"/>
              </w:rPr>
            </w:pPr>
            <w:r w:rsidRPr="005E4BBB">
              <w:rPr>
                <w:noProof/>
                <w:sz w:val="28"/>
                <w:lang w:eastAsia="en-GB"/>
              </w:rPr>
              <w:drawing>
                <wp:inline distT="0" distB="0" distL="0" distR="0" wp14:anchorId="1E8F57E2" wp14:editId="67559D3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6F395DE5" w14:textId="77777777" w:rsidR="008034CE" w:rsidRPr="006D125A" w:rsidRDefault="008034CE" w:rsidP="00024C14">
            <w:pPr>
              <w:pStyle w:val="Normal-pool"/>
              <w:spacing w:before="120" w:after="240"/>
              <w:rPr>
                <w:rFonts w:ascii="Arial" w:hAnsi="Arial" w:cs="Arial"/>
                <w:b/>
              </w:rPr>
            </w:pPr>
            <w:r w:rsidRPr="006D125A">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06D3FFDF" w14:textId="77777777" w:rsidR="008034CE" w:rsidRPr="006D125A" w:rsidRDefault="008034CE" w:rsidP="00024C14">
            <w:pPr>
              <w:pStyle w:val="Normal-pool"/>
              <w:spacing w:before="120" w:after="120"/>
            </w:pPr>
            <w:r w:rsidRPr="006D125A">
              <w:t>Distr.: General</w:t>
            </w:r>
            <w:r w:rsidRPr="006D125A">
              <w:br/>
            </w:r>
            <w:r w:rsidR="00D27057" w:rsidRPr="00D27057">
              <w:t>4 December 2017</w:t>
            </w:r>
          </w:p>
          <w:p w14:paraId="0E0BD439" w14:textId="77777777" w:rsidR="008034CE" w:rsidRPr="006D125A" w:rsidRDefault="008034CE" w:rsidP="00024C14">
            <w:pPr>
              <w:pStyle w:val="Normal-pool"/>
              <w:spacing w:after="240"/>
            </w:pPr>
            <w:r w:rsidRPr="006D125A">
              <w:t>Original: English</w:t>
            </w:r>
          </w:p>
        </w:tc>
      </w:tr>
    </w:tbl>
    <w:p w14:paraId="08EF29B0" w14:textId="77777777" w:rsidR="007F3540" w:rsidRPr="009379B9" w:rsidRDefault="007F3540" w:rsidP="00024C14">
      <w:pPr>
        <w:pStyle w:val="AATitle"/>
      </w:pPr>
      <w:r w:rsidRPr="009379B9">
        <w:t>Plenary of the Intergovernmental Science-Policy</w:t>
      </w:r>
      <w:r w:rsidR="005B4A2F">
        <w:br/>
      </w:r>
      <w:r w:rsidRPr="009379B9">
        <w:t xml:space="preserve">Platform on </w:t>
      </w:r>
      <w:r w:rsidRPr="00024C14">
        <w:t>Biodiversity</w:t>
      </w:r>
      <w:r w:rsidRPr="009379B9">
        <w:t xml:space="preserve"> and Ecosystem Services</w:t>
      </w:r>
    </w:p>
    <w:p w14:paraId="5A1EFDCF" w14:textId="77777777" w:rsidR="007F3540" w:rsidRPr="009379B9" w:rsidRDefault="007E2B3C" w:rsidP="00024C14">
      <w:pPr>
        <w:pStyle w:val="AATitle"/>
      </w:pPr>
      <w:r w:rsidRPr="009379B9">
        <w:t>Six</w:t>
      </w:r>
      <w:r w:rsidR="007F3540" w:rsidRPr="009379B9">
        <w:t xml:space="preserve">th </w:t>
      </w:r>
      <w:r w:rsidR="007F3540" w:rsidRPr="00024C14">
        <w:t>session</w:t>
      </w:r>
    </w:p>
    <w:p w14:paraId="71FBC2DE" w14:textId="7A1EC3F6" w:rsidR="007F3540" w:rsidRPr="00024C14" w:rsidRDefault="007E2B3C" w:rsidP="00024C14">
      <w:pPr>
        <w:pStyle w:val="AATitle"/>
        <w:rPr>
          <w:b w:val="0"/>
        </w:rPr>
      </w:pPr>
      <w:r w:rsidRPr="00024C14">
        <w:rPr>
          <w:b w:val="0"/>
        </w:rPr>
        <w:t>Medellin</w:t>
      </w:r>
      <w:r w:rsidR="007F3540" w:rsidRPr="00024C14">
        <w:rPr>
          <w:b w:val="0"/>
        </w:rPr>
        <w:t xml:space="preserve">, </w:t>
      </w:r>
      <w:r w:rsidRPr="00024C14">
        <w:rPr>
          <w:b w:val="0"/>
        </w:rPr>
        <w:t>Colombia</w:t>
      </w:r>
      <w:r w:rsidR="007F3540" w:rsidRPr="00024C14">
        <w:rPr>
          <w:b w:val="0"/>
        </w:rPr>
        <w:t xml:space="preserve">, </w:t>
      </w:r>
      <w:r w:rsidR="00B75656" w:rsidRPr="00024C14">
        <w:rPr>
          <w:b w:val="0"/>
        </w:rPr>
        <w:t>1</w:t>
      </w:r>
      <w:r w:rsidR="00ED1B0B">
        <w:rPr>
          <w:b w:val="0"/>
        </w:rPr>
        <w:t>8</w:t>
      </w:r>
      <w:r w:rsidR="009E78C3" w:rsidRPr="00024C14">
        <w:rPr>
          <w:b w:val="0"/>
        </w:rPr>
        <w:t>–</w:t>
      </w:r>
      <w:r w:rsidR="00351B05" w:rsidRPr="00024C14">
        <w:rPr>
          <w:b w:val="0"/>
        </w:rPr>
        <w:t>24</w:t>
      </w:r>
      <w:r w:rsidR="007F3540" w:rsidRPr="00024C14">
        <w:rPr>
          <w:b w:val="0"/>
        </w:rPr>
        <w:t xml:space="preserve"> March </w:t>
      </w:r>
      <w:r w:rsidR="00B75656" w:rsidRPr="00024C14">
        <w:rPr>
          <w:b w:val="0"/>
        </w:rPr>
        <w:t>2018</w:t>
      </w:r>
    </w:p>
    <w:p w14:paraId="626FA23A" w14:textId="77777777" w:rsidR="00075479" w:rsidRPr="00C959D2" w:rsidRDefault="00075479" w:rsidP="00075479">
      <w:pPr>
        <w:pStyle w:val="AgendaItemTitle"/>
        <w:rPr>
          <w:b w:val="0"/>
        </w:rPr>
      </w:pPr>
      <w:r w:rsidRPr="00C959D2">
        <w:rPr>
          <w:b w:val="0"/>
        </w:rPr>
        <w:t>Item 8 of the provisional agenda</w:t>
      </w:r>
      <w:r w:rsidRPr="00CA038C">
        <w:rPr>
          <w:rStyle w:val="FootnoteReference"/>
          <w:b w:val="0"/>
          <w:vertAlign w:val="baseline"/>
        </w:rPr>
        <w:footnoteReference w:customMarkFollows="1" w:id="2"/>
        <w:t>*</w:t>
      </w:r>
    </w:p>
    <w:p w14:paraId="6FAF7458" w14:textId="77777777" w:rsidR="00075479" w:rsidRPr="00C959D2" w:rsidRDefault="00075479" w:rsidP="00075479">
      <w:pPr>
        <w:pStyle w:val="AATitle2"/>
      </w:pPr>
      <w:r w:rsidRPr="00501CD2">
        <w:t>Pending assessments: thematic assessment of the sustainable use of wild species; methodological assessment regarding the diverse conceptualization of multiple values of nature and its benefits; and thematic assessment of invasive alien species</w:t>
      </w:r>
    </w:p>
    <w:p w14:paraId="390F35AD" w14:textId="77777777" w:rsidR="00075479" w:rsidRPr="001C6B81" w:rsidRDefault="00075479" w:rsidP="00FD69E2">
      <w:pPr>
        <w:pStyle w:val="BBTitle"/>
      </w:pPr>
      <w:r w:rsidRPr="00D6758F">
        <w:t>Pending assessments: thematic assessment of the sustainable use of wild species</w:t>
      </w:r>
      <w:r>
        <w:t>;</w:t>
      </w:r>
      <w:r w:rsidRPr="00D6758F">
        <w:t xml:space="preserve"> methodological assessment regarding the diverse conceptualization of multiple values of nature and its benefits; and thematic assessment of invasive alien species</w:t>
      </w:r>
    </w:p>
    <w:p w14:paraId="178B024B" w14:textId="77777777" w:rsidR="00075479" w:rsidRPr="001C6B81" w:rsidRDefault="00075479" w:rsidP="00075479">
      <w:pPr>
        <w:pStyle w:val="CH2"/>
        <w:spacing w:before="120" w:after="240"/>
        <w:ind w:left="1253" w:right="288" w:hanging="1253"/>
      </w:pPr>
      <w:r w:rsidRPr="001C6B81">
        <w:tab/>
      </w:r>
      <w:r w:rsidRPr="001C6B81">
        <w:tab/>
        <w:t>Note by the secretariat</w:t>
      </w:r>
    </w:p>
    <w:p w14:paraId="4AE3C5EC" w14:textId="77777777" w:rsidR="00075479" w:rsidRPr="001C6B81" w:rsidRDefault="00075479" w:rsidP="00075479">
      <w:pPr>
        <w:ind w:left="1260"/>
        <w:rPr>
          <w:rFonts w:ascii="Times New Roman" w:hAnsi="Times New Roman" w:cs="Times New Roman"/>
          <w:b/>
          <w:sz w:val="28"/>
          <w:szCs w:val="28"/>
          <w:lang w:val="en-GB"/>
        </w:rPr>
      </w:pPr>
      <w:r w:rsidRPr="001C6B81">
        <w:rPr>
          <w:rFonts w:ascii="Times New Roman" w:hAnsi="Times New Roman" w:cs="Times New Roman"/>
          <w:b/>
          <w:sz w:val="28"/>
          <w:szCs w:val="28"/>
          <w:lang w:val="en-GB"/>
        </w:rPr>
        <w:t>Introduction</w:t>
      </w:r>
    </w:p>
    <w:p w14:paraId="1F2CBDF0" w14:textId="77777777" w:rsidR="00075479" w:rsidRPr="003C16EB" w:rsidRDefault="00075479" w:rsidP="00CA038C">
      <w:pPr>
        <w:pStyle w:val="Normalnumber"/>
        <w:numPr>
          <w:ilvl w:val="0"/>
          <w:numId w:val="17"/>
        </w:numPr>
        <w:tabs>
          <w:tab w:val="clear" w:pos="1247"/>
          <w:tab w:val="clear" w:pos="1871"/>
          <w:tab w:val="clear" w:pos="2495"/>
        </w:tabs>
        <w:ind w:left="1247" w:firstLine="0"/>
      </w:pPr>
      <w:r w:rsidRPr="001C6B81">
        <w:t xml:space="preserve">In decision IPBES-4/1, the Plenary </w:t>
      </w:r>
      <w:r>
        <w:t>of the Intergovernmental Science-Policy Platform on Biodiversity and Ecosystem Services (IPBES)</w:t>
      </w:r>
      <w:r w:rsidRPr="001C6B81">
        <w:t xml:space="preserve"> approved the scoping report for deliverable 3</w:t>
      </w:r>
      <w:r>
        <w:t xml:space="preserve"> </w:t>
      </w:r>
      <w:r w:rsidRPr="001C6B81">
        <w:t>(b)</w:t>
      </w:r>
      <w:r>
        <w:t xml:space="preserve"> </w:t>
      </w:r>
      <w:r w:rsidRPr="001C6B81">
        <w:t xml:space="preserve">(ii) for a thematic assessment of invasive alien species and their control (reproduced in </w:t>
      </w:r>
      <w:r>
        <w:t xml:space="preserve">background </w:t>
      </w:r>
      <w:r w:rsidRPr="001C6B81">
        <w:t>document IPBES/6/INF/</w:t>
      </w:r>
      <w:r w:rsidRPr="003C16EB">
        <w:t>10), a</w:t>
      </w:r>
      <w:r>
        <w:t xml:space="preserve">long with </w:t>
      </w:r>
      <w:r w:rsidRPr="003C16EB">
        <w:t>a revised scoping report for deliverable 3</w:t>
      </w:r>
      <w:r>
        <w:t xml:space="preserve"> </w:t>
      </w:r>
      <w:r w:rsidRPr="003C16EB">
        <w:t xml:space="preserve">(d) for a methodological assessment of diverse conceptualization of multiple values of nature and its benefits to people (reproduced in </w:t>
      </w:r>
      <w:r>
        <w:t xml:space="preserve">background </w:t>
      </w:r>
      <w:r w:rsidRPr="003C16EB">
        <w:t xml:space="preserve">document IPBES/6/INF/9). </w:t>
      </w:r>
    </w:p>
    <w:p w14:paraId="127F5371" w14:textId="07AF8410" w:rsidR="00075479" w:rsidRPr="003C16EB"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pPr>
      <w:r w:rsidRPr="003C16EB">
        <w:t>In decision IPBES-5/1, the Plenary approved the scoping report for deliverable 3</w:t>
      </w:r>
      <w:r>
        <w:t xml:space="preserve"> </w:t>
      </w:r>
      <w:r w:rsidRPr="003C16EB">
        <w:t>(b)</w:t>
      </w:r>
      <w:r>
        <w:t xml:space="preserve"> </w:t>
      </w:r>
      <w:r w:rsidRPr="003C16EB">
        <w:t xml:space="preserve">(iii) for a thematic assessment on the sustainable use of wild species (reproduced in </w:t>
      </w:r>
      <w:r>
        <w:t xml:space="preserve">background </w:t>
      </w:r>
      <w:r w:rsidRPr="003C16EB">
        <w:t>document IPBES/6/INF/</w:t>
      </w:r>
      <w:r w:rsidR="00ED1B0B">
        <w:t>8</w:t>
      </w:r>
      <w:r w:rsidRPr="003C16EB">
        <w:t>). In that same decision</w:t>
      </w:r>
      <w:r w:rsidRPr="00323B88">
        <w:t xml:space="preserve">, the Plenary requested the Multidisciplinary Expert Panel, in consultation with the Bureau, </w:t>
      </w:r>
      <w:bookmarkStart w:id="1" w:name="_Hlk499657637"/>
      <w:r w:rsidRPr="00323B88">
        <w:t>to evaluate the need for any changes to already approved scoping documents based on major scientific findings of other IPBES assessments and to report to the Plenary if any significant modifications were needed</w:t>
      </w:r>
      <w:bookmarkEnd w:id="1"/>
      <w:r w:rsidRPr="00323B88">
        <w:t>.</w:t>
      </w:r>
    </w:p>
    <w:p w14:paraId="39B0D2D1" w14:textId="77777777" w:rsidR="00075479" w:rsidRPr="003C16EB"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pPr>
      <w:r>
        <w:t>In addition</w:t>
      </w:r>
      <w:r w:rsidRPr="003C16EB">
        <w:t>, i</w:t>
      </w:r>
      <w:r w:rsidRPr="00323B88">
        <w:t xml:space="preserve">n decision IPBES-5/6, paragraph 5, on financial and budgetary arrangements, the Plenary decided to consider at its sixth session, subject to the availability of sufficient funds, the three assessments mentioned in paragraphs 1 and 2 </w:t>
      </w:r>
      <w:r>
        <w:t>above</w:t>
      </w:r>
      <w:r w:rsidRPr="00323B88">
        <w:t xml:space="preserve">, referred to as the three pending assessments in this document. </w:t>
      </w:r>
    </w:p>
    <w:p w14:paraId="4F9481AE" w14:textId="77777777" w:rsidR="00075479"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pPr>
      <w:r>
        <w:t>In accordance with these decisions, section I, subsection A, of t</w:t>
      </w:r>
      <w:r w:rsidRPr="003C16EB">
        <w:t>h</w:t>
      </w:r>
      <w:r>
        <w:t>e present note</w:t>
      </w:r>
      <w:r w:rsidRPr="003C16EB">
        <w:t xml:space="preserve"> </w:t>
      </w:r>
      <w:r>
        <w:t>includes suggestions from the Multidisciplinary Expert Panel and the Bureau</w:t>
      </w:r>
      <w:r w:rsidRPr="00323B88">
        <w:t xml:space="preserve"> on the need to make any changes to </w:t>
      </w:r>
      <w:r>
        <w:t>already approved</w:t>
      </w:r>
      <w:r w:rsidRPr="00323B88">
        <w:t xml:space="preserve"> scoping documents of the three pending assessments</w:t>
      </w:r>
      <w:r>
        <w:t xml:space="preserve">, </w:t>
      </w:r>
      <w:r w:rsidRPr="00323B88">
        <w:t>based on major scientific findings of other IPBES assessments</w:t>
      </w:r>
      <w:r>
        <w:t xml:space="preserve">. Subsection B suggests several modifications to the methodological approach </w:t>
      </w:r>
      <w:r>
        <w:lastRenderedPageBreak/>
        <w:t>presented in the three scoping reports, with implications for the cost of each assessment. A revised suggested overall cost for each of the three pending assessments is included in the annex to the note.</w:t>
      </w:r>
    </w:p>
    <w:p w14:paraId="0F3FBD51" w14:textId="77777777" w:rsidR="00075479" w:rsidRDefault="00075479" w:rsidP="00CA038C">
      <w:pPr>
        <w:pStyle w:val="Normalnumber"/>
        <w:numPr>
          <w:ilvl w:val="0"/>
          <w:numId w:val="17"/>
        </w:numPr>
        <w:tabs>
          <w:tab w:val="clear" w:pos="1247"/>
          <w:tab w:val="clear" w:pos="1871"/>
          <w:tab w:val="clear" w:pos="2495"/>
        </w:tabs>
        <w:ind w:left="1247" w:firstLine="0"/>
      </w:pPr>
      <w:r>
        <w:t>Section II set</w:t>
      </w:r>
      <w:r w:rsidR="00C04705">
        <w:t>s</w:t>
      </w:r>
      <w:r>
        <w:t xml:space="preserve"> out further suggestions from the </w:t>
      </w:r>
      <w:r w:rsidRPr="00323B88">
        <w:t>Multidisciplinary Expert Panel and the Bureau, regarding a possible sequence for the initiation of the th</w:t>
      </w:r>
      <w:r>
        <w:t xml:space="preserve">ree pending assessments. </w:t>
      </w:r>
    </w:p>
    <w:p w14:paraId="1B4E7C62" w14:textId="77777777" w:rsidR="00075479"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pPr>
      <w:r>
        <w:t>Section III suggests actions that the Plenary might wish to take</w:t>
      </w:r>
      <w:r w:rsidRPr="00323B88">
        <w:t>.</w:t>
      </w:r>
    </w:p>
    <w:p w14:paraId="2D0678AB" w14:textId="77777777" w:rsidR="00075479" w:rsidRPr="00191D1B" w:rsidRDefault="00075479" w:rsidP="00CA038C">
      <w:pPr>
        <w:pStyle w:val="CH1"/>
        <w:rPr>
          <w:rFonts w:eastAsia="MS Mincho"/>
        </w:rPr>
      </w:pPr>
      <w:bookmarkStart w:id="2" w:name="_Hlk499658600"/>
      <w:r>
        <w:rPr>
          <w:rFonts w:eastAsia="MS Mincho"/>
          <w:sz w:val="24"/>
          <w:szCs w:val="24"/>
        </w:rPr>
        <w:tab/>
      </w:r>
      <w:r w:rsidRPr="00191D1B">
        <w:rPr>
          <w:rFonts w:eastAsia="MS Mincho"/>
        </w:rPr>
        <w:t>I.</w:t>
      </w:r>
      <w:r w:rsidRPr="00191D1B">
        <w:rPr>
          <w:rFonts w:eastAsia="MS Mincho"/>
        </w:rPr>
        <w:tab/>
        <w:t>Scoping reports</w:t>
      </w:r>
    </w:p>
    <w:p w14:paraId="6C501362" w14:textId="77777777" w:rsidR="00075479" w:rsidRPr="007A4748"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53" w:firstLine="0"/>
      </w:pPr>
      <w:r w:rsidRPr="00C959D2">
        <w:t>The Multidisciplinary Expert Panel</w:t>
      </w:r>
      <w:r>
        <w:t xml:space="preserve"> and the Bureau, in response to the request from the Plenary to evaluate the need to make any changes to the three scoping reports at their</w:t>
      </w:r>
      <w:r w:rsidRPr="00C959D2">
        <w:t xml:space="preserve"> </w:t>
      </w:r>
      <w:r>
        <w:t>tenth</w:t>
      </w:r>
      <w:r w:rsidRPr="00C959D2">
        <w:t xml:space="preserve"> meeting</w:t>
      </w:r>
      <w:r>
        <w:t>s in October 2017, made the following recommendations, set out in subsections A and B below</w:t>
      </w:r>
      <w:r w:rsidRPr="00C959D2">
        <w:t>.</w:t>
      </w:r>
    </w:p>
    <w:p w14:paraId="57047995" w14:textId="77777777" w:rsidR="00075479" w:rsidRPr="007A4748" w:rsidRDefault="00075479" w:rsidP="00CA038C">
      <w:pPr>
        <w:pStyle w:val="CH2"/>
        <w:rPr>
          <w:rFonts w:eastAsia="MS Mincho"/>
        </w:rPr>
      </w:pPr>
      <w:bookmarkStart w:id="3" w:name="_Hlk499884919"/>
      <w:r>
        <w:rPr>
          <w:rFonts w:eastAsia="MS Mincho"/>
        </w:rPr>
        <w:tab/>
        <w:t>A.</w:t>
      </w:r>
      <w:r>
        <w:rPr>
          <w:rFonts w:eastAsia="MS Mincho"/>
        </w:rPr>
        <w:tab/>
      </w:r>
      <w:r w:rsidRPr="007A4748">
        <w:rPr>
          <w:rFonts w:eastAsia="MS Mincho"/>
        </w:rPr>
        <w:t xml:space="preserve">Overall scope </w:t>
      </w:r>
      <w:bookmarkEnd w:id="2"/>
    </w:p>
    <w:p w14:paraId="61B92105" w14:textId="3D2476D2" w:rsidR="00075479"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53" w:firstLine="0"/>
      </w:pPr>
      <w:bookmarkStart w:id="4" w:name="_Hlk499885067"/>
      <w:bookmarkEnd w:id="3"/>
      <w:r>
        <w:t>Concerning the overall scope of the three pending assessments, t</w:t>
      </w:r>
      <w:r w:rsidRPr="00C959D2">
        <w:t xml:space="preserve">he </w:t>
      </w:r>
      <w:bookmarkStart w:id="5" w:name="_Hlk499885341"/>
      <w:r w:rsidRPr="00C959D2">
        <w:t>Multidisciplinary Expert Panel</w:t>
      </w:r>
      <w:r>
        <w:t xml:space="preserve"> </w:t>
      </w:r>
      <w:bookmarkEnd w:id="5"/>
      <w:r>
        <w:t>concluded</w:t>
      </w:r>
      <w:r w:rsidRPr="00C959D2">
        <w:t xml:space="preserve"> that no modification</w:t>
      </w:r>
      <w:r>
        <w:t>s</w:t>
      </w:r>
      <w:r w:rsidRPr="00C959D2">
        <w:t xml:space="preserve"> </w:t>
      </w:r>
      <w:r>
        <w:t>are</w:t>
      </w:r>
      <w:r w:rsidRPr="00C959D2">
        <w:t xml:space="preserve"> needed </w:t>
      </w:r>
      <w:r>
        <w:t xml:space="preserve">in </w:t>
      </w:r>
      <w:r w:rsidR="003D6883">
        <w:t xml:space="preserve">the </w:t>
      </w:r>
      <w:r>
        <w:t xml:space="preserve">light of </w:t>
      </w:r>
      <w:r w:rsidRPr="00323B88">
        <w:t>major scientific findings of other IPBES assessments</w:t>
      </w:r>
      <w:r w:rsidRPr="00C959D2">
        <w:t>.</w:t>
      </w:r>
    </w:p>
    <w:bookmarkEnd w:id="4"/>
    <w:p w14:paraId="16349922" w14:textId="77777777" w:rsidR="00075479" w:rsidRPr="00CA038C" w:rsidRDefault="00887131" w:rsidP="00CA038C">
      <w:pPr>
        <w:pStyle w:val="CH2"/>
        <w:rPr>
          <w:rFonts w:eastAsia="MS Mincho"/>
          <w:b w:val="0"/>
        </w:rPr>
      </w:pPr>
      <w:r>
        <w:rPr>
          <w:rFonts w:eastAsia="MS Mincho"/>
        </w:rPr>
        <w:tab/>
      </w:r>
      <w:r w:rsidR="00075479">
        <w:rPr>
          <w:rFonts w:eastAsia="MS Mincho"/>
        </w:rPr>
        <w:t>B.</w:t>
      </w:r>
      <w:r w:rsidR="00075479">
        <w:rPr>
          <w:rFonts w:eastAsia="MS Mincho"/>
        </w:rPr>
        <w:tab/>
      </w:r>
      <w:r w:rsidR="00075479" w:rsidRPr="00CA038C">
        <w:rPr>
          <w:rFonts w:eastAsia="MS Mincho"/>
        </w:rPr>
        <w:t>Methodological approach and cost estimate</w:t>
      </w:r>
    </w:p>
    <w:p w14:paraId="7AE3586F" w14:textId="77777777" w:rsidR="00075479" w:rsidRPr="007A4748" w:rsidRDefault="00075479" w:rsidP="00075479">
      <w:pPr>
        <w:numPr>
          <w:ilvl w:val="0"/>
          <w:numId w:val="17"/>
        </w:numPr>
        <w:tabs>
          <w:tab w:val="num" w:pos="720"/>
          <w:tab w:val="left" w:pos="1247"/>
          <w:tab w:val="left" w:pos="1814"/>
          <w:tab w:val="left" w:pos="2381"/>
          <w:tab w:val="left" w:pos="2948"/>
          <w:tab w:val="left" w:pos="3515"/>
        </w:tabs>
        <w:spacing w:after="120" w:line="240" w:lineRule="auto"/>
        <w:ind w:left="1247" w:firstLine="0"/>
        <w:rPr>
          <w:rFonts w:ascii="Times New Roman" w:eastAsia="Times New Roman" w:hAnsi="Times New Roman" w:cs="Times New Roman"/>
          <w:sz w:val="20"/>
          <w:szCs w:val="20"/>
          <w:lang w:val="en-GB"/>
        </w:rPr>
      </w:pPr>
      <w:r w:rsidRPr="007A4748">
        <w:rPr>
          <w:rFonts w:ascii="Times New Roman" w:eastAsia="Times New Roman" w:hAnsi="Times New Roman" w:cs="Times New Roman"/>
          <w:sz w:val="20"/>
          <w:szCs w:val="20"/>
          <w:lang w:val="en-GB"/>
        </w:rPr>
        <w:t xml:space="preserve">Based on lessons learned from </w:t>
      </w:r>
      <w:r>
        <w:rPr>
          <w:rFonts w:ascii="Times New Roman" w:eastAsia="Times New Roman" w:hAnsi="Times New Roman" w:cs="Times New Roman"/>
          <w:sz w:val="20"/>
          <w:szCs w:val="20"/>
          <w:lang w:val="en-GB"/>
        </w:rPr>
        <w:t xml:space="preserve">both </w:t>
      </w:r>
      <w:r w:rsidRPr="007A4748">
        <w:rPr>
          <w:rFonts w:ascii="Times New Roman" w:eastAsia="Times New Roman" w:hAnsi="Times New Roman" w:cs="Times New Roman"/>
          <w:sz w:val="20"/>
          <w:szCs w:val="20"/>
          <w:lang w:val="en-GB"/>
        </w:rPr>
        <w:t>the ongoing and finalized assessments, a</w:t>
      </w:r>
      <w:r>
        <w:rPr>
          <w:rFonts w:ascii="Times New Roman" w:eastAsia="Times New Roman" w:hAnsi="Times New Roman" w:cs="Times New Roman"/>
          <w:sz w:val="20"/>
          <w:szCs w:val="20"/>
          <w:lang w:val="en-GB"/>
        </w:rPr>
        <w:t xml:space="preserve">nd also </w:t>
      </w:r>
      <w:r w:rsidRPr="007A4748">
        <w:rPr>
          <w:rFonts w:ascii="Times New Roman" w:eastAsia="Times New Roman" w:hAnsi="Times New Roman" w:cs="Times New Roman"/>
          <w:sz w:val="20"/>
          <w:szCs w:val="20"/>
          <w:lang w:val="en-GB"/>
        </w:rPr>
        <w:t>on the conclusions of the internal review of IPBES (</w:t>
      </w:r>
      <w:r>
        <w:rPr>
          <w:rFonts w:ascii="Times New Roman" w:eastAsia="Times New Roman" w:hAnsi="Times New Roman" w:cs="Times New Roman"/>
          <w:sz w:val="20"/>
          <w:szCs w:val="20"/>
          <w:lang w:val="en-GB"/>
        </w:rPr>
        <w:t xml:space="preserve">as set out in background </w:t>
      </w:r>
      <w:r w:rsidRPr="00BB2202">
        <w:rPr>
          <w:rFonts w:ascii="Times New Roman" w:eastAsia="Times New Roman" w:hAnsi="Times New Roman" w:cs="Times New Roman"/>
          <w:sz w:val="20"/>
          <w:szCs w:val="20"/>
          <w:lang w:val="en-GB"/>
        </w:rPr>
        <w:t>document IPBES/6/INF/32), the</w:t>
      </w:r>
      <w:r w:rsidRPr="007A4748">
        <w:rPr>
          <w:rFonts w:ascii="Times New Roman" w:eastAsia="Times New Roman" w:hAnsi="Times New Roman" w:cs="Times New Roman"/>
          <w:sz w:val="20"/>
          <w:szCs w:val="20"/>
          <w:lang w:val="en-GB"/>
        </w:rPr>
        <w:t xml:space="preserve"> Multidisciplinary Expert Panel</w:t>
      </w:r>
      <w:r>
        <w:rPr>
          <w:rFonts w:ascii="Times New Roman" w:eastAsia="Times New Roman" w:hAnsi="Times New Roman" w:cs="Times New Roman"/>
          <w:sz w:val="20"/>
          <w:szCs w:val="20"/>
          <w:lang w:val="en-GB"/>
        </w:rPr>
        <w:t xml:space="preserve"> and the Bureau </w:t>
      </w:r>
      <w:r w:rsidRPr="007A4748">
        <w:rPr>
          <w:rFonts w:ascii="Times New Roman" w:eastAsia="Times New Roman" w:hAnsi="Times New Roman" w:cs="Times New Roman"/>
          <w:sz w:val="20"/>
          <w:szCs w:val="20"/>
          <w:lang w:val="en-GB"/>
        </w:rPr>
        <w:t xml:space="preserve">suggest </w:t>
      </w:r>
      <w:r>
        <w:rPr>
          <w:rFonts w:ascii="Times New Roman" w:eastAsia="Times New Roman" w:hAnsi="Times New Roman" w:cs="Times New Roman"/>
          <w:sz w:val="20"/>
          <w:szCs w:val="20"/>
          <w:lang w:val="en-GB"/>
        </w:rPr>
        <w:t>the following changes to the methodological approach</w:t>
      </w:r>
      <w:r w:rsidRPr="00AE7BFE">
        <w:t xml:space="preserve"> </w:t>
      </w:r>
      <w:r w:rsidRPr="00AE7BFE">
        <w:rPr>
          <w:rFonts w:ascii="Times New Roman" w:eastAsia="Times New Roman" w:hAnsi="Times New Roman" w:cs="Times New Roman"/>
          <w:sz w:val="20"/>
          <w:szCs w:val="20"/>
        </w:rPr>
        <w:t>presented in the scoping report</w:t>
      </w:r>
      <w:r>
        <w:rPr>
          <w:rFonts w:ascii="Times New Roman" w:eastAsia="Times New Roman" w:hAnsi="Times New Roman" w:cs="Times New Roman"/>
          <w:sz w:val="20"/>
          <w:szCs w:val="20"/>
        </w:rPr>
        <w:t>s</w:t>
      </w:r>
      <w:r>
        <w:rPr>
          <w:rFonts w:ascii="Times New Roman" w:eastAsia="Times New Roman" w:hAnsi="Times New Roman" w:cs="Times New Roman"/>
          <w:sz w:val="20"/>
          <w:szCs w:val="20"/>
          <w:lang w:val="en-GB"/>
        </w:rPr>
        <w:t>, which would increase the total cost per assessment from $997,000 to</w:t>
      </w:r>
      <w:r w:rsidRPr="007A4748">
        <w:rPr>
          <w:rFonts w:ascii="Times New Roman" w:eastAsia="Times New Roman" w:hAnsi="Times New Roman" w:cs="Times New Roman"/>
          <w:sz w:val="20"/>
          <w:szCs w:val="20"/>
          <w:lang w:val="en-GB"/>
        </w:rPr>
        <w:t xml:space="preserve"> $1,445,000:</w:t>
      </w:r>
    </w:p>
    <w:p w14:paraId="7EC4852B" w14:textId="77777777" w:rsidR="00075479" w:rsidRPr="007A4748" w:rsidRDefault="00075479" w:rsidP="00CA038C">
      <w:pPr>
        <w:pStyle w:val="Normalnumber"/>
        <w:numPr>
          <w:ilvl w:val="0"/>
          <w:numId w:val="20"/>
        </w:numPr>
        <w:tabs>
          <w:tab w:val="clear" w:pos="1135"/>
          <w:tab w:val="clear" w:pos="1247"/>
          <w:tab w:val="clear" w:pos="1871"/>
          <w:tab w:val="clear" w:pos="2495"/>
        </w:tabs>
        <w:ind w:left="1247" w:firstLine="624"/>
      </w:pPr>
      <w:r w:rsidRPr="007A4748">
        <w:t xml:space="preserve">Increase the number of lead authors per chapter, from six to eight, thus bringing the total number of experts per chapter to twelve, including eight lead authors, two coordinating lead authors, and two review editors. The number of coordinating lead authors and review editors per chapter would remain unchanged. This increase would allow for sufficient diversity of expertise and views in each chapter, and would </w:t>
      </w:r>
      <w:r>
        <w:t xml:space="preserve">make possible a </w:t>
      </w:r>
      <w:r w:rsidRPr="007A4748">
        <w:t xml:space="preserve">better </w:t>
      </w:r>
      <w:r>
        <w:t xml:space="preserve">distribution of </w:t>
      </w:r>
      <w:r w:rsidRPr="007A4748">
        <w:t>the workload among experts. This number would be similar to the land degradation and restoration assessment;</w:t>
      </w:r>
    </w:p>
    <w:p w14:paraId="5435C3B9" w14:textId="77777777" w:rsidR="00075479" w:rsidRPr="007A4748" w:rsidRDefault="00075479" w:rsidP="00CA038C">
      <w:pPr>
        <w:pStyle w:val="Normalnumber"/>
        <w:numPr>
          <w:ilvl w:val="0"/>
          <w:numId w:val="20"/>
        </w:numPr>
        <w:tabs>
          <w:tab w:val="clear" w:pos="1135"/>
          <w:tab w:val="clear" w:pos="1247"/>
          <w:tab w:val="clear" w:pos="1871"/>
          <w:tab w:val="clear" w:pos="2495"/>
        </w:tabs>
        <w:ind w:left="1247" w:firstLine="624"/>
      </w:pPr>
      <w:r w:rsidRPr="007A4748">
        <w:t xml:space="preserve">Allow the convening of three inclusive author meetings with lead authors in attendance, rather than only two such meetings: this is seen as a key criterion for success in order to ensure the full integration and involvement of lead authors during this three-year process; </w:t>
      </w:r>
    </w:p>
    <w:p w14:paraId="2DA268D9" w14:textId="77777777" w:rsidR="00075479" w:rsidRPr="007A4748" w:rsidRDefault="00075479" w:rsidP="00CA038C">
      <w:pPr>
        <w:pStyle w:val="Normalnumber"/>
        <w:numPr>
          <w:ilvl w:val="0"/>
          <w:numId w:val="20"/>
        </w:numPr>
        <w:tabs>
          <w:tab w:val="clear" w:pos="1135"/>
          <w:tab w:val="clear" w:pos="1247"/>
          <w:tab w:val="clear" w:pos="1871"/>
          <w:tab w:val="clear" w:pos="2495"/>
        </w:tabs>
        <w:ind w:left="1247" w:firstLine="624"/>
      </w:pPr>
      <w:r w:rsidRPr="007A4748">
        <w:t>Increase the size of technical support units so that they include a minimum of two technical and programmatic staff</w:t>
      </w:r>
      <w:r>
        <w:t xml:space="preserve"> members</w:t>
      </w:r>
      <w:r w:rsidRPr="007A4748">
        <w:t xml:space="preserve">, </w:t>
      </w:r>
      <w:r>
        <w:t xml:space="preserve">together with </w:t>
      </w:r>
      <w:r w:rsidRPr="007A4748">
        <w:t>one half-time administrative staff</w:t>
      </w:r>
      <w:r>
        <w:t xml:space="preserve"> member</w:t>
      </w:r>
      <w:r w:rsidRPr="007A4748">
        <w:t xml:space="preserve">, rather than one technical staff </w:t>
      </w:r>
      <w:r>
        <w:t xml:space="preserve">member </w:t>
      </w:r>
      <w:r w:rsidRPr="007A4748">
        <w:t>as proposed before. This would be necessary, based on lessons learn</w:t>
      </w:r>
      <w:r>
        <w:t>ed, to deal with the heavy work</w:t>
      </w:r>
      <w:r w:rsidRPr="007A4748">
        <w:t>load related to coordinating the delivery of an assessment, and would be similar to the size of the technical support units established for</w:t>
      </w:r>
      <w:r>
        <w:t xml:space="preserve"> the IPBES regional assessments;</w:t>
      </w:r>
      <w:r w:rsidRPr="007A4748">
        <w:t xml:space="preserve"> </w:t>
      </w:r>
    </w:p>
    <w:p w14:paraId="4A9D221A" w14:textId="77777777" w:rsidR="00075479" w:rsidRPr="007A4748" w:rsidRDefault="00075479" w:rsidP="00CA038C">
      <w:pPr>
        <w:pStyle w:val="Normalnumber"/>
        <w:numPr>
          <w:ilvl w:val="0"/>
          <w:numId w:val="20"/>
        </w:numPr>
        <w:tabs>
          <w:tab w:val="clear" w:pos="1135"/>
          <w:tab w:val="clear" w:pos="1247"/>
          <w:tab w:val="clear" w:pos="1871"/>
          <w:tab w:val="clear" w:pos="2495"/>
        </w:tabs>
        <w:ind w:left="1247" w:firstLine="624"/>
      </w:pPr>
      <w:r w:rsidRPr="007A4748">
        <w:t>Increase the budget for the design, printing, outreach and dissemination of the assessment reports, based on the costs of communication for the four regional assessments and the land degradation and restoration assessment.</w:t>
      </w:r>
    </w:p>
    <w:p w14:paraId="09320E0C" w14:textId="77777777" w:rsidR="00075479" w:rsidRPr="007A4748" w:rsidRDefault="00075479" w:rsidP="00075479">
      <w:pPr>
        <w:numPr>
          <w:ilvl w:val="0"/>
          <w:numId w:val="17"/>
        </w:numPr>
        <w:tabs>
          <w:tab w:val="num" w:pos="720"/>
          <w:tab w:val="left" w:pos="1247"/>
          <w:tab w:val="left" w:pos="1814"/>
          <w:tab w:val="left" w:pos="2381"/>
          <w:tab w:val="left" w:pos="2948"/>
          <w:tab w:val="left" w:pos="3515"/>
        </w:tabs>
        <w:spacing w:after="120" w:line="240" w:lineRule="auto"/>
        <w:ind w:left="1247" w:firstLine="0"/>
        <w:rPr>
          <w:rFonts w:ascii="Times New Roman" w:eastAsia="Times New Roman" w:hAnsi="Times New Roman" w:cs="Times New Roman"/>
          <w:sz w:val="20"/>
          <w:szCs w:val="20"/>
          <w:lang w:val="en-GB"/>
        </w:rPr>
      </w:pPr>
      <w:r w:rsidRPr="007A4748">
        <w:rPr>
          <w:rFonts w:ascii="Times New Roman" w:eastAsia="Times New Roman" w:hAnsi="Times New Roman" w:cs="Times New Roman"/>
          <w:sz w:val="20"/>
          <w:szCs w:val="20"/>
          <w:lang w:val="en-GB"/>
        </w:rPr>
        <w:t>A generic budget, applicable to each of the three pending assessments, is presented in the annex to th</w:t>
      </w:r>
      <w:r>
        <w:rPr>
          <w:rFonts w:ascii="Times New Roman" w:eastAsia="Times New Roman" w:hAnsi="Times New Roman" w:cs="Times New Roman"/>
          <w:sz w:val="20"/>
          <w:szCs w:val="20"/>
          <w:lang w:val="en-GB"/>
        </w:rPr>
        <w:t>e present note</w:t>
      </w:r>
      <w:r w:rsidRPr="007A4748">
        <w:rPr>
          <w:rFonts w:ascii="Times New Roman" w:eastAsia="Times New Roman" w:hAnsi="Times New Roman" w:cs="Times New Roman"/>
          <w:sz w:val="20"/>
          <w:szCs w:val="20"/>
          <w:lang w:val="en-GB"/>
        </w:rPr>
        <w:t>. The generic budget is based on the above-mentioned considerations, as follows:</w:t>
      </w:r>
    </w:p>
    <w:p w14:paraId="6051AA97" w14:textId="77777777" w:rsidR="00075479" w:rsidRPr="007A4748" w:rsidRDefault="00075479" w:rsidP="00887131">
      <w:pPr>
        <w:pStyle w:val="Normalnumber"/>
        <w:numPr>
          <w:ilvl w:val="0"/>
          <w:numId w:val="21"/>
        </w:numPr>
        <w:tabs>
          <w:tab w:val="clear" w:pos="1247"/>
          <w:tab w:val="clear" w:pos="1758"/>
          <w:tab w:val="clear" w:pos="1871"/>
          <w:tab w:val="clear" w:pos="2495"/>
        </w:tabs>
        <w:ind w:left="1247" w:firstLine="624"/>
      </w:pPr>
      <w:r w:rsidRPr="007A4748">
        <w:t>Each assessment would be carried out over a period of three years;</w:t>
      </w:r>
    </w:p>
    <w:p w14:paraId="380A4097" w14:textId="77777777" w:rsidR="00075479" w:rsidRPr="007A4748" w:rsidRDefault="00075479" w:rsidP="00887131">
      <w:pPr>
        <w:pStyle w:val="Normalnumber"/>
        <w:numPr>
          <w:ilvl w:val="0"/>
          <w:numId w:val="21"/>
        </w:numPr>
        <w:tabs>
          <w:tab w:val="clear" w:pos="1247"/>
          <w:tab w:val="clear" w:pos="1758"/>
          <w:tab w:val="clear" w:pos="1871"/>
          <w:tab w:val="clear" w:pos="2495"/>
        </w:tabs>
        <w:ind w:left="1247" w:firstLine="624"/>
      </w:pPr>
      <w:r w:rsidRPr="007A4748">
        <w:t>Each assessment would include three fully inclusive author meetings with the lead authors in attendance at each of those meetings;</w:t>
      </w:r>
    </w:p>
    <w:p w14:paraId="7C5CC39C" w14:textId="77777777" w:rsidR="00075479" w:rsidRPr="007A4748" w:rsidRDefault="00075479" w:rsidP="00887131">
      <w:pPr>
        <w:pStyle w:val="Normalnumber"/>
        <w:numPr>
          <w:ilvl w:val="0"/>
          <w:numId w:val="21"/>
        </w:numPr>
        <w:tabs>
          <w:tab w:val="clear" w:pos="1247"/>
          <w:tab w:val="clear" w:pos="1758"/>
          <w:tab w:val="clear" w:pos="1871"/>
          <w:tab w:val="clear" w:pos="2495"/>
        </w:tabs>
        <w:ind w:left="1247" w:firstLine="624"/>
      </w:pPr>
      <w:r w:rsidRPr="007A4748">
        <w:t xml:space="preserve">Each assessment would include a total of 74 experts (2 co-chairs, 12 coordinating lead authors, 48 lead authors and 12 review editors) or </w:t>
      </w:r>
      <w:r>
        <w:t xml:space="preserve">some </w:t>
      </w:r>
      <w:r w:rsidRPr="007A4748">
        <w:t xml:space="preserve">10 experts per chapter, 75 per cent </w:t>
      </w:r>
      <w:r>
        <w:t xml:space="preserve">of whose costs </w:t>
      </w:r>
      <w:r w:rsidRPr="007A4748">
        <w:t>would be supported by the trust fund;</w:t>
      </w:r>
    </w:p>
    <w:p w14:paraId="0DC920F3" w14:textId="77777777" w:rsidR="00075479" w:rsidRPr="007A4748" w:rsidRDefault="00075479" w:rsidP="00887131">
      <w:pPr>
        <w:pStyle w:val="Normalnumber"/>
        <w:numPr>
          <w:ilvl w:val="0"/>
          <w:numId w:val="21"/>
        </w:numPr>
        <w:tabs>
          <w:tab w:val="clear" w:pos="1247"/>
          <w:tab w:val="clear" w:pos="1758"/>
          <w:tab w:val="clear" w:pos="1871"/>
          <w:tab w:val="clear" w:pos="2495"/>
        </w:tabs>
        <w:ind w:left="1247" w:firstLine="624"/>
      </w:pPr>
      <w:r w:rsidRPr="007A4748">
        <w:t>Each assessment would ha</w:t>
      </w:r>
      <w:r>
        <w:t>ve a technical support unit of two</w:t>
      </w:r>
      <w:r w:rsidRPr="007A4748">
        <w:t xml:space="preserve"> technical and programmatic staff </w:t>
      </w:r>
      <w:r>
        <w:t xml:space="preserve">members </w:t>
      </w:r>
      <w:r w:rsidRPr="007A4748">
        <w:t>a</w:t>
      </w:r>
      <w:r>
        <w:t xml:space="preserve">nd </w:t>
      </w:r>
      <w:r w:rsidRPr="007A4748">
        <w:t>one half-time administrative officer, and 50 per cent of that support would be covered by the trust fund, to be matched by a similar amount from a host institution, as in</w:t>
      </w:r>
      <w:r>
        <w:noBreakHyphen/>
      </w:r>
      <w:r w:rsidRPr="007A4748">
        <w:t>kind support to IPBES;</w:t>
      </w:r>
    </w:p>
    <w:p w14:paraId="7801C5B1" w14:textId="77777777" w:rsidR="00075479" w:rsidRPr="007A4748" w:rsidRDefault="00075479" w:rsidP="00887131">
      <w:pPr>
        <w:pStyle w:val="Normalnumber"/>
        <w:numPr>
          <w:ilvl w:val="0"/>
          <w:numId w:val="21"/>
        </w:numPr>
        <w:tabs>
          <w:tab w:val="clear" w:pos="1247"/>
          <w:tab w:val="clear" w:pos="1758"/>
          <w:tab w:val="clear" w:pos="1871"/>
          <w:tab w:val="clear" w:pos="2495"/>
        </w:tabs>
        <w:ind w:left="1247" w:firstLine="624"/>
      </w:pPr>
      <w:r w:rsidRPr="007A4748">
        <w:lastRenderedPageBreak/>
        <w:t>Each assessment would have a communication</w:t>
      </w:r>
      <w:r>
        <w:t>s</w:t>
      </w:r>
      <w:r w:rsidRPr="007A4748">
        <w:t xml:space="preserve"> budget cover</w:t>
      </w:r>
      <w:r>
        <w:t xml:space="preserve">ing </w:t>
      </w:r>
      <w:r w:rsidRPr="007A4748">
        <w:t>the design, printing, outreach and dissemination activities of the assessment reports.</w:t>
      </w:r>
    </w:p>
    <w:p w14:paraId="770A1913" w14:textId="77777777" w:rsidR="00075479" w:rsidRPr="00B772E0" w:rsidRDefault="00075479" w:rsidP="00CA038C">
      <w:pPr>
        <w:pStyle w:val="CH1"/>
        <w:tabs>
          <w:tab w:val="clear" w:pos="1814"/>
          <w:tab w:val="clear" w:pos="2381"/>
          <w:tab w:val="clear" w:pos="2948"/>
          <w:tab w:val="clear" w:pos="3515"/>
          <w:tab w:val="clear" w:pos="4082"/>
          <w:tab w:val="left" w:pos="1871"/>
          <w:tab w:val="left" w:pos="2495"/>
        </w:tabs>
        <w:ind w:left="624" w:right="289" w:hanging="624"/>
        <w:rPr>
          <w:rFonts w:eastAsia="MS Mincho"/>
        </w:rPr>
      </w:pPr>
      <w:r>
        <w:rPr>
          <w:rFonts w:eastAsia="MS Mincho"/>
        </w:rPr>
        <w:tab/>
        <w:t>II.</w:t>
      </w:r>
      <w:r>
        <w:rPr>
          <w:rFonts w:eastAsia="MS Mincho"/>
        </w:rPr>
        <w:tab/>
      </w:r>
      <w:r w:rsidRPr="00B772E0">
        <w:rPr>
          <w:rFonts w:eastAsia="MS Mincho"/>
        </w:rPr>
        <w:t xml:space="preserve">Sequence of initiation </w:t>
      </w:r>
    </w:p>
    <w:p w14:paraId="5970DED1" w14:textId="77777777" w:rsidR="00075479" w:rsidRPr="001C38C8"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pPr>
      <w:r w:rsidRPr="001C38C8">
        <w:t xml:space="preserve">The </w:t>
      </w:r>
      <w:bookmarkStart w:id="6" w:name="_Hlk499887067"/>
      <w:r w:rsidRPr="001C38C8">
        <w:t xml:space="preserve">Multidisciplinary Expert Panel and the Bureau </w:t>
      </w:r>
      <w:bookmarkEnd w:id="6"/>
      <w:r>
        <w:t xml:space="preserve">further suggest that the Plenary, </w:t>
      </w:r>
      <w:r w:rsidRPr="001C38C8">
        <w:t xml:space="preserve">should </w:t>
      </w:r>
      <w:r>
        <w:t>it</w:t>
      </w:r>
      <w:r w:rsidRPr="001C38C8">
        <w:t xml:space="preserve"> decide to initiate the undertaking of all three pending assessments, </w:t>
      </w:r>
      <w:r>
        <w:t xml:space="preserve">might wish </w:t>
      </w:r>
      <w:r w:rsidRPr="001C38C8">
        <w:t>to stagger their initiation, according to the following sequence: initiation of two assessments a</w:t>
      </w:r>
      <w:r>
        <w:t>t</w:t>
      </w:r>
      <w:r w:rsidRPr="001C38C8">
        <w:t xml:space="preserve"> the sixth session of t</w:t>
      </w:r>
      <w:r>
        <w:t>he Plenary, in 2018, and of one</w:t>
      </w:r>
      <w:r w:rsidRPr="001C38C8">
        <w:t xml:space="preserve"> a</w:t>
      </w:r>
      <w:r>
        <w:t>t</w:t>
      </w:r>
      <w:r w:rsidRPr="001C38C8">
        <w:t xml:space="preserve"> the seventh session, in 2019. Th</w:t>
      </w:r>
      <w:r>
        <w:t>is</w:t>
      </w:r>
      <w:r w:rsidRPr="001C38C8">
        <w:t xml:space="preserve"> </w:t>
      </w:r>
      <w:r>
        <w:t xml:space="preserve">suggestion is made </w:t>
      </w:r>
      <w:r w:rsidRPr="001C38C8">
        <w:t xml:space="preserve">to avoid having more than three assessments being performed in parallel, </w:t>
      </w:r>
      <w:r>
        <w:t>taking into account</w:t>
      </w:r>
      <w:r w:rsidRPr="001C38C8">
        <w:t xml:space="preserve"> the conclusions of the internal review (IPBES/6/INF/32), and in </w:t>
      </w:r>
      <w:r>
        <w:t xml:space="preserve">the </w:t>
      </w:r>
      <w:r w:rsidRPr="001C38C8">
        <w:t xml:space="preserve">light of the global assessment </w:t>
      </w:r>
      <w:r>
        <w:t>being presented to</w:t>
      </w:r>
      <w:r w:rsidRPr="001C38C8">
        <w:t xml:space="preserve"> the </w:t>
      </w:r>
      <w:r>
        <w:t xml:space="preserve">Plenary at its </w:t>
      </w:r>
      <w:r w:rsidRPr="001C38C8">
        <w:t>seventh session.</w:t>
      </w:r>
    </w:p>
    <w:p w14:paraId="5A20EDF0" w14:textId="5A7B1FAC" w:rsidR="00075479" w:rsidRPr="00CA038C" w:rsidRDefault="00075479" w:rsidP="00CA038C">
      <w:pPr>
        <w:pStyle w:val="CH1"/>
        <w:tabs>
          <w:tab w:val="clear" w:pos="851"/>
          <w:tab w:val="clear" w:pos="1814"/>
          <w:tab w:val="clear" w:pos="2381"/>
          <w:tab w:val="clear" w:pos="2948"/>
          <w:tab w:val="clear" w:pos="3515"/>
          <w:tab w:val="clear" w:pos="4082"/>
          <w:tab w:val="left" w:pos="1871"/>
          <w:tab w:val="left" w:pos="2495"/>
        </w:tabs>
        <w:ind w:left="624" w:right="289" w:hanging="624"/>
        <w:rPr>
          <w:rFonts w:eastAsia="MS Mincho"/>
          <w:b w:val="0"/>
        </w:rPr>
      </w:pPr>
      <w:r>
        <w:rPr>
          <w:rFonts w:eastAsia="MS Mincho"/>
        </w:rPr>
        <w:tab/>
        <w:t>III.</w:t>
      </w:r>
      <w:r>
        <w:rPr>
          <w:rFonts w:eastAsia="MS Mincho"/>
        </w:rPr>
        <w:tab/>
      </w:r>
      <w:r w:rsidRPr="00CA038C">
        <w:rPr>
          <w:rFonts w:eastAsia="MS Mincho"/>
        </w:rPr>
        <w:t>Suggested action by the Plenary</w:t>
      </w:r>
    </w:p>
    <w:p w14:paraId="3C54ED40" w14:textId="77777777" w:rsidR="00075479" w:rsidRPr="007A4748" w:rsidRDefault="00075479" w:rsidP="00075479">
      <w:pPr>
        <w:numPr>
          <w:ilvl w:val="0"/>
          <w:numId w:val="17"/>
        </w:numPr>
        <w:tabs>
          <w:tab w:val="num" w:pos="720"/>
          <w:tab w:val="left" w:pos="1247"/>
          <w:tab w:val="left" w:pos="1814"/>
          <w:tab w:val="left" w:pos="2381"/>
          <w:tab w:val="left" w:pos="2948"/>
          <w:tab w:val="left" w:pos="3515"/>
        </w:tabs>
        <w:spacing w:after="120" w:line="240" w:lineRule="auto"/>
        <w:ind w:left="1247" w:firstLine="0"/>
        <w:rPr>
          <w:rFonts w:ascii="Times New Roman" w:eastAsia="Times New Roman" w:hAnsi="Times New Roman" w:cs="Times New Roman"/>
          <w:sz w:val="20"/>
          <w:szCs w:val="20"/>
          <w:lang w:val="en-GB"/>
        </w:rPr>
      </w:pPr>
      <w:r w:rsidRPr="007A4748">
        <w:rPr>
          <w:rFonts w:ascii="Times New Roman" w:eastAsia="Times New Roman" w:hAnsi="Times New Roman" w:cs="Times New Roman"/>
          <w:sz w:val="20"/>
          <w:szCs w:val="20"/>
          <w:lang w:val="en-GB"/>
        </w:rPr>
        <w:t>The Plenary may wish to consider the suggestions made</w:t>
      </w:r>
      <w:r>
        <w:rPr>
          <w:rFonts w:ascii="Times New Roman" w:eastAsia="Times New Roman" w:hAnsi="Times New Roman" w:cs="Times New Roman"/>
          <w:sz w:val="20"/>
          <w:szCs w:val="20"/>
          <w:lang w:val="en-GB"/>
        </w:rPr>
        <w:t xml:space="preserve"> by the</w:t>
      </w:r>
      <w:r w:rsidRPr="00AE7BFE">
        <w:rPr>
          <w:sz w:val="20"/>
          <w:szCs w:val="20"/>
        </w:rPr>
        <w:t xml:space="preserve"> </w:t>
      </w:r>
      <w:r w:rsidRPr="00AE7BFE">
        <w:rPr>
          <w:rFonts w:ascii="Times New Roman" w:eastAsia="Times New Roman" w:hAnsi="Times New Roman" w:cs="Times New Roman"/>
          <w:sz w:val="20"/>
          <w:szCs w:val="20"/>
        </w:rPr>
        <w:t>Multidisciplinary Expert Panel and the Bureau</w:t>
      </w:r>
      <w:r w:rsidRPr="007A4748">
        <w:rPr>
          <w:rFonts w:ascii="Times New Roman" w:eastAsia="Times New Roman" w:hAnsi="Times New Roman" w:cs="Times New Roman"/>
          <w:sz w:val="20"/>
          <w:szCs w:val="20"/>
          <w:lang w:val="en-GB"/>
        </w:rPr>
        <w:t>:</w:t>
      </w:r>
    </w:p>
    <w:p w14:paraId="211E7AA8" w14:textId="77777777" w:rsidR="00075479" w:rsidRPr="007A4748" w:rsidRDefault="00075479" w:rsidP="00887131">
      <w:pPr>
        <w:pStyle w:val="Normalnumber"/>
        <w:numPr>
          <w:ilvl w:val="0"/>
          <w:numId w:val="22"/>
        </w:numPr>
        <w:tabs>
          <w:tab w:val="clear" w:pos="1247"/>
          <w:tab w:val="clear" w:pos="1758"/>
          <w:tab w:val="clear" w:pos="1871"/>
          <w:tab w:val="clear" w:pos="2495"/>
        </w:tabs>
        <w:ind w:left="1247" w:firstLine="624"/>
      </w:pPr>
      <w:r>
        <w:t xml:space="preserve">Not to modify </w:t>
      </w:r>
      <w:r w:rsidRPr="007A4748">
        <w:t>the scope of the three pending assessments;</w:t>
      </w:r>
    </w:p>
    <w:p w14:paraId="295440AC" w14:textId="77777777" w:rsidR="00075479" w:rsidRDefault="00075479" w:rsidP="00887131">
      <w:pPr>
        <w:pStyle w:val="Normalnumber"/>
        <w:numPr>
          <w:ilvl w:val="0"/>
          <w:numId w:val="22"/>
        </w:numPr>
        <w:tabs>
          <w:tab w:val="clear" w:pos="1247"/>
          <w:tab w:val="clear" w:pos="1758"/>
          <w:tab w:val="clear" w:pos="1871"/>
          <w:tab w:val="clear" w:pos="2495"/>
        </w:tabs>
        <w:ind w:left="1247" w:firstLine="624"/>
      </w:pPr>
      <w:r>
        <w:t xml:space="preserve">To revise the cost of each pending assessment, </w:t>
      </w:r>
      <w:r w:rsidRPr="00AE7BFE">
        <w:t>in the context of the discussion on the budget under item 9 of the agenda of this session of the Plenary</w:t>
      </w:r>
      <w:r>
        <w:t>;</w:t>
      </w:r>
    </w:p>
    <w:p w14:paraId="2041BE75" w14:textId="77777777" w:rsidR="00075479" w:rsidRPr="00AE7BFE" w:rsidRDefault="00075479" w:rsidP="00887131">
      <w:pPr>
        <w:pStyle w:val="Normalnumber"/>
        <w:numPr>
          <w:ilvl w:val="0"/>
          <w:numId w:val="22"/>
        </w:numPr>
        <w:tabs>
          <w:tab w:val="clear" w:pos="1247"/>
          <w:tab w:val="clear" w:pos="1758"/>
          <w:tab w:val="clear" w:pos="1871"/>
          <w:tab w:val="clear" w:pos="2495"/>
        </w:tabs>
        <w:ind w:left="1247" w:firstLine="624"/>
      </w:pPr>
      <w:r>
        <w:t xml:space="preserve">To consider staggering </w:t>
      </w:r>
      <w:r w:rsidRPr="007A4748">
        <w:t xml:space="preserve">the </w:t>
      </w:r>
      <w:r>
        <w:t xml:space="preserve">initiation of the </w:t>
      </w:r>
      <w:r w:rsidRPr="007A4748">
        <w:t>three pending assessments</w:t>
      </w:r>
      <w:r>
        <w:t>, starting with two in 2018, followed by one in 2019.</w:t>
      </w:r>
    </w:p>
    <w:p w14:paraId="15345C48" w14:textId="063BC417" w:rsidR="00075479" w:rsidRPr="00D6758F" w:rsidRDefault="00A62128" w:rsidP="00075479">
      <w:pPr>
        <w:pStyle w:val="AnnexTitle"/>
        <w:rPr>
          <w:rFonts w:eastAsia="Calibri"/>
          <w:w w:val="103"/>
        </w:rPr>
      </w:pPr>
      <w:bookmarkStart w:id="7" w:name="_Hlk499716434"/>
      <w:r>
        <w:rPr>
          <w:rFonts w:eastAsia="Calibri"/>
          <w:w w:val="103"/>
        </w:rPr>
        <w:lastRenderedPageBreak/>
        <w:t>Annex</w:t>
      </w:r>
    </w:p>
    <w:p w14:paraId="14C4FE77" w14:textId="5E9E235F" w:rsidR="00075479" w:rsidRPr="00D6758F" w:rsidRDefault="00075479" w:rsidP="00CA038C">
      <w:pPr>
        <w:pStyle w:val="ZZAnxtitle"/>
      </w:pPr>
      <w:r w:rsidRPr="00D6758F">
        <w:t xml:space="preserve">Estimated cost of an assessment </w:t>
      </w: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847"/>
        <w:gridCol w:w="4120"/>
        <w:gridCol w:w="2243"/>
      </w:tblGrid>
      <w:tr w:rsidR="00075479" w:rsidRPr="00C959D2" w14:paraId="4063DFF9" w14:textId="77777777" w:rsidTr="00A62128">
        <w:trPr>
          <w:tblHeader/>
          <w:jc w:val="right"/>
        </w:trPr>
        <w:tc>
          <w:tcPr>
            <w:tcW w:w="720" w:type="dxa"/>
            <w:shd w:val="clear" w:color="auto" w:fill="auto"/>
            <w:vAlign w:val="bottom"/>
          </w:tcPr>
          <w:bookmarkEnd w:id="7"/>
          <w:p w14:paraId="6462D992" w14:textId="77777777" w:rsidR="00075479" w:rsidRPr="00CA038C"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i/>
                <w:sz w:val="18"/>
                <w:szCs w:val="18"/>
                <w:lang w:val="en-GB"/>
              </w:rPr>
            </w:pPr>
            <w:r w:rsidRPr="00CA038C">
              <w:rPr>
                <w:rFonts w:ascii="Times New Roman" w:hAnsi="Times New Roman" w:cs="Times New Roman"/>
                <w:b/>
                <w:i/>
                <w:sz w:val="18"/>
                <w:szCs w:val="18"/>
                <w:lang w:val="en-GB"/>
              </w:rPr>
              <w:t>Year</w:t>
            </w:r>
          </w:p>
        </w:tc>
        <w:tc>
          <w:tcPr>
            <w:tcW w:w="2880" w:type="dxa"/>
            <w:shd w:val="clear" w:color="auto" w:fill="auto"/>
            <w:vAlign w:val="bottom"/>
          </w:tcPr>
          <w:p w14:paraId="3F4194AD" w14:textId="77777777" w:rsidR="00075479" w:rsidRPr="00CA038C"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i/>
                <w:sz w:val="18"/>
                <w:szCs w:val="18"/>
                <w:lang w:val="en-GB"/>
              </w:rPr>
            </w:pPr>
            <w:r w:rsidRPr="00CA038C">
              <w:rPr>
                <w:rFonts w:ascii="Times New Roman" w:hAnsi="Times New Roman" w:cs="Times New Roman"/>
                <w:b/>
                <w:i/>
                <w:sz w:val="18"/>
                <w:szCs w:val="18"/>
                <w:lang w:val="en-GB"/>
              </w:rPr>
              <w:t>Cost item</w:t>
            </w:r>
          </w:p>
        </w:tc>
        <w:tc>
          <w:tcPr>
            <w:tcW w:w="4169" w:type="dxa"/>
            <w:shd w:val="clear" w:color="auto" w:fill="auto"/>
            <w:vAlign w:val="bottom"/>
          </w:tcPr>
          <w:p w14:paraId="51F17422" w14:textId="77777777" w:rsidR="00075479" w:rsidRPr="00CA038C"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i/>
                <w:sz w:val="18"/>
                <w:szCs w:val="18"/>
                <w:lang w:val="en-GB"/>
              </w:rPr>
            </w:pPr>
            <w:r w:rsidRPr="00CA038C">
              <w:rPr>
                <w:rFonts w:ascii="Times New Roman" w:hAnsi="Times New Roman" w:cs="Times New Roman"/>
                <w:b/>
                <w:i/>
                <w:sz w:val="18"/>
                <w:szCs w:val="18"/>
                <w:lang w:val="en-GB"/>
              </w:rPr>
              <w:t>Assumptions</w:t>
            </w:r>
          </w:p>
        </w:tc>
        <w:tc>
          <w:tcPr>
            <w:tcW w:w="2268" w:type="dxa"/>
            <w:shd w:val="clear" w:color="auto" w:fill="auto"/>
            <w:vAlign w:val="bottom"/>
          </w:tcPr>
          <w:p w14:paraId="37011A8A" w14:textId="77777777" w:rsidR="00075479" w:rsidRPr="00CA038C" w:rsidRDefault="00075479" w:rsidP="0006640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b/>
                <w:i/>
                <w:sz w:val="18"/>
                <w:szCs w:val="18"/>
                <w:lang w:val="en-GB"/>
              </w:rPr>
            </w:pPr>
            <w:r w:rsidRPr="00CA038C">
              <w:rPr>
                <w:rFonts w:ascii="Times New Roman" w:hAnsi="Times New Roman" w:cs="Times New Roman"/>
                <w:b/>
                <w:i/>
                <w:sz w:val="18"/>
                <w:szCs w:val="18"/>
                <w:lang w:val="en-GB"/>
              </w:rPr>
              <w:t xml:space="preserve">Estimated costs </w:t>
            </w:r>
            <w:r w:rsidRPr="00CA038C">
              <w:rPr>
                <w:rFonts w:ascii="Times New Roman" w:hAnsi="Times New Roman" w:cs="Times New Roman"/>
                <w:b/>
                <w:i/>
                <w:sz w:val="18"/>
                <w:szCs w:val="18"/>
                <w:lang w:val="en-GB"/>
              </w:rPr>
              <w:br/>
              <w:t xml:space="preserve">(United States </w:t>
            </w:r>
            <w:r w:rsidRPr="00CA038C">
              <w:rPr>
                <w:rFonts w:ascii="Times New Roman" w:eastAsia="SimSun" w:hAnsi="Times New Roman" w:cs="Times New Roman"/>
                <w:b/>
                <w:i/>
                <w:sz w:val="18"/>
                <w:szCs w:val="18"/>
                <w:lang w:val="en-GB" w:eastAsia="zh-CN"/>
              </w:rPr>
              <w:t>dollars</w:t>
            </w:r>
            <w:r w:rsidRPr="00CA038C">
              <w:rPr>
                <w:rFonts w:ascii="Times New Roman" w:hAnsi="Times New Roman" w:cs="Times New Roman"/>
                <w:b/>
                <w:i/>
                <w:sz w:val="18"/>
                <w:szCs w:val="18"/>
                <w:lang w:val="en-GB"/>
              </w:rPr>
              <w:t>)</w:t>
            </w:r>
          </w:p>
        </w:tc>
      </w:tr>
      <w:tr w:rsidR="00075479" w:rsidRPr="00C959D2" w14:paraId="631E8BFD" w14:textId="77777777" w:rsidTr="00A62128">
        <w:trPr>
          <w:jc w:val="right"/>
        </w:trPr>
        <w:tc>
          <w:tcPr>
            <w:tcW w:w="720" w:type="dxa"/>
            <w:vMerge w:val="restart"/>
            <w:shd w:val="clear" w:color="auto" w:fill="auto"/>
            <w:vAlign w:val="center"/>
          </w:tcPr>
          <w:p w14:paraId="52942401" w14:textId="77777777" w:rsidR="00075479" w:rsidRPr="00C959D2" w:rsidRDefault="00075479" w:rsidP="005E4BBB">
            <w:pPr>
              <w:tabs>
                <w:tab w:val="left" w:pos="1247"/>
                <w:tab w:val="left" w:pos="1814"/>
                <w:tab w:val="left" w:pos="2381"/>
                <w:tab w:val="left" w:pos="2948"/>
                <w:tab w:val="left" w:pos="3515"/>
              </w:tabs>
              <w:spacing w:before="40" w:after="40" w:line="240" w:lineRule="auto"/>
              <w:jc w:val="center"/>
              <w:rPr>
                <w:rFonts w:ascii="Times New Roman" w:hAnsi="Times New Roman" w:cs="Times New Roman"/>
                <w:sz w:val="18"/>
                <w:szCs w:val="18"/>
                <w:lang w:val="en-GB"/>
              </w:rPr>
            </w:pPr>
            <w:r w:rsidRPr="00C959D2">
              <w:rPr>
                <w:rFonts w:ascii="Times New Roman" w:hAnsi="Times New Roman" w:cs="Times New Roman"/>
                <w:sz w:val="18"/>
                <w:szCs w:val="18"/>
                <w:lang w:val="en-GB"/>
              </w:rPr>
              <w:t>Year 1</w:t>
            </w:r>
          </w:p>
        </w:tc>
        <w:tc>
          <w:tcPr>
            <w:tcW w:w="2880" w:type="dxa"/>
            <w:vMerge w:val="restart"/>
            <w:shd w:val="clear" w:color="auto" w:fill="auto"/>
          </w:tcPr>
          <w:p w14:paraId="18361E52"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C959D2">
              <w:rPr>
                <w:rFonts w:ascii="Times New Roman" w:hAnsi="Times New Roman" w:cs="Times New Roman"/>
                <w:sz w:val="18"/>
                <w:szCs w:val="18"/>
                <w:lang w:val="en-GB"/>
              </w:rPr>
              <w:t xml:space="preserve">Management </w:t>
            </w:r>
            <w:r>
              <w:rPr>
                <w:rFonts w:ascii="Times New Roman" w:hAnsi="Times New Roman" w:cs="Times New Roman"/>
                <w:sz w:val="18"/>
                <w:szCs w:val="18"/>
                <w:lang w:val="en-GB"/>
              </w:rPr>
              <w:t xml:space="preserve">committee </w:t>
            </w:r>
            <w:r w:rsidRPr="00C959D2">
              <w:rPr>
                <w:rFonts w:ascii="Times New Roman" w:hAnsi="Times New Roman" w:cs="Times New Roman"/>
                <w:sz w:val="18"/>
                <w:szCs w:val="18"/>
                <w:lang w:val="en-GB"/>
              </w:rPr>
              <w:t>meeting (</w:t>
            </w:r>
            <w:r>
              <w:rPr>
                <w:rFonts w:ascii="Times New Roman" w:hAnsi="Times New Roman" w:cs="Times New Roman"/>
                <w:sz w:val="18"/>
                <w:szCs w:val="18"/>
                <w:lang w:val="en-GB"/>
              </w:rPr>
              <w:t xml:space="preserve">2 </w:t>
            </w:r>
            <w:r w:rsidRPr="00C959D2">
              <w:rPr>
                <w:rFonts w:ascii="Times New Roman" w:hAnsi="Times New Roman" w:cs="Times New Roman"/>
                <w:sz w:val="18"/>
                <w:szCs w:val="18"/>
                <w:lang w:val="en-GB"/>
              </w:rPr>
              <w:t>co-chairs</w:t>
            </w:r>
            <w:r>
              <w:rPr>
                <w:rFonts w:ascii="Times New Roman" w:hAnsi="Times New Roman" w:cs="Times New Roman"/>
                <w:sz w:val="18"/>
                <w:szCs w:val="18"/>
                <w:lang w:val="en-GB"/>
              </w:rPr>
              <w:t>,</w:t>
            </w:r>
            <w:r w:rsidRPr="00C959D2">
              <w:rPr>
                <w:rFonts w:ascii="Times New Roman" w:hAnsi="Times New Roman" w:cs="Times New Roman"/>
                <w:sz w:val="18"/>
                <w:szCs w:val="18"/>
                <w:lang w:val="en-GB"/>
              </w:rPr>
              <w:t xml:space="preserve"> </w:t>
            </w:r>
            <w:r w:rsidRPr="00C959D2">
              <w:rPr>
                <w:rFonts w:ascii="Times New Roman" w:eastAsia="SimSun" w:hAnsi="Times New Roman" w:cs="Times New Roman"/>
                <w:sz w:val="18"/>
                <w:szCs w:val="18"/>
                <w:lang w:val="en-GB" w:eastAsia="zh-CN"/>
              </w:rPr>
              <w:t xml:space="preserve">members of the </w:t>
            </w:r>
            <w:r w:rsidRPr="00C959D2">
              <w:rPr>
                <w:rFonts w:ascii="Times New Roman" w:hAnsi="Times New Roman" w:cs="Times New Roman"/>
                <w:sz w:val="18"/>
                <w:szCs w:val="18"/>
                <w:lang w:val="en-GB"/>
              </w:rPr>
              <w:t>secretariat</w:t>
            </w:r>
            <w:r>
              <w:rPr>
                <w:rFonts w:ascii="Times New Roman" w:hAnsi="Times New Roman" w:cs="Times New Roman"/>
                <w:sz w:val="18"/>
                <w:szCs w:val="18"/>
                <w:lang w:val="en-GB"/>
              </w:rPr>
              <w:t>,</w:t>
            </w:r>
            <w:r>
              <w:rPr>
                <w:rFonts w:ascii="Times New Roman" w:eastAsia="SimSun" w:hAnsi="Times New Roman" w:cs="Times New Roman"/>
                <w:sz w:val="18"/>
                <w:szCs w:val="18"/>
                <w:lang w:val="en-GB" w:eastAsia="zh-CN"/>
              </w:rPr>
              <w:t xml:space="preserve"> including </w:t>
            </w:r>
            <w:r w:rsidRPr="00C959D2">
              <w:rPr>
                <w:rFonts w:ascii="Times New Roman" w:hAnsi="Times New Roman" w:cs="Times New Roman"/>
                <w:sz w:val="18"/>
                <w:szCs w:val="18"/>
                <w:lang w:val="en-GB"/>
              </w:rPr>
              <w:t xml:space="preserve">technical support unit, Multidisciplinary Expert Panel </w:t>
            </w:r>
            <w:r w:rsidRPr="00C959D2">
              <w:rPr>
                <w:rFonts w:ascii="Times New Roman" w:eastAsia="SimSun" w:hAnsi="Times New Roman" w:cs="Times New Roman"/>
                <w:sz w:val="18"/>
                <w:szCs w:val="18"/>
                <w:lang w:val="en-GB" w:eastAsia="zh-CN"/>
              </w:rPr>
              <w:t>and</w:t>
            </w:r>
            <w:r w:rsidRPr="00C959D2">
              <w:rPr>
                <w:rFonts w:ascii="Times New Roman" w:hAnsi="Times New Roman" w:cs="Times New Roman"/>
                <w:sz w:val="18"/>
                <w:szCs w:val="18"/>
                <w:lang w:val="en-GB"/>
              </w:rPr>
              <w:t xml:space="preserve"> Bureau)</w:t>
            </w:r>
          </w:p>
        </w:tc>
        <w:tc>
          <w:tcPr>
            <w:tcW w:w="4169" w:type="dxa"/>
            <w:shd w:val="clear" w:color="auto" w:fill="auto"/>
          </w:tcPr>
          <w:p w14:paraId="6F35EF1A" w14:textId="77777777" w:rsidR="00075479" w:rsidRPr="00C959D2" w:rsidRDefault="00075479" w:rsidP="00CA038C">
            <w:pPr>
              <w:pStyle w:val="CommentText"/>
              <w:rPr>
                <w:rFonts w:cs="Times New Roman"/>
                <w:snapToGrid w:val="0"/>
                <w:sz w:val="18"/>
                <w:szCs w:val="18"/>
                <w:u w:val="single"/>
              </w:rPr>
            </w:pPr>
            <w:r w:rsidRPr="00C959D2">
              <w:rPr>
                <w:rFonts w:cs="Times New Roman"/>
                <w:sz w:val="18"/>
                <w:szCs w:val="18"/>
              </w:rPr>
              <w:t>Cost of venu</w:t>
            </w:r>
            <w:r w:rsidRPr="001238B1">
              <w:rPr>
                <w:rFonts w:cs="Times New Roman"/>
                <w:sz w:val="18"/>
                <w:szCs w:val="18"/>
              </w:rPr>
              <w:t>e (</w:t>
            </w:r>
            <w:r w:rsidRPr="00CA038C">
              <w:rPr>
                <w:rFonts w:cs="Times New Roman"/>
                <w:sz w:val="18"/>
                <w:szCs w:val="18"/>
              </w:rPr>
              <w:t>half</w:t>
            </w:r>
            <w:r w:rsidR="00FB5686" w:rsidRPr="00CA038C">
              <w:rPr>
                <w:rFonts w:cs="Times New Roman"/>
                <w:sz w:val="18"/>
                <w:szCs w:val="18"/>
              </w:rPr>
              <w:t xml:space="preserve"> </w:t>
            </w:r>
            <w:r>
              <w:rPr>
                <w:rFonts w:cs="Times New Roman"/>
                <w:sz w:val="18"/>
                <w:szCs w:val="18"/>
              </w:rPr>
              <w:t xml:space="preserve">a </w:t>
            </w:r>
            <w:r w:rsidRPr="00C959D2">
              <w:rPr>
                <w:rFonts w:cs="Times New Roman"/>
                <w:sz w:val="18"/>
                <w:szCs w:val="18"/>
              </w:rPr>
              <w:t xml:space="preserve">week, </w:t>
            </w:r>
            <w:r>
              <w:rPr>
                <w:rFonts w:cs="Times New Roman"/>
                <w:sz w:val="18"/>
                <w:szCs w:val="18"/>
              </w:rPr>
              <w:t xml:space="preserve">for </w:t>
            </w:r>
            <w:r w:rsidRPr="00C959D2">
              <w:rPr>
                <w:rFonts w:cs="Times New Roman"/>
                <w:sz w:val="18"/>
                <w:szCs w:val="18"/>
              </w:rPr>
              <w:t>6 participants, in Bonn)</w:t>
            </w:r>
            <w:r w:rsidRPr="00C959D2">
              <w:rPr>
                <w:rFonts w:eastAsia="SimSun" w:cs="Times New Roman"/>
                <w:b/>
                <w:i/>
                <w:sz w:val="18"/>
                <w:szCs w:val="18"/>
                <w:lang w:eastAsia="zh-CN"/>
              </w:rPr>
              <w:t xml:space="preserve"> </w:t>
            </w:r>
          </w:p>
        </w:tc>
        <w:tc>
          <w:tcPr>
            <w:tcW w:w="2268" w:type="dxa"/>
            <w:shd w:val="clear" w:color="auto" w:fill="auto"/>
          </w:tcPr>
          <w:p w14:paraId="0322A4F2"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0</w:t>
            </w:r>
          </w:p>
        </w:tc>
      </w:tr>
      <w:tr w:rsidR="00075479" w:rsidRPr="00C959D2" w14:paraId="68AEB615" w14:textId="77777777" w:rsidTr="00A62128">
        <w:trPr>
          <w:trHeight w:val="187"/>
          <w:jc w:val="right"/>
        </w:trPr>
        <w:tc>
          <w:tcPr>
            <w:tcW w:w="720" w:type="dxa"/>
            <w:vMerge/>
            <w:shd w:val="clear" w:color="auto" w:fill="auto"/>
            <w:vAlign w:val="center"/>
          </w:tcPr>
          <w:p w14:paraId="25ED4BF8"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vMerge/>
            <w:shd w:val="clear" w:color="auto" w:fill="auto"/>
          </w:tcPr>
          <w:p w14:paraId="1B883885"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4169" w:type="dxa"/>
            <w:shd w:val="clear" w:color="auto" w:fill="auto"/>
          </w:tcPr>
          <w:p w14:paraId="53ED0E79"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C959D2">
              <w:rPr>
                <w:rFonts w:ascii="Times New Roman" w:hAnsi="Times New Roman" w:cs="Times New Roman"/>
                <w:sz w:val="18"/>
                <w:szCs w:val="18"/>
                <w:lang w:val="en-GB"/>
              </w:rPr>
              <w:t>Travel and daily subsistence allowance</w:t>
            </w:r>
            <w:r>
              <w:rPr>
                <w:rFonts w:ascii="Times New Roman" w:hAnsi="Times New Roman" w:cs="Times New Roman"/>
                <w:sz w:val="18"/>
                <w:szCs w:val="18"/>
                <w:lang w:val="en-GB"/>
              </w:rPr>
              <w:t xml:space="preserve"> for 4 supported participants </w:t>
            </w:r>
            <w:r w:rsidRPr="00C959D2">
              <w:rPr>
                <w:rFonts w:ascii="Times New Roman" w:hAnsi="Times New Roman" w:cs="Times New Roman"/>
                <w:sz w:val="18"/>
                <w:szCs w:val="18"/>
                <w:lang w:val="en-GB"/>
              </w:rPr>
              <w:t>(4 × $3,750)</w:t>
            </w:r>
          </w:p>
        </w:tc>
        <w:tc>
          <w:tcPr>
            <w:tcW w:w="2268" w:type="dxa"/>
            <w:shd w:val="clear" w:color="auto" w:fill="auto"/>
          </w:tcPr>
          <w:p w14:paraId="48510EB9"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15</w:t>
            </w:r>
            <w:r w:rsidRPr="00C959D2">
              <w:rPr>
                <w:rFonts w:ascii="Times New Roman" w:eastAsia="SimSun" w:hAnsi="Times New Roman" w:cs="Times New Roman"/>
                <w:sz w:val="18"/>
                <w:szCs w:val="18"/>
                <w:lang w:val="en-GB" w:eastAsia="zh-CN"/>
              </w:rPr>
              <w:t xml:space="preserve"> </w:t>
            </w:r>
            <w:r w:rsidRPr="00C959D2">
              <w:rPr>
                <w:rFonts w:ascii="Times New Roman" w:hAnsi="Times New Roman" w:cs="Times New Roman"/>
                <w:sz w:val="18"/>
                <w:szCs w:val="18"/>
                <w:lang w:val="en-GB"/>
              </w:rPr>
              <w:t>000</w:t>
            </w:r>
          </w:p>
        </w:tc>
      </w:tr>
      <w:tr w:rsidR="00075479" w:rsidRPr="00C959D2" w14:paraId="32DCBEE9" w14:textId="77777777" w:rsidTr="00A62128">
        <w:trPr>
          <w:trHeight w:val="420"/>
          <w:jc w:val="right"/>
        </w:trPr>
        <w:tc>
          <w:tcPr>
            <w:tcW w:w="720" w:type="dxa"/>
            <w:vMerge/>
            <w:shd w:val="clear" w:color="auto" w:fill="auto"/>
          </w:tcPr>
          <w:p w14:paraId="118C2C88"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vMerge w:val="restart"/>
            <w:shd w:val="clear" w:color="auto" w:fill="auto"/>
          </w:tcPr>
          <w:p w14:paraId="49951C45"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C959D2">
              <w:rPr>
                <w:rFonts w:ascii="Times New Roman" w:hAnsi="Times New Roman" w:cs="Times New Roman"/>
                <w:sz w:val="18"/>
                <w:szCs w:val="18"/>
                <w:lang w:val="en-GB"/>
              </w:rPr>
              <w:t>First author meeting (2 co</w:t>
            </w:r>
            <w:r w:rsidRPr="00C959D2">
              <w:rPr>
                <w:rFonts w:ascii="Times New Roman" w:hAnsi="Times New Roman" w:cs="Times New Roman"/>
                <w:sz w:val="18"/>
                <w:szCs w:val="18"/>
                <w:lang w:val="en-GB"/>
              </w:rPr>
              <w:noBreakHyphen/>
              <w:t>chairs, 12 coordinating lead authors, 48 lead authors and 6 Multidisciplinary Expert Panel and Bureau members)</w:t>
            </w:r>
          </w:p>
        </w:tc>
        <w:tc>
          <w:tcPr>
            <w:tcW w:w="4169" w:type="dxa"/>
            <w:shd w:val="clear" w:color="auto" w:fill="auto"/>
          </w:tcPr>
          <w:p w14:paraId="786A6C1D"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C959D2">
              <w:rPr>
                <w:rFonts w:ascii="Times New Roman" w:hAnsi="Times New Roman" w:cs="Times New Roman"/>
                <w:sz w:val="18"/>
                <w:szCs w:val="18"/>
                <w:lang w:val="en-GB"/>
              </w:rPr>
              <w:t xml:space="preserve">Cost of venue (corresponding to 75 per cent, to be complemented with 25 per cent in kind; </w:t>
            </w:r>
            <w:r>
              <w:rPr>
                <w:rFonts w:ascii="Times New Roman" w:hAnsi="Times New Roman" w:cs="Times New Roman"/>
                <w:sz w:val="18"/>
                <w:szCs w:val="18"/>
                <w:lang w:val="en-GB"/>
              </w:rPr>
              <w:t xml:space="preserve">for </w:t>
            </w:r>
            <w:r w:rsidRPr="00C959D2">
              <w:rPr>
                <w:rFonts w:ascii="Times New Roman" w:hAnsi="Times New Roman" w:cs="Times New Roman"/>
                <w:sz w:val="18"/>
                <w:szCs w:val="18"/>
                <w:lang w:val="en-GB"/>
              </w:rPr>
              <w:t>68 participants</w:t>
            </w:r>
            <w:r>
              <w:rPr>
                <w:rFonts w:ascii="Times New Roman" w:hAnsi="Times New Roman" w:cs="Times New Roman"/>
                <w:sz w:val="18"/>
                <w:szCs w:val="18"/>
                <w:lang w:val="en-GB"/>
              </w:rPr>
              <w:t>)</w:t>
            </w:r>
            <w:r w:rsidRPr="00C959D2">
              <w:rPr>
                <w:rFonts w:ascii="Times New Roman" w:hAnsi="Times New Roman" w:cs="Times New Roman"/>
                <w:sz w:val="18"/>
                <w:szCs w:val="18"/>
                <w:lang w:val="en-GB"/>
              </w:rPr>
              <w:t xml:space="preserve"> </w:t>
            </w:r>
          </w:p>
        </w:tc>
        <w:tc>
          <w:tcPr>
            <w:tcW w:w="2268" w:type="dxa"/>
            <w:shd w:val="clear" w:color="auto" w:fill="auto"/>
          </w:tcPr>
          <w:p w14:paraId="25C287B4"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18</w:t>
            </w:r>
            <w:r w:rsidRPr="00C959D2">
              <w:rPr>
                <w:rFonts w:ascii="Times New Roman" w:eastAsia="SimSun" w:hAnsi="Times New Roman" w:cs="Times New Roman"/>
                <w:sz w:val="18"/>
                <w:szCs w:val="18"/>
                <w:lang w:val="en-GB" w:eastAsia="zh-CN"/>
              </w:rPr>
              <w:t xml:space="preserve"> </w:t>
            </w:r>
            <w:r w:rsidRPr="00C959D2">
              <w:rPr>
                <w:rFonts w:ascii="Times New Roman" w:hAnsi="Times New Roman" w:cs="Times New Roman"/>
                <w:sz w:val="18"/>
                <w:szCs w:val="18"/>
                <w:lang w:val="en-GB"/>
              </w:rPr>
              <w:t>750</w:t>
            </w:r>
          </w:p>
        </w:tc>
      </w:tr>
      <w:tr w:rsidR="00075479" w:rsidRPr="00C959D2" w14:paraId="7729C6CE" w14:textId="77777777" w:rsidTr="00A62128">
        <w:trPr>
          <w:trHeight w:val="129"/>
          <w:jc w:val="right"/>
        </w:trPr>
        <w:tc>
          <w:tcPr>
            <w:tcW w:w="720" w:type="dxa"/>
            <w:vMerge/>
            <w:shd w:val="clear" w:color="auto" w:fill="auto"/>
            <w:vAlign w:val="center"/>
          </w:tcPr>
          <w:p w14:paraId="5994C52A"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vMerge/>
            <w:shd w:val="clear" w:color="auto" w:fill="auto"/>
          </w:tcPr>
          <w:p w14:paraId="3B5CB1E7"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4169" w:type="dxa"/>
            <w:shd w:val="clear" w:color="auto" w:fill="auto"/>
          </w:tcPr>
          <w:p w14:paraId="6E21B5FE"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C959D2">
              <w:rPr>
                <w:rFonts w:ascii="Times New Roman" w:hAnsi="Times New Roman" w:cs="Times New Roman"/>
                <w:sz w:val="18"/>
                <w:szCs w:val="18"/>
                <w:lang w:val="en-GB"/>
              </w:rPr>
              <w:t>Travel and DSA</w:t>
            </w:r>
            <w:r>
              <w:rPr>
                <w:rFonts w:ascii="Times New Roman" w:hAnsi="Times New Roman" w:cs="Times New Roman"/>
                <w:sz w:val="18"/>
                <w:szCs w:val="18"/>
                <w:lang w:val="en-GB"/>
              </w:rPr>
              <w:t xml:space="preserve"> for 51 supported participants</w:t>
            </w:r>
            <w:r w:rsidRPr="00C959D2">
              <w:rPr>
                <w:rFonts w:ascii="Times New Roman" w:hAnsi="Times New Roman" w:cs="Times New Roman"/>
                <w:sz w:val="18"/>
                <w:szCs w:val="18"/>
                <w:lang w:val="en-GB"/>
              </w:rPr>
              <w:t xml:space="preserve"> </w:t>
            </w:r>
            <w:r w:rsidR="00CA038C">
              <w:rPr>
                <w:rFonts w:ascii="Times New Roman" w:hAnsi="Times New Roman" w:cs="Times New Roman"/>
                <w:sz w:val="18"/>
                <w:szCs w:val="18"/>
                <w:lang w:val="en-GB"/>
              </w:rPr>
              <w:br/>
            </w:r>
            <w:r w:rsidRPr="00C959D2">
              <w:rPr>
                <w:rFonts w:ascii="Times New Roman" w:hAnsi="Times New Roman" w:cs="Times New Roman"/>
                <w:sz w:val="18"/>
                <w:szCs w:val="18"/>
                <w:lang w:val="en-GB"/>
              </w:rPr>
              <w:t>(51 × $3,750)</w:t>
            </w:r>
          </w:p>
        </w:tc>
        <w:tc>
          <w:tcPr>
            <w:tcW w:w="2268" w:type="dxa"/>
            <w:shd w:val="clear" w:color="auto" w:fill="auto"/>
          </w:tcPr>
          <w:p w14:paraId="1E4FD1A1"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191 250</w:t>
            </w:r>
          </w:p>
        </w:tc>
      </w:tr>
      <w:tr w:rsidR="00075479" w:rsidRPr="00C959D2" w14:paraId="46C36060" w14:textId="77777777" w:rsidTr="00A62128">
        <w:trPr>
          <w:trHeight w:val="452"/>
          <w:jc w:val="right"/>
        </w:trPr>
        <w:tc>
          <w:tcPr>
            <w:tcW w:w="720" w:type="dxa"/>
            <w:vMerge/>
            <w:shd w:val="clear" w:color="auto" w:fill="auto"/>
          </w:tcPr>
          <w:p w14:paraId="18BCCB51"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shd w:val="clear" w:color="auto" w:fill="auto"/>
          </w:tcPr>
          <w:p w14:paraId="1DD0AD48" w14:textId="77777777" w:rsidR="00075479" w:rsidRPr="00323B88"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n-GB"/>
              </w:rPr>
            </w:pPr>
            <w:r w:rsidRPr="00323B88">
              <w:rPr>
                <w:rFonts w:ascii="Times New Roman" w:hAnsi="Times New Roman" w:cs="Times New Roman"/>
                <w:sz w:val="18"/>
                <w:szCs w:val="18"/>
                <w:lang w:val="en-GB"/>
              </w:rPr>
              <w:t>Technical support unit</w:t>
            </w:r>
          </w:p>
        </w:tc>
        <w:tc>
          <w:tcPr>
            <w:tcW w:w="4169" w:type="dxa"/>
            <w:shd w:val="clear" w:color="auto" w:fill="auto"/>
          </w:tcPr>
          <w:p w14:paraId="6994683D" w14:textId="77777777" w:rsidR="00075479" w:rsidRPr="00323B88"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eastAsia="zh-CN"/>
              </w:rPr>
              <w:t>Corresponding to the costs of one full-time equivalent professional position and one part-time administrative assistant, including travel and overhead</w:t>
            </w:r>
            <w:r>
              <w:rPr>
                <w:rFonts w:ascii="Times New Roman" w:hAnsi="Times New Roman" w:cs="Times New Roman"/>
                <w:sz w:val="18"/>
                <w:szCs w:val="18"/>
                <w:lang w:val="en-GB" w:eastAsia="zh-CN"/>
              </w:rPr>
              <w:t>s</w:t>
            </w:r>
            <w:r w:rsidRPr="00323B88">
              <w:rPr>
                <w:rFonts w:ascii="Times New Roman" w:hAnsi="Times New Roman" w:cs="Times New Roman"/>
                <w:sz w:val="18"/>
                <w:szCs w:val="18"/>
                <w:lang w:val="en-GB" w:eastAsia="zh-CN"/>
              </w:rPr>
              <w:t xml:space="preserve"> (to be matched by an in-kind offer of an equivalent value)</w:t>
            </w:r>
          </w:p>
        </w:tc>
        <w:tc>
          <w:tcPr>
            <w:tcW w:w="2268" w:type="dxa"/>
            <w:shd w:val="clear" w:color="auto" w:fill="auto"/>
          </w:tcPr>
          <w:p w14:paraId="7D6FD821"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b/>
                <w:sz w:val="18"/>
                <w:szCs w:val="18"/>
                <w:lang w:val="en-GB"/>
              </w:rPr>
            </w:pPr>
            <w:r w:rsidRPr="00C959D2">
              <w:rPr>
                <w:rFonts w:ascii="Times New Roman" w:hAnsi="Times New Roman" w:cs="Times New Roman"/>
                <w:sz w:val="18"/>
                <w:szCs w:val="18"/>
                <w:lang w:val="en-GB"/>
              </w:rPr>
              <w:t>150 000</w:t>
            </w:r>
          </w:p>
        </w:tc>
      </w:tr>
      <w:tr w:rsidR="00075479" w:rsidRPr="00C959D2" w14:paraId="743DE37E" w14:textId="77777777" w:rsidTr="00A62128">
        <w:trPr>
          <w:trHeight w:val="271"/>
          <w:jc w:val="right"/>
        </w:trPr>
        <w:tc>
          <w:tcPr>
            <w:tcW w:w="720" w:type="dxa"/>
            <w:shd w:val="clear" w:color="auto" w:fill="auto"/>
          </w:tcPr>
          <w:p w14:paraId="50551C6A"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shd w:val="clear" w:color="auto" w:fill="auto"/>
          </w:tcPr>
          <w:p w14:paraId="6C2FEAAB" w14:textId="77777777" w:rsidR="00075479" w:rsidRPr="00323B88"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b/>
                <w:sz w:val="18"/>
                <w:szCs w:val="18"/>
                <w:lang w:val="en-GB"/>
              </w:rPr>
              <w:t>Total year 1:</w:t>
            </w:r>
          </w:p>
        </w:tc>
        <w:tc>
          <w:tcPr>
            <w:tcW w:w="4169" w:type="dxa"/>
            <w:shd w:val="clear" w:color="auto" w:fill="auto"/>
          </w:tcPr>
          <w:p w14:paraId="054A8C00" w14:textId="77777777" w:rsidR="00075479" w:rsidRPr="00323B88"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268" w:type="dxa"/>
            <w:shd w:val="clear" w:color="auto" w:fill="auto"/>
          </w:tcPr>
          <w:p w14:paraId="17E98271"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b/>
                <w:sz w:val="18"/>
                <w:szCs w:val="18"/>
                <w:lang w:val="en-GB"/>
              </w:rPr>
              <w:t>375 000</w:t>
            </w:r>
          </w:p>
        </w:tc>
      </w:tr>
      <w:tr w:rsidR="00075479" w:rsidRPr="00C959D2" w14:paraId="63C8EBF3" w14:textId="77777777" w:rsidTr="00A62128">
        <w:trPr>
          <w:trHeight w:val="516"/>
          <w:jc w:val="right"/>
        </w:trPr>
        <w:tc>
          <w:tcPr>
            <w:tcW w:w="720" w:type="dxa"/>
            <w:vMerge w:val="restart"/>
            <w:shd w:val="clear" w:color="auto" w:fill="auto"/>
            <w:vAlign w:val="center"/>
          </w:tcPr>
          <w:p w14:paraId="054D4CB1" w14:textId="77777777" w:rsidR="00075479" w:rsidRPr="00C959D2" w:rsidRDefault="00075479" w:rsidP="005E4BBB">
            <w:pPr>
              <w:tabs>
                <w:tab w:val="left" w:pos="1247"/>
                <w:tab w:val="left" w:pos="1814"/>
                <w:tab w:val="left" w:pos="2381"/>
                <w:tab w:val="left" w:pos="2948"/>
                <w:tab w:val="left" w:pos="3515"/>
              </w:tabs>
              <w:spacing w:before="40" w:after="40" w:line="240" w:lineRule="auto"/>
              <w:jc w:val="center"/>
              <w:rPr>
                <w:rFonts w:ascii="Times New Roman" w:hAnsi="Times New Roman" w:cs="Times New Roman"/>
                <w:sz w:val="18"/>
                <w:szCs w:val="18"/>
                <w:lang w:val="en-GB"/>
              </w:rPr>
            </w:pPr>
            <w:r w:rsidRPr="00C959D2">
              <w:rPr>
                <w:rFonts w:ascii="Times New Roman" w:hAnsi="Times New Roman" w:cs="Times New Roman"/>
                <w:sz w:val="18"/>
                <w:szCs w:val="18"/>
                <w:lang w:val="en-GB"/>
              </w:rPr>
              <w:t>Year 2</w:t>
            </w:r>
          </w:p>
        </w:tc>
        <w:tc>
          <w:tcPr>
            <w:tcW w:w="2880" w:type="dxa"/>
            <w:vMerge w:val="restart"/>
            <w:shd w:val="clear" w:color="auto" w:fill="auto"/>
          </w:tcPr>
          <w:p w14:paraId="0183D5C8" w14:textId="77777777" w:rsidR="00075479" w:rsidRPr="00323B88"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rPr>
              <w:t>Second author meeting (2 co</w:t>
            </w:r>
            <w:r w:rsidRPr="00323B88">
              <w:rPr>
                <w:rFonts w:ascii="Times New Roman" w:hAnsi="Times New Roman" w:cs="Times New Roman"/>
                <w:sz w:val="18"/>
                <w:szCs w:val="18"/>
                <w:lang w:val="en-GB"/>
              </w:rPr>
              <w:noBreakHyphen/>
              <w:t>chairs, 12 coordinating lead authors, 48 lead authors, 12 review editors and 6 Multidisciplinary Expert Panel and Bureau members)</w:t>
            </w:r>
          </w:p>
        </w:tc>
        <w:tc>
          <w:tcPr>
            <w:tcW w:w="4169" w:type="dxa"/>
            <w:shd w:val="clear" w:color="auto" w:fill="auto"/>
          </w:tcPr>
          <w:p w14:paraId="39AD04F7" w14:textId="77777777" w:rsidR="00075479" w:rsidRPr="00323B88"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rPr>
              <w:t xml:space="preserve">Cost of venue (corresponding to 75 per cent, to be complemented with 25 per cent in kind; </w:t>
            </w:r>
            <w:r>
              <w:rPr>
                <w:rFonts w:ascii="Times New Roman" w:hAnsi="Times New Roman" w:cs="Times New Roman"/>
                <w:sz w:val="18"/>
                <w:szCs w:val="18"/>
                <w:lang w:val="en-GB"/>
              </w:rPr>
              <w:t xml:space="preserve">for </w:t>
            </w:r>
            <w:r w:rsidRPr="00323B88">
              <w:rPr>
                <w:rFonts w:ascii="Times New Roman" w:hAnsi="Times New Roman" w:cs="Times New Roman"/>
                <w:sz w:val="18"/>
                <w:szCs w:val="18"/>
                <w:lang w:val="en-GB"/>
              </w:rPr>
              <w:t>80 participants</w:t>
            </w:r>
            <w:r>
              <w:rPr>
                <w:rFonts w:ascii="Times New Roman" w:hAnsi="Times New Roman" w:cs="Times New Roman"/>
                <w:sz w:val="18"/>
                <w:szCs w:val="18"/>
                <w:lang w:val="en-GB"/>
              </w:rPr>
              <w:t>)</w:t>
            </w:r>
          </w:p>
        </w:tc>
        <w:tc>
          <w:tcPr>
            <w:tcW w:w="2268" w:type="dxa"/>
            <w:shd w:val="clear" w:color="auto" w:fill="auto"/>
          </w:tcPr>
          <w:p w14:paraId="3DA4511F"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20</w:t>
            </w:r>
            <w:r w:rsidRPr="00C959D2">
              <w:rPr>
                <w:rFonts w:ascii="Times New Roman" w:eastAsia="SimSun" w:hAnsi="Times New Roman" w:cs="Times New Roman"/>
                <w:sz w:val="18"/>
                <w:szCs w:val="18"/>
                <w:lang w:val="en-GB" w:eastAsia="zh-CN"/>
              </w:rPr>
              <w:t xml:space="preserve"> </w:t>
            </w:r>
            <w:r w:rsidRPr="00C959D2">
              <w:rPr>
                <w:rFonts w:ascii="Times New Roman" w:hAnsi="Times New Roman" w:cs="Times New Roman"/>
                <w:sz w:val="18"/>
                <w:szCs w:val="18"/>
                <w:lang w:val="en-GB"/>
              </w:rPr>
              <w:t>000</w:t>
            </w:r>
          </w:p>
        </w:tc>
      </w:tr>
      <w:tr w:rsidR="00075479" w:rsidRPr="00C959D2" w14:paraId="4EA11B43" w14:textId="77777777" w:rsidTr="00A62128">
        <w:trPr>
          <w:trHeight w:val="63"/>
          <w:jc w:val="right"/>
        </w:trPr>
        <w:tc>
          <w:tcPr>
            <w:tcW w:w="720" w:type="dxa"/>
            <w:vMerge/>
            <w:shd w:val="clear" w:color="auto" w:fill="auto"/>
            <w:vAlign w:val="center"/>
          </w:tcPr>
          <w:p w14:paraId="2E10B361"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vMerge/>
            <w:shd w:val="clear" w:color="auto" w:fill="auto"/>
          </w:tcPr>
          <w:p w14:paraId="51BE4B81" w14:textId="77777777" w:rsidR="00075479" w:rsidRPr="00323B88"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4169" w:type="dxa"/>
            <w:shd w:val="clear" w:color="auto" w:fill="auto"/>
          </w:tcPr>
          <w:p w14:paraId="0C6387B5" w14:textId="77777777" w:rsidR="00075479" w:rsidRPr="00323B88"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rPr>
              <w:t>Travel and daily subsistence allowance</w:t>
            </w:r>
            <w:r>
              <w:rPr>
                <w:rFonts w:ascii="Times New Roman" w:hAnsi="Times New Roman" w:cs="Times New Roman"/>
                <w:sz w:val="18"/>
                <w:szCs w:val="18"/>
                <w:lang w:val="en-GB"/>
              </w:rPr>
              <w:t xml:space="preserve"> for 60 supported participants</w:t>
            </w:r>
            <w:r w:rsidRPr="00323B88">
              <w:rPr>
                <w:rFonts w:ascii="Times New Roman" w:hAnsi="Times New Roman" w:cs="Times New Roman"/>
                <w:sz w:val="18"/>
                <w:szCs w:val="18"/>
                <w:lang w:val="en-GB"/>
              </w:rPr>
              <w:t xml:space="preserve"> (60 × $3,750)</w:t>
            </w:r>
          </w:p>
        </w:tc>
        <w:tc>
          <w:tcPr>
            <w:tcW w:w="2268" w:type="dxa"/>
            <w:shd w:val="clear" w:color="auto" w:fill="auto"/>
          </w:tcPr>
          <w:p w14:paraId="6159D72F"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225 000</w:t>
            </w:r>
          </w:p>
        </w:tc>
      </w:tr>
      <w:tr w:rsidR="00075479" w:rsidRPr="00C959D2" w14:paraId="12A21E8D" w14:textId="77777777" w:rsidTr="00A62128">
        <w:trPr>
          <w:trHeight w:val="139"/>
          <w:jc w:val="right"/>
        </w:trPr>
        <w:tc>
          <w:tcPr>
            <w:tcW w:w="720" w:type="dxa"/>
            <w:vMerge/>
            <w:shd w:val="clear" w:color="auto" w:fill="auto"/>
            <w:vAlign w:val="center"/>
          </w:tcPr>
          <w:p w14:paraId="159FB67B"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shd w:val="clear" w:color="auto" w:fill="auto"/>
          </w:tcPr>
          <w:p w14:paraId="2B2837B2" w14:textId="77777777" w:rsidR="00075479" w:rsidRPr="00323B88"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rPr>
              <w:t>Technical support unit</w:t>
            </w:r>
          </w:p>
        </w:tc>
        <w:tc>
          <w:tcPr>
            <w:tcW w:w="4169" w:type="dxa"/>
            <w:shd w:val="clear" w:color="auto" w:fill="auto"/>
          </w:tcPr>
          <w:p w14:paraId="40ED652E" w14:textId="77777777" w:rsidR="00075479" w:rsidRPr="00323B88"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eastAsia="zh-CN"/>
              </w:rPr>
              <w:t>Corresponding to the costs of one full-time equivalent professional position and one part-time administrative assistant, including travel and overhead</w:t>
            </w:r>
            <w:r>
              <w:rPr>
                <w:rFonts w:ascii="Times New Roman" w:hAnsi="Times New Roman" w:cs="Times New Roman"/>
                <w:sz w:val="18"/>
                <w:szCs w:val="18"/>
                <w:lang w:val="en-GB" w:eastAsia="zh-CN"/>
              </w:rPr>
              <w:t>s</w:t>
            </w:r>
            <w:r w:rsidRPr="00323B88">
              <w:rPr>
                <w:rFonts w:ascii="Times New Roman" w:hAnsi="Times New Roman" w:cs="Times New Roman"/>
                <w:sz w:val="18"/>
                <w:szCs w:val="18"/>
                <w:lang w:val="en-GB" w:eastAsia="zh-CN"/>
              </w:rPr>
              <w:t xml:space="preserve"> (to be matched by an in-kind offer of an equivalent value)</w:t>
            </w:r>
          </w:p>
        </w:tc>
        <w:tc>
          <w:tcPr>
            <w:tcW w:w="2268" w:type="dxa"/>
            <w:shd w:val="clear" w:color="auto" w:fill="auto"/>
          </w:tcPr>
          <w:p w14:paraId="6E4F746B"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150</w:t>
            </w:r>
            <w:r w:rsidRPr="00C959D2">
              <w:rPr>
                <w:rFonts w:ascii="Times New Roman" w:eastAsia="SimSun" w:hAnsi="Times New Roman" w:cs="Times New Roman"/>
                <w:sz w:val="18"/>
                <w:szCs w:val="18"/>
                <w:lang w:val="en-GB" w:eastAsia="zh-CN"/>
              </w:rPr>
              <w:t xml:space="preserve"> </w:t>
            </w:r>
            <w:r w:rsidRPr="00C959D2">
              <w:rPr>
                <w:rFonts w:ascii="Times New Roman" w:hAnsi="Times New Roman" w:cs="Times New Roman"/>
                <w:sz w:val="18"/>
                <w:szCs w:val="18"/>
                <w:lang w:val="en-GB"/>
              </w:rPr>
              <w:t>000</w:t>
            </w:r>
          </w:p>
          <w:p w14:paraId="79321D7C"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p>
        </w:tc>
      </w:tr>
      <w:tr w:rsidR="00075479" w:rsidRPr="00C959D2" w14:paraId="7FEFAD07" w14:textId="77777777" w:rsidTr="00A62128">
        <w:trPr>
          <w:trHeight w:val="139"/>
          <w:jc w:val="right"/>
        </w:trPr>
        <w:tc>
          <w:tcPr>
            <w:tcW w:w="720" w:type="dxa"/>
            <w:vMerge/>
            <w:shd w:val="clear" w:color="auto" w:fill="auto"/>
            <w:vAlign w:val="center"/>
          </w:tcPr>
          <w:p w14:paraId="707ACE7A"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shd w:val="clear" w:color="auto" w:fill="auto"/>
          </w:tcPr>
          <w:p w14:paraId="3250148F" w14:textId="77777777" w:rsidR="00075479" w:rsidRPr="00323B88"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n-GB"/>
              </w:rPr>
            </w:pPr>
            <w:r w:rsidRPr="00323B88">
              <w:rPr>
                <w:rFonts w:ascii="Times New Roman" w:hAnsi="Times New Roman" w:cs="Times New Roman"/>
                <w:b/>
                <w:sz w:val="18"/>
                <w:szCs w:val="18"/>
                <w:lang w:val="en-GB"/>
              </w:rPr>
              <w:t>Total year 2:</w:t>
            </w:r>
          </w:p>
        </w:tc>
        <w:tc>
          <w:tcPr>
            <w:tcW w:w="4169" w:type="dxa"/>
            <w:shd w:val="clear" w:color="auto" w:fill="auto"/>
          </w:tcPr>
          <w:p w14:paraId="45317DB4" w14:textId="77777777" w:rsidR="00075479" w:rsidRPr="00323B88"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268" w:type="dxa"/>
            <w:shd w:val="clear" w:color="auto" w:fill="auto"/>
          </w:tcPr>
          <w:p w14:paraId="16B02E5F"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b/>
                <w:sz w:val="18"/>
                <w:szCs w:val="18"/>
                <w:lang w:val="en-GB"/>
              </w:rPr>
            </w:pPr>
            <w:r w:rsidRPr="00C959D2">
              <w:rPr>
                <w:rFonts w:ascii="Times New Roman" w:hAnsi="Times New Roman" w:cs="Times New Roman"/>
                <w:b/>
                <w:sz w:val="18"/>
                <w:szCs w:val="18"/>
                <w:lang w:val="en-GB"/>
              </w:rPr>
              <w:t>395 000</w:t>
            </w:r>
          </w:p>
        </w:tc>
      </w:tr>
      <w:tr w:rsidR="00262B45" w:rsidRPr="00C959D2" w14:paraId="70A6BD3F" w14:textId="77777777" w:rsidTr="00A62128">
        <w:trPr>
          <w:trHeight w:val="139"/>
          <w:jc w:val="right"/>
        </w:trPr>
        <w:tc>
          <w:tcPr>
            <w:tcW w:w="720" w:type="dxa"/>
            <w:vMerge w:val="restart"/>
            <w:shd w:val="clear" w:color="auto" w:fill="auto"/>
            <w:vAlign w:val="center"/>
          </w:tcPr>
          <w:p w14:paraId="28CDE06D" w14:textId="77777777" w:rsidR="00262B45" w:rsidRPr="00C959D2" w:rsidRDefault="00262B45"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C959D2">
              <w:rPr>
                <w:rFonts w:ascii="Times New Roman" w:hAnsi="Times New Roman" w:cs="Times New Roman"/>
                <w:sz w:val="18"/>
                <w:szCs w:val="18"/>
                <w:lang w:val="en-GB"/>
              </w:rPr>
              <w:t>Year 3</w:t>
            </w:r>
          </w:p>
        </w:tc>
        <w:tc>
          <w:tcPr>
            <w:tcW w:w="2880" w:type="dxa"/>
            <w:vMerge w:val="restart"/>
            <w:shd w:val="clear" w:color="auto" w:fill="auto"/>
          </w:tcPr>
          <w:p w14:paraId="7D278B3D" w14:textId="77777777" w:rsidR="00262B45" w:rsidRPr="00323B88" w:rsidRDefault="00262B45"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rPr>
              <w:t>Third author meeting (2 co</w:t>
            </w:r>
            <w:r w:rsidRPr="00323B88">
              <w:rPr>
                <w:rFonts w:ascii="Times New Roman" w:hAnsi="Times New Roman" w:cs="Times New Roman"/>
                <w:sz w:val="18"/>
                <w:szCs w:val="18"/>
                <w:lang w:val="en-GB"/>
              </w:rPr>
              <w:noBreakHyphen/>
              <w:t>chairs, 12 coordinating lead authors, 48 lead authors, 12 review editors and 6 Multidisciplinary Expert Panel and Bureau members)</w:t>
            </w:r>
          </w:p>
        </w:tc>
        <w:tc>
          <w:tcPr>
            <w:tcW w:w="4169" w:type="dxa"/>
            <w:shd w:val="clear" w:color="auto" w:fill="auto"/>
          </w:tcPr>
          <w:p w14:paraId="71159499" w14:textId="77777777" w:rsidR="00262B45" w:rsidRPr="00323B88" w:rsidRDefault="00262B45"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rPr>
              <w:t xml:space="preserve">Cost of venue (corresponding to 75 per cent, to be complemented with 25 per cent in kind; </w:t>
            </w:r>
            <w:r>
              <w:rPr>
                <w:rFonts w:ascii="Times New Roman" w:hAnsi="Times New Roman" w:cs="Times New Roman"/>
                <w:sz w:val="18"/>
                <w:szCs w:val="18"/>
                <w:lang w:val="en-GB"/>
              </w:rPr>
              <w:t xml:space="preserve">for </w:t>
            </w:r>
            <w:r w:rsidRPr="00323B88">
              <w:rPr>
                <w:rFonts w:ascii="Times New Roman" w:hAnsi="Times New Roman" w:cs="Times New Roman"/>
                <w:sz w:val="18"/>
                <w:szCs w:val="18"/>
                <w:lang w:val="en-GB"/>
              </w:rPr>
              <w:t>80 participants</w:t>
            </w:r>
            <w:r>
              <w:rPr>
                <w:rFonts w:ascii="Times New Roman" w:hAnsi="Times New Roman" w:cs="Times New Roman"/>
                <w:sz w:val="18"/>
                <w:szCs w:val="18"/>
                <w:lang w:val="en-GB"/>
              </w:rPr>
              <w:t>)</w:t>
            </w:r>
          </w:p>
        </w:tc>
        <w:tc>
          <w:tcPr>
            <w:tcW w:w="2268" w:type="dxa"/>
            <w:shd w:val="clear" w:color="auto" w:fill="auto"/>
          </w:tcPr>
          <w:p w14:paraId="63F2B215" w14:textId="77777777" w:rsidR="00262B45" w:rsidRPr="00C959D2" w:rsidRDefault="00262B45" w:rsidP="0006640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20</w:t>
            </w:r>
            <w:r w:rsidRPr="00C959D2">
              <w:rPr>
                <w:rFonts w:ascii="Times New Roman" w:eastAsia="SimSun" w:hAnsi="Times New Roman" w:cs="Times New Roman"/>
                <w:sz w:val="18"/>
                <w:szCs w:val="18"/>
                <w:lang w:val="en-GB" w:eastAsia="zh-CN"/>
              </w:rPr>
              <w:t xml:space="preserve"> </w:t>
            </w:r>
            <w:r w:rsidRPr="00C959D2">
              <w:rPr>
                <w:rFonts w:ascii="Times New Roman" w:hAnsi="Times New Roman" w:cs="Times New Roman"/>
                <w:sz w:val="18"/>
                <w:szCs w:val="18"/>
                <w:lang w:val="en-GB"/>
              </w:rPr>
              <w:t>000</w:t>
            </w:r>
          </w:p>
        </w:tc>
      </w:tr>
      <w:tr w:rsidR="00262B45" w:rsidRPr="00C959D2" w14:paraId="63B898E1" w14:textId="77777777" w:rsidTr="00A62128">
        <w:trPr>
          <w:trHeight w:val="139"/>
          <w:jc w:val="right"/>
        </w:trPr>
        <w:tc>
          <w:tcPr>
            <w:tcW w:w="720" w:type="dxa"/>
            <w:vMerge/>
            <w:shd w:val="clear" w:color="auto" w:fill="auto"/>
            <w:vAlign w:val="center"/>
          </w:tcPr>
          <w:p w14:paraId="47B71020" w14:textId="77777777" w:rsidR="00262B45" w:rsidRPr="00C959D2" w:rsidRDefault="00262B45"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vMerge/>
            <w:shd w:val="clear" w:color="auto" w:fill="auto"/>
          </w:tcPr>
          <w:p w14:paraId="54F26760" w14:textId="77777777" w:rsidR="00262B45" w:rsidRPr="00323B88" w:rsidRDefault="00262B45"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4169" w:type="dxa"/>
            <w:shd w:val="clear" w:color="auto" w:fill="auto"/>
          </w:tcPr>
          <w:p w14:paraId="7274C036" w14:textId="77777777" w:rsidR="00262B45" w:rsidRPr="00323B88" w:rsidRDefault="00262B45"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rPr>
              <w:t xml:space="preserve">Travel and daily subsistence allowance </w:t>
            </w:r>
            <w:r>
              <w:rPr>
                <w:rFonts w:ascii="Times New Roman" w:hAnsi="Times New Roman" w:cs="Times New Roman"/>
                <w:sz w:val="18"/>
                <w:szCs w:val="18"/>
                <w:lang w:val="en-GB"/>
              </w:rPr>
              <w:t xml:space="preserve">for 60 supported participants </w:t>
            </w:r>
            <w:r w:rsidRPr="00323B88">
              <w:rPr>
                <w:rFonts w:ascii="Times New Roman" w:hAnsi="Times New Roman" w:cs="Times New Roman"/>
                <w:sz w:val="18"/>
                <w:szCs w:val="18"/>
                <w:lang w:val="en-GB"/>
              </w:rPr>
              <w:t>(60 × $3,750)</w:t>
            </w:r>
          </w:p>
        </w:tc>
        <w:tc>
          <w:tcPr>
            <w:tcW w:w="2268" w:type="dxa"/>
            <w:shd w:val="clear" w:color="auto" w:fill="auto"/>
          </w:tcPr>
          <w:p w14:paraId="03FEDEDE" w14:textId="77777777" w:rsidR="00262B45" w:rsidRPr="00C959D2" w:rsidRDefault="00262B45" w:rsidP="0006640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225 000</w:t>
            </w:r>
          </w:p>
        </w:tc>
      </w:tr>
      <w:tr w:rsidR="00262B45" w:rsidRPr="00C959D2" w14:paraId="112F8D42" w14:textId="77777777" w:rsidTr="00A62128">
        <w:trPr>
          <w:trHeight w:val="139"/>
          <w:jc w:val="right"/>
        </w:trPr>
        <w:tc>
          <w:tcPr>
            <w:tcW w:w="720" w:type="dxa"/>
            <w:vMerge/>
            <w:shd w:val="clear" w:color="auto" w:fill="auto"/>
            <w:vAlign w:val="center"/>
          </w:tcPr>
          <w:p w14:paraId="3BCDCC5A" w14:textId="77777777" w:rsidR="00262B45" w:rsidRPr="00C959D2" w:rsidRDefault="00262B45"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shd w:val="clear" w:color="auto" w:fill="auto"/>
          </w:tcPr>
          <w:p w14:paraId="61255FA7" w14:textId="77777777" w:rsidR="00262B45" w:rsidRPr="00323B88" w:rsidRDefault="00262B45"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rPr>
              <w:t>Technical support unit (including 3 months after launch of the assessment report at Plenary)</w:t>
            </w:r>
          </w:p>
        </w:tc>
        <w:tc>
          <w:tcPr>
            <w:tcW w:w="4169" w:type="dxa"/>
            <w:shd w:val="clear" w:color="auto" w:fill="auto"/>
          </w:tcPr>
          <w:p w14:paraId="71D36407" w14:textId="77777777" w:rsidR="00262B45" w:rsidRPr="00323B88" w:rsidRDefault="00262B45"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eastAsia="zh-CN"/>
              </w:rPr>
              <w:t>Corresponding to the costs of one full-time equivalent professional position and one part-time administrative assistant, including travel and overhead</w:t>
            </w:r>
            <w:r>
              <w:rPr>
                <w:rFonts w:ascii="Times New Roman" w:hAnsi="Times New Roman" w:cs="Times New Roman"/>
                <w:sz w:val="18"/>
                <w:szCs w:val="18"/>
                <w:lang w:val="en-GB" w:eastAsia="zh-CN"/>
              </w:rPr>
              <w:t>s</w:t>
            </w:r>
            <w:r w:rsidRPr="00323B88">
              <w:rPr>
                <w:rFonts w:ascii="Times New Roman" w:hAnsi="Times New Roman" w:cs="Times New Roman"/>
                <w:sz w:val="18"/>
                <w:szCs w:val="18"/>
                <w:lang w:val="en-GB" w:eastAsia="zh-CN"/>
              </w:rPr>
              <w:t xml:space="preserve"> (to be matched by an in-kind offer of an equivalent value)</w:t>
            </w:r>
          </w:p>
        </w:tc>
        <w:tc>
          <w:tcPr>
            <w:tcW w:w="2268" w:type="dxa"/>
            <w:shd w:val="clear" w:color="auto" w:fill="auto"/>
          </w:tcPr>
          <w:p w14:paraId="55B162FE" w14:textId="77777777" w:rsidR="00262B45" w:rsidRPr="00C959D2" w:rsidRDefault="00262B45" w:rsidP="0006640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187 500</w:t>
            </w:r>
          </w:p>
        </w:tc>
      </w:tr>
      <w:tr w:rsidR="00262B45" w:rsidRPr="00C959D2" w14:paraId="54D07270" w14:textId="77777777" w:rsidTr="00A62128">
        <w:trPr>
          <w:trHeight w:val="139"/>
          <w:jc w:val="right"/>
        </w:trPr>
        <w:tc>
          <w:tcPr>
            <w:tcW w:w="720" w:type="dxa"/>
            <w:vMerge/>
            <w:shd w:val="clear" w:color="auto" w:fill="auto"/>
            <w:vAlign w:val="center"/>
          </w:tcPr>
          <w:p w14:paraId="684ACE6D" w14:textId="77777777" w:rsidR="00262B45" w:rsidRPr="00C959D2" w:rsidRDefault="00262B45"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shd w:val="clear" w:color="auto" w:fill="auto"/>
          </w:tcPr>
          <w:p w14:paraId="18DE274F" w14:textId="77777777" w:rsidR="00262B45" w:rsidRPr="00323B88" w:rsidRDefault="00262B45"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rPr>
              <w:t>Participation of 8 experts, including 2 co</w:t>
            </w:r>
            <w:r w:rsidRPr="00323B88">
              <w:rPr>
                <w:rFonts w:ascii="Times New Roman" w:hAnsi="Times New Roman" w:cs="Times New Roman"/>
                <w:sz w:val="18"/>
                <w:szCs w:val="18"/>
                <w:lang w:val="en-GB"/>
              </w:rPr>
              <w:noBreakHyphen/>
              <w:t xml:space="preserve">chairs and 6 coordinating lead authors or lead authors in the eighth session of the Plenary </w:t>
            </w:r>
          </w:p>
        </w:tc>
        <w:tc>
          <w:tcPr>
            <w:tcW w:w="4169" w:type="dxa"/>
            <w:shd w:val="clear" w:color="auto" w:fill="auto"/>
          </w:tcPr>
          <w:p w14:paraId="1D96B0E8" w14:textId="77777777" w:rsidR="00262B45" w:rsidRPr="00323B88" w:rsidRDefault="00262B45"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eastAsia="zh-CN"/>
              </w:rPr>
            </w:pPr>
            <w:r w:rsidRPr="00323B88">
              <w:rPr>
                <w:rFonts w:ascii="Times New Roman" w:hAnsi="Times New Roman" w:cs="Times New Roman"/>
                <w:sz w:val="18"/>
                <w:szCs w:val="18"/>
                <w:lang w:val="en-GB"/>
              </w:rPr>
              <w:t>Travel and daily subsistence allowance</w:t>
            </w:r>
            <w:r>
              <w:rPr>
                <w:rFonts w:ascii="Times New Roman" w:hAnsi="Times New Roman" w:cs="Times New Roman"/>
                <w:sz w:val="18"/>
                <w:szCs w:val="18"/>
                <w:lang w:val="en-GB"/>
              </w:rPr>
              <w:t xml:space="preserve"> for 6</w:t>
            </w:r>
            <w:r w:rsidRPr="00323B88">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supported </w:t>
            </w:r>
            <w:r w:rsidRPr="00323B88">
              <w:rPr>
                <w:rFonts w:ascii="Times New Roman" w:hAnsi="Times New Roman" w:cs="Times New Roman"/>
                <w:sz w:val="18"/>
                <w:szCs w:val="18"/>
                <w:lang w:val="en-GB"/>
              </w:rPr>
              <w:t>participants</w:t>
            </w:r>
            <w:r>
              <w:rPr>
                <w:rFonts w:ascii="Times New Roman" w:hAnsi="Times New Roman" w:cs="Times New Roman"/>
                <w:sz w:val="18"/>
                <w:szCs w:val="18"/>
                <w:lang w:val="en-GB"/>
              </w:rPr>
              <w:t xml:space="preserve"> </w:t>
            </w:r>
            <w:r w:rsidRPr="00323B88">
              <w:rPr>
                <w:rFonts w:ascii="Times New Roman" w:hAnsi="Times New Roman" w:cs="Times New Roman"/>
                <w:sz w:val="18"/>
                <w:szCs w:val="18"/>
                <w:lang w:val="en-GB"/>
              </w:rPr>
              <w:t>(6 × $3,750)</w:t>
            </w:r>
          </w:p>
        </w:tc>
        <w:tc>
          <w:tcPr>
            <w:tcW w:w="2268" w:type="dxa"/>
            <w:shd w:val="clear" w:color="auto" w:fill="auto"/>
          </w:tcPr>
          <w:p w14:paraId="390D7864" w14:textId="77777777" w:rsidR="00262B45" w:rsidRPr="00C959D2" w:rsidRDefault="00262B45" w:rsidP="0006640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22</w:t>
            </w:r>
            <w:r w:rsidRPr="00C959D2">
              <w:rPr>
                <w:rFonts w:ascii="Times New Roman" w:eastAsia="SimSun" w:hAnsi="Times New Roman" w:cs="Times New Roman"/>
                <w:sz w:val="18"/>
                <w:szCs w:val="18"/>
                <w:lang w:val="en-GB" w:eastAsia="zh-CN"/>
              </w:rPr>
              <w:t xml:space="preserve"> </w:t>
            </w:r>
            <w:r w:rsidRPr="00C959D2">
              <w:rPr>
                <w:rFonts w:ascii="Times New Roman" w:hAnsi="Times New Roman" w:cs="Times New Roman"/>
                <w:sz w:val="18"/>
                <w:szCs w:val="18"/>
                <w:lang w:val="en-GB"/>
              </w:rPr>
              <w:t>500</w:t>
            </w:r>
          </w:p>
        </w:tc>
      </w:tr>
      <w:tr w:rsidR="00262B45" w:rsidRPr="00C959D2" w14:paraId="5E386C7B" w14:textId="77777777" w:rsidTr="00A62128">
        <w:trPr>
          <w:trHeight w:val="139"/>
          <w:jc w:val="right"/>
        </w:trPr>
        <w:tc>
          <w:tcPr>
            <w:tcW w:w="720" w:type="dxa"/>
            <w:vMerge/>
            <w:shd w:val="clear" w:color="auto" w:fill="auto"/>
            <w:vAlign w:val="center"/>
          </w:tcPr>
          <w:p w14:paraId="5BC311EC" w14:textId="77777777" w:rsidR="00262B45" w:rsidRPr="00C959D2" w:rsidRDefault="00262B45"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shd w:val="clear" w:color="auto" w:fill="auto"/>
          </w:tcPr>
          <w:p w14:paraId="65935F67" w14:textId="77777777" w:rsidR="00262B45" w:rsidRPr="00323B88" w:rsidRDefault="00262B45"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Pr>
                <w:rFonts w:ascii="Times New Roman" w:hAnsi="Times New Roman" w:cs="Times New Roman"/>
                <w:sz w:val="18"/>
                <w:szCs w:val="18"/>
                <w:lang w:val="en-GB"/>
              </w:rPr>
              <w:t>Design, lay</w:t>
            </w:r>
            <w:r w:rsidRPr="00323B88">
              <w:rPr>
                <w:rFonts w:ascii="Times New Roman" w:hAnsi="Times New Roman" w:cs="Times New Roman"/>
                <w:sz w:val="18"/>
                <w:szCs w:val="18"/>
                <w:lang w:val="en-GB"/>
              </w:rPr>
              <w:t>out, dissemination and outreach</w:t>
            </w:r>
          </w:p>
        </w:tc>
        <w:tc>
          <w:tcPr>
            <w:tcW w:w="4169" w:type="dxa"/>
            <w:shd w:val="clear" w:color="auto" w:fill="auto"/>
          </w:tcPr>
          <w:p w14:paraId="61BFD5FF" w14:textId="77777777" w:rsidR="00262B45" w:rsidRPr="00323B88" w:rsidRDefault="00262B45"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r w:rsidRPr="00323B88">
              <w:rPr>
                <w:rFonts w:ascii="Times New Roman" w:hAnsi="Times New Roman" w:cs="Times New Roman"/>
                <w:sz w:val="18"/>
                <w:szCs w:val="18"/>
                <w:lang w:val="en-GB"/>
              </w:rPr>
              <w:t>Including the following activities: design and layout of the assessment report including its technical graphics, production of a promotional outreach video, public relations support, launch events, printing of the summary for policymakers as well as the assessment reports and the subseq</w:t>
            </w:r>
            <w:r>
              <w:rPr>
                <w:rFonts w:ascii="Times New Roman" w:hAnsi="Times New Roman" w:cs="Times New Roman"/>
                <w:sz w:val="18"/>
                <w:szCs w:val="18"/>
                <w:lang w:val="en-GB"/>
              </w:rPr>
              <w:t>uent distribution</w:t>
            </w:r>
          </w:p>
        </w:tc>
        <w:tc>
          <w:tcPr>
            <w:tcW w:w="2268" w:type="dxa"/>
            <w:shd w:val="clear" w:color="auto" w:fill="auto"/>
          </w:tcPr>
          <w:p w14:paraId="178180D7" w14:textId="77777777" w:rsidR="00262B45" w:rsidRPr="00C959D2" w:rsidRDefault="00262B45" w:rsidP="0006640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n-GB"/>
              </w:rPr>
            </w:pPr>
            <w:r w:rsidRPr="00C959D2">
              <w:rPr>
                <w:rFonts w:ascii="Times New Roman" w:hAnsi="Times New Roman" w:cs="Times New Roman"/>
                <w:sz w:val="18"/>
                <w:szCs w:val="18"/>
                <w:lang w:val="en-GB"/>
              </w:rPr>
              <w:t>220 000</w:t>
            </w:r>
          </w:p>
        </w:tc>
      </w:tr>
      <w:tr w:rsidR="00262B45" w:rsidRPr="00C959D2" w14:paraId="5FAA1CD2" w14:textId="77777777" w:rsidTr="00A62128">
        <w:trPr>
          <w:trHeight w:val="350"/>
          <w:jc w:val="right"/>
        </w:trPr>
        <w:tc>
          <w:tcPr>
            <w:tcW w:w="720" w:type="dxa"/>
            <w:vMerge/>
            <w:shd w:val="clear" w:color="auto" w:fill="auto"/>
          </w:tcPr>
          <w:p w14:paraId="35A68340" w14:textId="77777777" w:rsidR="00262B45" w:rsidRPr="00C959D2" w:rsidRDefault="00262B45"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880" w:type="dxa"/>
            <w:shd w:val="clear" w:color="auto" w:fill="auto"/>
          </w:tcPr>
          <w:p w14:paraId="5005FC8D" w14:textId="77777777" w:rsidR="00262B45" w:rsidRPr="00C959D2" w:rsidRDefault="00262B45"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n-GB"/>
              </w:rPr>
            </w:pPr>
            <w:r w:rsidRPr="00C959D2">
              <w:rPr>
                <w:rFonts w:ascii="Times New Roman" w:hAnsi="Times New Roman" w:cs="Times New Roman"/>
                <w:b/>
                <w:sz w:val="18"/>
                <w:szCs w:val="18"/>
                <w:lang w:val="en-GB"/>
              </w:rPr>
              <w:t>Total year 3:</w:t>
            </w:r>
          </w:p>
        </w:tc>
        <w:tc>
          <w:tcPr>
            <w:tcW w:w="4169" w:type="dxa"/>
            <w:shd w:val="clear" w:color="auto" w:fill="auto"/>
          </w:tcPr>
          <w:p w14:paraId="10B67FF2" w14:textId="77777777" w:rsidR="00262B45" w:rsidRPr="00C959D2" w:rsidRDefault="00262B45"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n-GB"/>
              </w:rPr>
            </w:pPr>
          </w:p>
        </w:tc>
        <w:tc>
          <w:tcPr>
            <w:tcW w:w="2268" w:type="dxa"/>
            <w:shd w:val="clear" w:color="auto" w:fill="auto"/>
          </w:tcPr>
          <w:p w14:paraId="44572EC5" w14:textId="77777777" w:rsidR="00262B45" w:rsidRPr="00C959D2" w:rsidRDefault="00262B45" w:rsidP="0006640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b/>
                <w:sz w:val="18"/>
                <w:szCs w:val="18"/>
                <w:lang w:val="en-GB"/>
              </w:rPr>
            </w:pPr>
            <w:r w:rsidRPr="00C959D2">
              <w:rPr>
                <w:rFonts w:ascii="Times New Roman" w:hAnsi="Times New Roman" w:cs="Times New Roman"/>
                <w:b/>
                <w:sz w:val="18"/>
                <w:szCs w:val="18"/>
                <w:lang w:val="en-GB"/>
              </w:rPr>
              <w:t>675 000</w:t>
            </w:r>
          </w:p>
        </w:tc>
      </w:tr>
      <w:tr w:rsidR="00075479" w:rsidRPr="00C959D2" w14:paraId="49C60606" w14:textId="77777777" w:rsidTr="00A62128">
        <w:trPr>
          <w:trHeight w:val="350"/>
          <w:jc w:val="right"/>
        </w:trPr>
        <w:tc>
          <w:tcPr>
            <w:tcW w:w="720" w:type="dxa"/>
            <w:shd w:val="clear" w:color="auto" w:fill="auto"/>
          </w:tcPr>
          <w:p w14:paraId="1C209BA7"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n-GB"/>
              </w:rPr>
            </w:pPr>
          </w:p>
        </w:tc>
        <w:tc>
          <w:tcPr>
            <w:tcW w:w="2880" w:type="dxa"/>
            <w:shd w:val="clear" w:color="auto" w:fill="auto"/>
          </w:tcPr>
          <w:p w14:paraId="2A0016B5" w14:textId="77777777" w:rsidR="00075479" w:rsidRPr="00C959D2"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n-GB"/>
              </w:rPr>
            </w:pPr>
            <w:r>
              <w:rPr>
                <w:rFonts w:ascii="Times New Roman" w:hAnsi="Times New Roman" w:cs="Times New Roman"/>
                <w:b/>
                <w:sz w:val="18"/>
                <w:szCs w:val="18"/>
                <w:lang w:val="en-GB"/>
              </w:rPr>
              <w:t>T</w:t>
            </w:r>
            <w:r w:rsidRPr="00C959D2">
              <w:rPr>
                <w:rFonts w:ascii="Times New Roman" w:hAnsi="Times New Roman" w:cs="Times New Roman"/>
                <w:b/>
                <w:sz w:val="18"/>
                <w:szCs w:val="18"/>
                <w:lang w:val="en-GB"/>
              </w:rPr>
              <w:t>otal:</w:t>
            </w:r>
          </w:p>
        </w:tc>
        <w:tc>
          <w:tcPr>
            <w:tcW w:w="4169" w:type="dxa"/>
            <w:shd w:val="clear" w:color="auto" w:fill="auto"/>
          </w:tcPr>
          <w:p w14:paraId="6073EAB4" w14:textId="77777777" w:rsidR="00075479" w:rsidRPr="00C959D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n-GB"/>
              </w:rPr>
            </w:pPr>
          </w:p>
        </w:tc>
        <w:tc>
          <w:tcPr>
            <w:tcW w:w="2268" w:type="dxa"/>
            <w:shd w:val="clear" w:color="auto" w:fill="auto"/>
          </w:tcPr>
          <w:p w14:paraId="59FFEA22" w14:textId="77777777" w:rsidR="00075479" w:rsidRPr="00C959D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b/>
                <w:sz w:val="18"/>
                <w:szCs w:val="18"/>
                <w:lang w:val="en-GB"/>
              </w:rPr>
            </w:pPr>
            <w:r w:rsidRPr="00C959D2">
              <w:rPr>
                <w:rFonts w:ascii="Times New Roman" w:hAnsi="Times New Roman" w:cs="Times New Roman"/>
                <w:b/>
                <w:sz w:val="18"/>
                <w:szCs w:val="18"/>
                <w:lang w:val="en-GB"/>
              </w:rPr>
              <w:t>1 445 000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966"/>
        <w:gridCol w:w="1966"/>
        <w:gridCol w:w="1966"/>
        <w:gridCol w:w="1967"/>
      </w:tblGrid>
      <w:tr w:rsidR="002A626D" w14:paraId="0D4F55CC" w14:textId="77777777" w:rsidTr="005E4BBB">
        <w:tc>
          <w:tcPr>
            <w:tcW w:w="2009" w:type="dxa"/>
          </w:tcPr>
          <w:p w14:paraId="4CE1EEB1" w14:textId="7FDCF0CB" w:rsidR="002A626D" w:rsidRPr="005E4BBB" w:rsidRDefault="002A626D" w:rsidP="002A626D">
            <w:pPr>
              <w:pStyle w:val="Normal-pool"/>
              <w:spacing w:before="200"/>
              <w:rPr>
                <w:b/>
                <w:lang w:eastAsia="ja-JP"/>
              </w:rPr>
            </w:pPr>
          </w:p>
        </w:tc>
        <w:tc>
          <w:tcPr>
            <w:tcW w:w="2009" w:type="dxa"/>
          </w:tcPr>
          <w:p w14:paraId="128EE654" w14:textId="77777777" w:rsidR="002A626D" w:rsidRDefault="002A626D" w:rsidP="002A626D">
            <w:pPr>
              <w:pStyle w:val="Normal-pool"/>
              <w:spacing w:before="200"/>
              <w:rPr>
                <w:lang w:eastAsia="ja-JP"/>
              </w:rPr>
            </w:pPr>
          </w:p>
        </w:tc>
        <w:tc>
          <w:tcPr>
            <w:tcW w:w="2009" w:type="dxa"/>
            <w:tcBorders>
              <w:bottom w:val="single" w:sz="4" w:space="0" w:color="auto"/>
            </w:tcBorders>
          </w:tcPr>
          <w:p w14:paraId="0F26D8D2" w14:textId="77777777" w:rsidR="002A626D" w:rsidRDefault="002A626D" w:rsidP="002A626D">
            <w:pPr>
              <w:pStyle w:val="Normal-pool"/>
              <w:spacing w:before="200"/>
              <w:rPr>
                <w:lang w:eastAsia="ja-JP"/>
              </w:rPr>
            </w:pPr>
          </w:p>
        </w:tc>
        <w:tc>
          <w:tcPr>
            <w:tcW w:w="2009" w:type="dxa"/>
          </w:tcPr>
          <w:p w14:paraId="60589B85" w14:textId="77777777" w:rsidR="002A626D" w:rsidRDefault="002A626D" w:rsidP="002A626D">
            <w:pPr>
              <w:pStyle w:val="Normal-pool"/>
              <w:spacing w:before="200"/>
              <w:rPr>
                <w:lang w:eastAsia="ja-JP"/>
              </w:rPr>
            </w:pPr>
          </w:p>
        </w:tc>
        <w:tc>
          <w:tcPr>
            <w:tcW w:w="2010" w:type="dxa"/>
          </w:tcPr>
          <w:p w14:paraId="4253361A" w14:textId="77777777" w:rsidR="002A626D" w:rsidRDefault="002A626D" w:rsidP="002A626D">
            <w:pPr>
              <w:pStyle w:val="Normal-pool"/>
              <w:spacing w:before="200"/>
              <w:rPr>
                <w:lang w:eastAsia="ja-JP"/>
              </w:rPr>
            </w:pPr>
          </w:p>
        </w:tc>
      </w:tr>
    </w:tbl>
    <w:p w14:paraId="379B1820" w14:textId="77777777" w:rsidR="002A626D" w:rsidRPr="00D07CC3" w:rsidRDefault="002A626D" w:rsidP="00CA038C">
      <w:pPr>
        <w:pStyle w:val="Normal-pool"/>
        <w:rPr>
          <w:lang w:eastAsia="ja-JP"/>
        </w:rPr>
      </w:pPr>
    </w:p>
    <w:sectPr w:rsidR="002A626D" w:rsidRPr="00D07CC3" w:rsidSect="0007547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58CC" w14:textId="77777777" w:rsidR="003B220E" w:rsidRDefault="003B220E">
      <w:r>
        <w:separator/>
      </w:r>
    </w:p>
  </w:endnote>
  <w:endnote w:type="continuationSeparator" w:id="0">
    <w:p w14:paraId="3945571B" w14:textId="77777777" w:rsidR="003B220E" w:rsidRDefault="003B220E">
      <w:r>
        <w:continuationSeparator/>
      </w:r>
    </w:p>
  </w:endnote>
  <w:endnote w:type="continuationNotice" w:id="1">
    <w:p w14:paraId="17743EC8" w14:textId="77777777" w:rsidR="003B220E" w:rsidRDefault="003B2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8ED3" w14:textId="00087BCC" w:rsidR="00C60881" w:rsidRPr="003B1F39" w:rsidRDefault="00C60881"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387BD0">
      <w:rPr>
        <w:rStyle w:val="PageNumber"/>
        <w:b/>
        <w:noProof/>
      </w:rPr>
      <w:t>2</w:t>
    </w:r>
    <w:r w:rsidRPr="003B1F3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1131" w14:textId="125FA27D" w:rsidR="00C60881" w:rsidRPr="003B1F39" w:rsidRDefault="00C60881"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387BD0">
      <w:rPr>
        <w:rStyle w:val="PageNumber"/>
        <w:b/>
        <w:noProof/>
      </w:rPr>
      <w:t>3</w:t>
    </w:r>
    <w:r w:rsidRPr="003B1F3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73823031"/>
      <w:docPartObj>
        <w:docPartGallery w:val="Page Numbers (Bottom of Page)"/>
        <w:docPartUnique/>
      </w:docPartObj>
    </w:sdtPr>
    <w:sdtEndPr>
      <w:rPr>
        <w:noProof/>
      </w:rPr>
    </w:sdtEndPr>
    <w:sdtContent>
      <w:p w14:paraId="6EEFE4C3" w14:textId="34EB7857" w:rsidR="00C60881" w:rsidRPr="00FD69E2" w:rsidRDefault="00FD69E2" w:rsidP="00D07CC3">
        <w:pPr>
          <w:pStyle w:val="Normal-pool"/>
          <w:rPr>
            <w:sz w:val="18"/>
            <w:szCs w:val="18"/>
          </w:rPr>
        </w:pPr>
        <w:r w:rsidRPr="00FD69E2">
          <w:rPr>
            <w:sz w:val="18"/>
            <w:szCs w:val="18"/>
          </w:rPr>
          <w:t>K1709129</w:t>
        </w:r>
        <w:r w:rsidRPr="00FD69E2">
          <w:rPr>
            <w:sz w:val="18"/>
            <w:szCs w:val="18"/>
          </w:rPr>
          <w:tab/>
        </w:r>
        <w:r w:rsidR="00A62128">
          <w:rPr>
            <w:sz w:val="18"/>
            <w:szCs w:val="18"/>
          </w:rPr>
          <w:t>24</w:t>
        </w:r>
        <w:r w:rsidR="0060577D">
          <w:rPr>
            <w:sz w:val="18"/>
            <w:szCs w:val="18"/>
          </w:rPr>
          <w:t>0118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5F235" w14:textId="77777777" w:rsidR="003B220E" w:rsidRPr="00887131" w:rsidRDefault="003B220E" w:rsidP="00887131">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887131">
        <w:rPr>
          <w:sz w:val="18"/>
          <w:szCs w:val="18"/>
        </w:rPr>
        <w:separator/>
      </w:r>
    </w:p>
  </w:footnote>
  <w:footnote w:type="continuationSeparator" w:id="0">
    <w:p w14:paraId="6DCF71CC" w14:textId="77777777" w:rsidR="003B220E" w:rsidRDefault="003B220E">
      <w:r>
        <w:continuationSeparator/>
      </w:r>
    </w:p>
  </w:footnote>
  <w:footnote w:type="continuationNotice" w:id="1">
    <w:p w14:paraId="391DEC87" w14:textId="77777777" w:rsidR="003B220E" w:rsidRDefault="003B220E">
      <w:pPr>
        <w:spacing w:after="0" w:line="240" w:lineRule="auto"/>
      </w:pPr>
    </w:p>
  </w:footnote>
  <w:footnote w:id="2">
    <w:p w14:paraId="53F9531F" w14:textId="77777777" w:rsidR="00075479" w:rsidRPr="00844BD5" w:rsidRDefault="00075479" w:rsidP="00CA038C">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CA038C">
        <w:rPr>
          <w:rStyle w:val="FootnoteReference"/>
          <w:sz w:val="18"/>
          <w:vertAlign w:val="baseline"/>
        </w:rPr>
        <w:t>*</w:t>
      </w:r>
      <w:r w:rsidRPr="00844BD5">
        <w:rPr>
          <w:sz w:val="18"/>
          <w:szCs w:val="18"/>
        </w:rPr>
        <w:t xml:space="preserve"> 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C1C0" w14:textId="5746A965" w:rsidR="00C60881" w:rsidRPr="008C00D6" w:rsidRDefault="00C60881" w:rsidP="003B1F39">
    <w:pPr>
      <w:pStyle w:val="Header-pool"/>
    </w:pPr>
    <w:r w:rsidRPr="00FD69E2">
      <w:t>IPBES/6/</w:t>
    </w:r>
    <w:r w:rsidR="00FD69E2" w:rsidRPr="00FD69E2">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CAF2" w14:textId="4CDD6D4B" w:rsidR="00C60881" w:rsidRPr="008C00D6" w:rsidRDefault="00C60881" w:rsidP="003B1F39">
    <w:pPr>
      <w:pStyle w:val="Header-pool"/>
      <w:jc w:val="right"/>
    </w:pPr>
    <w:r>
      <w:t>IPBES/6/</w:t>
    </w:r>
    <w:r w:rsidR="00FD69E2">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E86C" w14:textId="0AE39137" w:rsidR="00C60881" w:rsidRPr="00FD69E2" w:rsidRDefault="00C60881" w:rsidP="00FD69E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C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C2013"/>
    <w:multiLevelType w:val="hybridMultilevel"/>
    <w:tmpl w:val="16AADF38"/>
    <w:lvl w:ilvl="0" w:tplc="E4402EA8">
      <w:start w:val="1"/>
      <w:numFmt w:val="decimal"/>
      <w:lvlText w:val="%1."/>
      <w:lvlJc w:val="left"/>
      <w:pPr>
        <w:ind w:left="4951"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5307" w:hanging="180"/>
      </w:pPr>
    </w:lvl>
    <w:lvl w:ilvl="3" w:tplc="0409000F" w:tentative="1">
      <w:start w:val="1"/>
      <w:numFmt w:val="decimal"/>
      <w:lvlText w:val="%4."/>
      <w:lvlJc w:val="left"/>
      <w:pPr>
        <w:ind w:left="6027" w:hanging="360"/>
      </w:pPr>
    </w:lvl>
    <w:lvl w:ilvl="4" w:tplc="04090019" w:tentative="1">
      <w:start w:val="1"/>
      <w:numFmt w:val="lowerLetter"/>
      <w:lvlText w:val="%5."/>
      <w:lvlJc w:val="left"/>
      <w:pPr>
        <w:ind w:left="6747" w:hanging="360"/>
      </w:pPr>
    </w:lvl>
    <w:lvl w:ilvl="5" w:tplc="0409001B" w:tentative="1">
      <w:start w:val="1"/>
      <w:numFmt w:val="lowerRoman"/>
      <w:lvlText w:val="%6."/>
      <w:lvlJc w:val="right"/>
      <w:pPr>
        <w:ind w:left="7467" w:hanging="180"/>
      </w:pPr>
    </w:lvl>
    <w:lvl w:ilvl="6" w:tplc="0409000F" w:tentative="1">
      <w:start w:val="1"/>
      <w:numFmt w:val="decimal"/>
      <w:lvlText w:val="%7."/>
      <w:lvlJc w:val="left"/>
      <w:pPr>
        <w:ind w:left="8187" w:hanging="360"/>
      </w:pPr>
    </w:lvl>
    <w:lvl w:ilvl="7" w:tplc="04090019" w:tentative="1">
      <w:start w:val="1"/>
      <w:numFmt w:val="lowerLetter"/>
      <w:lvlText w:val="%8."/>
      <w:lvlJc w:val="left"/>
      <w:pPr>
        <w:ind w:left="8907" w:hanging="360"/>
      </w:pPr>
    </w:lvl>
    <w:lvl w:ilvl="8" w:tplc="0409001B" w:tentative="1">
      <w:start w:val="1"/>
      <w:numFmt w:val="lowerRoman"/>
      <w:lvlText w:val="%9."/>
      <w:lvlJc w:val="right"/>
      <w:pPr>
        <w:ind w:left="9627" w:hanging="180"/>
      </w:pPr>
    </w:lvl>
  </w:abstractNum>
  <w:abstractNum w:abstractNumId="11"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41191FC7"/>
    <w:multiLevelType w:val="multilevel"/>
    <w:tmpl w:val="77C425A4"/>
    <w:lvl w:ilvl="0">
      <w:start w:val="1"/>
      <w:numFmt w:val="lowerLetter"/>
      <w:lvlText w:val="(%1)"/>
      <w:lvlJc w:val="left"/>
      <w:pPr>
        <w:tabs>
          <w:tab w:val="num" w:pos="1758"/>
        </w:tabs>
        <w:ind w:left="1871" w:firstLine="0"/>
      </w:pPr>
      <w:rPr>
        <w:rFonts w:hint="default"/>
      </w:rPr>
    </w:lvl>
    <w:lvl w:ilvl="1">
      <w:start w:val="1"/>
      <w:numFmt w:val="lowerLetter"/>
      <w:lvlText w:val="(%2)"/>
      <w:lvlJc w:val="left"/>
      <w:pPr>
        <w:tabs>
          <w:tab w:val="num" w:pos="1758"/>
        </w:tabs>
        <w:ind w:left="1871" w:firstLine="567"/>
      </w:pPr>
      <w:rPr>
        <w:rFonts w:hint="default"/>
      </w:rPr>
    </w:lvl>
    <w:lvl w:ilvl="2">
      <w:start w:val="1"/>
      <w:numFmt w:val="lowerRoman"/>
      <w:lvlText w:val="(%3)"/>
      <w:lvlJc w:val="left"/>
      <w:pPr>
        <w:tabs>
          <w:tab w:val="num" w:pos="1758"/>
        </w:tabs>
        <w:ind w:left="3572" w:hanging="567"/>
      </w:pPr>
      <w:rPr>
        <w:rFonts w:hint="default"/>
      </w:rPr>
    </w:lvl>
    <w:lvl w:ilvl="3">
      <w:start w:val="1"/>
      <w:numFmt w:val="lowerLetter"/>
      <w:lvlText w:val="%4."/>
      <w:lvlJc w:val="left"/>
      <w:pPr>
        <w:tabs>
          <w:tab w:val="num" w:pos="1758"/>
        </w:tabs>
        <w:ind w:left="4139" w:hanging="567"/>
      </w:pPr>
      <w:rPr>
        <w:rFonts w:hint="default"/>
      </w:rPr>
    </w:lvl>
    <w:lvl w:ilvl="4">
      <w:start w:val="1"/>
      <w:numFmt w:val="lowerRoman"/>
      <w:lvlText w:val="%5."/>
      <w:lvlJc w:val="left"/>
      <w:pPr>
        <w:tabs>
          <w:tab w:val="num" w:pos="1758"/>
        </w:tabs>
        <w:ind w:left="4706" w:hanging="567"/>
      </w:pPr>
      <w:rPr>
        <w:rFonts w:hint="default"/>
      </w:rPr>
    </w:lvl>
    <w:lvl w:ilvl="5">
      <w:start w:val="1"/>
      <w:numFmt w:val="lowerRoman"/>
      <w:lvlText w:val="%6."/>
      <w:lvlJc w:val="right"/>
      <w:pPr>
        <w:tabs>
          <w:tab w:val="num" w:pos="8459"/>
        </w:tabs>
        <w:ind w:left="8459" w:hanging="180"/>
      </w:pPr>
      <w:rPr>
        <w:rFonts w:hint="default"/>
      </w:rPr>
    </w:lvl>
    <w:lvl w:ilvl="6">
      <w:start w:val="1"/>
      <w:numFmt w:val="decimal"/>
      <w:lvlText w:val="%7."/>
      <w:lvlJc w:val="left"/>
      <w:pPr>
        <w:tabs>
          <w:tab w:val="num" w:pos="9179"/>
        </w:tabs>
        <w:ind w:left="9179" w:hanging="360"/>
      </w:pPr>
      <w:rPr>
        <w:rFonts w:hint="default"/>
      </w:rPr>
    </w:lvl>
    <w:lvl w:ilvl="7">
      <w:start w:val="1"/>
      <w:numFmt w:val="lowerLetter"/>
      <w:lvlText w:val="%8."/>
      <w:lvlJc w:val="left"/>
      <w:pPr>
        <w:tabs>
          <w:tab w:val="num" w:pos="9899"/>
        </w:tabs>
        <w:ind w:left="9899" w:hanging="360"/>
      </w:pPr>
      <w:rPr>
        <w:rFonts w:hint="default"/>
      </w:rPr>
    </w:lvl>
    <w:lvl w:ilvl="8">
      <w:start w:val="1"/>
      <w:numFmt w:val="lowerRoman"/>
      <w:lvlText w:val="%9."/>
      <w:lvlJc w:val="right"/>
      <w:pPr>
        <w:tabs>
          <w:tab w:val="num" w:pos="10619"/>
        </w:tabs>
        <w:ind w:left="10619" w:hanging="180"/>
      </w:pPr>
      <w:rPr>
        <w:rFonts w:hint="default"/>
      </w:rPr>
    </w:lvl>
  </w:abstractNum>
  <w:abstractNum w:abstractNumId="15" w15:restartNumberingAfterBreak="0">
    <w:nsid w:val="464E5946"/>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52A66A9D"/>
    <w:multiLevelType w:val="multilevel"/>
    <w:tmpl w:val="D07A6E4C"/>
    <w:styleLink w:val="Normallist"/>
    <w:lvl w:ilvl="0">
      <w:start w:val="1"/>
      <w:numFmt w:val="decimal"/>
      <w:pStyle w:val="Normalnumber"/>
      <w:lvlText w:val="%1."/>
      <w:lvlJc w:val="left"/>
      <w:pPr>
        <w:tabs>
          <w:tab w:val="num" w:pos="1758"/>
        </w:tabs>
        <w:ind w:left="1871" w:firstLine="0"/>
      </w:pPr>
      <w:rPr>
        <w:rFonts w:hint="default"/>
      </w:rPr>
    </w:lvl>
    <w:lvl w:ilvl="1">
      <w:start w:val="1"/>
      <w:numFmt w:val="lowerLetter"/>
      <w:lvlText w:val="(%2)"/>
      <w:lvlJc w:val="left"/>
      <w:pPr>
        <w:tabs>
          <w:tab w:val="num" w:pos="1758"/>
        </w:tabs>
        <w:ind w:left="1871" w:firstLine="567"/>
      </w:pPr>
      <w:rPr>
        <w:rFonts w:hint="default"/>
      </w:rPr>
    </w:lvl>
    <w:lvl w:ilvl="2">
      <w:start w:val="1"/>
      <w:numFmt w:val="lowerRoman"/>
      <w:lvlText w:val="(%3)"/>
      <w:lvlJc w:val="left"/>
      <w:pPr>
        <w:tabs>
          <w:tab w:val="num" w:pos="1758"/>
        </w:tabs>
        <w:ind w:left="3572" w:hanging="567"/>
      </w:pPr>
      <w:rPr>
        <w:rFonts w:hint="default"/>
      </w:rPr>
    </w:lvl>
    <w:lvl w:ilvl="3">
      <w:start w:val="1"/>
      <w:numFmt w:val="lowerLetter"/>
      <w:lvlText w:val="%4."/>
      <w:lvlJc w:val="left"/>
      <w:pPr>
        <w:tabs>
          <w:tab w:val="num" w:pos="1758"/>
        </w:tabs>
        <w:ind w:left="4139" w:hanging="567"/>
      </w:pPr>
      <w:rPr>
        <w:rFonts w:hint="default"/>
      </w:rPr>
    </w:lvl>
    <w:lvl w:ilvl="4">
      <w:start w:val="1"/>
      <w:numFmt w:val="lowerRoman"/>
      <w:lvlText w:val="%5."/>
      <w:lvlJc w:val="left"/>
      <w:pPr>
        <w:tabs>
          <w:tab w:val="num" w:pos="1758"/>
        </w:tabs>
        <w:ind w:left="4706" w:hanging="567"/>
      </w:pPr>
      <w:rPr>
        <w:rFonts w:hint="default"/>
      </w:rPr>
    </w:lvl>
    <w:lvl w:ilvl="5">
      <w:start w:val="1"/>
      <w:numFmt w:val="lowerRoman"/>
      <w:lvlText w:val="%6."/>
      <w:lvlJc w:val="right"/>
      <w:pPr>
        <w:tabs>
          <w:tab w:val="num" w:pos="8459"/>
        </w:tabs>
        <w:ind w:left="8459" w:hanging="180"/>
      </w:pPr>
      <w:rPr>
        <w:rFonts w:hint="default"/>
      </w:rPr>
    </w:lvl>
    <w:lvl w:ilvl="6">
      <w:start w:val="1"/>
      <w:numFmt w:val="decimal"/>
      <w:lvlText w:val="%7."/>
      <w:lvlJc w:val="left"/>
      <w:pPr>
        <w:tabs>
          <w:tab w:val="num" w:pos="9179"/>
        </w:tabs>
        <w:ind w:left="9179" w:hanging="360"/>
      </w:pPr>
      <w:rPr>
        <w:rFonts w:hint="default"/>
      </w:rPr>
    </w:lvl>
    <w:lvl w:ilvl="7">
      <w:start w:val="1"/>
      <w:numFmt w:val="lowerLetter"/>
      <w:lvlText w:val="%8."/>
      <w:lvlJc w:val="left"/>
      <w:pPr>
        <w:tabs>
          <w:tab w:val="num" w:pos="9899"/>
        </w:tabs>
        <w:ind w:left="9899" w:hanging="360"/>
      </w:pPr>
      <w:rPr>
        <w:rFonts w:hint="default"/>
      </w:rPr>
    </w:lvl>
    <w:lvl w:ilvl="8">
      <w:start w:val="1"/>
      <w:numFmt w:val="lowerRoman"/>
      <w:lvlText w:val="%9."/>
      <w:lvlJc w:val="right"/>
      <w:pPr>
        <w:tabs>
          <w:tab w:val="num" w:pos="10619"/>
        </w:tabs>
        <w:ind w:left="10619" w:hanging="180"/>
      </w:pPr>
      <w:rPr>
        <w:rFonts w:hint="default"/>
      </w:rPr>
    </w:lvl>
  </w:abstractNum>
  <w:abstractNum w:abstractNumId="17"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8" w15:restartNumberingAfterBreak="0">
    <w:nsid w:val="5C6F541E"/>
    <w:multiLevelType w:val="multilevel"/>
    <w:tmpl w:val="710C7A06"/>
    <w:lvl w:ilvl="0">
      <w:start w:val="1"/>
      <w:numFmt w:val="lowerLetter"/>
      <w:lvlText w:val="(%1)"/>
      <w:lvlJc w:val="left"/>
      <w:pPr>
        <w:tabs>
          <w:tab w:val="num" w:pos="1758"/>
        </w:tabs>
        <w:ind w:left="1871" w:firstLine="0"/>
      </w:pPr>
      <w:rPr>
        <w:rFonts w:hint="default"/>
      </w:rPr>
    </w:lvl>
    <w:lvl w:ilvl="1">
      <w:start w:val="1"/>
      <w:numFmt w:val="lowerLetter"/>
      <w:lvlText w:val="(%2)"/>
      <w:lvlJc w:val="left"/>
      <w:pPr>
        <w:tabs>
          <w:tab w:val="num" w:pos="1758"/>
        </w:tabs>
        <w:ind w:left="1871" w:firstLine="567"/>
      </w:pPr>
      <w:rPr>
        <w:rFonts w:hint="default"/>
      </w:rPr>
    </w:lvl>
    <w:lvl w:ilvl="2">
      <w:start w:val="1"/>
      <w:numFmt w:val="lowerRoman"/>
      <w:lvlText w:val="(%3)"/>
      <w:lvlJc w:val="left"/>
      <w:pPr>
        <w:tabs>
          <w:tab w:val="num" w:pos="1758"/>
        </w:tabs>
        <w:ind w:left="3572" w:hanging="567"/>
      </w:pPr>
      <w:rPr>
        <w:rFonts w:hint="default"/>
      </w:rPr>
    </w:lvl>
    <w:lvl w:ilvl="3">
      <w:start w:val="1"/>
      <w:numFmt w:val="lowerLetter"/>
      <w:lvlText w:val="%4."/>
      <w:lvlJc w:val="left"/>
      <w:pPr>
        <w:tabs>
          <w:tab w:val="num" w:pos="1758"/>
        </w:tabs>
        <w:ind w:left="4139" w:hanging="567"/>
      </w:pPr>
      <w:rPr>
        <w:rFonts w:hint="default"/>
      </w:rPr>
    </w:lvl>
    <w:lvl w:ilvl="4">
      <w:start w:val="1"/>
      <w:numFmt w:val="lowerRoman"/>
      <w:lvlText w:val="%5."/>
      <w:lvlJc w:val="left"/>
      <w:pPr>
        <w:tabs>
          <w:tab w:val="num" w:pos="1758"/>
        </w:tabs>
        <w:ind w:left="4706" w:hanging="567"/>
      </w:pPr>
      <w:rPr>
        <w:rFonts w:hint="default"/>
      </w:rPr>
    </w:lvl>
    <w:lvl w:ilvl="5">
      <w:start w:val="1"/>
      <w:numFmt w:val="lowerRoman"/>
      <w:lvlText w:val="%6."/>
      <w:lvlJc w:val="right"/>
      <w:pPr>
        <w:tabs>
          <w:tab w:val="num" w:pos="8459"/>
        </w:tabs>
        <w:ind w:left="8459" w:hanging="180"/>
      </w:pPr>
      <w:rPr>
        <w:rFonts w:hint="default"/>
      </w:rPr>
    </w:lvl>
    <w:lvl w:ilvl="6">
      <w:start w:val="1"/>
      <w:numFmt w:val="decimal"/>
      <w:lvlText w:val="%7."/>
      <w:lvlJc w:val="left"/>
      <w:pPr>
        <w:tabs>
          <w:tab w:val="num" w:pos="9179"/>
        </w:tabs>
        <w:ind w:left="9179" w:hanging="360"/>
      </w:pPr>
      <w:rPr>
        <w:rFonts w:hint="default"/>
      </w:rPr>
    </w:lvl>
    <w:lvl w:ilvl="7">
      <w:start w:val="1"/>
      <w:numFmt w:val="lowerLetter"/>
      <w:lvlText w:val="%8."/>
      <w:lvlJc w:val="left"/>
      <w:pPr>
        <w:tabs>
          <w:tab w:val="num" w:pos="9899"/>
        </w:tabs>
        <w:ind w:left="9899" w:hanging="360"/>
      </w:pPr>
      <w:rPr>
        <w:rFonts w:hint="default"/>
      </w:rPr>
    </w:lvl>
    <w:lvl w:ilvl="8">
      <w:start w:val="1"/>
      <w:numFmt w:val="lowerRoman"/>
      <w:lvlText w:val="%9."/>
      <w:lvlJc w:val="right"/>
      <w:pPr>
        <w:tabs>
          <w:tab w:val="num" w:pos="10619"/>
        </w:tabs>
        <w:ind w:left="10619" w:hanging="180"/>
      </w:pPr>
      <w:rPr>
        <w:rFonts w:hint="default"/>
      </w:rPr>
    </w:lvl>
  </w:abstractNum>
  <w:abstractNum w:abstractNumId="19"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C6EF8"/>
    <w:multiLevelType w:val="multilevel"/>
    <w:tmpl w:val="EE8C1E04"/>
    <w:lvl w:ilvl="0">
      <w:start w:val="1"/>
      <w:numFmt w:val="lowerLetter"/>
      <w:lvlText w:val="(%1)"/>
      <w:lvlJc w:val="left"/>
      <w:pPr>
        <w:tabs>
          <w:tab w:val="num" w:pos="1135"/>
        </w:tabs>
        <w:ind w:left="1248" w:firstLine="0"/>
      </w:pPr>
      <w:rPr>
        <w:rFonts w:hint="default"/>
      </w:rPr>
    </w:lvl>
    <w:lvl w:ilvl="1">
      <w:start w:val="1"/>
      <w:numFmt w:val="lowerLetter"/>
      <w:lvlText w:val="(%2)"/>
      <w:lvlJc w:val="left"/>
      <w:pPr>
        <w:tabs>
          <w:tab w:val="num" w:pos="1135"/>
        </w:tabs>
        <w:ind w:left="1248" w:firstLine="567"/>
      </w:pPr>
      <w:rPr>
        <w:rFonts w:hint="default"/>
      </w:rPr>
    </w:lvl>
    <w:lvl w:ilvl="2">
      <w:start w:val="1"/>
      <w:numFmt w:val="lowerRoman"/>
      <w:lvlText w:val="(%3)"/>
      <w:lvlJc w:val="left"/>
      <w:pPr>
        <w:tabs>
          <w:tab w:val="num" w:pos="1135"/>
        </w:tabs>
        <w:ind w:left="2949" w:hanging="567"/>
      </w:pPr>
      <w:rPr>
        <w:rFonts w:hint="default"/>
      </w:rPr>
    </w:lvl>
    <w:lvl w:ilvl="3">
      <w:start w:val="1"/>
      <w:numFmt w:val="lowerLetter"/>
      <w:lvlText w:val="%4."/>
      <w:lvlJc w:val="left"/>
      <w:pPr>
        <w:tabs>
          <w:tab w:val="num" w:pos="1135"/>
        </w:tabs>
        <w:ind w:left="3516" w:hanging="567"/>
      </w:pPr>
      <w:rPr>
        <w:rFonts w:hint="default"/>
      </w:rPr>
    </w:lvl>
    <w:lvl w:ilvl="4">
      <w:start w:val="1"/>
      <w:numFmt w:val="lowerRoman"/>
      <w:lvlText w:val="%5."/>
      <w:lvlJc w:val="left"/>
      <w:pPr>
        <w:tabs>
          <w:tab w:val="num" w:pos="1135"/>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1" w15:restartNumberingAfterBreak="0">
    <w:nsid w:val="73E32D1C"/>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2"/>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7"/>
  </w:num>
  <w:num w:numId="16">
    <w:abstractNumId w:val="19"/>
  </w:num>
  <w:num w:numId="17">
    <w:abstractNumId w:val="10"/>
  </w:num>
  <w:num w:numId="18">
    <w:abstractNumId w:val="21"/>
  </w:num>
  <w:num w:numId="19">
    <w:abstractNumId w:val="15"/>
  </w:num>
  <w:num w:numId="20">
    <w:abstractNumId w:val="20"/>
  </w:num>
  <w:num w:numId="21">
    <w:abstractNumId w:val="14"/>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247B0"/>
    <w:rsid w:val="00024C14"/>
    <w:rsid w:val="00026997"/>
    <w:rsid w:val="00033C5F"/>
    <w:rsid w:val="00033E0B"/>
    <w:rsid w:val="00035EDE"/>
    <w:rsid w:val="0004026E"/>
    <w:rsid w:val="00044E5A"/>
    <w:rsid w:val="0004540A"/>
    <w:rsid w:val="000509B4"/>
    <w:rsid w:val="0006035B"/>
    <w:rsid w:val="00061444"/>
    <w:rsid w:val="00061E92"/>
    <w:rsid w:val="0006430A"/>
    <w:rsid w:val="00071886"/>
    <w:rsid w:val="000742BC"/>
    <w:rsid w:val="00075479"/>
    <w:rsid w:val="00082A0C"/>
    <w:rsid w:val="00083504"/>
    <w:rsid w:val="000904EF"/>
    <w:rsid w:val="000924FD"/>
    <w:rsid w:val="0009640C"/>
    <w:rsid w:val="000B22A2"/>
    <w:rsid w:val="000C2A52"/>
    <w:rsid w:val="000D33C0"/>
    <w:rsid w:val="000D6941"/>
    <w:rsid w:val="000F6B5C"/>
    <w:rsid w:val="001202E3"/>
    <w:rsid w:val="00121197"/>
    <w:rsid w:val="00123699"/>
    <w:rsid w:val="001238B1"/>
    <w:rsid w:val="0013059D"/>
    <w:rsid w:val="00141A55"/>
    <w:rsid w:val="001446A3"/>
    <w:rsid w:val="00155395"/>
    <w:rsid w:val="00160D74"/>
    <w:rsid w:val="00167D02"/>
    <w:rsid w:val="001717B7"/>
    <w:rsid w:val="00181EC8"/>
    <w:rsid w:val="00184349"/>
    <w:rsid w:val="00195F33"/>
    <w:rsid w:val="001B1617"/>
    <w:rsid w:val="001B504B"/>
    <w:rsid w:val="001B68AD"/>
    <w:rsid w:val="001B6CA5"/>
    <w:rsid w:val="001D3874"/>
    <w:rsid w:val="001D7E75"/>
    <w:rsid w:val="001E56D2"/>
    <w:rsid w:val="001E7D56"/>
    <w:rsid w:val="001F75DE"/>
    <w:rsid w:val="00200D58"/>
    <w:rsid w:val="002013BE"/>
    <w:rsid w:val="00203460"/>
    <w:rsid w:val="002063A4"/>
    <w:rsid w:val="0021145B"/>
    <w:rsid w:val="00213A77"/>
    <w:rsid w:val="00243D36"/>
    <w:rsid w:val="00247707"/>
    <w:rsid w:val="002512CA"/>
    <w:rsid w:val="0026018E"/>
    <w:rsid w:val="00262B45"/>
    <w:rsid w:val="00285344"/>
    <w:rsid w:val="00286740"/>
    <w:rsid w:val="002929D8"/>
    <w:rsid w:val="002A237D"/>
    <w:rsid w:val="002A4C53"/>
    <w:rsid w:val="002A626D"/>
    <w:rsid w:val="002B0672"/>
    <w:rsid w:val="002B247F"/>
    <w:rsid w:val="002C145D"/>
    <w:rsid w:val="002C2C3E"/>
    <w:rsid w:val="002C533E"/>
    <w:rsid w:val="002D027F"/>
    <w:rsid w:val="002D27E3"/>
    <w:rsid w:val="002D7A85"/>
    <w:rsid w:val="002D7B60"/>
    <w:rsid w:val="002F4761"/>
    <w:rsid w:val="002F5C79"/>
    <w:rsid w:val="003019E2"/>
    <w:rsid w:val="003065E6"/>
    <w:rsid w:val="0031413F"/>
    <w:rsid w:val="003148BB"/>
    <w:rsid w:val="003178B3"/>
    <w:rsid w:val="00317976"/>
    <w:rsid w:val="00351B05"/>
    <w:rsid w:val="00355EA9"/>
    <w:rsid w:val="003578DE"/>
    <w:rsid w:val="00385868"/>
    <w:rsid w:val="00387BD0"/>
    <w:rsid w:val="00396257"/>
    <w:rsid w:val="00397EB8"/>
    <w:rsid w:val="003A4FD0"/>
    <w:rsid w:val="003A69D1"/>
    <w:rsid w:val="003A7705"/>
    <w:rsid w:val="003A77F1"/>
    <w:rsid w:val="003A7CED"/>
    <w:rsid w:val="003B1545"/>
    <w:rsid w:val="003B1F39"/>
    <w:rsid w:val="003B220E"/>
    <w:rsid w:val="003C409D"/>
    <w:rsid w:val="003C5BA6"/>
    <w:rsid w:val="003D50CB"/>
    <w:rsid w:val="003D6883"/>
    <w:rsid w:val="003F0E85"/>
    <w:rsid w:val="003F1D30"/>
    <w:rsid w:val="003F7440"/>
    <w:rsid w:val="0041081A"/>
    <w:rsid w:val="00410C55"/>
    <w:rsid w:val="00416854"/>
    <w:rsid w:val="00417725"/>
    <w:rsid w:val="00437F26"/>
    <w:rsid w:val="00444097"/>
    <w:rsid w:val="00445487"/>
    <w:rsid w:val="004456DC"/>
    <w:rsid w:val="00447AB9"/>
    <w:rsid w:val="00454769"/>
    <w:rsid w:val="00455480"/>
    <w:rsid w:val="004618B7"/>
    <w:rsid w:val="00466991"/>
    <w:rsid w:val="0047064C"/>
    <w:rsid w:val="00485185"/>
    <w:rsid w:val="004A42E1"/>
    <w:rsid w:val="004B162C"/>
    <w:rsid w:val="004C3DBE"/>
    <w:rsid w:val="004C5C96"/>
    <w:rsid w:val="004D06A4"/>
    <w:rsid w:val="004F1A81"/>
    <w:rsid w:val="00517861"/>
    <w:rsid w:val="005218D9"/>
    <w:rsid w:val="00533551"/>
    <w:rsid w:val="00536186"/>
    <w:rsid w:val="00544CBB"/>
    <w:rsid w:val="00563378"/>
    <w:rsid w:val="0057315F"/>
    <w:rsid w:val="005754A9"/>
    <w:rsid w:val="00576104"/>
    <w:rsid w:val="005B4A2F"/>
    <w:rsid w:val="005C67C8"/>
    <w:rsid w:val="005D0249"/>
    <w:rsid w:val="005D6E8C"/>
    <w:rsid w:val="005E4BBB"/>
    <w:rsid w:val="005F100C"/>
    <w:rsid w:val="005F18D3"/>
    <w:rsid w:val="005F68DA"/>
    <w:rsid w:val="0060577D"/>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5A4B"/>
    <w:rsid w:val="00677EAE"/>
    <w:rsid w:val="00692E2A"/>
    <w:rsid w:val="006A76F2"/>
    <w:rsid w:val="006B0E1A"/>
    <w:rsid w:val="006B503A"/>
    <w:rsid w:val="006D125A"/>
    <w:rsid w:val="006D7EFB"/>
    <w:rsid w:val="006E119E"/>
    <w:rsid w:val="006E6672"/>
    <w:rsid w:val="006E6722"/>
    <w:rsid w:val="007027B9"/>
    <w:rsid w:val="00714E08"/>
    <w:rsid w:val="00715E88"/>
    <w:rsid w:val="0071625A"/>
    <w:rsid w:val="00734CAA"/>
    <w:rsid w:val="0075533C"/>
    <w:rsid w:val="00757581"/>
    <w:rsid w:val="007611A0"/>
    <w:rsid w:val="00796D3F"/>
    <w:rsid w:val="007A1683"/>
    <w:rsid w:val="007A5C12"/>
    <w:rsid w:val="007A7CB0"/>
    <w:rsid w:val="007B68A3"/>
    <w:rsid w:val="007C2541"/>
    <w:rsid w:val="007D66A8"/>
    <w:rsid w:val="007D7AC3"/>
    <w:rsid w:val="007E003F"/>
    <w:rsid w:val="007E2B3C"/>
    <w:rsid w:val="007F3540"/>
    <w:rsid w:val="007F6126"/>
    <w:rsid w:val="008034CE"/>
    <w:rsid w:val="00805F75"/>
    <w:rsid w:val="008064D4"/>
    <w:rsid w:val="00815B30"/>
    <w:rsid w:val="008164F2"/>
    <w:rsid w:val="00821395"/>
    <w:rsid w:val="00830E26"/>
    <w:rsid w:val="00843576"/>
    <w:rsid w:val="00843B64"/>
    <w:rsid w:val="00844743"/>
    <w:rsid w:val="00844BD5"/>
    <w:rsid w:val="008478FC"/>
    <w:rsid w:val="00865B08"/>
    <w:rsid w:val="00867BFF"/>
    <w:rsid w:val="008829D3"/>
    <w:rsid w:val="0088480A"/>
    <w:rsid w:val="0088677E"/>
    <w:rsid w:val="00887131"/>
    <w:rsid w:val="0088757A"/>
    <w:rsid w:val="008957DD"/>
    <w:rsid w:val="00897D98"/>
    <w:rsid w:val="008A6DF2"/>
    <w:rsid w:val="008A7807"/>
    <w:rsid w:val="008B4CC9"/>
    <w:rsid w:val="008C00D6"/>
    <w:rsid w:val="008D7C99"/>
    <w:rsid w:val="008E0FCB"/>
    <w:rsid w:val="0092178C"/>
    <w:rsid w:val="00930B88"/>
    <w:rsid w:val="009379B9"/>
    <w:rsid w:val="00940DCC"/>
    <w:rsid w:val="0094179A"/>
    <w:rsid w:val="0094459E"/>
    <w:rsid w:val="00944DBC"/>
    <w:rsid w:val="0094617E"/>
    <w:rsid w:val="00950977"/>
    <w:rsid w:val="00951A7B"/>
    <w:rsid w:val="009527C6"/>
    <w:rsid w:val="009564A6"/>
    <w:rsid w:val="00965E6C"/>
    <w:rsid w:val="00967621"/>
    <w:rsid w:val="00967E6A"/>
    <w:rsid w:val="00984A20"/>
    <w:rsid w:val="00985ADF"/>
    <w:rsid w:val="009A1772"/>
    <w:rsid w:val="009B4A0F"/>
    <w:rsid w:val="009C11D2"/>
    <w:rsid w:val="009C1575"/>
    <w:rsid w:val="009C6C70"/>
    <w:rsid w:val="009D0B63"/>
    <w:rsid w:val="009E307E"/>
    <w:rsid w:val="009E78C3"/>
    <w:rsid w:val="00A07870"/>
    <w:rsid w:val="00A07F19"/>
    <w:rsid w:val="00A1348D"/>
    <w:rsid w:val="00A232EE"/>
    <w:rsid w:val="00A27C49"/>
    <w:rsid w:val="00A35431"/>
    <w:rsid w:val="00A4175F"/>
    <w:rsid w:val="00A44411"/>
    <w:rsid w:val="00A469FA"/>
    <w:rsid w:val="00A55B01"/>
    <w:rsid w:val="00A55E48"/>
    <w:rsid w:val="00A56B5B"/>
    <w:rsid w:val="00A603FF"/>
    <w:rsid w:val="00A62128"/>
    <w:rsid w:val="00A657DD"/>
    <w:rsid w:val="00A666A6"/>
    <w:rsid w:val="00A675FD"/>
    <w:rsid w:val="00A72437"/>
    <w:rsid w:val="00A80611"/>
    <w:rsid w:val="00AA0C30"/>
    <w:rsid w:val="00AB5340"/>
    <w:rsid w:val="00AC0A89"/>
    <w:rsid w:val="00AC7C96"/>
    <w:rsid w:val="00AD71F4"/>
    <w:rsid w:val="00AE237D"/>
    <w:rsid w:val="00AE502A"/>
    <w:rsid w:val="00AF0CC1"/>
    <w:rsid w:val="00AF7C07"/>
    <w:rsid w:val="00B22C93"/>
    <w:rsid w:val="00B27589"/>
    <w:rsid w:val="00B405B7"/>
    <w:rsid w:val="00B420CD"/>
    <w:rsid w:val="00B42549"/>
    <w:rsid w:val="00B52222"/>
    <w:rsid w:val="00B54FE7"/>
    <w:rsid w:val="00B66901"/>
    <w:rsid w:val="00B71E6D"/>
    <w:rsid w:val="00B72070"/>
    <w:rsid w:val="00B75656"/>
    <w:rsid w:val="00B779E1"/>
    <w:rsid w:val="00B91EE1"/>
    <w:rsid w:val="00BA0090"/>
    <w:rsid w:val="00BA1A67"/>
    <w:rsid w:val="00BA7797"/>
    <w:rsid w:val="00BB2202"/>
    <w:rsid w:val="00BB4383"/>
    <w:rsid w:val="00BE0AFD"/>
    <w:rsid w:val="00BE5B5F"/>
    <w:rsid w:val="00C03545"/>
    <w:rsid w:val="00C04705"/>
    <w:rsid w:val="00C26F55"/>
    <w:rsid w:val="00C30C63"/>
    <w:rsid w:val="00C36B8B"/>
    <w:rsid w:val="00C415C1"/>
    <w:rsid w:val="00C47DBF"/>
    <w:rsid w:val="00C552FF"/>
    <w:rsid w:val="00C558DA"/>
    <w:rsid w:val="00C55AF3"/>
    <w:rsid w:val="00C60881"/>
    <w:rsid w:val="00C70845"/>
    <w:rsid w:val="00C84759"/>
    <w:rsid w:val="00C96840"/>
    <w:rsid w:val="00CA038C"/>
    <w:rsid w:val="00CA6C7F"/>
    <w:rsid w:val="00CC10A6"/>
    <w:rsid w:val="00CC20CF"/>
    <w:rsid w:val="00CD5EB8"/>
    <w:rsid w:val="00CD7044"/>
    <w:rsid w:val="00CE08B9"/>
    <w:rsid w:val="00CE524C"/>
    <w:rsid w:val="00CF141F"/>
    <w:rsid w:val="00CF4777"/>
    <w:rsid w:val="00D067BB"/>
    <w:rsid w:val="00D07CC3"/>
    <w:rsid w:val="00D1352A"/>
    <w:rsid w:val="00D169AF"/>
    <w:rsid w:val="00D25249"/>
    <w:rsid w:val="00D27057"/>
    <w:rsid w:val="00D33031"/>
    <w:rsid w:val="00D33D5C"/>
    <w:rsid w:val="00D44172"/>
    <w:rsid w:val="00D62DAC"/>
    <w:rsid w:val="00D63B8C"/>
    <w:rsid w:val="00D739CC"/>
    <w:rsid w:val="00D8093D"/>
    <w:rsid w:val="00D8108C"/>
    <w:rsid w:val="00D842AE"/>
    <w:rsid w:val="00D87566"/>
    <w:rsid w:val="00D9211C"/>
    <w:rsid w:val="00D92DE0"/>
    <w:rsid w:val="00D92FEF"/>
    <w:rsid w:val="00D93A0F"/>
    <w:rsid w:val="00DA1BCA"/>
    <w:rsid w:val="00DA7476"/>
    <w:rsid w:val="00DC45C7"/>
    <w:rsid w:val="00DC46FF"/>
    <w:rsid w:val="00DC5254"/>
    <w:rsid w:val="00DD1A4F"/>
    <w:rsid w:val="00DD2838"/>
    <w:rsid w:val="00DD3107"/>
    <w:rsid w:val="00DD7C2C"/>
    <w:rsid w:val="00DF05AB"/>
    <w:rsid w:val="00E0342F"/>
    <w:rsid w:val="00E03D71"/>
    <w:rsid w:val="00E06797"/>
    <w:rsid w:val="00E1265B"/>
    <w:rsid w:val="00E13B48"/>
    <w:rsid w:val="00E1404F"/>
    <w:rsid w:val="00E21C83"/>
    <w:rsid w:val="00E2437D"/>
    <w:rsid w:val="00E24ADA"/>
    <w:rsid w:val="00E32F59"/>
    <w:rsid w:val="00E33E3F"/>
    <w:rsid w:val="00E43420"/>
    <w:rsid w:val="00E44A5A"/>
    <w:rsid w:val="00E46D9A"/>
    <w:rsid w:val="00E565FF"/>
    <w:rsid w:val="00E65388"/>
    <w:rsid w:val="00E83AFD"/>
    <w:rsid w:val="00E85B7D"/>
    <w:rsid w:val="00E9121B"/>
    <w:rsid w:val="00E96540"/>
    <w:rsid w:val="00EA0AE2"/>
    <w:rsid w:val="00EA39E5"/>
    <w:rsid w:val="00EA5E72"/>
    <w:rsid w:val="00EB563C"/>
    <w:rsid w:val="00EC5A46"/>
    <w:rsid w:val="00EC63E2"/>
    <w:rsid w:val="00ED1B0B"/>
    <w:rsid w:val="00EE7A32"/>
    <w:rsid w:val="00EE7B2C"/>
    <w:rsid w:val="00EF22B3"/>
    <w:rsid w:val="00F02B81"/>
    <w:rsid w:val="00F03B69"/>
    <w:rsid w:val="00F07A50"/>
    <w:rsid w:val="00F113DA"/>
    <w:rsid w:val="00F21C7C"/>
    <w:rsid w:val="00F24AB6"/>
    <w:rsid w:val="00F37DC8"/>
    <w:rsid w:val="00F439B3"/>
    <w:rsid w:val="00F55490"/>
    <w:rsid w:val="00F624B7"/>
    <w:rsid w:val="00F62D01"/>
    <w:rsid w:val="00F650C3"/>
    <w:rsid w:val="00F65D85"/>
    <w:rsid w:val="00F8091E"/>
    <w:rsid w:val="00F8615C"/>
    <w:rsid w:val="00F94214"/>
    <w:rsid w:val="00F969E5"/>
    <w:rsid w:val="00FA1C9C"/>
    <w:rsid w:val="00FA3208"/>
    <w:rsid w:val="00FA5BA4"/>
    <w:rsid w:val="00FA6BB0"/>
    <w:rsid w:val="00FB5686"/>
    <w:rsid w:val="00FD5860"/>
    <w:rsid w:val="00FD69E2"/>
    <w:rsid w:val="00FE352D"/>
    <w:rsid w:val="00FE40EB"/>
    <w:rsid w:val="00FE4D02"/>
    <w:rsid w:val="00FE7D62"/>
    <w:rsid w:val="00FF3819"/>
    <w:rsid w:val="00FF4CED"/>
    <w:rsid w:val="00FF7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C3461E"/>
  <w15:docId w15:val="{33EA57CF-6A23-4ABC-B719-BFFB02E7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47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FD69E2"/>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CH2Char">
    <w:name w:val="CH2 Char"/>
    <w:link w:val="CH2"/>
    <w:rsid w:val="00BE0AFD"/>
    <w:rPr>
      <w:b/>
      <w:sz w:val="24"/>
      <w:szCs w:val="24"/>
      <w:lang w:val="en-GB"/>
    </w:rPr>
  </w:style>
  <w:style w:type="character" w:styleId="CommentReference">
    <w:name w:val="annotation reference"/>
    <w:rsid w:val="00BE0AFD"/>
    <w:rPr>
      <w:sz w:val="16"/>
      <w:szCs w:val="16"/>
    </w:rPr>
  </w:style>
  <w:style w:type="paragraph" w:styleId="CommentText">
    <w:name w:val="annotation text"/>
    <w:basedOn w:val="Normal"/>
    <w:link w:val="CommentTextChar"/>
    <w:uiPriority w:val="99"/>
    <w:rsid w:val="00BE0AFD"/>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BE0AFD"/>
    <w:rPr>
      <w:rFonts w:eastAsia="MS Mincho"/>
      <w:lang w:val="en-GB"/>
    </w:rPr>
  </w:style>
  <w:style w:type="character" w:customStyle="1" w:styleId="HeaderChar">
    <w:name w:val="Header Char"/>
    <w:link w:val="Header"/>
    <w:uiPriority w:val="99"/>
    <w:rsid w:val="00BE0AFD"/>
    <w:rPr>
      <w:rFonts w:ascii="Calibri" w:eastAsia="MS Mincho" w:hAnsi="Calibri"/>
      <w:b/>
      <w:sz w:val="18"/>
      <w:szCs w:val="22"/>
    </w:rPr>
  </w:style>
  <w:style w:type="character" w:customStyle="1" w:styleId="FooterChar">
    <w:name w:val="Footer Char"/>
    <w:link w:val="Footer"/>
    <w:uiPriority w:val="99"/>
    <w:rsid w:val="00BE0AFD"/>
    <w:rPr>
      <w:rFonts w:ascii="Calibri" w:eastAsia="MS Mincho" w:hAnsi="Calibri"/>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BE0AFD"/>
    <w:rPr>
      <w:sz w:val="18"/>
      <w:lang w:val="fr-FR"/>
    </w:rPr>
  </w:style>
  <w:style w:type="table" w:styleId="TableGrid">
    <w:name w:val="Table Grid"/>
    <w:basedOn w:val="TableNormal"/>
    <w:rsid w:val="00D0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Char">
    <w:name w:val="Normal_number Char"/>
    <w:link w:val="Normalnumber"/>
    <w:uiPriority w:val="99"/>
    <w:rsid w:val="00075479"/>
    <w:rPr>
      <w:lang w:val="en-GB"/>
    </w:rPr>
  </w:style>
  <w:style w:type="paragraph" w:styleId="ListParagraph">
    <w:name w:val="List Paragraph"/>
    <w:basedOn w:val="Normal"/>
    <w:link w:val="ListParagraphChar"/>
    <w:uiPriority w:val="34"/>
    <w:qFormat/>
    <w:rsid w:val="00075479"/>
    <w:pPr>
      <w:spacing w:after="120" w:line="360" w:lineRule="auto"/>
      <w:ind w:left="720"/>
      <w:contextualSpacing/>
    </w:pPr>
    <w:rPr>
      <w:rFonts w:eastAsiaTheme="minorEastAsia"/>
    </w:rPr>
  </w:style>
  <w:style w:type="character" w:customStyle="1" w:styleId="ListParagraphChar">
    <w:name w:val="List Paragraph Char"/>
    <w:basedOn w:val="DefaultParagraphFont"/>
    <w:link w:val="ListParagraph"/>
    <w:uiPriority w:val="34"/>
    <w:rsid w:val="00075479"/>
    <w:rPr>
      <w:rFonts w:asciiTheme="minorHAnsi" w:eastAsiaTheme="minorEastAsia" w:hAnsiTheme="minorHAnsi" w:cstheme="minorBidi"/>
      <w:sz w:val="22"/>
      <w:szCs w:val="22"/>
    </w:rPr>
  </w:style>
  <w:style w:type="paragraph" w:customStyle="1" w:styleId="AnnexTitle">
    <w:name w:val="Annex Title"/>
    <w:basedOn w:val="Normal-pool"/>
    <w:qFormat/>
    <w:rsid w:val="00075479"/>
    <w:pPr>
      <w:pageBreakBefore/>
      <w:tabs>
        <w:tab w:val="clear" w:pos="4082"/>
      </w:tabs>
    </w:pPr>
    <w:rPr>
      <w:b/>
      <w:bCs/>
      <w:sz w:val="28"/>
      <w:szCs w:val="22"/>
    </w:rPr>
  </w:style>
  <w:style w:type="paragraph" w:styleId="Title">
    <w:name w:val="Title"/>
    <w:basedOn w:val="BBTitle"/>
    <w:next w:val="Normal"/>
    <w:link w:val="TitleChar"/>
    <w:qFormat/>
    <w:rsid w:val="00075479"/>
    <w:pPr>
      <w:tabs>
        <w:tab w:val="clear" w:pos="4082"/>
      </w:tabs>
    </w:pPr>
    <w:rPr>
      <w:lang w:val="en-US"/>
    </w:rPr>
  </w:style>
  <w:style w:type="character" w:customStyle="1" w:styleId="TitleChar">
    <w:name w:val="Title Char"/>
    <w:basedOn w:val="DefaultParagraphFont"/>
    <w:link w:val="Title"/>
    <w:rsid w:val="00075479"/>
    <w:rPr>
      <w:b/>
      <w:sz w:val="28"/>
      <w:szCs w:val="28"/>
    </w:rPr>
  </w:style>
  <w:style w:type="paragraph" w:customStyle="1" w:styleId="AgendaItemTitle">
    <w:name w:val="AgendaItem_Title"/>
    <w:basedOn w:val="Normal-pool"/>
    <w:qFormat/>
    <w:rsid w:val="00075479"/>
    <w:pPr>
      <w:keepNext/>
      <w:keepLines/>
      <w:tabs>
        <w:tab w:val="clear" w:pos="4082"/>
      </w:tabs>
      <w:suppressAutoHyphens/>
      <w:ind w:right="340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IPBES%20NEW%20MASTHEAD\IPBES-5\IPBES%20-%205%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4EE3-1DC4-446B-B59A-3167C091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 - 5 - NEW</Template>
  <TotalTime>0</TotalTime>
  <Pages>4</Pages>
  <Words>1670</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2017-12-18T13:22:00Z</cp:lastPrinted>
  <dcterms:created xsi:type="dcterms:W3CDTF">2018-01-29T11:19:00Z</dcterms:created>
  <dcterms:modified xsi:type="dcterms:W3CDTF">2018-01-29T11:19:00Z</dcterms:modified>
</cp:coreProperties>
</file>