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DA7368" w14:paraId="20C87DBB" w14:textId="77777777" w:rsidTr="00F9521B">
        <w:trPr>
          <w:cantSplit/>
          <w:trHeight w:val="1079"/>
          <w:jc w:val="right"/>
        </w:trPr>
        <w:tc>
          <w:tcPr>
            <w:tcW w:w="1545" w:type="dxa"/>
          </w:tcPr>
          <w:p w14:paraId="60340DB5" w14:textId="77777777" w:rsidR="00F9521B" w:rsidRPr="00DA7368" w:rsidRDefault="00F9521B" w:rsidP="00F50C3B">
            <w:pPr>
              <w:pStyle w:val="Normal-pool"/>
              <w:tabs>
                <w:tab w:val="left" w:pos="4082"/>
              </w:tabs>
              <w:spacing w:before="40"/>
              <w:rPr>
                <w:sz w:val="27"/>
                <w:szCs w:val="27"/>
              </w:rPr>
            </w:pPr>
            <w:bookmarkStart w:id="0" w:name="_GoBack"/>
            <w:bookmarkEnd w:id="0"/>
            <w:r w:rsidRPr="00DA7368">
              <w:rPr>
                <w:rFonts w:ascii="Arial" w:hAnsi="Arial" w:cs="Arial"/>
                <w:b/>
                <w:noProof/>
                <w:sz w:val="27"/>
                <w:szCs w:val="27"/>
              </w:rPr>
              <w:t xml:space="preserve">UNITED </w:t>
            </w:r>
            <w:r w:rsidRPr="00DA7368">
              <w:rPr>
                <w:rFonts w:ascii="Arial" w:hAnsi="Arial" w:cs="Arial"/>
                <w:b/>
                <w:noProof/>
                <w:sz w:val="27"/>
                <w:szCs w:val="27"/>
              </w:rPr>
              <w:br/>
              <w:t>NATIONS</w:t>
            </w:r>
          </w:p>
        </w:tc>
        <w:tc>
          <w:tcPr>
            <w:tcW w:w="1004" w:type="dxa"/>
            <w:gridSpan w:val="2"/>
            <w:tcBorders>
              <w:left w:val="nil"/>
            </w:tcBorders>
            <w:vAlign w:val="center"/>
          </w:tcPr>
          <w:p w14:paraId="47FEC733" w14:textId="77777777" w:rsidR="00F9521B" w:rsidRPr="00DA7368" w:rsidRDefault="00F9521B" w:rsidP="00F50C3B">
            <w:pPr>
              <w:pStyle w:val="Normal-pool"/>
              <w:ind w:left="-108"/>
            </w:pPr>
            <w:r w:rsidRPr="00DA7368">
              <w:rPr>
                <w:noProof/>
                <w:lang w:eastAsia="en-GB"/>
              </w:rPr>
              <w:drawing>
                <wp:inline distT="0" distB="0" distL="0" distR="0" wp14:anchorId="6F4061F8" wp14:editId="13FB4DD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142CBF54" w14:textId="77777777" w:rsidR="00F9521B" w:rsidRPr="00DA7368" w:rsidRDefault="00F9521B" w:rsidP="00F50C3B">
            <w:pPr>
              <w:pStyle w:val="Normal-pool"/>
              <w:ind w:left="-108"/>
            </w:pPr>
            <w:r w:rsidRPr="00DA7368">
              <w:rPr>
                <w:noProof/>
                <w:lang w:eastAsia="en-GB"/>
              </w:rPr>
              <w:drawing>
                <wp:inline distT="0" distB="0" distL="0" distR="0" wp14:anchorId="2AE56342" wp14:editId="3D1D9905">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3B4BE27" w14:textId="77777777" w:rsidR="00F9521B" w:rsidRPr="00DA7368" w:rsidRDefault="00F9521B" w:rsidP="00F50C3B">
            <w:pPr>
              <w:pStyle w:val="Normal-pool"/>
              <w:ind w:left="-108"/>
            </w:pPr>
            <w:r w:rsidRPr="00DA7368">
              <w:rPr>
                <w:noProof/>
                <w:lang w:eastAsia="en-GB"/>
              </w:rPr>
              <w:drawing>
                <wp:inline distT="0" distB="0" distL="0" distR="0" wp14:anchorId="33841794" wp14:editId="6D895C8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17EFA055" w14:textId="77777777" w:rsidR="00F9521B" w:rsidRPr="00DA7368" w:rsidRDefault="00F9521B" w:rsidP="00F50C3B">
            <w:pPr>
              <w:pStyle w:val="Normal-pool"/>
              <w:ind w:left="-108"/>
            </w:pPr>
            <w:r w:rsidRPr="00DA7368">
              <w:rPr>
                <w:noProof/>
                <w:lang w:eastAsia="en-GB"/>
              </w:rPr>
              <w:drawing>
                <wp:inline distT="0" distB="0" distL="0" distR="0" wp14:anchorId="49AFD075" wp14:editId="78DCE680">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EE69F44" w14:textId="77777777" w:rsidR="00F9521B" w:rsidRPr="00DA7368" w:rsidRDefault="00F9521B" w:rsidP="00F50C3B">
            <w:pPr>
              <w:pStyle w:val="Normal-pool"/>
            </w:pPr>
            <w:r w:rsidRPr="00DA7368">
              <w:rPr>
                <w:noProof/>
                <w:lang w:eastAsia="en-GB"/>
              </w:rPr>
              <w:drawing>
                <wp:inline distT="0" distB="0" distL="0" distR="0" wp14:anchorId="4D83C013" wp14:editId="526C713E">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078CAFE" w14:textId="77777777" w:rsidR="00F9521B" w:rsidRPr="00DA7368" w:rsidRDefault="00F9521B" w:rsidP="006B2B6C">
            <w:pPr>
              <w:jc w:val="center"/>
            </w:pPr>
          </w:p>
        </w:tc>
        <w:tc>
          <w:tcPr>
            <w:tcW w:w="1686" w:type="dxa"/>
          </w:tcPr>
          <w:p w14:paraId="45106391" w14:textId="77777777" w:rsidR="00F9521B" w:rsidRPr="00DA7368" w:rsidRDefault="00F9521B" w:rsidP="00F50C3B">
            <w:pPr>
              <w:keepNext/>
              <w:spacing w:before="40"/>
              <w:jc w:val="right"/>
              <w:outlineLvl w:val="1"/>
              <w:rPr>
                <w:rFonts w:ascii="Arial" w:hAnsi="Arial" w:cs="Arial"/>
                <w:b/>
                <w:sz w:val="64"/>
                <w:szCs w:val="64"/>
              </w:rPr>
            </w:pPr>
            <w:r w:rsidRPr="00DA7368">
              <w:rPr>
                <w:rFonts w:ascii="Arial" w:hAnsi="Arial" w:cs="Arial"/>
                <w:b/>
                <w:sz w:val="64"/>
                <w:szCs w:val="64"/>
              </w:rPr>
              <w:t>BES</w:t>
            </w:r>
          </w:p>
        </w:tc>
      </w:tr>
      <w:tr w:rsidR="00F9521B" w:rsidRPr="00DA7368" w14:paraId="63158591" w14:textId="77777777" w:rsidTr="00F9521B">
        <w:trPr>
          <w:cantSplit/>
          <w:trHeight w:val="282"/>
          <w:jc w:val="right"/>
        </w:trPr>
        <w:tc>
          <w:tcPr>
            <w:tcW w:w="1545" w:type="dxa"/>
            <w:tcBorders>
              <w:bottom w:val="single" w:sz="2" w:space="0" w:color="auto"/>
            </w:tcBorders>
          </w:tcPr>
          <w:p w14:paraId="468C306C" w14:textId="77777777" w:rsidR="00F9521B" w:rsidRPr="00DA7368" w:rsidRDefault="00F9521B" w:rsidP="006B2B6C">
            <w:pPr>
              <w:rPr>
                <w:noProof/>
              </w:rPr>
            </w:pPr>
          </w:p>
        </w:tc>
        <w:tc>
          <w:tcPr>
            <w:tcW w:w="6025" w:type="dxa"/>
            <w:gridSpan w:val="6"/>
            <w:tcBorders>
              <w:bottom w:val="single" w:sz="2" w:space="0" w:color="auto"/>
            </w:tcBorders>
          </w:tcPr>
          <w:p w14:paraId="0B2A6FA3" w14:textId="77777777" w:rsidR="00F9521B" w:rsidRPr="00DA7368" w:rsidRDefault="00F9521B" w:rsidP="006B2B6C">
            <w:pPr>
              <w:rPr>
                <w:rFonts w:eastAsia="Times New Roman"/>
                <w:b/>
                <w:sz w:val="24"/>
                <w:szCs w:val="24"/>
              </w:rPr>
            </w:pPr>
          </w:p>
        </w:tc>
        <w:tc>
          <w:tcPr>
            <w:tcW w:w="2260" w:type="dxa"/>
            <w:gridSpan w:val="2"/>
            <w:tcBorders>
              <w:bottom w:val="single" w:sz="2" w:space="0" w:color="auto"/>
            </w:tcBorders>
          </w:tcPr>
          <w:p w14:paraId="76096FDE" w14:textId="77777777" w:rsidR="00F9521B" w:rsidRPr="00DA7368" w:rsidRDefault="00F9521B" w:rsidP="00F63428">
            <w:pPr>
              <w:pStyle w:val="Normal-pool"/>
            </w:pPr>
            <w:r w:rsidRPr="00572430">
              <w:rPr>
                <w:b/>
                <w:sz w:val="24"/>
                <w:szCs w:val="24"/>
              </w:rPr>
              <w:t>IPBES</w:t>
            </w:r>
            <w:r w:rsidR="00EA5E5C" w:rsidRPr="00DA7368">
              <w:t>/6</w:t>
            </w:r>
            <w:r w:rsidRPr="00DA7368">
              <w:t>/</w:t>
            </w:r>
            <w:r w:rsidR="00342061" w:rsidRPr="00DA7368">
              <w:t>10</w:t>
            </w:r>
          </w:p>
        </w:tc>
      </w:tr>
      <w:tr w:rsidR="00F9521B" w:rsidRPr="00DA7368" w14:paraId="0932B407" w14:textId="77777777" w:rsidTr="00F9521B">
        <w:trPr>
          <w:cantSplit/>
          <w:trHeight w:val="1433"/>
          <w:jc w:val="right"/>
        </w:trPr>
        <w:tc>
          <w:tcPr>
            <w:tcW w:w="2034" w:type="dxa"/>
            <w:gridSpan w:val="2"/>
            <w:tcBorders>
              <w:top w:val="single" w:sz="2" w:space="0" w:color="auto"/>
              <w:bottom w:val="single" w:sz="24" w:space="0" w:color="auto"/>
            </w:tcBorders>
          </w:tcPr>
          <w:p w14:paraId="4BB1F77F" w14:textId="77777777" w:rsidR="00F9521B" w:rsidRPr="00DA7368" w:rsidRDefault="00F9521B" w:rsidP="00F50C3B">
            <w:pPr>
              <w:pStyle w:val="Normal-pool"/>
              <w:spacing w:before="240" w:after="240"/>
            </w:pPr>
            <w:r w:rsidRPr="00DA7368">
              <w:rPr>
                <w:noProof/>
                <w:lang w:eastAsia="en-GB"/>
              </w:rPr>
              <w:drawing>
                <wp:inline distT="0" distB="0" distL="0" distR="0" wp14:anchorId="25413749" wp14:editId="51F2A4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0570AB97" w14:textId="77777777" w:rsidR="00F9521B" w:rsidRPr="00DA7368" w:rsidRDefault="00F9521B" w:rsidP="00F63428">
            <w:pPr>
              <w:pStyle w:val="Normal-pool"/>
              <w:tabs>
                <w:tab w:val="left" w:pos="4082"/>
              </w:tabs>
              <w:spacing w:before="120" w:after="240"/>
            </w:pPr>
            <w:r w:rsidRPr="00F63428">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4E737B46" w14:textId="2D0FF19F" w:rsidR="00F9521B" w:rsidRPr="00DA7368" w:rsidRDefault="00F9521B" w:rsidP="00F63428">
            <w:pPr>
              <w:pStyle w:val="Normal-pool"/>
              <w:spacing w:before="120"/>
            </w:pPr>
            <w:r w:rsidRPr="00DA7368">
              <w:t>Distr.: General</w:t>
            </w:r>
            <w:r w:rsidRPr="00DA7368">
              <w:br/>
            </w:r>
            <w:r w:rsidR="001E28D0">
              <w:t>5 December 2017</w:t>
            </w:r>
          </w:p>
          <w:p w14:paraId="3F4D07D8" w14:textId="77777777" w:rsidR="00F9521B" w:rsidRPr="00DA7368" w:rsidRDefault="00F9521B" w:rsidP="00F63428">
            <w:pPr>
              <w:pStyle w:val="Normal-pool"/>
              <w:spacing w:before="120"/>
            </w:pPr>
            <w:r w:rsidRPr="00DA7368">
              <w:t>Original: English</w:t>
            </w:r>
          </w:p>
        </w:tc>
      </w:tr>
    </w:tbl>
    <w:p w14:paraId="2CEE91E1" w14:textId="57B52206" w:rsidR="00475F50" w:rsidRDefault="00F9521B" w:rsidP="00F63428">
      <w:pPr>
        <w:pStyle w:val="AATitle"/>
      </w:pPr>
      <w:r w:rsidRPr="00DA7368">
        <w:t>Plenary of the Intergovernmental Science-Policy</w:t>
      </w:r>
      <w:r w:rsidR="00475F50">
        <w:t xml:space="preserve"> </w:t>
      </w:r>
      <w:r w:rsidRPr="00DA7368">
        <w:t>Platform on Biodiversity and Ecosystem Services</w:t>
      </w:r>
    </w:p>
    <w:p w14:paraId="3A0DDADB" w14:textId="0DB242FE" w:rsidR="00EC6548" w:rsidRPr="00DA7368" w:rsidRDefault="00EC6548" w:rsidP="00F63428">
      <w:pPr>
        <w:pStyle w:val="AATitle"/>
      </w:pPr>
      <w:r w:rsidRPr="00DA7368">
        <w:t>Sixth session</w:t>
      </w:r>
    </w:p>
    <w:p w14:paraId="4091CBDD" w14:textId="77777777" w:rsidR="00EC6548" w:rsidRPr="00F63428" w:rsidRDefault="00EC6548" w:rsidP="00F63428">
      <w:pPr>
        <w:pStyle w:val="AATitle"/>
        <w:rPr>
          <w:b w:val="0"/>
        </w:rPr>
      </w:pPr>
      <w:r w:rsidRPr="00DA7368">
        <w:rPr>
          <w:b w:val="0"/>
        </w:rPr>
        <w:t xml:space="preserve">Medellin, </w:t>
      </w:r>
      <w:r w:rsidR="00E5481D" w:rsidRPr="00DA7368">
        <w:rPr>
          <w:b w:val="0"/>
        </w:rPr>
        <w:t>Colombia, 18</w:t>
      </w:r>
      <w:r w:rsidRPr="00DA7368">
        <w:rPr>
          <w:b w:val="0"/>
        </w:rPr>
        <w:t>–24 March 2018</w:t>
      </w:r>
    </w:p>
    <w:p w14:paraId="3446C1FD" w14:textId="77777777" w:rsidR="00F9521B" w:rsidRPr="00DA7368" w:rsidRDefault="00AD6913" w:rsidP="00F63428">
      <w:pPr>
        <w:pStyle w:val="AATitle"/>
        <w:rPr>
          <w:b w:val="0"/>
        </w:rPr>
      </w:pPr>
      <w:r w:rsidRPr="00DA7368">
        <w:rPr>
          <w:b w:val="0"/>
        </w:rPr>
        <w:t xml:space="preserve">Item 10 </w:t>
      </w:r>
      <w:r w:rsidR="001B40EE" w:rsidRPr="00DA7368">
        <w:rPr>
          <w:b w:val="0"/>
        </w:rPr>
        <w:t>of the provisional agenda</w:t>
      </w:r>
      <w:r w:rsidR="001B40EE" w:rsidRPr="00F63428">
        <w:footnoteReference w:customMarkFollows="1" w:id="2"/>
        <w:t>*</w:t>
      </w:r>
    </w:p>
    <w:p w14:paraId="198CE58C" w14:textId="77777777" w:rsidR="00C956B3" w:rsidRPr="00DA7368" w:rsidRDefault="005C6047" w:rsidP="00E6052D">
      <w:pPr>
        <w:pStyle w:val="AATitle2"/>
        <w:spacing w:before="60"/>
        <w:ind w:right="4536"/>
      </w:pPr>
      <w:r w:rsidRPr="00DA7368">
        <w:t>Review of the Platform</w:t>
      </w:r>
    </w:p>
    <w:p w14:paraId="4D4EEF25" w14:textId="77777777" w:rsidR="00062885" w:rsidRPr="00F63428" w:rsidRDefault="005C6047" w:rsidP="00F63428">
      <w:pPr>
        <w:pStyle w:val="BBTitle"/>
      </w:pPr>
      <w:r w:rsidRPr="00F63428">
        <w:t>Review of the effectiveness of the administrative and scientific functions of the Platform (deliverable 4 (e))</w:t>
      </w:r>
    </w:p>
    <w:p w14:paraId="68393CA0" w14:textId="77777777" w:rsidR="00C956B3" w:rsidRPr="00F63428" w:rsidRDefault="00F9521B" w:rsidP="00F63428">
      <w:pPr>
        <w:pStyle w:val="CH2"/>
      </w:pPr>
      <w:r w:rsidRPr="00F63428">
        <w:t>Note by the s</w:t>
      </w:r>
      <w:r w:rsidR="00062885" w:rsidRPr="00F63428">
        <w:t>ecretariat</w:t>
      </w:r>
    </w:p>
    <w:p w14:paraId="76D7AC53" w14:textId="3B8F9B18" w:rsidR="000E53DF" w:rsidRPr="00DA7368" w:rsidRDefault="00AD6913" w:rsidP="00F63428">
      <w:pPr>
        <w:pStyle w:val="CH1"/>
      </w:pPr>
      <w:r w:rsidRPr="00DA7368">
        <w:tab/>
      </w:r>
      <w:r w:rsidR="00F63428">
        <w:tab/>
      </w:r>
      <w:r w:rsidRPr="00DA7368">
        <w:t>Introduction</w:t>
      </w:r>
    </w:p>
    <w:p w14:paraId="4AFAE310" w14:textId="7E7AD94E" w:rsidR="002A0E0D" w:rsidRPr="00F63428" w:rsidRDefault="006B2B6C" w:rsidP="00F63428">
      <w:pPr>
        <w:pStyle w:val="Normalnumber"/>
      </w:pPr>
      <w:r w:rsidRPr="00F63428">
        <w:t xml:space="preserve">As part of the first work programme of </w:t>
      </w:r>
      <w:r w:rsidR="006B23FC" w:rsidRPr="00F63428">
        <w:t xml:space="preserve">the </w:t>
      </w:r>
      <w:r w:rsidR="006B23FC" w:rsidRPr="00572430">
        <w:t>Intergovernmental Science-Policy Platform on Biodiversity and Ecosystem Services (IPBES</w:t>
      </w:r>
      <w:r w:rsidR="006B23FC" w:rsidRPr="00F63428">
        <w:t>)</w:t>
      </w:r>
      <w:r w:rsidR="006968D2" w:rsidRPr="00F63428">
        <w:t>,</w:t>
      </w:r>
      <w:r w:rsidRPr="00F63428">
        <w:t xml:space="preserve"> the Plenary, in decision IPBES-2/5, mandated a review of the effectiveness of the administrative and scientific functions of IPBES (deliverable 4 (e)), and requested the Mult</w:t>
      </w:r>
      <w:r w:rsidR="006B23FC" w:rsidRPr="00F63428">
        <w:t>idisciplinary Expert Panel</w:t>
      </w:r>
      <w:r w:rsidRPr="00F63428">
        <w:t>, in consultation with the Bureau, to develop a procedu</w:t>
      </w:r>
      <w:r w:rsidR="006968D2" w:rsidRPr="00F63428">
        <w:t>re for that</w:t>
      </w:r>
      <w:r w:rsidRPr="00F63428">
        <w:t xml:space="preserve"> review. </w:t>
      </w:r>
      <w:r w:rsidR="006968D2" w:rsidRPr="00F63428">
        <w:t>A</w:t>
      </w:r>
      <w:r w:rsidR="00992D72" w:rsidRPr="00F63428">
        <w:t xml:space="preserve">t its fourth session, </w:t>
      </w:r>
      <w:r w:rsidR="006968D2" w:rsidRPr="00F63428">
        <w:t xml:space="preserve">the Plenary </w:t>
      </w:r>
      <w:r w:rsidR="00992D72" w:rsidRPr="00F63428">
        <w:t xml:space="preserve">considered a </w:t>
      </w:r>
      <w:r w:rsidR="002231FA" w:rsidRPr="00F63428">
        <w:t xml:space="preserve">draft </w:t>
      </w:r>
      <w:r w:rsidR="005A0602" w:rsidRPr="00F63428">
        <w:t xml:space="preserve">procedure for the review and requested </w:t>
      </w:r>
      <w:r w:rsidR="002231FA" w:rsidRPr="00F63428">
        <w:t xml:space="preserve">the </w:t>
      </w:r>
      <w:r w:rsidR="005A0602" w:rsidRPr="00F63428">
        <w:t xml:space="preserve">further </w:t>
      </w:r>
      <w:r w:rsidR="002231FA" w:rsidRPr="00F63428">
        <w:t>refine</w:t>
      </w:r>
      <w:r w:rsidR="005A0602" w:rsidRPr="00F63428">
        <w:t>ment of</w:t>
      </w:r>
      <w:r w:rsidR="002231FA" w:rsidRPr="00F63428">
        <w:t xml:space="preserve"> the scope and terms of reference</w:t>
      </w:r>
      <w:r w:rsidR="005A0602" w:rsidRPr="00F63428">
        <w:t xml:space="preserve"> (decision IPBES-4/1, section VII).</w:t>
      </w:r>
      <w:r w:rsidR="002A0E0D" w:rsidRPr="00F63428">
        <w:t xml:space="preserve"> </w:t>
      </w:r>
    </w:p>
    <w:p w14:paraId="15E5C0D8" w14:textId="01705883" w:rsidR="006B2B6C" w:rsidRPr="00DA7368" w:rsidRDefault="002A0E0D" w:rsidP="006B2B6C">
      <w:pPr>
        <w:pStyle w:val="Normalnumber"/>
      </w:pPr>
      <w:r w:rsidRPr="00DA7368">
        <w:t xml:space="preserve">At its fifth session, </w:t>
      </w:r>
      <w:r w:rsidR="006B2B6C" w:rsidRPr="00DA7368">
        <w:t xml:space="preserve">the Plenary adopted decision IPBES-5/2, </w:t>
      </w:r>
      <w:r w:rsidRPr="00DA7368">
        <w:t xml:space="preserve">in which it </w:t>
      </w:r>
      <w:r w:rsidR="006B2B6C" w:rsidRPr="00DA7368">
        <w:t>approved the terms of reference for the review (</w:t>
      </w:r>
      <w:r w:rsidR="006968D2" w:rsidRPr="00DA7368">
        <w:t xml:space="preserve">set out </w:t>
      </w:r>
      <w:r w:rsidRPr="00DA7368">
        <w:t xml:space="preserve">in </w:t>
      </w:r>
      <w:r w:rsidR="003029A1" w:rsidRPr="00DA7368">
        <w:t xml:space="preserve">the </w:t>
      </w:r>
      <w:r w:rsidR="006968D2" w:rsidRPr="00DA7368">
        <w:t>annex to the</w:t>
      </w:r>
      <w:r w:rsidRPr="00DA7368">
        <w:t xml:space="preserve"> decision). </w:t>
      </w:r>
      <w:r w:rsidR="006B2B6C" w:rsidRPr="00DA7368">
        <w:t xml:space="preserve"> </w:t>
      </w:r>
    </w:p>
    <w:p w14:paraId="2A23E4C1" w14:textId="6191361E" w:rsidR="00D1203C" w:rsidRPr="00DA7368" w:rsidRDefault="00DE3AA8" w:rsidP="00D1203C">
      <w:pPr>
        <w:pStyle w:val="Normalnumber"/>
      </w:pPr>
      <w:r w:rsidRPr="00DA7368">
        <w:t>In the same</w:t>
      </w:r>
      <w:r w:rsidR="002A0E0D" w:rsidRPr="00DA7368">
        <w:t xml:space="preserve"> decision, t</w:t>
      </w:r>
      <w:r w:rsidR="006B2B6C" w:rsidRPr="00DA7368">
        <w:t xml:space="preserve">he Plenary requested the </w:t>
      </w:r>
      <w:r w:rsidR="002A0E0D" w:rsidRPr="00DA7368">
        <w:t>Bureau, in consultation with the Multidisciplinary Expert Panel</w:t>
      </w:r>
      <w:r w:rsidR="006B2B6C" w:rsidRPr="00DA7368">
        <w:t xml:space="preserve">, taking into account comments received at </w:t>
      </w:r>
      <w:r w:rsidR="002A0E0D" w:rsidRPr="00DA7368">
        <w:t>the fifth session of the Plenary</w:t>
      </w:r>
      <w:r w:rsidR="006B2B6C" w:rsidRPr="00DA7368">
        <w:t>, to revise the questionnaire set out in the appendix to the ter</w:t>
      </w:r>
      <w:r w:rsidR="002A0E0D" w:rsidRPr="00DA7368">
        <w:t>ms of reference; requested the s</w:t>
      </w:r>
      <w:r w:rsidR="006B2B6C" w:rsidRPr="00DA7368">
        <w:t xml:space="preserve">ecretariat to make the revised questionnaire available to members and stakeholders of IPBES for review for a period of two weeks after </w:t>
      </w:r>
      <w:r w:rsidR="002732DC" w:rsidRPr="00DA7368">
        <w:t>the fifth session of the Plenary</w:t>
      </w:r>
      <w:r w:rsidR="006B2B6C" w:rsidRPr="00DA7368">
        <w:t>; and requested the Bure</w:t>
      </w:r>
      <w:r w:rsidR="002732DC" w:rsidRPr="00DA7368">
        <w:t>au, in consultation with the Multidisciplinary Expert Panel</w:t>
      </w:r>
      <w:r w:rsidR="006B2B6C" w:rsidRPr="00DA7368">
        <w:t>, to</w:t>
      </w:r>
      <w:r w:rsidR="00D1203C" w:rsidRPr="00DA7368">
        <w:t xml:space="preserve"> </w:t>
      </w:r>
      <w:r w:rsidR="006B2B6C" w:rsidRPr="00DA7368">
        <w:t>finalize the questionnaire, taking into account the comments rec</w:t>
      </w:r>
      <w:r w:rsidR="002732DC" w:rsidRPr="00DA7368">
        <w:t xml:space="preserve">eived during the </w:t>
      </w:r>
      <w:r w:rsidR="003029A1" w:rsidRPr="00DA7368">
        <w:t>two</w:t>
      </w:r>
      <w:r w:rsidR="002732DC" w:rsidRPr="00DA7368">
        <w:t xml:space="preserve">-week period. </w:t>
      </w:r>
    </w:p>
    <w:p w14:paraId="3E0B8220" w14:textId="77777777" w:rsidR="00D1203C" w:rsidRPr="00DA7368" w:rsidRDefault="00D1203C" w:rsidP="00D1203C">
      <w:pPr>
        <w:pStyle w:val="Normalnumber"/>
      </w:pPr>
      <w:r w:rsidRPr="00DA7368">
        <w:t xml:space="preserve">The Plenary also approved the execution of an internal review by the Multidisciplinary Expert Panel and the Bureau and transmission of its conclusions to the external reviewers. It requested the internal review team to provide the report called for in paragraph 11 of the terms of reference to the Plenary at its sixth session. </w:t>
      </w:r>
    </w:p>
    <w:p w14:paraId="5A8BE070" w14:textId="1AE54138" w:rsidR="006B2B6C" w:rsidRPr="00DA7368" w:rsidRDefault="00DE3AA8" w:rsidP="006B2B6C">
      <w:pPr>
        <w:pStyle w:val="Normalnumber"/>
      </w:pPr>
      <w:r w:rsidRPr="00DA7368">
        <w:t>T</w:t>
      </w:r>
      <w:r w:rsidR="006B2B6C" w:rsidRPr="00DA7368">
        <w:t>he Plenary</w:t>
      </w:r>
      <w:r w:rsidR="00EE17B3" w:rsidRPr="00DA7368">
        <w:t xml:space="preserve"> also</w:t>
      </w:r>
      <w:r w:rsidR="006B2B6C" w:rsidRPr="00DA7368">
        <w:t xml:space="preserve"> requested the Executive Secretary to call for the nomination of candidates for the review panel, with a view to ensuring regional representation, and to conduct a competitive bidding process for an external professional organization to coordinate the review</w:t>
      </w:r>
      <w:r w:rsidR="006968D2" w:rsidRPr="00DA7368">
        <w:t>,</w:t>
      </w:r>
      <w:r w:rsidR="006B2B6C" w:rsidRPr="00DA7368">
        <w:t xml:space="preserve"> with a view to initiation of the work of the organization by the beginning of 2018, subject to the avai</w:t>
      </w:r>
      <w:r w:rsidR="00EE17B3" w:rsidRPr="00DA7368">
        <w:t xml:space="preserve">lability of financial resources. </w:t>
      </w:r>
      <w:r w:rsidR="006B2B6C" w:rsidRPr="00DA7368">
        <w:t xml:space="preserve">The Plenary requested the review panel, in accordance with the terms of reference, to provide a final report on </w:t>
      </w:r>
      <w:r w:rsidR="006B2B6C" w:rsidRPr="00DA7368">
        <w:lastRenderedPageBreak/>
        <w:t>the review, including recommendations on the implementation of the second work</w:t>
      </w:r>
      <w:r w:rsidR="00EE17B3" w:rsidRPr="00DA7368">
        <w:t xml:space="preserve"> programme of IPBES, to the Plenary at its seventh session. </w:t>
      </w:r>
    </w:p>
    <w:p w14:paraId="432E0839" w14:textId="3DA634B3" w:rsidR="00C956B3" w:rsidRPr="00DA7368" w:rsidRDefault="00F63428" w:rsidP="00F63428">
      <w:pPr>
        <w:pStyle w:val="CH1"/>
      </w:pPr>
      <w:r>
        <w:tab/>
        <w:t>I.</w:t>
      </w:r>
      <w:r>
        <w:tab/>
      </w:r>
      <w:r w:rsidR="00AD6913" w:rsidRPr="00DA7368">
        <w:t>Report of the internal review team</w:t>
      </w:r>
    </w:p>
    <w:p w14:paraId="57FE3CE3" w14:textId="2842F83A" w:rsidR="00C956B3" w:rsidRPr="00F63428" w:rsidRDefault="00F63428" w:rsidP="00F63428">
      <w:pPr>
        <w:pStyle w:val="CH2"/>
        <w:tabs>
          <w:tab w:val="clear" w:pos="624"/>
          <w:tab w:val="left" w:pos="4082"/>
        </w:tabs>
        <w:spacing w:before="80"/>
        <w:ind w:left="1247" w:hanging="1247"/>
        <w:rPr>
          <w:rFonts w:eastAsia="Times New Roman"/>
          <w:lang w:eastAsia="en-US"/>
        </w:rPr>
      </w:pPr>
      <w:r w:rsidRPr="00F63428">
        <w:rPr>
          <w:rFonts w:eastAsia="Times New Roman"/>
          <w:lang w:eastAsia="en-US"/>
        </w:rPr>
        <w:tab/>
        <w:t>A.</w:t>
      </w:r>
      <w:r w:rsidRPr="00F63428">
        <w:rPr>
          <w:rFonts w:eastAsia="Times New Roman"/>
          <w:lang w:eastAsia="en-US"/>
        </w:rPr>
        <w:tab/>
      </w:r>
      <w:r w:rsidR="0053431C" w:rsidRPr="00F63428">
        <w:rPr>
          <w:rFonts w:eastAsia="Times New Roman"/>
          <w:lang w:eastAsia="en-US"/>
        </w:rPr>
        <w:t>Finalization of the questionnaire</w:t>
      </w:r>
    </w:p>
    <w:p w14:paraId="4F72A38F" w14:textId="1A11E322" w:rsidR="004E1BBB" w:rsidRPr="00DA7368" w:rsidRDefault="006968D2" w:rsidP="00572430">
      <w:pPr>
        <w:pStyle w:val="Normalnumber"/>
        <w:rPr>
          <w:rFonts w:cstheme="minorHAnsi"/>
        </w:rPr>
      </w:pPr>
      <w:r w:rsidRPr="00DA7368">
        <w:rPr>
          <w:rFonts w:cstheme="minorHAnsi"/>
        </w:rPr>
        <w:t>At their eighth meeting, t</w:t>
      </w:r>
      <w:r w:rsidR="004E1BBB" w:rsidRPr="00DA7368">
        <w:rPr>
          <w:rFonts w:cstheme="minorHAnsi"/>
        </w:rPr>
        <w:t xml:space="preserve">he Bureau and the Multidisciplinary Expert Panel agreed on the composition of an internal review team. The team comprises the IPBES Chair, a member of the Bureau (Alfred Oteng-Yeboah), a co-chair and two members of the Multidisciplinary Expert Panel (Marie Stenseke, Carlos Joly and Vinod Mathur) and the Executive Secretary. </w:t>
      </w:r>
    </w:p>
    <w:p w14:paraId="7BF98FA5" w14:textId="441CBE63" w:rsidR="004E1BBB" w:rsidRPr="00EC42AC" w:rsidRDefault="004E1BBB" w:rsidP="00572430">
      <w:pPr>
        <w:pStyle w:val="Normalnumber"/>
        <w:rPr>
          <w:rFonts w:cstheme="minorHAnsi"/>
        </w:rPr>
      </w:pPr>
      <w:r w:rsidRPr="00DA7368">
        <w:rPr>
          <w:rFonts w:cs="Arial"/>
        </w:rPr>
        <w:t xml:space="preserve">In response to decision IPBES-5/2, the internal review team, on behalf of the Bureau and the </w:t>
      </w:r>
      <w:r w:rsidRPr="00DA7368">
        <w:rPr>
          <w:rFonts w:cstheme="minorHAnsi"/>
        </w:rPr>
        <w:t xml:space="preserve">Multidisciplinary Expert Panel, revised the questionnaire </w:t>
      </w:r>
      <w:r w:rsidR="006968D2" w:rsidRPr="00DA7368">
        <w:rPr>
          <w:rFonts w:cstheme="minorHAnsi"/>
        </w:rPr>
        <w:t>set out</w:t>
      </w:r>
      <w:r w:rsidRPr="00DA7368">
        <w:rPr>
          <w:rFonts w:cstheme="minorHAnsi"/>
        </w:rPr>
        <w:t xml:space="preserve"> in </w:t>
      </w:r>
      <w:r w:rsidR="00B609AE" w:rsidRPr="00DA7368">
        <w:rPr>
          <w:rFonts w:cstheme="minorHAnsi"/>
        </w:rPr>
        <w:t xml:space="preserve">the </w:t>
      </w:r>
      <w:r w:rsidRPr="00DA7368">
        <w:rPr>
          <w:rFonts w:cstheme="minorHAnsi"/>
        </w:rPr>
        <w:t>appendix to the annex to decision IPBES</w:t>
      </w:r>
      <w:r w:rsidRPr="00572430">
        <w:t xml:space="preserve">-5/2, </w:t>
      </w:r>
      <w:r w:rsidRPr="00DA7368">
        <w:rPr>
          <w:rFonts w:cstheme="minorHAnsi"/>
        </w:rPr>
        <w:t>and made it available for comments to IPBES members and stakeholders for a p</w:t>
      </w:r>
      <w:r w:rsidR="006968D2" w:rsidRPr="00DA7368">
        <w:rPr>
          <w:rFonts w:cstheme="minorHAnsi"/>
        </w:rPr>
        <w:t>eriod of two weeks (28 April–</w:t>
      </w:r>
      <w:r w:rsidRPr="00DA7368">
        <w:rPr>
          <w:rFonts w:cstheme="minorHAnsi"/>
        </w:rPr>
        <w:t>12 May 2017). 16 sets of comments were received, including from 4 governments (Australia, Malaysia, Nepal, United States of America), the European Union and 11 individuals. The internal review committee finalized the questionnaire, taking these comments into account. The final version of the questionnai</w:t>
      </w:r>
      <w:r w:rsidR="00853640" w:rsidRPr="00DA7368">
        <w:rPr>
          <w:rFonts w:cstheme="minorHAnsi"/>
        </w:rPr>
        <w:t xml:space="preserve">re is contained </w:t>
      </w:r>
      <w:r w:rsidR="00853640" w:rsidRPr="003B57B7">
        <w:rPr>
          <w:rFonts w:cstheme="minorHAnsi"/>
        </w:rPr>
        <w:t xml:space="preserve">in appendix </w:t>
      </w:r>
      <w:r w:rsidR="000A4790" w:rsidRPr="003B57B7">
        <w:rPr>
          <w:rFonts w:cstheme="minorHAnsi"/>
        </w:rPr>
        <w:t>V</w:t>
      </w:r>
      <w:r w:rsidR="00853640" w:rsidRPr="003B57B7">
        <w:rPr>
          <w:rFonts w:cstheme="minorHAnsi"/>
        </w:rPr>
        <w:t xml:space="preserve"> </w:t>
      </w:r>
      <w:r w:rsidR="00853640" w:rsidRPr="00EC42AC">
        <w:rPr>
          <w:rFonts w:cstheme="minorHAnsi"/>
        </w:rPr>
        <w:t xml:space="preserve">to the annex </w:t>
      </w:r>
      <w:r w:rsidR="006968D2" w:rsidRPr="00EC42AC">
        <w:rPr>
          <w:rFonts w:cstheme="minorHAnsi"/>
        </w:rPr>
        <w:t xml:space="preserve">to </w:t>
      </w:r>
      <w:r w:rsidRPr="00EC42AC">
        <w:rPr>
          <w:rFonts w:cstheme="minorHAnsi"/>
        </w:rPr>
        <w:t>document IPBES/6/INF/32.</w:t>
      </w:r>
    </w:p>
    <w:p w14:paraId="30089FF5" w14:textId="3B748E96" w:rsidR="00ED75BF" w:rsidRPr="00EC42AC" w:rsidRDefault="00ED75BF" w:rsidP="00572430">
      <w:pPr>
        <w:pStyle w:val="Normalnumber"/>
        <w:rPr>
          <w:rFonts w:cstheme="minorHAnsi"/>
        </w:rPr>
      </w:pPr>
      <w:r w:rsidRPr="00EC42AC">
        <w:rPr>
          <w:rFonts w:cstheme="minorHAnsi"/>
        </w:rPr>
        <w:t>According to paragraph 11 of the terms of reference, the internal element of the review consists of a self-assessment based on the responses to the questionnaire by former and current members of the Multidisciplinary Expert Panel and Bureau; the secretariat, including the technical support units</w:t>
      </w:r>
      <w:r w:rsidR="00B609AE" w:rsidRPr="00EC42AC">
        <w:rPr>
          <w:rFonts w:cstheme="minorHAnsi"/>
        </w:rPr>
        <w:t xml:space="preserve">; </w:t>
      </w:r>
      <w:r w:rsidRPr="00EC42AC">
        <w:rPr>
          <w:rFonts w:cstheme="minorHAnsi"/>
        </w:rPr>
        <w:t>members of IPBES task forces; co-chairs and coordinating lead authors of completed and ongoing IPBES assessments; and national focal points. The questionnaire was made available on 22 May 2017, with a deadline of 7 August 2017 for response. The questionnaire was completed by a total of 85 people, including 9 members of the Bureau, 23 members of the M</w:t>
      </w:r>
      <w:r w:rsidR="006968D2" w:rsidRPr="00EC42AC">
        <w:rPr>
          <w:rFonts w:cstheme="minorHAnsi"/>
        </w:rPr>
        <w:t>ultidisciplinary Expert Panel</w:t>
      </w:r>
      <w:r w:rsidRPr="00EC42AC">
        <w:rPr>
          <w:rFonts w:cstheme="minorHAnsi"/>
        </w:rPr>
        <w:t xml:space="preserve">, 21 national focal points, 17 IPBES experts (co-chairs of task forces and assessments; coordinating lead authors of assessments, and a small number of task force members and assessment lead authors </w:t>
      </w:r>
      <w:r w:rsidRPr="00EC42AC">
        <w:t xml:space="preserve">that </w:t>
      </w:r>
      <w:r w:rsidR="00FC6422" w:rsidRPr="00EC42AC">
        <w:rPr>
          <w:rFonts w:cstheme="minorHAnsi"/>
        </w:rPr>
        <w:t xml:space="preserve">were </w:t>
      </w:r>
      <w:r w:rsidR="00FF5F23" w:rsidRPr="00EC42AC">
        <w:rPr>
          <w:rFonts w:cstheme="minorHAnsi"/>
        </w:rPr>
        <w:t>invited to participate</w:t>
      </w:r>
      <w:r w:rsidR="00FC6422" w:rsidRPr="00EC42AC">
        <w:rPr>
          <w:rFonts w:cstheme="minorHAnsi"/>
        </w:rPr>
        <w:t xml:space="preserve"> </w:t>
      </w:r>
      <w:r w:rsidRPr="00EC42AC">
        <w:rPr>
          <w:rFonts w:cstheme="minorHAnsi"/>
        </w:rPr>
        <w:t>in a different capacity</w:t>
      </w:r>
      <w:r w:rsidR="001E28D0" w:rsidRPr="00EC42AC">
        <w:rPr>
          <w:rFonts w:cstheme="minorHAnsi"/>
        </w:rPr>
        <w:t xml:space="preserve"> </w:t>
      </w:r>
      <w:r w:rsidRPr="00EC42AC">
        <w:rPr>
          <w:rFonts w:cstheme="minorHAnsi"/>
        </w:rPr>
        <w:t xml:space="preserve">and 17 members of the secretariat (including members of technical support units). Some respondents provided their submissions in more than one capacity. </w:t>
      </w:r>
    </w:p>
    <w:p w14:paraId="55ED4CF3" w14:textId="2A7A0927" w:rsidR="00AD6913" w:rsidRPr="00EC42AC" w:rsidRDefault="00F63428" w:rsidP="00F63428">
      <w:pPr>
        <w:pStyle w:val="CH2"/>
        <w:tabs>
          <w:tab w:val="clear" w:pos="624"/>
          <w:tab w:val="left" w:pos="4082"/>
        </w:tabs>
        <w:spacing w:before="80"/>
        <w:ind w:left="1247" w:hanging="1247"/>
        <w:rPr>
          <w:rFonts w:eastAsia="Times New Roman"/>
          <w:lang w:eastAsia="en-US"/>
        </w:rPr>
      </w:pPr>
      <w:r w:rsidRPr="00EC42AC">
        <w:rPr>
          <w:rFonts w:eastAsia="Times New Roman"/>
          <w:lang w:eastAsia="en-US"/>
        </w:rPr>
        <w:tab/>
        <w:t>B.</w:t>
      </w:r>
      <w:r w:rsidRPr="00EC42AC">
        <w:rPr>
          <w:rFonts w:eastAsia="Times New Roman"/>
          <w:lang w:eastAsia="en-US"/>
        </w:rPr>
        <w:tab/>
      </w:r>
      <w:r w:rsidR="0053431C" w:rsidRPr="00EC42AC">
        <w:rPr>
          <w:rFonts w:eastAsia="Times New Roman"/>
          <w:lang w:eastAsia="en-US"/>
        </w:rPr>
        <w:t>Preparation of the internal review report</w:t>
      </w:r>
    </w:p>
    <w:p w14:paraId="0BADE30B" w14:textId="35916FF3" w:rsidR="004E1BBB" w:rsidRPr="00EC42AC" w:rsidRDefault="004E1BBB" w:rsidP="00F63428">
      <w:pPr>
        <w:pStyle w:val="Normalnumber"/>
      </w:pPr>
      <w:r w:rsidRPr="00EC42AC">
        <w:t xml:space="preserve">In response to the request by the Plenary, the internal review team prepared the report called for in paragraph 11 of the terms of reference of the review </w:t>
      </w:r>
      <w:r w:rsidR="00DF284D" w:rsidRPr="00EC42AC">
        <w:t xml:space="preserve">(annex to decision IPBES-5/2) comprising a </w:t>
      </w:r>
      <w:r w:rsidR="00572430" w:rsidRPr="00EC42AC">
        <w:br/>
      </w:r>
      <w:r w:rsidR="00DF284D" w:rsidRPr="00EC42AC">
        <w:rPr>
          <w:rFonts w:cstheme="minorHAnsi"/>
        </w:rPr>
        <w:t>self-assessment based on the responses to the questionnaire</w:t>
      </w:r>
      <w:r w:rsidR="00DF284D" w:rsidRPr="00EC42AC">
        <w:t>.</w:t>
      </w:r>
      <w:r w:rsidR="00C50649" w:rsidRPr="00EC42AC">
        <w:t xml:space="preserve"> </w:t>
      </w:r>
      <w:r w:rsidRPr="00EC42AC">
        <w:rPr>
          <w:rFonts w:cstheme="minorHAnsi"/>
        </w:rPr>
        <w:t xml:space="preserve">The report was endorsed by the Multidisciplinary Expert Panel and the Bureau. </w:t>
      </w:r>
    </w:p>
    <w:p w14:paraId="28EBCB87" w14:textId="087D630A" w:rsidR="00DD2A04" w:rsidRPr="00EC42AC" w:rsidRDefault="004E1BBB" w:rsidP="006968D2">
      <w:pPr>
        <w:pStyle w:val="Normalnumber"/>
      </w:pPr>
      <w:r w:rsidRPr="00EC42AC">
        <w:t xml:space="preserve">The report </w:t>
      </w:r>
      <w:r w:rsidR="006968D2" w:rsidRPr="00EC42AC">
        <w:t>includes</w:t>
      </w:r>
      <w:r w:rsidRPr="00EC42AC">
        <w:t xml:space="preserve"> an </w:t>
      </w:r>
      <w:r w:rsidR="00DD2A04" w:rsidRPr="00EC42AC">
        <w:t>executive summary, which presents the key outcomes of the internal review as prepared by the internal review committee and endorsed by the Bureau and the Multidisciplinary Expert Panel. Statements in bold</w:t>
      </w:r>
      <w:r w:rsidR="00C50649" w:rsidRPr="00EC42AC">
        <w:t xml:space="preserve"> font</w:t>
      </w:r>
      <w:r w:rsidR="00DD2A04" w:rsidRPr="00EC42AC">
        <w:t xml:space="preserve"> result directly from the quantitative analysis of the questionnaire, while text</w:t>
      </w:r>
      <w:r w:rsidR="00C50649" w:rsidRPr="00EC42AC">
        <w:t xml:space="preserve"> in normal font</w:t>
      </w:r>
      <w:r w:rsidR="00DD2A04" w:rsidRPr="00EC42AC">
        <w:t xml:space="preserve"> originates from additional comments received </w:t>
      </w:r>
      <w:r w:rsidR="006968D2" w:rsidRPr="00EC42AC">
        <w:t xml:space="preserve">via </w:t>
      </w:r>
      <w:r w:rsidR="00DD2A04" w:rsidRPr="00EC42AC">
        <w:t xml:space="preserve">the questionnaire and includes aspects that the internal review committee chose to highlight based on the experience of its members. The executive summary is reproduced in </w:t>
      </w:r>
      <w:r w:rsidR="00C50649" w:rsidRPr="00EC42AC">
        <w:t>the annex to th</w:t>
      </w:r>
      <w:r w:rsidR="006968D2" w:rsidRPr="00EC42AC">
        <w:t>e present note</w:t>
      </w:r>
      <w:r w:rsidR="00DD2A04" w:rsidRPr="00EC42AC">
        <w:t xml:space="preserve">. </w:t>
      </w:r>
    </w:p>
    <w:p w14:paraId="78EBCC29" w14:textId="21DE4B33" w:rsidR="000A4790" w:rsidRPr="00DA7368" w:rsidRDefault="00DD2A04" w:rsidP="006968D2">
      <w:pPr>
        <w:pStyle w:val="Normalnumber"/>
      </w:pPr>
      <w:r w:rsidRPr="00EC42AC">
        <w:t xml:space="preserve">The report also </w:t>
      </w:r>
      <w:r w:rsidR="004E1BBB" w:rsidRPr="00EC42AC">
        <w:t>contains a detailed</w:t>
      </w:r>
      <w:r w:rsidR="006968D2" w:rsidRPr="00EC42AC">
        <w:t>,</w:t>
      </w:r>
      <w:r w:rsidR="004E1BBB" w:rsidRPr="00EC42AC">
        <w:t xml:space="preserve"> </w:t>
      </w:r>
      <w:r w:rsidR="006968D2" w:rsidRPr="00EC42AC">
        <w:t xml:space="preserve">section-by-section </w:t>
      </w:r>
      <w:r w:rsidR="004E1BBB" w:rsidRPr="00EC42AC">
        <w:t>analysis of the questionnaire</w:t>
      </w:r>
      <w:r w:rsidR="000A4790" w:rsidRPr="00EC42AC">
        <w:t>, including considerations for the future highlighted by the Multidisciplinary Expert Panel and Bureau</w:t>
      </w:r>
      <w:r w:rsidR="004E1BBB" w:rsidRPr="00EC42AC">
        <w:t xml:space="preserve">. </w:t>
      </w:r>
      <w:r w:rsidR="0053431C" w:rsidRPr="00EC42AC">
        <w:t>The full report is available in document IPBES/6/INF/32.</w:t>
      </w:r>
      <w:r w:rsidR="000A4790" w:rsidRPr="00EC42AC">
        <w:t xml:space="preserve"> A</w:t>
      </w:r>
      <w:r w:rsidRPr="00EC42AC">
        <w:t>ppendix I to the report</w:t>
      </w:r>
      <w:r w:rsidR="000A4790" w:rsidRPr="00EC42AC">
        <w:t xml:space="preserve"> contains information on the mandate, process and methods regarding the internal review. Appendix II provides for each of the 99</w:t>
      </w:r>
      <w:r w:rsidR="00572430" w:rsidRPr="00EC42AC">
        <w:t> </w:t>
      </w:r>
      <w:r w:rsidR="000A4790" w:rsidRPr="00EC42AC">
        <w:t>questions of the questionnaire that allowed for a ranking</w:t>
      </w:r>
      <w:r w:rsidR="00B609AE" w:rsidRPr="00EC42AC">
        <w:t>,</w:t>
      </w:r>
      <w:r w:rsidR="000A4790" w:rsidRPr="00EC42AC">
        <w:t xml:space="preserve"> the pe</w:t>
      </w:r>
      <w:r w:rsidR="000A4790" w:rsidRPr="00746D9D">
        <w:t>rcentage of responses</w:t>
      </w:r>
      <w:r w:rsidR="00BB7D04" w:rsidRPr="00746D9D">
        <w:t xml:space="preserve"> received</w:t>
      </w:r>
      <w:r w:rsidR="00BB7D04" w:rsidRPr="00572430">
        <w:t xml:space="preserve"> for each of the ratings </w:t>
      </w:r>
      <w:r w:rsidR="00F50C3B">
        <w:br/>
      </w:r>
      <w:r w:rsidR="00BB7D04" w:rsidRPr="00572430">
        <w:t>1–5</w:t>
      </w:r>
      <w:r w:rsidR="000A4790" w:rsidRPr="00746D9D">
        <w:t xml:space="preserve">, a column chart illustrating the </w:t>
      </w:r>
      <w:r w:rsidR="00041E36" w:rsidRPr="00572430">
        <w:t>number</w:t>
      </w:r>
      <w:r w:rsidR="00041E36" w:rsidRPr="00746D9D">
        <w:t xml:space="preserve"> </w:t>
      </w:r>
      <w:r w:rsidR="000A4790" w:rsidRPr="00746D9D">
        <w:t xml:space="preserve">of responses </w:t>
      </w:r>
      <w:r w:rsidR="00041E36" w:rsidRPr="00572430">
        <w:t>received for each of the ratings 1</w:t>
      </w:r>
      <w:r w:rsidR="00746D9D" w:rsidRPr="00572430">
        <w:t>–</w:t>
      </w:r>
      <w:r w:rsidR="00041E36" w:rsidRPr="00572430">
        <w:t>5</w:t>
      </w:r>
      <w:r w:rsidR="000A4790" w:rsidRPr="00746D9D">
        <w:t xml:space="preserve">, and the mean with standard deviation. For the </w:t>
      </w:r>
      <w:r w:rsidR="006968D2" w:rsidRPr="00746D9D">
        <w:t>seven</w:t>
      </w:r>
      <w:r w:rsidR="000A4790" w:rsidRPr="00746D9D">
        <w:t xml:space="preserve"> questions for which the responses were limited to “yes” or “no”, appendix II provides </w:t>
      </w:r>
      <w:r w:rsidR="006968D2" w:rsidRPr="00746D9D">
        <w:t>the percentages of responses (“yes” or “</w:t>
      </w:r>
      <w:r w:rsidR="000A4790" w:rsidRPr="00746D9D">
        <w:t>no</w:t>
      </w:r>
      <w:r w:rsidR="006968D2" w:rsidRPr="00746D9D">
        <w:t>”</w:t>
      </w:r>
      <w:r w:rsidR="000A4790" w:rsidRPr="00746D9D">
        <w:t>) received, the number of responses received and a pie chart for each question illustrating the responses. Appendix</w:t>
      </w:r>
      <w:r w:rsidR="000A4790" w:rsidRPr="00DA7368">
        <w:t xml:space="preserve"> III lists the aspects of the work of IPBES that received the highest and lowest overall ratings in the questionnaire. Appendix IV provides a summary overview of qualitative comments received as part of the questionnaire. Appendix V provides the final questionnaire used as </w:t>
      </w:r>
      <w:r w:rsidR="006968D2" w:rsidRPr="00DA7368">
        <w:t xml:space="preserve">the </w:t>
      </w:r>
      <w:r w:rsidR="000A4790" w:rsidRPr="00DA7368">
        <w:t xml:space="preserve">basis for the internal review. </w:t>
      </w:r>
    </w:p>
    <w:p w14:paraId="09044419" w14:textId="5F0D8CAB" w:rsidR="00DD2A04" w:rsidRPr="00F63428" w:rsidRDefault="00F63428" w:rsidP="00F63428">
      <w:pPr>
        <w:pStyle w:val="CH1"/>
      </w:pPr>
      <w:r w:rsidRPr="00F63428">
        <w:lastRenderedPageBreak/>
        <w:tab/>
        <w:t>II.</w:t>
      </w:r>
      <w:r w:rsidRPr="00F63428">
        <w:tab/>
      </w:r>
      <w:r w:rsidR="00EE1A7F" w:rsidRPr="00F63428">
        <w:t>External element of the review</w:t>
      </w:r>
    </w:p>
    <w:p w14:paraId="03B528A9" w14:textId="77777777" w:rsidR="00E31C4A" w:rsidRPr="00DA7368" w:rsidRDefault="00E31C4A" w:rsidP="006968D2">
      <w:pPr>
        <w:pStyle w:val="Normalnumber"/>
      </w:pPr>
      <w:r w:rsidRPr="00DA7368">
        <w:t>In decision IPBES-5/2, the Plenary requested the Executive Secretary to call for the nomination of candidates for the review panel, with a view to ensuring regional representation, and to conduct a competitive bidding process for an external professional organization to coordinate the review with a view to initiation of the work of the organization by the beginning of 2018, subject to the availability of financial resources.</w:t>
      </w:r>
    </w:p>
    <w:p w14:paraId="57E58A00" w14:textId="5E7B005F" w:rsidR="00E31C4A" w:rsidRPr="00DA7368" w:rsidRDefault="00E31C4A" w:rsidP="006968D2">
      <w:pPr>
        <w:pStyle w:val="Normalnumber"/>
      </w:pPr>
      <w:r w:rsidRPr="00DA7368">
        <w:t xml:space="preserve">On 6 November, the </w:t>
      </w:r>
      <w:r w:rsidR="00D76614" w:rsidRPr="00DA7368">
        <w:t>Executive Secretary</w:t>
      </w:r>
      <w:r w:rsidRPr="00DA7368">
        <w:t xml:space="preserve"> issued notifications EM/2017/31 and EM/2017/32, calling, by 2 January 2018, for nominations for members of the IPBES review panel and for expressions of in</w:t>
      </w:r>
      <w:r w:rsidR="006968D2" w:rsidRPr="00DA7368">
        <w:t>terest from professional organiz</w:t>
      </w:r>
      <w:r w:rsidRPr="00DA7368">
        <w:t xml:space="preserve">ations to coordinate the external element of the IPBES review. </w:t>
      </w:r>
      <w:r w:rsidR="00E674AC" w:rsidRPr="00DA7368">
        <w:t xml:space="preserve">The call had been developed by the Bureau working with the Multidisciplinary Expert Panel based on the terms of reference for the review </w:t>
      </w:r>
      <w:r w:rsidR="006968D2" w:rsidRPr="00DA7368">
        <w:t>set out</w:t>
      </w:r>
      <w:r w:rsidR="00E674AC" w:rsidRPr="00DA7368">
        <w:t xml:space="preserve"> in the annex to decision IPBES-5/2. </w:t>
      </w:r>
    </w:p>
    <w:p w14:paraId="1BEBFB18" w14:textId="2FCA1AFF" w:rsidR="00AA0568" w:rsidRPr="00572430" w:rsidRDefault="00AA0568" w:rsidP="00F63428">
      <w:pPr>
        <w:pStyle w:val="Normalnumber"/>
        <w:rPr>
          <w:color w:val="000000"/>
        </w:rPr>
      </w:pPr>
      <w:r w:rsidRPr="00572430">
        <w:rPr>
          <w:color w:val="000000"/>
        </w:rPr>
        <w:t xml:space="preserve">The review panel will comprise no more than 10 reviewers with a balanced composition of government </w:t>
      </w:r>
      <w:r w:rsidRPr="00572430">
        <w:t>representatives</w:t>
      </w:r>
      <w:r w:rsidRPr="00572430">
        <w:rPr>
          <w:color w:val="000000"/>
        </w:rPr>
        <w:t xml:space="preserve">, scientists and representatives of non-governmental organizations. The members of the panel will be selected, </w:t>
      </w:r>
      <w:r w:rsidR="00E674AC" w:rsidRPr="00572430">
        <w:rPr>
          <w:color w:val="000000"/>
        </w:rPr>
        <w:t>in response to the</w:t>
      </w:r>
      <w:r w:rsidRPr="00572430">
        <w:rPr>
          <w:color w:val="000000"/>
        </w:rPr>
        <w:t xml:space="preserve"> </w:t>
      </w:r>
      <w:r w:rsidR="00E674AC" w:rsidRPr="00572430">
        <w:rPr>
          <w:color w:val="000000"/>
        </w:rPr>
        <w:t xml:space="preserve">call, </w:t>
      </w:r>
      <w:r w:rsidRPr="00572430">
        <w:rPr>
          <w:color w:val="000000"/>
        </w:rPr>
        <w:t>by the Bureau in consultation with the Multidisc</w:t>
      </w:r>
      <w:r w:rsidR="00E674AC" w:rsidRPr="00572430">
        <w:rPr>
          <w:color w:val="000000"/>
        </w:rPr>
        <w:t xml:space="preserve">iplinary Expert Panel, </w:t>
      </w:r>
      <w:r w:rsidR="00B20FAE" w:rsidRPr="00572430">
        <w:rPr>
          <w:color w:val="000000"/>
        </w:rPr>
        <w:t>guided by</w:t>
      </w:r>
      <w:r w:rsidR="00E674AC" w:rsidRPr="00572430">
        <w:rPr>
          <w:color w:val="000000"/>
        </w:rPr>
        <w:t xml:space="preserve"> the following criteria</w:t>
      </w:r>
      <w:r w:rsidR="006968D2" w:rsidRPr="00DA7368">
        <w:rPr>
          <w:color w:val="000000"/>
        </w:rPr>
        <w:t>,</w:t>
      </w:r>
      <w:r w:rsidR="00E674AC" w:rsidRPr="00572430">
        <w:rPr>
          <w:color w:val="000000"/>
        </w:rPr>
        <w:t xml:space="preserve"> as </w:t>
      </w:r>
      <w:r w:rsidR="006968D2" w:rsidRPr="00DA7368">
        <w:rPr>
          <w:color w:val="000000"/>
        </w:rPr>
        <w:t>set out</w:t>
      </w:r>
      <w:r w:rsidR="006968D2" w:rsidRPr="00572430">
        <w:rPr>
          <w:color w:val="000000"/>
        </w:rPr>
        <w:t xml:space="preserve"> </w:t>
      </w:r>
      <w:r w:rsidR="00B20FAE" w:rsidRPr="00572430">
        <w:rPr>
          <w:color w:val="000000"/>
        </w:rPr>
        <w:t xml:space="preserve">in paragraph 9 of the terms of reference: </w:t>
      </w:r>
    </w:p>
    <w:p w14:paraId="470C7A12" w14:textId="77777777" w:rsidR="00AA0568" w:rsidRPr="00572430" w:rsidRDefault="00AA0568" w:rsidP="00254264">
      <w:pPr>
        <w:pStyle w:val="Normalnumber"/>
        <w:numPr>
          <w:ilvl w:val="1"/>
          <w:numId w:val="4"/>
        </w:numPr>
        <w:rPr>
          <w:color w:val="000000"/>
        </w:rPr>
      </w:pPr>
      <w:r w:rsidRPr="00572430">
        <w:rPr>
          <w:color w:val="000000"/>
        </w:rPr>
        <w:t xml:space="preserve">Relevant qualifications of the organization and the reviewers to conduct institutional reviews at the global level; </w:t>
      </w:r>
    </w:p>
    <w:p w14:paraId="44B3E0C7" w14:textId="27973A5D" w:rsidR="00AA0568" w:rsidRPr="00572430" w:rsidRDefault="00AA0568" w:rsidP="00254264">
      <w:pPr>
        <w:pStyle w:val="Normalnumber"/>
        <w:numPr>
          <w:ilvl w:val="1"/>
          <w:numId w:val="4"/>
        </w:numPr>
        <w:rPr>
          <w:color w:val="000000"/>
        </w:rPr>
      </w:pPr>
      <w:r w:rsidRPr="00572430">
        <w:rPr>
          <w:color w:val="000000"/>
        </w:rPr>
        <w:t xml:space="preserve">Demonstrated track record of the organization and the reviewers in working with </w:t>
      </w:r>
      <w:r w:rsidR="00572430">
        <w:rPr>
          <w:color w:val="000000"/>
        </w:rPr>
        <w:br/>
      </w:r>
      <w:r w:rsidRPr="00572430">
        <w:rPr>
          <w:color w:val="000000"/>
        </w:rPr>
        <w:t xml:space="preserve">science-policy interfaces and in understanding the roles and functions of a global environmental assessment process in general and of IPBES in particular. </w:t>
      </w:r>
    </w:p>
    <w:p w14:paraId="43C2FCC6" w14:textId="0C5B4E2D" w:rsidR="008F7B79" w:rsidRPr="00EC42AC" w:rsidRDefault="00B20FAE" w:rsidP="006968D2">
      <w:pPr>
        <w:pStyle w:val="Normalnumber"/>
        <w:autoSpaceDE w:val="0"/>
        <w:autoSpaceDN w:val="0"/>
        <w:adjustRightInd w:val="0"/>
        <w:spacing w:after="136"/>
        <w:rPr>
          <w:color w:val="000000"/>
        </w:rPr>
      </w:pPr>
      <w:r w:rsidRPr="00572430">
        <w:rPr>
          <w:color w:val="000000"/>
        </w:rPr>
        <w:t xml:space="preserve">The Bureau and the Multidisciplinary Expert Panel </w:t>
      </w:r>
      <w:r w:rsidR="008F7B79" w:rsidRPr="00572430">
        <w:rPr>
          <w:color w:val="000000"/>
        </w:rPr>
        <w:t xml:space="preserve">will also select, guided by these criteria, an external professional organization in response to the call. The </w:t>
      </w:r>
      <w:r w:rsidR="00B609AE" w:rsidRPr="00572430">
        <w:rPr>
          <w:color w:val="000000"/>
        </w:rPr>
        <w:t>s</w:t>
      </w:r>
      <w:r w:rsidR="008F7B79" w:rsidRPr="00572430">
        <w:rPr>
          <w:color w:val="000000"/>
        </w:rPr>
        <w:t>ecretariat working with the Bureau will review the proposals and if no proposals meet the criteria or fall within the financial resources available</w:t>
      </w:r>
      <w:r w:rsidR="00183EEE" w:rsidRPr="00572430">
        <w:rPr>
          <w:color w:val="000000"/>
        </w:rPr>
        <w:t>,</w:t>
      </w:r>
      <w:r w:rsidR="008F7B79" w:rsidRPr="00572430">
        <w:rPr>
          <w:color w:val="000000"/>
        </w:rPr>
        <w:t xml:space="preserve"> the Bureau may choose to hire an administrative officer </w:t>
      </w:r>
      <w:r w:rsidR="008F7B79" w:rsidRPr="00EC42AC">
        <w:rPr>
          <w:color w:val="000000"/>
        </w:rPr>
        <w:t xml:space="preserve">located outside of the </w:t>
      </w:r>
      <w:r w:rsidR="00183EEE" w:rsidRPr="00EC42AC">
        <w:rPr>
          <w:color w:val="000000"/>
        </w:rPr>
        <w:t xml:space="preserve">secretariat </w:t>
      </w:r>
      <w:r w:rsidR="008F7B79" w:rsidRPr="00EC42AC">
        <w:rPr>
          <w:color w:val="000000"/>
        </w:rPr>
        <w:t xml:space="preserve">to coordinate the review. </w:t>
      </w:r>
    </w:p>
    <w:p w14:paraId="2A680089" w14:textId="3C886A9F" w:rsidR="00AD6913" w:rsidRPr="00DA7368" w:rsidRDefault="00D5047E" w:rsidP="00D5047E">
      <w:pPr>
        <w:pStyle w:val="Normalnumber"/>
      </w:pPr>
      <w:r w:rsidRPr="00746D9D">
        <w:t xml:space="preserve">Following a decision of the Bureau at its tenth meeting, the trust fund will not be used for any expenditure relating to the external review, pending the </w:t>
      </w:r>
      <w:r w:rsidR="00746D9D" w:rsidRPr="00572430">
        <w:t>further consideration</w:t>
      </w:r>
      <w:r w:rsidRPr="00746D9D">
        <w:t xml:space="preserve"> by the Plenary of the revised budget for 2018 that it approved at its fifth session. More specifically, the trust fund has not been used to support the participation of the members of the review panel at the sixth session of the Plenary and the secretariat has not entered into contractual arrangements with an external professional organization</w:t>
      </w:r>
      <w:r w:rsidR="00183EEE" w:rsidRPr="00746D9D">
        <w:t xml:space="preserve">. The following budgetary requirements are included in the terms of reference for the review </w:t>
      </w:r>
      <w:r w:rsidR="00572430">
        <w:br/>
      </w:r>
      <w:r w:rsidR="00183EEE" w:rsidRPr="00746D9D">
        <w:t>(decision IPB</w:t>
      </w:r>
      <w:r w:rsidR="00183EEE" w:rsidRPr="00DA7368">
        <w:t>ES-5/2, annex).</w:t>
      </w:r>
    </w:p>
    <w:tbl>
      <w:tblPr>
        <w:tblW w:w="0" w:type="auto"/>
        <w:tblInd w:w="1967" w:type="dxa"/>
        <w:tblLook w:val="04A0" w:firstRow="1" w:lastRow="0" w:firstColumn="1" w:lastColumn="0" w:noHBand="0" w:noVBand="1"/>
      </w:tblPr>
      <w:tblGrid>
        <w:gridCol w:w="5230"/>
        <w:gridCol w:w="1734"/>
      </w:tblGrid>
      <w:tr w:rsidR="00EE1A7F" w:rsidRPr="00DA7368" w14:paraId="62E66DE2" w14:textId="77777777" w:rsidTr="00D85BD1">
        <w:tc>
          <w:tcPr>
            <w:tcW w:w="5230" w:type="dxa"/>
            <w:tcBorders>
              <w:top w:val="single" w:sz="4" w:space="0" w:color="auto"/>
              <w:bottom w:val="single" w:sz="12" w:space="0" w:color="auto"/>
            </w:tcBorders>
            <w:shd w:val="clear" w:color="auto" w:fill="auto"/>
          </w:tcPr>
          <w:p w14:paraId="72E961FB" w14:textId="77777777" w:rsidR="00EE1A7F" w:rsidRPr="00DA7368" w:rsidRDefault="00EE1A7F" w:rsidP="006968D2">
            <w:pPr>
              <w:spacing w:before="40" w:after="40"/>
              <w:rPr>
                <w:i/>
                <w:sz w:val="18"/>
                <w:szCs w:val="18"/>
              </w:rPr>
            </w:pPr>
            <w:r w:rsidRPr="00DA7368">
              <w:rPr>
                <w:i/>
                <w:sz w:val="18"/>
                <w:szCs w:val="18"/>
              </w:rPr>
              <w:t>Item</w:t>
            </w:r>
          </w:p>
        </w:tc>
        <w:tc>
          <w:tcPr>
            <w:tcW w:w="1734" w:type="dxa"/>
            <w:tcBorders>
              <w:top w:val="single" w:sz="4" w:space="0" w:color="auto"/>
              <w:bottom w:val="single" w:sz="12" w:space="0" w:color="auto"/>
            </w:tcBorders>
            <w:shd w:val="clear" w:color="auto" w:fill="auto"/>
          </w:tcPr>
          <w:p w14:paraId="7E60CEB2" w14:textId="77777777" w:rsidR="00EE1A7F" w:rsidRPr="00DA7368" w:rsidRDefault="00EE1A7F" w:rsidP="00D85BD1">
            <w:pPr>
              <w:spacing w:before="40" w:after="40"/>
              <w:jc w:val="right"/>
              <w:rPr>
                <w:i/>
                <w:sz w:val="18"/>
                <w:szCs w:val="18"/>
              </w:rPr>
            </w:pPr>
            <w:r w:rsidRPr="00DA7368">
              <w:rPr>
                <w:i/>
                <w:sz w:val="18"/>
                <w:szCs w:val="18"/>
              </w:rPr>
              <w:t>Cost in United States dollars</w:t>
            </w:r>
          </w:p>
        </w:tc>
      </w:tr>
      <w:tr w:rsidR="00C50649" w:rsidRPr="00DA7368" w14:paraId="72B3EB0D" w14:textId="77777777" w:rsidTr="00D85BD1">
        <w:trPr>
          <w:trHeight w:val="34"/>
        </w:trPr>
        <w:tc>
          <w:tcPr>
            <w:tcW w:w="5230" w:type="dxa"/>
            <w:shd w:val="clear" w:color="auto" w:fill="auto"/>
          </w:tcPr>
          <w:p w14:paraId="3D12749B" w14:textId="4171272E" w:rsidR="00C50649" w:rsidRPr="00DA7368" w:rsidRDefault="00C50649" w:rsidP="006968D2">
            <w:pPr>
              <w:spacing w:before="40" w:after="40"/>
              <w:rPr>
                <w:b/>
                <w:sz w:val="4"/>
                <w:szCs w:val="4"/>
              </w:rPr>
            </w:pPr>
            <w:r w:rsidRPr="00DA7368">
              <w:rPr>
                <w:sz w:val="18"/>
                <w:szCs w:val="18"/>
              </w:rPr>
              <w:t xml:space="preserve">Administrative support </w:t>
            </w:r>
          </w:p>
        </w:tc>
        <w:tc>
          <w:tcPr>
            <w:tcW w:w="1734" w:type="dxa"/>
            <w:shd w:val="clear" w:color="auto" w:fill="auto"/>
          </w:tcPr>
          <w:p w14:paraId="081041AB" w14:textId="2CF8EEDF" w:rsidR="00C50649" w:rsidRPr="00DA7368" w:rsidRDefault="00C50649" w:rsidP="00D85BD1">
            <w:pPr>
              <w:spacing w:before="40" w:after="40"/>
              <w:jc w:val="right"/>
              <w:rPr>
                <w:b/>
                <w:snapToGrid w:val="0"/>
                <w:sz w:val="4"/>
                <w:szCs w:val="4"/>
                <w:u w:val="single"/>
              </w:rPr>
            </w:pPr>
            <w:r w:rsidRPr="00DA7368">
              <w:rPr>
                <w:sz w:val="18"/>
                <w:szCs w:val="18"/>
              </w:rPr>
              <w:t>63 160</w:t>
            </w:r>
          </w:p>
        </w:tc>
      </w:tr>
      <w:tr w:rsidR="00C50649" w:rsidRPr="00DA7368" w14:paraId="2DB447A9" w14:textId="77777777" w:rsidTr="00D85BD1">
        <w:tc>
          <w:tcPr>
            <w:tcW w:w="5230" w:type="dxa"/>
            <w:shd w:val="clear" w:color="auto" w:fill="auto"/>
          </w:tcPr>
          <w:p w14:paraId="7B4D38D2" w14:textId="006B63D2" w:rsidR="00C50649" w:rsidRPr="00DA7368" w:rsidRDefault="00C50649" w:rsidP="006968D2">
            <w:pPr>
              <w:widowControl w:val="0"/>
              <w:tabs>
                <w:tab w:val="left" w:pos="6480"/>
                <w:tab w:val="left" w:pos="7200"/>
              </w:tabs>
              <w:spacing w:before="40" w:after="40"/>
              <w:rPr>
                <w:b/>
                <w:sz w:val="18"/>
                <w:szCs w:val="18"/>
              </w:rPr>
            </w:pPr>
            <w:r w:rsidRPr="00DA7368">
              <w:rPr>
                <w:sz w:val="18"/>
                <w:szCs w:val="18"/>
              </w:rPr>
              <w:t>Travel support plus daily subsistence allowance for 10 people to attend the sixth session of the Plenary</w:t>
            </w:r>
          </w:p>
        </w:tc>
        <w:tc>
          <w:tcPr>
            <w:tcW w:w="1734" w:type="dxa"/>
            <w:shd w:val="clear" w:color="auto" w:fill="auto"/>
          </w:tcPr>
          <w:p w14:paraId="5C89CE18" w14:textId="043E7104"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sz w:val="18"/>
                <w:szCs w:val="18"/>
              </w:rPr>
              <w:t>37 500</w:t>
            </w:r>
          </w:p>
        </w:tc>
      </w:tr>
      <w:tr w:rsidR="00C50649" w:rsidRPr="00DA7368" w14:paraId="6DAB9C08" w14:textId="77777777" w:rsidTr="00D85BD1">
        <w:trPr>
          <w:trHeight w:val="461"/>
        </w:trPr>
        <w:tc>
          <w:tcPr>
            <w:tcW w:w="5230" w:type="dxa"/>
            <w:shd w:val="clear" w:color="auto" w:fill="auto"/>
          </w:tcPr>
          <w:p w14:paraId="782DE92B" w14:textId="249FEE22" w:rsidR="00C50649" w:rsidRPr="00DA7368" w:rsidRDefault="00C50649" w:rsidP="006968D2">
            <w:pPr>
              <w:widowControl w:val="0"/>
              <w:tabs>
                <w:tab w:val="left" w:pos="6480"/>
                <w:tab w:val="left" w:pos="7200"/>
              </w:tabs>
              <w:spacing w:before="40" w:after="40"/>
              <w:rPr>
                <w:i/>
                <w:sz w:val="18"/>
                <w:szCs w:val="18"/>
              </w:rPr>
            </w:pPr>
            <w:r w:rsidRPr="00DA7368">
              <w:rPr>
                <w:sz w:val="18"/>
                <w:szCs w:val="18"/>
              </w:rPr>
              <w:t xml:space="preserve">Travel support plus daily subsistence allowance for 10 people to attend the eleventh meetings of the Multidisciplinary Expert Panel and the Bureau </w:t>
            </w:r>
          </w:p>
        </w:tc>
        <w:tc>
          <w:tcPr>
            <w:tcW w:w="1734" w:type="dxa"/>
            <w:shd w:val="clear" w:color="auto" w:fill="auto"/>
          </w:tcPr>
          <w:p w14:paraId="14572177" w14:textId="7CAE00EF"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sz w:val="18"/>
                <w:szCs w:val="18"/>
              </w:rPr>
              <w:t>37 500</w:t>
            </w:r>
          </w:p>
        </w:tc>
      </w:tr>
      <w:tr w:rsidR="00C50649" w:rsidRPr="00DA7368" w14:paraId="02009CA4" w14:textId="77777777" w:rsidTr="00D85BD1">
        <w:trPr>
          <w:trHeight w:val="542"/>
        </w:trPr>
        <w:tc>
          <w:tcPr>
            <w:tcW w:w="5230" w:type="dxa"/>
            <w:shd w:val="clear" w:color="auto" w:fill="auto"/>
          </w:tcPr>
          <w:p w14:paraId="6B8DDBE2" w14:textId="120C924B" w:rsidR="00C50649" w:rsidRPr="00DA7368" w:rsidRDefault="00C50649" w:rsidP="006968D2">
            <w:pPr>
              <w:widowControl w:val="0"/>
              <w:tabs>
                <w:tab w:val="left" w:pos="6480"/>
                <w:tab w:val="left" w:pos="7200"/>
              </w:tabs>
              <w:spacing w:before="40" w:after="40"/>
              <w:rPr>
                <w:i/>
                <w:sz w:val="18"/>
                <w:szCs w:val="18"/>
              </w:rPr>
            </w:pPr>
            <w:r w:rsidRPr="00DA7368">
              <w:rPr>
                <w:sz w:val="18"/>
                <w:szCs w:val="18"/>
              </w:rPr>
              <w:t xml:space="preserve">Travel support plus daily subsistence allowance for 10 people to attend the twelfth meetings of the Multidisciplinary Expert Panel and the Bureau </w:t>
            </w:r>
          </w:p>
        </w:tc>
        <w:tc>
          <w:tcPr>
            <w:tcW w:w="1734" w:type="dxa"/>
            <w:shd w:val="clear" w:color="auto" w:fill="auto"/>
          </w:tcPr>
          <w:p w14:paraId="3C396C68" w14:textId="66144F7C"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sz w:val="18"/>
                <w:szCs w:val="18"/>
              </w:rPr>
              <w:t>37 500</w:t>
            </w:r>
          </w:p>
        </w:tc>
      </w:tr>
      <w:tr w:rsidR="00C50649" w:rsidRPr="00DA7368" w14:paraId="3AB33C28" w14:textId="77777777" w:rsidTr="00D85BD1">
        <w:trPr>
          <w:trHeight w:val="452"/>
        </w:trPr>
        <w:tc>
          <w:tcPr>
            <w:tcW w:w="5230" w:type="dxa"/>
            <w:shd w:val="clear" w:color="auto" w:fill="auto"/>
          </w:tcPr>
          <w:p w14:paraId="6C85DE4C" w14:textId="36D3A063" w:rsidR="00C50649" w:rsidRPr="00DA7368" w:rsidRDefault="00C50649" w:rsidP="006968D2">
            <w:pPr>
              <w:widowControl w:val="0"/>
              <w:tabs>
                <w:tab w:val="left" w:pos="6480"/>
                <w:tab w:val="left" w:pos="7200"/>
              </w:tabs>
              <w:spacing w:before="40" w:after="40"/>
              <w:rPr>
                <w:i/>
                <w:sz w:val="18"/>
                <w:szCs w:val="18"/>
              </w:rPr>
            </w:pPr>
            <w:r w:rsidRPr="00DA7368">
              <w:rPr>
                <w:sz w:val="18"/>
                <w:szCs w:val="18"/>
              </w:rPr>
              <w:t>Travel support plus daily subsistence allowance for two reviewers to attend the seventh session of the Plenary</w:t>
            </w:r>
          </w:p>
        </w:tc>
        <w:tc>
          <w:tcPr>
            <w:tcW w:w="1734" w:type="dxa"/>
            <w:shd w:val="clear" w:color="auto" w:fill="auto"/>
          </w:tcPr>
          <w:p w14:paraId="66ADF595" w14:textId="361BAA70"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sz w:val="18"/>
                <w:szCs w:val="18"/>
              </w:rPr>
              <w:t>7 500</w:t>
            </w:r>
          </w:p>
        </w:tc>
      </w:tr>
      <w:tr w:rsidR="00C50649" w:rsidRPr="00DA7368" w14:paraId="133E0A22" w14:textId="77777777" w:rsidTr="00D85BD1">
        <w:trPr>
          <w:trHeight w:val="400"/>
        </w:trPr>
        <w:tc>
          <w:tcPr>
            <w:tcW w:w="5230" w:type="dxa"/>
            <w:tcBorders>
              <w:bottom w:val="single" w:sz="4" w:space="0" w:color="auto"/>
            </w:tcBorders>
            <w:shd w:val="clear" w:color="auto" w:fill="auto"/>
          </w:tcPr>
          <w:p w14:paraId="09179B02" w14:textId="1548CD77" w:rsidR="00C50649" w:rsidRPr="00DA7368" w:rsidRDefault="00C50649" w:rsidP="006968D2">
            <w:pPr>
              <w:widowControl w:val="0"/>
              <w:tabs>
                <w:tab w:val="left" w:pos="6480"/>
                <w:tab w:val="left" w:pos="7200"/>
              </w:tabs>
              <w:spacing w:before="40" w:after="40"/>
              <w:rPr>
                <w:sz w:val="18"/>
                <w:szCs w:val="18"/>
              </w:rPr>
            </w:pPr>
            <w:r w:rsidRPr="00DA7368">
              <w:rPr>
                <w:sz w:val="18"/>
                <w:szCs w:val="18"/>
              </w:rPr>
              <w:t>Honorariums for reviewers</w:t>
            </w:r>
          </w:p>
        </w:tc>
        <w:tc>
          <w:tcPr>
            <w:tcW w:w="1734" w:type="dxa"/>
            <w:tcBorders>
              <w:bottom w:val="single" w:sz="4" w:space="0" w:color="auto"/>
            </w:tcBorders>
            <w:shd w:val="clear" w:color="auto" w:fill="auto"/>
          </w:tcPr>
          <w:p w14:paraId="69A25259" w14:textId="66D74414"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sz w:val="18"/>
                <w:szCs w:val="18"/>
              </w:rPr>
              <w:t>Not included</w:t>
            </w:r>
          </w:p>
        </w:tc>
      </w:tr>
      <w:tr w:rsidR="00C50649" w:rsidRPr="00DA7368" w14:paraId="229839A7" w14:textId="77777777" w:rsidTr="00D85BD1">
        <w:trPr>
          <w:trHeight w:val="64"/>
        </w:trPr>
        <w:tc>
          <w:tcPr>
            <w:tcW w:w="5230" w:type="dxa"/>
            <w:tcBorders>
              <w:top w:val="single" w:sz="4" w:space="0" w:color="auto"/>
              <w:bottom w:val="single" w:sz="12" w:space="0" w:color="auto"/>
            </w:tcBorders>
            <w:shd w:val="clear" w:color="auto" w:fill="auto"/>
          </w:tcPr>
          <w:p w14:paraId="4E17801C" w14:textId="3485BC5C" w:rsidR="00C50649" w:rsidRPr="00DA7368" w:rsidRDefault="00C50649" w:rsidP="006968D2">
            <w:pPr>
              <w:widowControl w:val="0"/>
              <w:tabs>
                <w:tab w:val="left" w:pos="6480"/>
                <w:tab w:val="left" w:pos="7200"/>
              </w:tabs>
              <w:spacing w:before="40" w:after="40"/>
              <w:rPr>
                <w:sz w:val="18"/>
                <w:szCs w:val="18"/>
              </w:rPr>
            </w:pPr>
            <w:r w:rsidRPr="00DA7368">
              <w:rPr>
                <w:b/>
                <w:sz w:val="18"/>
                <w:szCs w:val="18"/>
              </w:rPr>
              <w:t>Total</w:t>
            </w:r>
          </w:p>
        </w:tc>
        <w:tc>
          <w:tcPr>
            <w:tcW w:w="1734" w:type="dxa"/>
            <w:tcBorders>
              <w:top w:val="single" w:sz="4" w:space="0" w:color="auto"/>
              <w:bottom w:val="single" w:sz="12" w:space="0" w:color="auto"/>
            </w:tcBorders>
            <w:shd w:val="clear" w:color="auto" w:fill="auto"/>
          </w:tcPr>
          <w:p w14:paraId="769A9021" w14:textId="20AC5E17" w:rsidR="00C50649" w:rsidRPr="00DA7368" w:rsidRDefault="00C50649" w:rsidP="00D85BD1">
            <w:pPr>
              <w:widowControl w:val="0"/>
              <w:tabs>
                <w:tab w:val="left" w:pos="6480"/>
                <w:tab w:val="left" w:pos="7200"/>
              </w:tabs>
              <w:spacing w:before="40" w:after="40"/>
              <w:jc w:val="right"/>
              <w:rPr>
                <w:b/>
                <w:snapToGrid w:val="0"/>
                <w:sz w:val="18"/>
                <w:szCs w:val="18"/>
                <w:u w:val="single"/>
              </w:rPr>
            </w:pPr>
            <w:r w:rsidRPr="00DA7368">
              <w:rPr>
                <w:b/>
                <w:sz w:val="18"/>
                <w:szCs w:val="18"/>
              </w:rPr>
              <w:t>183 160</w:t>
            </w:r>
          </w:p>
        </w:tc>
      </w:tr>
    </w:tbl>
    <w:p w14:paraId="279077D7" w14:textId="33565CF5" w:rsidR="005D36D1" w:rsidRPr="00746D9D" w:rsidRDefault="00EE1A7F" w:rsidP="006968D2">
      <w:pPr>
        <w:pStyle w:val="Normalnumber"/>
        <w:spacing w:before="240"/>
        <w:ind w:left="1253"/>
      </w:pPr>
      <w:r w:rsidRPr="00746D9D">
        <w:t xml:space="preserve">Information on the outcomes of the selection processes will be made available in </w:t>
      </w:r>
      <w:r w:rsidR="001E26C3" w:rsidRPr="00746D9D">
        <w:t xml:space="preserve">background </w:t>
      </w:r>
      <w:r w:rsidRPr="00746D9D">
        <w:t>document IPBES/6/INF/</w:t>
      </w:r>
      <w:r w:rsidR="00183EEE" w:rsidRPr="00746D9D">
        <w:t>33</w:t>
      </w:r>
      <w:r w:rsidRPr="00746D9D">
        <w:t xml:space="preserve">. </w:t>
      </w:r>
    </w:p>
    <w:p w14:paraId="177E0C6F" w14:textId="04A3057B" w:rsidR="00D5047E" w:rsidRPr="00746D9D" w:rsidRDefault="00D5047E" w:rsidP="00D5047E">
      <w:pPr>
        <w:pStyle w:val="CH1"/>
      </w:pPr>
      <w:r w:rsidRPr="00746D9D">
        <w:lastRenderedPageBreak/>
        <w:tab/>
        <w:t>III.</w:t>
      </w:r>
      <w:r w:rsidRPr="00746D9D">
        <w:tab/>
        <w:t>Suggested action</w:t>
      </w:r>
    </w:p>
    <w:p w14:paraId="59AFAC8E" w14:textId="01973102" w:rsidR="00D5047E" w:rsidRPr="00746D9D" w:rsidRDefault="00D5047E" w:rsidP="00D5047E">
      <w:pPr>
        <w:pStyle w:val="Normalnumber"/>
        <w:numPr>
          <w:ilvl w:val="0"/>
          <w:numId w:val="52"/>
        </w:numPr>
      </w:pPr>
      <w:r w:rsidRPr="00746D9D">
        <w:t xml:space="preserve">The Plenary may wish: </w:t>
      </w:r>
    </w:p>
    <w:p w14:paraId="39E99F05" w14:textId="51CFAFDF" w:rsidR="00D5047E" w:rsidRPr="00746D9D" w:rsidRDefault="00D5047E" w:rsidP="00F50C3B">
      <w:pPr>
        <w:pStyle w:val="Normalnumber"/>
        <w:numPr>
          <w:ilvl w:val="0"/>
          <w:numId w:val="0"/>
        </w:numPr>
        <w:ind w:left="1814"/>
      </w:pPr>
      <w:r w:rsidRPr="00746D9D">
        <w:t>T</w:t>
      </w:r>
      <w:r w:rsidR="00746D9D" w:rsidRPr="00572430">
        <w:t>o t</w:t>
      </w:r>
      <w:r w:rsidRPr="00746D9D">
        <w:t>ake note with appreciation of the report prepared by the internal review team, the selection of a review panel to perform the review and the progress made in the selection of an external professional organization to coordinate the review.</w:t>
      </w:r>
      <w:r w:rsidRPr="00746D9D">
        <w:rPr>
          <w:rStyle w:val="FootnoteReference"/>
        </w:rPr>
        <w:footnoteReference w:id="3"/>
      </w:r>
    </w:p>
    <w:p w14:paraId="11225126" w14:textId="77777777" w:rsidR="00F63428" w:rsidRDefault="00F63428">
      <w:pPr>
        <w:rPr>
          <w:rFonts w:eastAsia="Times New Roman"/>
          <w:b/>
          <w:bCs/>
          <w:sz w:val="28"/>
          <w:szCs w:val="22"/>
        </w:rPr>
      </w:pPr>
      <w:r>
        <w:br w:type="page"/>
      </w:r>
    </w:p>
    <w:p w14:paraId="6C524466" w14:textId="12CE008F" w:rsidR="0058611F" w:rsidRPr="00F63428" w:rsidRDefault="0058611F" w:rsidP="00F63428">
      <w:pPr>
        <w:pStyle w:val="ZZAnxheader"/>
      </w:pPr>
      <w:r w:rsidRPr="00F63428">
        <w:lastRenderedPageBreak/>
        <w:t>Annex</w:t>
      </w:r>
    </w:p>
    <w:p w14:paraId="313D2673" w14:textId="77777777" w:rsidR="00476C56" w:rsidRPr="00DA7368" w:rsidRDefault="00476C56" w:rsidP="00F63428">
      <w:pPr>
        <w:pStyle w:val="ZZAnxtitle"/>
        <w:tabs>
          <w:tab w:val="left" w:pos="4082"/>
        </w:tabs>
      </w:pPr>
      <w:r w:rsidRPr="00DA7368">
        <w:t>Executive summary: key outcomes of the internal review</w:t>
      </w:r>
    </w:p>
    <w:p w14:paraId="11F8E318" w14:textId="5EE86331" w:rsidR="00476C56" w:rsidRPr="00DA7368" w:rsidRDefault="00F63428" w:rsidP="00F63428">
      <w:pPr>
        <w:pStyle w:val="CH1"/>
      </w:pPr>
      <w:bookmarkStart w:id="1" w:name="_Hlk498335569"/>
      <w:r>
        <w:tab/>
        <w:t>I.</w:t>
      </w:r>
      <w:r>
        <w:tab/>
      </w:r>
      <w:r w:rsidR="00476C56" w:rsidRPr="00DA7368">
        <w:t>General overall conclusion</w:t>
      </w:r>
    </w:p>
    <w:p w14:paraId="142CD6FB" w14:textId="77777777" w:rsidR="00476C56" w:rsidRPr="00DA7368" w:rsidRDefault="00476C56" w:rsidP="006968D2">
      <w:pPr>
        <w:pStyle w:val="Normalnumber"/>
        <w:numPr>
          <w:ilvl w:val="0"/>
          <w:numId w:val="28"/>
        </w:numPr>
      </w:pPr>
      <w:r w:rsidRPr="00DA7368">
        <w:t xml:space="preserve">The internal review analysed IPBES according to the terms of reference of the review with regard to its effectiveness and efficiency, measured against its current objectives, operating principles, four functions and administrative and scientific processes for implementing the work programme, the efficiency of the delivery of the work programme and established support structures, the procedures for the preparation of IPBES deliverables and other relevant decisions by the IPBES Plenary. </w:t>
      </w:r>
    </w:p>
    <w:p w14:paraId="174004B2" w14:textId="77777777" w:rsidR="00476C56" w:rsidRPr="00572430" w:rsidRDefault="00476C56" w:rsidP="006968D2">
      <w:pPr>
        <w:pStyle w:val="Normalnumber"/>
        <w:numPr>
          <w:ilvl w:val="0"/>
          <w:numId w:val="28"/>
        </w:numPr>
      </w:pPr>
      <w:r w:rsidRPr="00572430">
        <w:t xml:space="preserve">The internal review found that IPBES is, overall, functioning well with an overall average rating of 3.5 out of 5 (see figure 1), while there is potential for improvement in a number of areas. </w:t>
      </w:r>
    </w:p>
    <w:p w14:paraId="7A7CC1FE" w14:textId="49EF7E3A" w:rsidR="00BB7D04" w:rsidRPr="00254264" w:rsidRDefault="00BB7D04" w:rsidP="00254264">
      <w:pPr>
        <w:pStyle w:val="Titletable"/>
        <w:rPr>
          <w:b w:val="0"/>
        </w:rPr>
      </w:pPr>
      <w:r w:rsidRPr="00254264">
        <w:rPr>
          <w:b w:val="0"/>
        </w:rPr>
        <w:t>Figure 1</w:t>
      </w:r>
    </w:p>
    <w:p w14:paraId="7DA733D3" w14:textId="03CA6388" w:rsidR="00BB7D04" w:rsidRPr="00FF5F23" w:rsidRDefault="00BB7D04" w:rsidP="00572430">
      <w:pPr>
        <w:pStyle w:val="Titletable"/>
      </w:pPr>
      <w:bookmarkStart w:id="2" w:name="_Hlk500940885"/>
      <w:r w:rsidRPr="00FF5F23">
        <w:t xml:space="preserve">Average percentage of responses received across all questions for each </w:t>
      </w:r>
      <w:r w:rsidRPr="00DA7368">
        <w:t>of the ratings</w:t>
      </w:r>
      <w:r w:rsidRPr="00FF5F23">
        <w:t>, from 1 to 5</w:t>
      </w:r>
    </w:p>
    <w:bookmarkEnd w:id="2"/>
    <w:p w14:paraId="0E00EC45" w14:textId="239972B6" w:rsidR="00476C56" w:rsidRPr="00DA7368" w:rsidRDefault="002757F7" w:rsidP="006968D2">
      <w:pPr>
        <w:pStyle w:val="Normalnumber"/>
        <w:numPr>
          <w:ilvl w:val="0"/>
          <w:numId w:val="0"/>
        </w:numPr>
        <w:ind w:left="1247"/>
      </w:pPr>
      <w:r w:rsidRPr="00DA7368">
        <w:rPr>
          <w:noProof/>
          <w:lang w:eastAsia="en-GB"/>
        </w:rPr>
        <w:drawing>
          <wp:inline distT="0" distB="0" distL="0" distR="0" wp14:anchorId="5B9F52EF" wp14:editId="0B8D35D9">
            <wp:extent cx="5381625" cy="3724275"/>
            <wp:effectExtent l="0" t="0" r="9525" b="9525"/>
            <wp:docPr id="1" name="Chart 1">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86E1EF" w14:textId="39FF8AA8" w:rsidR="00476C56" w:rsidRPr="00572430" w:rsidRDefault="00D62076" w:rsidP="00572430">
      <w:pPr>
        <w:pStyle w:val="Normalnumber"/>
        <w:numPr>
          <w:ilvl w:val="0"/>
          <w:numId w:val="28"/>
        </w:numPr>
        <w:spacing w:after="240"/>
        <w:ind w:left="1253"/>
      </w:pPr>
      <w:bookmarkStart w:id="3" w:name="_Hlk500940948"/>
      <w:r w:rsidRPr="00DA7368">
        <w:t>O</w:t>
      </w:r>
      <w:r w:rsidR="00476C56" w:rsidRPr="00DA7368">
        <w:t>nly</w:t>
      </w:r>
      <w:r w:rsidR="00476C56" w:rsidRPr="00572430">
        <w:t xml:space="preserve"> minor differences</w:t>
      </w:r>
      <w:r w:rsidR="00476C56" w:rsidRPr="00DA7368">
        <w:t xml:space="preserve"> </w:t>
      </w:r>
      <w:r w:rsidRPr="00DA7368">
        <w:t>may be observed</w:t>
      </w:r>
      <w:r w:rsidRPr="00572430">
        <w:t xml:space="preserve"> </w:t>
      </w:r>
      <w:r w:rsidR="00476C56" w:rsidRPr="00572430">
        <w:t xml:space="preserve">in the overall ratings between the five categories of respondents: members of the subsidiary bodies of IPBES (49 responses) and of the secretariat and IPBES national focal points or experts that are part of the IPBES task forces and expert groups (38 responses; see figure 2). </w:t>
      </w:r>
    </w:p>
    <w:bookmarkEnd w:id="3"/>
    <w:p w14:paraId="3F84D227" w14:textId="36290304" w:rsidR="00D62076" w:rsidRPr="00254264" w:rsidRDefault="00D62076" w:rsidP="00254264">
      <w:pPr>
        <w:pStyle w:val="Titletable"/>
        <w:rPr>
          <w:b w:val="0"/>
        </w:rPr>
      </w:pPr>
      <w:r w:rsidRPr="00254264">
        <w:rPr>
          <w:b w:val="0"/>
        </w:rPr>
        <w:lastRenderedPageBreak/>
        <w:t>Figure 2</w:t>
      </w:r>
    </w:p>
    <w:p w14:paraId="2A796128" w14:textId="657EFBDB" w:rsidR="00D62076" w:rsidRPr="00041E36" w:rsidRDefault="00D62076" w:rsidP="00572430">
      <w:pPr>
        <w:pStyle w:val="Titletable"/>
      </w:pPr>
      <w:bookmarkStart w:id="4" w:name="_Hlk500941047"/>
      <w:r w:rsidRPr="00FF5F23">
        <w:t>Average response across all questions given by each category of respondents: members of the Bureau, Multidisciplinary Expert Panel, secretariat, including technical support units, IPBES national focal points and selected e</w:t>
      </w:r>
      <w:r w:rsidRPr="00041E36">
        <w:t>xperts (co-chairs of task forces and expert groups and coordinating lead authors of assessments)</w:t>
      </w:r>
    </w:p>
    <w:bookmarkEnd w:id="4"/>
    <w:p w14:paraId="71966197" w14:textId="46DD14F2" w:rsidR="00476C56" w:rsidRPr="00DA7368" w:rsidRDefault="00476C56" w:rsidP="00D62076">
      <w:pPr>
        <w:pStyle w:val="Normalnumber"/>
        <w:keepNext/>
        <w:keepLines/>
        <w:numPr>
          <w:ilvl w:val="0"/>
          <w:numId w:val="0"/>
        </w:numPr>
        <w:spacing w:before="120"/>
        <w:ind w:left="1253"/>
      </w:pPr>
      <w:r w:rsidRPr="00DA7368">
        <w:rPr>
          <w:noProof/>
          <w:lang w:eastAsia="en-GB"/>
        </w:rPr>
        <w:drawing>
          <wp:inline distT="0" distB="0" distL="0" distR="0" wp14:anchorId="3D493D73" wp14:editId="029B6AC0">
            <wp:extent cx="5607013" cy="3155539"/>
            <wp:effectExtent l="0" t="0" r="32385" b="19685"/>
            <wp:docPr id="9" name="Chart 9">
              <a:extLst xmlns:a="http://schemas.openxmlformats.org/drawingml/2006/main">
                <a:ext uri="{FF2B5EF4-FFF2-40B4-BE49-F238E27FC236}">
                  <a16:creationId xmlns:a16="http://schemas.microsoft.com/office/drawing/2014/main" id="{974FF98B-46DA-465E-9E1E-178757B6B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1"/>
    <w:p w14:paraId="312AE0E8" w14:textId="1752A6C9" w:rsidR="00476C56" w:rsidRPr="00DA7368" w:rsidRDefault="00F63428" w:rsidP="00572430">
      <w:pPr>
        <w:pStyle w:val="CH1"/>
      </w:pPr>
      <w:r>
        <w:tab/>
        <w:t>II.</w:t>
      </w:r>
      <w:r>
        <w:tab/>
      </w:r>
      <w:r w:rsidR="00476C56" w:rsidRPr="00DA7368">
        <w:t>Implementa</w:t>
      </w:r>
      <w:r w:rsidR="00D62076" w:rsidRPr="00DA7368">
        <w:t>tion of the work programme 2014–20</w:t>
      </w:r>
      <w:r w:rsidR="00476C56" w:rsidRPr="00DA7368">
        <w:t>18</w:t>
      </w:r>
      <w:r w:rsidR="00476C56" w:rsidRPr="00DA7368">
        <w:tab/>
      </w:r>
    </w:p>
    <w:p w14:paraId="5502F248" w14:textId="33916630" w:rsidR="00476C56" w:rsidRPr="00DA7368" w:rsidRDefault="00476C56" w:rsidP="006968D2">
      <w:pPr>
        <w:pStyle w:val="Normalnumber"/>
        <w:numPr>
          <w:ilvl w:val="0"/>
          <w:numId w:val="28"/>
        </w:numPr>
      </w:pPr>
      <w:r w:rsidRPr="00C16DA2">
        <w:rPr>
          <w:b/>
        </w:rPr>
        <w:t xml:space="preserve">The scoping processes for assessments are considered to have worked well, with the exception of the assessment of the sustainable use of wild </w:t>
      </w:r>
      <w:r w:rsidRPr="00746D9D">
        <w:rPr>
          <w:b/>
        </w:rPr>
        <w:t>species</w:t>
      </w:r>
      <w:r w:rsidR="00C16DA2" w:rsidRPr="00572430">
        <w:rPr>
          <w:b/>
        </w:rPr>
        <w:t xml:space="preserve">, where scoping such a complex issue via remote means was </w:t>
      </w:r>
      <w:r w:rsidR="00746D9D" w:rsidRPr="00572430">
        <w:rPr>
          <w:b/>
        </w:rPr>
        <w:t>understood</w:t>
      </w:r>
      <w:r w:rsidR="00C16DA2" w:rsidRPr="00572430">
        <w:rPr>
          <w:b/>
        </w:rPr>
        <w:t xml:space="preserve"> to be inappropriate</w:t>
      </w:r>
      <w:r w:rsidRPr="00746D9D">
        <w:rPr>
          <w:b/>
        </w:rPr>
        <w:t>.</w:t>
      </w:r>
      <w:r w:rsidRPr="00746D9D">
        <w:t xml:space="preserve"> More policy experts should be involved in the scoping processes to ensure the relevance of assessments to policymakers</w:t>
      </w:r>
      <w:r w:rsidRPr="00DA7368">
        <w:t xml:space="preserve">. </w:t>
      </w:r>
      <w:r w:rsidRPr="00C16DA2">
        <w:rPr>
          <w:b/>
        </w:rPr>
        <w:t>The summaries for policymakers of the pollination and scenarios and models</w:t>
      </w:r>
      <w:r w:rsidR="00D62076" w:rsidRPr="00C16DA2">
        <w:rPr>
          <w:b/>
        </w:rPr>
        <w:t xml:space="preserve"> assessments were well received</w:t>
      </w:r>
      <w:r w:rsidRPr="00DA7368">
        <w:t xml:space="preserve"> and future summaries for policymakers should be similar in length or shorter. </w:t>
      </w:r>
      <w:r w:rsidRPr="00C16DA2">
        <w:rPr>
          <w:b/>
        </w:rPr>
        <w:t>In genera</w:t>
      </w:r>
      <w:r w:rsidR="00D62076" w:rsidRPr="00C16DA2">
        <w:rPr>
          <w:b/>
        </w:rPr>
        <w:t xml:space="preserve">l, the management committees of </w:t>
      </w:r>
      <w:r w:rsidR="00D62076" w:rsidRPr="00572430">
        <w:rPr>
          <w:b/>
        </w:rPr>
        <w:t xml:space="preserve">the </w:t>
      </w:r>
      <w:r w:rsidRPr="00C16DA2">
        <w:rPr>
          <w:b/>
        </w:rPr>
        <w:t xml:space="preserve">assessments undertaken </w:t>
      </w:r>
      <w:r w:rsidR="00D62076" w:rsidRPr="00572430">
        <w:rPr>
          <w:b/>
        </w:rPr>
        <w:t>thus</w:t>
      </w:r>
      <w:r w:rsidRPr="00C16DA2">
        <w:rPr>
          <w:b/>
        </w:rPr>
        <w:t xml:space="preserve"> far are considered to have fulfilled their role.</w:t>
      </w:r>
      <w:r w:rsidRPr="00572430">
        <w:rPr>
          <w:b/>
        </w:rPr>
        <w:t xml:space="preserve"> </w:t>
      </w:r>
    </w:p>
    <w:p w14:paraId="6D15915D" w14:textId="247D8A1A" w:rsidR="00476C56" w:rsidRPr="00572430" w:rsidRDefault="00476C56" w:rsidP="006968D2">
      <w:pPr>
        <w:pStyle w:val="Normalnumber"/>
        <w:numPr>
          <w:ilvl w:val="0"/>
          <w:numId w:val="28"/>
        </w:numPr>
      </w:pPr>
      <w:r w:rsidRPr="002E0A87">
        <w:rPr>
          <w:b/>
        </w:rPr>
        <w:t>I</w:t>
      </w:r>
      <w:bookmarkStart w:id="5" w:name="_Hlk498533995"/>
      <w:r w:rsidRPr="002E0A87">
        <w:rPr>
          <w:b/>
        </w:rPr>
        <w:t xml:space="preserve">n order to </w:t>
      </w:r>
      <w:r w:rsidR="00D62076" w:rsidRPr="00572430">
        <w:rPr>
          <w:b/>
        </w:rPr>
        <w:t>enable</w:t>
      </w:r>
      <w:r w:rsidR="00D62076" w:rsidRPr="002E0A87">
        <w:rPr>
          <w:b/>
        </w:rPr>
        <w:t xml:space="preserve"> </w:t>
      </w:r>
      <w:r w:rsidRPr="002E0A87">
        <w:rPr>
          <w:b/>
        </w:rPr>
        <w:t xml:space="preserve">IPBES to improve </w:t>
      </w:r>
      <w:r w:rsidR="00D62076" w:rsidRPr="00572430">
        <w:rPr>
          <w:b/>
        </w:rPr>
        <w:t>in such areas as</w:t>
      </w:r>
      <w:r w:rsidR="00D62076" w:rsidRPr="002E0A87">
        <w:rPr>
          <w:b/>
        </w:rPr>
        <w:t xml:space="preserve"> </w:t>
      </w:r>
      <w:r w:rsidRPr="002E0A87">
        <w:rPr>
          <w:b/>
        </w:rPr>
        <w:t>its interdisciplinary and multidisciplinary approach, gender equity and</w:t>
      </w:r>
      <w:r w:rsidRPr="00572430">
        <w:rPr>
          <w:b/>
        </w:rPr>
        <w:t xml:space="preserve"> </w:t>
      </w:r>
      <w:r w:rsidR="00D62076" w:rsidRPr="00572430">
        <w:rPr>
          <w:b/>
        </w:rPr>
        <w:t>balanced</w:t>
      </w:r>
      <w:r w:rsidR="00D62076" w:rsidRPr="002E0A87">
        <w:rPr>
          <w:b/>
        </w:rPr>
        <w:t xml:space="preserve"> </w:t>
      </w:r>
      <w:r w:rsidRPr="002E0A87">
        <w:rPr>
          <w:b/>
        </w:rPr>
        <w:t>regional representation and participation in its structure and work</w:t>
      </w:r>
      <w:r w:rsidRPr="00572430">
        <w:t xml:space="preserve">, </w:t>
      </w:r>
      <w:r w:rsidRPr="00DA7368">
        <w:t>the nominations of experts by Governments and organizations should include a higher number of experts with a background in social sciences and humanities,</w:t>
      </w:r>
      <w:r w:rsidR="00D62076" w:rsidRPr="00DA7368">
        <w:t xml:space="preserve"> policy-</w:t>
      </w:r>
      <w:r w:rsidRPr="00DA7368">
        <w:t>making, female experts, experts on</w:t>
      </w:r>
      <w:r w:rsidR="00D62076" w:rsidRPr="00DA7368">
        <w:t xml:space="preserve"> indigenous and local knowledge</w:t>
      </w:r>
      <w:r w:rsidRPr="00DA7368">
        <w:t xml:space="preserve"> and experts from Eastern Europe and Africa. </w:t>
      </w:r>
    </w:p>
    <w:bookmarkEnd w:id="5"/>
    <w:p w14:paraId="6F769B7D" w14:textId="2A4F9B25" w:rsidR="00476C56" w:rsidRPr="00DA7368" w:rsidRDefault="00476C56" w:rsidP="006968D2">
      <w:pPr>
        <w:pStyle w:val="Normalnumber"/>
        <w:numPr>
          <w:ilvl w:val="0"/>
          <w:numId w:val="28"/>
        </w:numPr>
      </w:pPr>
      <w:r w:rsidRPr="00572430">
        <w:rPr>
          <w:b/>
        </w:rPr>
        <w:t xml:space="preserve">The scientific independence, credibility, relevance and legitimacy of IPBES assessments would benefit from increased input and comments </w:t>
      </w:r>
      <w:r w:rsidRPr="002E0A87">
        <w:rPr>
          <w:b/>
        </w:rPr>
        <w:t>in the peer-review process</w:t>
      </w:r>
      <w:r w:rsidRPr="00DA7368">
        <w:t xml:space="preserve">, in particular from Governments. The regional dialogue meetings with IPBES national focal points, </w:t>
      </w:r>
      <w:r w:rsidR="00D62076" w:rsidRPr="00DA7368">
        <w:t xml:space="preserve">which </w:t>
      </w:r>
      <w:r w:rsidRPr="00DA7368">
        <w:t>were organized under the rolling plan for capacity-building in the context of the third author meetings for the land degradation and restoration assessment and the regional assessments, were well received and could also be considered for future</w:t>
      </w:r>
      <w:r w:rsidR="00D62076" w:rsidRPr="00DA7368">
        <w:t xml:space="preserve"> assessment processes as a way </w:t>
      </w:r>
      <w:r w:rsidRPr="00DA7368">
        <w:t>o</w:t>
      </w:r>
      <w:r w:rsidR="00D62076" w:rsidRPr="00DA7368">
        <w:t>f</w:t>
      </w:r>
      <w:r w:rsidRPr="00DA7368">
        <w:t xml:space="preserve"> assist</w:t>
      </w:r>
      <w:r w:rsidR="00D62076" w:rsidRPr="00DA7368">
        <w:t>ing</w:t>
      </w:r>
      <w:r w:rsidRPr="00DA7368">
        <w:t xml:space="preserve"> Governments </w:t>
      </w:r>
      <w:r w:rsidR="00D62076" w:rsidRPr="00DA7368">
        <w:t>in providing</w:t>
      </w:r>
      <w:r w:rsidRPr="00DA7368">
        <w:t xml:space="preserve"> input and comments.</w:t>
      </w:r>
    </w:p>
    <w:p w14:paraId="3437EA3F" w14:textId="50F3B64A" w:rsidR="00476C56" w:rsidRPr="00DA7368" w:rsidRDefault="00476C56" w:rsidP="006968D2">
      <w:pPr>
        <w:pStyle w:val="Normalnumber"/>
        <w:numPr>
          <w:ilvl w:val="0"/>
          <w:numId w:val="28"/>
        </w:numPr>
      </w:pPr>
      <w:r w:rsidRPr="00DA7368">
        <w:t xml:space="preserve">Unlike the assessment function, which was implemented </w:t>
      </w:r>
      <w:r w:rsidR="00D62076" w:rsidRPr="00DA7368">
        <w:t xml:space="preserve">on the basis of </w:t>
      </w:r>
      <w:r w:rsidRPr="00DA7368">
        <w:t>a set of agreed procedures, implementation of the capacity-building, knowledge generation and policy support tools and methodologies functions, including the establishment of links wi</w:t>
      </w:r>
      <w:r w:rsidR="00D62076" w:rsidRPr="00DA7368">
        <w:t>th other initiatives and organiz</w:t>
      </w:r>
      <w:r w:rsidRPr="00DA7368">
        <w:t xml:space="preserve">ations, </w:t>
      </w:r>
      <w:r w:rsidRPr="00746D9D">
        <w:t xml:space="preserve">required the establishment of a procedural and institutional foundation. </w:t>
      </w:r>
      <w:r w:rsidR="00D62076" w:rsidRPr="00746D9D">
        <w:t>As a result</w:t>
      </w:r>
      <w:r w:rsidRPr="00746D9D">
        <w:t xml:space="preserve">, implementation of these functions has generally </w:t>
      </w:r>
      <w:r w:rsidR="00D62076" w:rsidRPr="00746D9D">
        <w:t xml:space="preserve">been </w:t>
      </w:r>
      <w:r w:rsidRPr="00746D9D">
        <w:t>slower</w:t>
      </w:r>
      <w:r w:rsidR="002E0A87" w:rsidRPr="00746D9D">
        <w:t>, but has been improving recently with relevant procedures being established</w:t>
      </w:r>
      <w:r w:rsidRPr="00746D9D">
        <w:t>.</w:t>
      </w:r>
      <w:r w:rsidRPr="00DA7368">
        <w:t xml:space="preserve"> </w:t>
      </w:r>
    </w:p>
    <w:p w14:paraId="602232A6" w14:textId="5476931C" w:rsidR="00476C56" w:rsidRPr="00746D9D" w:rsidRDefault="00476C56" w:rsidP="00D85BD1">
      <w:pPr>
        <w:pStyle w:val="Normalnumber"/>
        <w:spacing w:before="40" w:after="140"/>
      </w:pPr>
      <w:r w:rsidRPr="00AD3BAC">
        <w:rPr>
          <w:b/>
        </w:rPr>
        <w:lastRenderedPageBreak/>
        <w:t>The usefulness of the catalogue of policy support tools, which includes the catalogues for assessments, was rated, on average, as fair</w:t>
      </w:r>
      <w:r w:rsidRPr="00572430">
        <w:t>.</w:t>
      </w:r>
      <w:r w:rsidR="00D62076" w:rsidRPr="00DA7368">
        <w:t xml:space="preserve"> T</w:t>
      </w:r>
      <w:r w:rsidRPr="00DA7368">
        <w:t xml:space="preserve">he catalogue is at an early stage of development, </w:t>
      </w:r>
      <w:r w:rsidR="00D62076" w:rsidRPr="00DA7368">
        <w:t xml:space="preserve">however, </w:t>
      </w:r>
      <w:r w:rsidRPr="00DA7368">
        <w:t xml:space="preserve">and a conclusive assessment of its usefulness is </w:t>
      </w:r>
      <w:r w:rsidR="00D62076" w:rsidRPr="00DA7368">
        <w:t xml:space="preserve">therefore </w:t>
      </w:r>
      <w:r w:rsidRPr="00DA7368">
        <w:t xml:space="preserve">not possible at this point in time. Furthermore, progress was limited by </w:t>
      </w:r>
      <w:r w:rsidRPr="00746D9D">
        <w:t xml:space="preserve">the funds </w:t>
      </w:r>
      <w:r w:rsidR="00AD3BAC" w:rsidRPr="00746D9D">
        <w:t xml:space="preserve">allocated </w:t>
      </w:r>
      <w:r w:rsidRPr="00746D9D">
        <w:t xml:space="preserve">to support this deliverable. </w:t>
      </w:r>
      <w:r w:rsidR="00D62076" w:rsidRPr="00746D9D">
        <w:t>I</w:t>
      </w:r>
      <w:r w:rsidRPr="00746D9D">
        <w:t xml:space="preserve">mplementation of this function of IPBES is not only achieved through the development of the catalogue for policy support tools, but also through the assessment function, </w:t>
      </w:r>
      <w:r w:rsidR="00AD3BAC" w:rsidRPr="00746D9D">
        <w:t xml:space="preserve">in particular </w:t>
      </w:r>
      <w:r w:rsidRPr="00746D9D">
        <w:t xml:space="preserve">the methodological assessment of scenarios and models and the development of the preliminary guide on values and related work.  </w:t>
      </w:r>
    </w:p>
    <w:p w14:paraId="1AFDFA40" w14:textId="364AEDC0" w:rsidR="00476C56" w:rsidRPr="00746D9D" w:rsidRDefault="00476C56" w:rsidP="00D85BD1">
      <w:pPr>
        <w:pStyle w:val="Normalnumber"/>
        <w:spacing w:before="40" w:after="140"/>
      </w:pPr>
      <w:r w:rsidRPr="00DA7368">
        <w:t xml:space="preserve">At its fifth session, the Plenary welcomed the capacity-building rolling plan that has </w:t>
      </w:r>
      <w:r w:rsidR="00D62076" w:rsidRPr="00DA7368">
        <w:t xml:space="preserve">since </w:t>
      </w:r>
      <w:r w:rsidRPr="00DA7368">
        <w:t xml:space="preserve">been guiding capacity-building activities. </w:t>
      </w:r>
      <w:r w:rsidRPr="00D8418A">
        <w:rPr>
          <w:b/>
        </w:rPr>
        <w:t xml:space="preserve">The </w:t>
      </w:r>
      <w:r w:rsidRPr="00746D9D">
        <w:rPr>
          <w:b/>
        </w:rPr>
        <w:t xml:space="preserve">fellowship </w:t>
      </w:r>
      <w:r w:rsidRPr="00572430">
        <w:rPr>
          <w:b/>
        </w:rPr>
        <w:t>program</w:t>
      </w:r>
      <w:r w:rsidR="00D62076" w:rsidRPr="00572430">
        <w:rPr>
          <w:b/>
        </w:rPr>
        <w:t>me</w:t>
      </w:r>
      <w:r w:rsidRPr="00746D9D">
        <w:rPr>
          <w:b/>
        </w:rPr>
        <w:t xml:space="preserve"> has been well received.</w:t>
      </w:r>
      <w:r w:rsidRPr="00572430">
        <w:rPr>
          <w:b/>
        </w:rPr>
        <w:t xml:space="preserve"> </w:t>
      </w:r>
      <w:r w:rsidRPr="00746D9D">
        <w:rPr>
          <w:b/>
        </w:rPr>
        <w:t xml:space="preserve">The </w:t>
      </w:r>
      <w:r w:rsidR="00D62076" w:rsidRPr="00572430">
        <w:rPr>
          <w:b/>
        </w:rPr>
        <w:t>performance</w:t>
      </w:r>
      <w:r w:rsidR="00D62076" w:rsidRPr="00746D9D">
        <w:rPr>
          <w:b/>
        </w:rPr>
        <w:t xml:space="preserve"> </w:t>
      </w:r>
      <w:r w:rsidRPr="00746D9D">
        <w:rPr>
          <w:b/>
        </w:rPr>
        <w:t xml:space="preserve">of the capacity-building forum was </w:t>
      </w:r>
      <w:r w:rsidRPr="00572430">
        <w:rPr>
          <w:b/>
        </w:rPr>
        <w:t xml:space="preserve">rated </w:t>
      </w:r>
      <w:r w:rsidR="00D62076" w:rsidRPr="00746D9D">
        <w:rPr>
          <w:b/>
        </w:rPr>
        <w:t xml:space="preserve">overall </w:t>
      </w:r>
      <w:r w:rsidRPr="00746D9D">
        <w:rPr>
          <w:b/>
        </w:rPr>
        <w:t>as “fair”</w:t>
      </w:r>
      <w:r w:rsidRPr="00746D9D">
        <w:t xml:space="preserve"> and its structure may need to evolve. The regional dialogue meetings were well received; their </w:t>
      </w:r>
      <w:r w:rsidR="00D62076" w:rsidRPr="00746D9D">
        <w:t xml:space="preserve">performance </w:t>
      </w:r>
      <w:r w:rsidRPr="00746D9D">
        <w:t xml:space="preserve">may be further </w:t>
      </w:r>
      <w:r w:rsidR="00D62076" w:rsidRPr="00746D9D">
        <w:t xml:space="preserve">improved </w:t>
      </w:r>
      <w:r w:rsidRPr="00746D9D">
        <w:t xml:space="preserve">by holding them earlier in the peer review process. </w:t>
      </w:r>
    </w:p>
    <w:p w14:paraId="1C762AF7" w14:textId="1E1E95D1" w:rsidR="00476C56" w:rsidRPr="00DA7368" w:rsidRDefault="00476C56" w:rsidP="00D85BD1">
      <w:pPr>
        <w:pStyle w:val="Normalnumber"/>
        <w:spacing w:before="40" w:after="140"/>
      </w:pPr>
      <w:r w:rsidRPr="00746D9D">
        <w:rPr>
          <w:b/>
        </w:rPr>
        <w:t xml:space="preserve">Aspects of the work on knowledge and data are considered </w:t>
      </w:r>
      <w:r w:rsidR="00D62076" w:rsidRPr="00746D9D">
        <w:rPr>
          <w:b/>
        </w:rPr>
        <w:t xml:space="preserve">overall </w:t>
      </w:r>
      <w:r w:rsidRPr="00572430">
        <w:rPr>
          <w:b/>
        </w:rPr>
        <w:t xml:space="preserve">as </w:t>
      </w:r>
      <w:r w:rsidRPr="00746D9D">
        <w:rPr>
          <w:b/>
        </w:rPr>
        <w:t>“fair”</w:t>
      </w:r>
      <w:r w:rsidRPr="00746D9D">
        <w:t xml:space="preserve">, and work contributing to this function </w:t>
      </w:r>
      <w:r w:rsidR="00D8418A" w:rsidRPr="00746D9D">
        <w:t xml:space="preserve">should </w:t>
      </w:r>
      <w:r w:rsidRPr="00746D9D">
        <w:t>be enhanced in the future</w:t>
      </w:r>
      <w:r w:rsidRPr="00DA7368">
        <w:t xml:space="preserve">. </w:t>
      </w:r>
      <w:r w:rsidR="00D62076" w:rsidRPr="00DA7368">
        <w:t>Where catalys</w:t>
      </w:r>
      <w:r w:rsidRPr="00DA7368">
        <w:t>ing the generation of new knowledge</w:t>
      </w:r>
      <w:r w:rsidR="00D62076" w:rsidRPr="00DA7368">
        <w:t xml:space="preserve"> is concerned</w:t>
      </w:r>
      <w:r w:rsidRPr="00DA7368">
        <w:t>, only limited activities have taken place to date</w:t>
      </w:r>
      <w:r w:rsidR="00D62076" w:rsidRPr="00DA7368">
        <w:t xml:space="preserve">, while </w:t>
      </w:r>
      <w:r w:rsidRPr="00DA7368">
        <w:t xml:space="preserve">knowledge gaps </w:t>
      </w:r>
      <w:r w:rsidR="00D62076" w:rsidRPr="00DA7368">
        <w:t xml:space="preserve">are being identified in the light of </w:t>
      </w:r>
      <w:r w:rsidRPr="00DA7368">
        <w:t xml:space="preserve">the assessments. </w:t>
      </w:r>
    </w:p>
    <w:p w14:paraId="7C5B04AB" w14:textId="75A14476" w:rsidR="00476C56" w:rsidRPr="00DA7368" w:rsidRDefault="00476C56" w:rsidP="00D85BD1">
      <w:pPr>
        <w:pStyle w:val="Normalnumber"/>
        <w:spacing w:before="40" w:after="140"/>
      </w:pPr>
      <w:r w:rsidRPr="00D8418A">
        <w:rPr>
          <w:b/>
        </w:rPr>
        <w:t>Aspects of the work related to recognizing, respecting and adequately addressing indigenous and local knowledge were considered overall</w:t>
      </w:r>
      <w:r w:rsidRPr="00572430">
        <w:rPr>
          <w:b/>
        </w:rPr>
        <w:t xml:space="preserve"> </w:t>
      </w:r>
      <w:r w:rsidR="00387932" w:rsidRPr="00572430">
        <w:rPr>
          <w:b/>
        </w:rPr>
        <w:t>as</w:t>
      </w:r>
      <w:r w:rsidR="00387932" w:rsidRPr="00D8418A">
        <w:rPr>
          <w:b/>
        </w:rPr>
        <w:t xml:space="preserve"> </w:t>
      </w:r>
      <w:r w:rsidRPr="00D8418A">
        <w:rPr>
          <w:b/>
        </w:rPr>
        <w:t>“good” or between “fair” and “good”.</w:t>
      </w:r>
      <w:r w:rsidRPr="00DA7368">
        <w:t xml:space="preserve"> This work is considered to </w:t>
      </w:r>
      <w:r w:rsidRPr="00746D9D">
        <w:t xml:space="preserve">have been advanced in a major way through the adoption, by the Plenary at its fifth session, of the approach to recognizing and working with indigenous and local knowledge. Its implementation, including through the participatory mechanism, is expected to advance this work </w:t>
      </w:r>
      <w:r w:rsidR="00387932" w:rsidRPr="00746D9D">
        <w:t xml:space="preserve">still further </w:t>
      </w:r>
      <w:r w:rsidRPr="00746D9D">
        <w:t xml:space="preserve">in the future. </w:t>
      </w:r>
      <w:r w:rsidR="00D8418A" w:rsidRPr="00746D9D">
        <w:t>The involvement of indigenous and local knowledge holders in IPBES activities should be increased.</w:t>
      </w:r>
    </w:p>
    <w:p w14:paraId="4ACF0423" w14:textId="3BB010AD" w:rsidR="00476C56" w:rsidRPr="00DA7368" w:rsidRDefault="00476C56" w:rsidP="00D85BD1">
      <w:pPr>
        <w:pStyle w:val="Normalnumber"/>
        <w:spacing w:before="40" w:after="140"/>
      </w:pPr>
      <w:r w:rsidRPr="00D8418A">
        <w:rPr>
          <w:b/>
        </w:rPr>
        <w:t>Synergies between the four functions of IPBES are considered to be an area in need of</w:t>
      </w:r>
      <w:r w:rsidRPr="00572430">
        <w:rPr>
          <w:b/>
        </w:rPr>
        <w:t xml:space="preserve"> </w:t>
      </w:r>
      <w:r w:rsidRPr="00D8418A">
        <w:rPr>
          <w:b/>
        </w:rPr>
        <w:t xml:space="preserve">improvement. The allocation of </w:t>
      </w:r>
      <w:r w:rsidR="00387932" w:rsidRPr="00572430">
        <w:rPr>
          <w:b/>
        </w:rPr>
        <w:t xml:space="preserve">the </w:t>
      </w:r>
      <w:r w:rsidRPr="00D8418A">
        <w:rPr>
          <w:b/>
        </w:rPr>
        <w:t>budget among the various deliverables of IPBES was considered “fair”.</w:t>
      </w:r>
      <w:r w:rsidRPr="00572430">
        <w:t xml:space="preserve"> </w:t>
      </w:r>
      <w:r w:rsidRPr="00DA7368">
        <w:t xml:space="preserve">Synergies and balance between the four functions </w:t>
      </w:r>
      <w:r w:rsidR="00387932" w:rsidRPr="00DA7368">
        <w:t>are</w:t>
      </w:r>
      <w:r w:rsidRPr="00DA7368">
        <w:t xml:space="preserve"> an important consideration for the development of the second work program</w:t>
      </w:r>
      <w:r w:rsidR="00387932" w:rsidRPr="00DA7368">
        <w:t>me</w:t>
      </w:r>
      <w:r w:rsidRPr="00DA7368">
        <w:t>.</w:t>
      </w:r>
    </w:p>
    <w:p w14:paraId="02DEA1D6" w14:textId="7435D36D" w:rsidR="00476C56" w:rsidRPr="00DA7368" w:rsidRDefault="00F63428" w:rsidP="00D85BD1">
      <w:pPr>
        <w:pStyle w:val="CH1"/>
        <w:spacing w:after="160"/>
      </w:pPr>
      <w:r>
        <w:tab/>
        <w:t>III.</w:t>
      </w:r>
      <w:r>
        <w:tab/>
      </w:r>
      <w:r w:rsidR="00476C56" w:rsidRPr="00DA7368">
        <w:t>Functioning of the Plenary, Bureau, Multidisciplinary Expert Panel and secretariat, including technical support units</w:t>
      </w:r>
    </w:p>
    <w:p w14:paraId="31F35088" w14:textId="77777777" w:rsidR="00476C56" w:rsidRPr="00D8418A" w:rsidRDefault="00476C56" w:rsidP="00D85BD1">
      <w:pPr>
        <w:pStyle w:val="Normalnumber"/>
        <w:spacing w:before="60" w:after="140"/>
        <w:rPr>
          <w:b/>
        </w:rPr>
      </w:pPr>
      <w:r w:rsidRPr="00D8418A">
        <w:rPr>
          <w:b/>
        </w:rPr>
        <w:t xml:space="preserve">Sessions of the Plenary are considered to be well organized and conducted in an effective manner, with appropriate information and documentation, and decisions of the Plenary are considered to be effectively implemented by the secretariat, Bureau and Multidisciplinary Expert Panel. Advice to the Plenary on coordination between IPBES and other relevant institutions could be improved. </w:t>
      </w:r>
    </w:p>
    <w:p w14:paraId="5E653751" w14:textId="4AC90817" w:rsidR="00476C56" w:rsidRPr="00572430" w:rsidRDefault="00476C56" w:rsidP="00D85BD1">
      <w:pPr>
        <w:pStyle w:val="Normalnumber"/>
        <w:spacing w:before="60" w:after="140"/>
        <w:rPr>
          <w:b/>
        </w:rPr>
      </w:pPr>
      <w:r w:rsidRPr="00D8418A">
        <w:rPr>
          <w:b/>
        </w:rPr>
        <w:t>The Bureau has effectively discharged its mandate in implementing the administrative functions of IPBES, although it could improve its role in identifying donors and developing partnership arrangements for the implementation of activities of IPBES.</w:t>
      </w:r>
      <w:r w:rsidRPr="00572430">
        <w:rPr>
          <w:b/>
        </w:rPr>
        <w:t xml:space="preserve"> </w:t>
      </w:r>
      <w:r w:rsidRPr="00D8418A">
        <w:rPr>
          <w:b/>
        </w:rPr>
        <w:t>Bureau members have effectively conducted their roles related to chairing and contributing to task forces, expert groups and assessment management committees. Members of IPBES and regional groups have been supported by their respective Bureau members</w:t>
      </w:r>
      <w:r w:rsidR="00D8418A" w:rsidRPr="00572430">
        <w:rPr>
          <w:b/>
        </w:rPr>
        <w:t xml:space="preserve"> to differing degrees</w:t>
      </w:r>
      <w:r w:rsidRPr="00D8418A">
        <w:rPr>
          <w:b/>
        </w:rPr>
        <w:t>.</w:t>
      </w:r>
    </w:p>
    <w:p w14:paraId="6C07FAF6" w14:textId="753496D6" w:rsidR="00476C56" w:rsidRPr="00DA7368" w:rsidRDefault="00476C56" w:rsidP="00D85BD1">
      <w:pPr>
        <w:pStyle w:val="Normalnumber"/>
        <w:spacing w:before="60" w:after="140"/>
      </w:pPr>
      <w:r w:rsidRPr="00D8418A">
        <w:rPr>
          <w:b/>
        </w:rPr>
        <w:t>The Multidisciplinary Expert Panel has effectively discharged its mandate in implementing the scientific functions of IPBES, although it could improve its role in engaging the scientific community and other knowledge holders with the work programme. Members of the Multidisciplinary Expert Panel have</w:t>
      </w:r>
      <w:r w:rsidRPr="00572430">
        <w:rPr>
          <w:b/>
        </w:rPr>
        <w:t xml:space="preserve"> </w:t>
      </w:r>
      <w:r w:rsidRPr="00D8418A">
        <w:rPr>
          <w:b/>
        </w:rPr>
        <w:t xml:space="preserve">effectively fulfilled their roles related to chairing and contributing to task forces and expert groups. </w:t>
      </w:r>
      <w:r w:rsidR="00D8418A" w:rsidRPr="00D54DE9">
        <w:t>The close interactions between the Bureau and the Multidisciplinary Expert Panel benefited the work of both bodies and should continue in the future</w:t>
      </w:r>
      <w:r w:rsidR="00D8418A">
        <w:t>.</w:t>
      </w:r>
    </w:p>
    <w:p w14:paraId="093395B9" w14:textId="5E6C0412" w:rsidR="00476C56" w:rsidRPr="00DA7368" w:rsidRDefault="00476C56" w:rsidP="00D85BD1">
      <w:pPr>
        <w:pStyle w:val="Normalnumber"/>
        <w:spacing w:before="60" w:after="140"/>
      </w:pPr>
      <w:r w:rsidRPr="00DA7368">
        <w:t xml:space="preserve">The secretariat has been very effective, </w:t>
      </w:r>
      <w:r w:rsidR="00387932" w:rsidRPr="00DA7368">
        <w:t>in particular</w:t>
      </w:r>
      <w:r w:rsidRPr="00DA7368">
        <w:t xml:space="preserve"> given that it was significantly understaffed for a long while</w:t>
      </w:r>
      <w:r w:rsidR="00387932" w:rsidRPr="00DA7368">
        <w:t xml:space="preserve">. </w:t>
      </w:r>
      <w:r w:rsidR="00387932" w:rsidRPr="00572430">
        <w:rPr>
          <w:b/>
        </w:rPr>
        <w:t>It has ensure</w:t>
      </w:r>
      <w:r w:rsidR="001E28D0" w:rsidRPr="00572430">
        <w:rPr>
          <w:b/>
        </w:rPr>
        <w:t>d</w:t>
      </w:r>
      <w:r w:rsidR="00387932" w:rsidRPr="00572430">
        <w:rPr>
          <w:b/>
        </w:rPr>
        <w:t xml:space="preserve"> </w:t>
      </w:r>
      <w:r w:rsidR="00387932" w:rsidRPr="00D8418A">
        <w:rPr>
          <w:b/>
        </w:rPr>
        <w:t xml:space="preserve">good </w:t>
      </w:r>
      <w:r w:rsidRPr="00D8418A">
        <w:rPr>
          <w:b/>
        </w:rPr>
        <w:t>documentation</w:t>
      </w:r>
      <w:r w:rsidR="001E28D0" w:rsidRPr="00572430">
        <w:rPr>
          <w:b/>
        </w:rPr>
        <w:t xml:space="preserve"> and that</w:t>
      </w:r>
      <w:r w:rsidR="001E28D0" w:rsidRPr="00D8418A">
        <w:rPr>
          <w:b/>
        </w:rPr>
        <w:t xml:space="preserve"> </w:t>
      </w:r>
      <w:r w:rsidRPr="00D8418A">
        <w:rPr>
          <w:b/>
        </w:rPr>
        <w:t>sessions of the Plenary and subsidiary bodies</w:t>
      </w:r>
      <w:r w:rsidR="00387932" w:rsidRPr="00572430">
        <w:rPr>
          <w:b/>
        </w:rPr>
        <w:t xml:space="preserve"> have been well organized</w:t>
      </w:r>
      <w:r w:rsidRPr="00572430">
        <w:rPr>
          <w:b/>
        </w:rPr>
        <w:t xml:space="preserve">, </w:t>
      </w:r>
      <w:r w:rsidR="00387932" w:rsidRPr="00572430">
        <w:rPr>
          <w:b/>
        </w:rPr>
        <w:t>it has been</w:t>
      </w:r>
      <w:r w:rsidR="00387932" w:rsidRPr="00D8418A">
        <w:rPr>
          <w:b/>
        </w:rPr>
        <w:t xml:space="preserve"> </w:t>
      </w:r>
      <w:r w:rsidRPr="00D8418A">
        <w:rPr>
          <w:b/>
        </w:rPr>
        <w:t>responsive to Plenary requests</w:t>
      </w:r>
      <w:r w:rsidR="00387932" w:rsidRPr="00572430">
        <w:rPr>
          <w:b/>
        </w:rPr>
        <w:t xml:space="preserve"> and</w:t>
      </w:r>
      <w:r w:rsidR="00387932" w:rsidRPr="00D8418A">
        <w:rPr>
          <w:b/>
        </w:rPr>
        <w:t xml:space="preserve"> </w:t>
      </w:r>
      <w:r w:rsidRPr="00D8418A">
        <w:rPr>
          <w:b/>
        </w:rPr>
        <w:t xml:space="preserve">to national focal points intersessionally, and </w:t>
      </w:r>
      <w:r w:rsidR="00387932" w:rsidRPr="00572430">
        <w:rPr>
          <w:b/>
        </w:rPr>
        <w:t xml:space="preserve">it has provided </w:t>
      </w:r>
      <w:r w:rsidRPr="00D8418A">
        <w:rPr>
          <w:b/>
        </w:rPr>
        <w:t>good support for delivery of the work programme.</w:t>
      </w:r>
      <w:r w:rsidRPr="00DA7368">
        <w:t xml:space="preserve"> The effectiveness of the technical support units has been variable, with some very good, while others improved over the course of the first work programme.</w:t>
      </w:r>
      <w:r w:rsidRPr="00572430">
        <w:t xml:space="preserve"> </w:t>
      </w:r>
      <w:r w:rsidRPr="00D8418A">
        <w:rPr>
          <w:b/>
        </w:rPr>
        <w:t xml:space="preserve">The appropriateness of the size, composition and set-up </w:t>
      </w:r>
      <w:r w:rsidRPr="00D8418A">
        <w:rPr>
          <w:b/>
        </w:rPr>
        <w:lastRenderedPageBreak/>
        <w:t>of the secretariat, including its technical support units, is considered “fair”</w:t>
      </w:r>
      <w:r w:rsidRPr="00572430">
        <w:t xml:space="preserve">; </w:t>
      </w:r>
      <w:r w:rsidRPr="00DA7368">
        <w:t>for the second work programme it is important to match the size of the work programme with adequate resources at the secretariat.</w:t>
      </w:r>
      <w:r w:rsidRPr="00572430">
        <w:t xml:space="preserve"> </w:t>
      </w:r>
    </w:p>
    <w:p w14:paraId="1B03927B" w14:textId="388C29DC" w:rsidR="00476C56" w:rsidRPr="00DA7368" w:rsidRDefault="00F63428" w:rsidP="00F63428">
      <w:pPr>
        <w:pStyle w:val="CH1"/>
      </w:pPr>
      <w:r>
        <w:tab/>
        <w:t>IV.</w:t>
      </w:r>
      <w:r>
        <w:tab/>
      </w:r>
      <w:r w:rsidR="00476C56" w:rsidRPr="00DA7368">
        <w:t>Functioning of the task forces and expert groups</w:t>
      </w:r>
    </w:p>
    <w:p w14:paraId="73173BF7" w14:textId="77777777" w:rsidR="00476C56" w:rsidRPr="00DA7368" w:rsidRDefault="00476C56" w:rsidP="006968D2">
      <w:pPr>
        <w:pStyle w:val="Normalnumber"/>
        <w:numPr>
          <w:ilvl w:val="0"/>
          <w:numId w:val="28"/>
        </w:numPr>
      </w:pPr>
      <w:r w:rsidRPr="00D8418A">
        <w:rPr>
          <w:b/>
        </w:rPr>
        <w:t>Interactions between the task forces, expert groups and assessments are considered in need of improvement. The capacity-building task group and the expert groups on scenarios and models and values have worked well. The work of other expert groups was considered “fair”.</w:t>
      </w:r>
      <w:r w:rsidRPr="00572430">
        <w:rPr>
          <w:b/>
        </w:rPr>
        <w:t xml:space="preserve"> </w:t>
      </w:r>
      <w:r w:rsidRPr="00DA7368">
        <w:t xml:space="preserve">While the generation of the sets of indicators has been important, the time to develop them made them less useful for the regional assessments and the land degradation and restoration assessment. </w:t>
      </w:r>
    </w:p>
    <w:p w14:paraId="5D647747" w14:textId="1551A933" w:rsidR="00476C56" w:rsidRPr="00DA7368" w:rsidRDefault="00F63428" w:rsidP="00F63428">
      <w:pPr>
        <w:pStyle w:val="CH1"/>
      </w:pPr>
      <w:r>
        <w:tab/>
        <w:t>V.</w:t>
      </w:r>
      <w:r>
        <w:tab/>
      </w:r>
      <w:r w:rsidR="00476C56" w:rsidRPr="00DA7368">
        <w:t>Partnerships, stakeholder engagement and communication</w:t>
      </w:r>
    </w:p>
    <w:p w14:paraId="7240C511" w14:textId="6D17E130" w:rsidR="00476C56" w:rsidRPr="00DA7368" w:rsidRDefault="00476C56" w:rsidP="006968D2">
      <w:pPr>
        <w:pStyle w:val="Normalnumber"/>
        <w:numPr>
          <w:ilvl w:val="0"/>
          <w:numId w:val="28"/>
        </w:numPr>
      </w:pPr>
      <w:r w:rsidRPr="00DA7368">
        <w:t xml:space="preserve">Collaboration with partners within the United Nations system and with other relevant organizations, initiatives and networks has progressed but overall </w:t>
      </w:r>
      <w:r w:rsidRPr="00D8418A">
        <w:rPr>
          <w:b/>
        </w:rPr>
        <w:t xml:space="preserve">collaboration is considered </w:t>
      </w:r>
      <w:r w:rsidR="00387932" w:rsidRPr="00572430">
        <w:rPr>
          <w:b/>
        </w:rPr>
        <w:t>to be</w:t>
      </w:r>
      <w:r w:rsidRPr="00D8418A">
        <w:rPr>
          <w:b/>
        </w:rPr>
        <w:t xml:space="preserve"> an area in need of improvement</w:t>
      </w:r>
      <w:r w:rsidRPr="00572430">
        <w:rPr>
          <w:b/>
        </w:rPr>
        <w:t xml:space="preserve">. </w:t>
      </w:r>
      <w:r w:rsidRPr="00D8418A">
        <w:rPr>
          <w:b/>
        </w:rPr>
        <w:t>Stakeholder engagement, outreach and communication are considered to need strengthening</w:t>
      </w:r>
      <w:r w:rsidRPr="00572430">
        <w:rPr>
          <w:b/>
        </w:rPr>
        <w:t>,</w:t>
      </w:r>
      <w:r w:rsidRPr="00DA7368">
        <w:t xml:space="preserve"> while it is acknowledged that a recent </w:t>
      </w:r>
      <w:r w:rsidR="00387932" w:rsidRPr="00DA7368">
        <w:t xml:space="preserve">recruitment </w:t>
      </w:r>
      <w:r w:rsidRPr="00DA7368">
        <w:t>has significantly strengthened the communications and outreach activities. The visibility of IPBES needs to extend b</w:t>
      </w:r>
      <w:r w:rsidR="00387932" w:rsidRPr="00DA7368">
        <w:t>eyond ministries of e</w:t>
      </w:r>
      <w:r w:rsidRPr="00DA7368">
        <w:t>nvironment.</w:t>
      </w:r>
    </w:p>
    <w:p w14:paraId="39D51B0E" w14:textId="138C0ABD" w:rsidR="00476C56" w:rsidRPr="00DA7368" w:rsidRDefault="00F63428" w:rsidP="00F63428">
      <w:pPr>
        <w:pStyle w:val="CH1"/>
      </w:pPr>
      <w:r>
        <w:tab/>
        <w:t>VI.</w:t>
      </w:r>
      <w:r>
        <w:tab/>
      </w:r>
      <w:r w:rsidR="00476C56" w:rsidRPr="00DA7368">
        <w:t>Effectiveness of budgetary management and financial rules</w:t>
      </w:r>
    </w:p>
    <w:p w14:paraId="3F7BC7EB" w14:textId="4826EC2B" w:rsidR="00476C56" w:rsidRPr="00DA7368" w:rsidRDefault="00476C56" w:rsidP="006968D2">
      <w:pPr>
        <w:pStyle w:val="Normalnumber"/>
        <w:numPr>
          <w:ilvl w:val="0"/>
          <w:numId w:val="28"/>
        </w:numPr>
      </w:pPr>
      <w:r w:rsidRPr="00D8418A">
        <w:rPr>
          <w:b/>
        </w:rPr>
        <w:t xml:space="preserve">Given the tight budgetary situation, it was recognized that there is a need </w:t>
      </w:r>
      <w:r w:rsidR="00387932" w:rsidRPr="00572430">
        <w:rPr>
          <w:b/>
        </w:rPr>
        <w:t>to step up</w:t>
      </w:r>
      <w:r w:rsidR="00387932" w:rsidRPr="00D8418A">
        <w:rPr>
          <w:b/>
        </w:rPr>
        <w:t xml:space="preserve"> </w:t>
      </w:r>
      <w:r w:rsidRPr="00D8418A">
        <w:rPr>
          <w:b/>
        </w:rPr>
        <w:t>fundraising activities</w:t>
      </w:r>
      <w:r w:rsidRPr="00572430">
        <w:rPr>
          <w:b/>
        </w:rPr>
        <w:t xml:space="preserve">. </w:t>
      </w:r>
      <w:r w:rsidRPr="00D8418A">
        <w:rPr>
          <w:b/>
        </w:rPr>
        <w:t xml:space="preserve">The financial rules are considered to have been observed well, and the budget documents presented to </w:t>
      </w:r>
      <w:r w:rsidR="001E26C3" w:rsidRPr="00572430">
        <w:rPr>
          <w:b/>
        </w:rPr>
        <w:t xml:space="preserve">the </w:t>
      </w:r>
      <w:r w:rsidRPr="00D8418A">
        <w:rPr>
          <w:b/>
        </w:rPr>
        <w:t xml:space="preserve">Plenary </w:t>
      </w:r>
      <w:r w:rsidR="00387932" w:rsidRPr="00572430">
        <w:rPr>
          <w:b/>
        </w:rPr>
        <w:t xml:space="preserve">are </w:t>
      </w:r>
      <w:r w:rsidRPr="00D8418A">
        <w:rPr>
          <w:b/>
        </w:rPr>
        <w:t>adequate</w:t>
      </w:r>
      <w:r w:rsidRPr="00572430">
        <w:rPr>
          <w:b/>
        </w:rPr>
        <w:t>.</w:t>
      </w:r>
      <w:r w:rsidRPr="00DA7368">
        <w:t xml:space="preserve"> Significant amounts of in-kind contributions have been obtained, reducing pressures on the IPBES trust fund.</w:t>
      </w:r>
    </w:p>
    <w:p w14:paraId="60038A5F" w14:textId="77777777" w:rsidR="00B85A41" w:rsidRPr="00DA7368" w:rsidRDefault="00B85A41" w:rsidP="00254264">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6"/>
        <w:gridCol w:w="1966"/>
        <w:gridCol w:w="1966"/>
        <w:gridCol w:w="1967"/>
      </w:tblGrid>
      <w:tr w:rsidR="00254264" w14:paraId="00F18B19" w14:textId="77777777" w:rsidTr="00254264">
        <w:tc>
          <w:tcPr>
            <w:tcW w:w="2009" w:type="dxa"/>
          </w:tcPr>
          <w:p w14:paraId="24F50740" w14:textId="77777777" w:rsidR="00254264" w:rsidRDefault="00254264" w:rsidP="00254264">
            <w:pPr>
              <w:pStyle w:val="Normal-pool"/>
              <w:spacing w:before="520"/>
            </w:pPr>
          </w:p>
        </w:tc>
        <w:tc>
          <w:tcPr>
            <w:tcW w:w="2009" w:type="dxa"/>
          </w:tcPr>
          <w:p w14:paraId="6723FA97" w14:textId="77777777" w:rsidR="00254264" w:rsidRDefault="00254264" w:rsidP="00254264">
            <w:pPr>
              <w:pStyle w:val="Normal-pool"/>
              <w:spacing w:before="520"/>
            </w:pPr>
          </w:p>
        </w:tc>
        <w:tc>
          <w:tcPr>
            <w:tcW w:w="2009" w:type="dxa"/>
            <w:tcBorders>
              <w:bottom w:val="single" w:sz="4" w:space="0" w:color="auto"/>
            </w:tcBorders>
          </w:tcPr>
          <w:p w14:paraId="6A51529D" w14:textId="77777777" w:rsidR="00254264" w:rsidRDefault="00254264" w:rsidP="00254264">
            <w:pPr>
              <w:pStyle w:val="Normal-pool"/>
              <w:spacing w:before="520"/>
            </w:pPr>
          </w:p>
        </w:tc>
        <w:tc>
          <w:tcPr>
            <w:tcW w:w="2009" w:type="dxa"/>
          </w:tcPr>
          <w:p w14:paraId="4CDB301E" w14:textId="77777777" w:rsidR="00254264" w:rsidRDefault="00254264" w:rsidP="00254264">
            <w:pPr>
              <w:pStyle w:val="Normal-pool"/>
              <w:spacing w:before="520"/>
            </w:pPr>
          </w:p>
        </w:tc>
        <w:tc>
          <w:tcPr>
            <w:tcW w:w="2010" w:type="dxa"/>
          </w:tcPr>
          <w:p w14:paraId="0FD1DBFF" w14:textId="77777777" w:rsidR="00254264" w:rsidRDefault="00254264" w:rsidP="00254264">
            <w:pPr>
              <w:pStyle w:val="Normal-pool"/>
              <w:spacing w:before="520"/>
            </w:pPr>
          </w:p>
        </w:tc>
      </w:tr>
    </w:tbl>
    <w:p w14:paraId="02E03AE7" w14:textId="77777777" w:rsidR="0059580D" w:rsidRPr="00DA7368" w:rsidRDefault="0059580D" w:rsidP="00254264">
      <w:pPr>
        <w:pStyle w:val="Normal-pool"/>
      </w:pPr>
    </w:p>
    <w:sectPr w:rsidR="0059580D" w:rsidRPr="00DA7368" w:rsidSect="00943BDB">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6C6B" w14:textId="77777777" w:rsidR="005C481F" w:rsidRDefault="005C481F">
      <w:r>
        <w:separator/>
      </w:r>
    </w:p>
    <w:p w14:paraId="1CCD3E55" w14:textId="77777777" w:rsidR="005C481F" w:rsidRDefault="005C481F"/>
  </w:endnote>
  <w:endnote w:type="continuationSeparator" w:id="0">
    <w:p w14:paraId="226D7581" w14:textId="77777777" w:rsidR="005C481F" w:rsidRDefault="005C481F">
      <w:r>
        <w:continuationSeparator/>
      </w:r>
    </w:p>
    <w:p w14:paraId="5C41A49D" w14:textId="77777777" w:rsidR="005C481F" w:rsidRDefault="005C481F"/>
  </w:endnote>
  <w:endnote w:type="continuationNotice" w:id="1">
    <w:p w14:paraId="1EB62D63" w14:textId="77777777" w:rsidR="005C481F" w:rsidRDefault="005C4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1B099B9E" w:rsidR="00D62076" w:rsidRDefault="00D62076" w:rsidP="00F63428">
    <w:pPr>
      <w:pStyle w:val="Footer"/>
    </w:pPr>
    <w:r>
      <w:rPr>
        <w:rStyle w:val="PageNumber"/>
      </w:rPr>
      <w:fldChar w:fldCharType="begin"/>
    </w:r>
    <w:r>
      <w:rPr>
        <w:rStyle w:val="PageNumber"/>
      </w:rPr>
      <w:instrText xml:space="preserve"> PAGE </w:instrText>
    </w:r>
    <w:r>
      <w:rPr>
        <w:rStyle w:val="PageNumber"/>
      </w:rPr>
      <w:fldChar w:fldCharType="separate"/>
    </w:r>
    <w:r w:rsidR="00601C8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2EAE4B1A" w:rsidR="00D62076" w:rsidRDefault="00D62076"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601C8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B00" w14:textId="5FA0B5AB" w:rsidR="00D62076" w:rsidRPr="00F63428" w:rsidRDefault="001E28D0">
    <w:pPr>
      <w:pStyle w:val="Footer"/>
      <w:rPr>
        <w:sz w:val="20"/>
      </w:rPr>
    </w:pPr>
    <w:r w:rsidRPr="00572430">
      <w:rPr>
        <w:sz w:val="20"/>
      </w:rPr>
      <w:t>K1709168</w:t>
    </w:r>
    <w:r w:rsidR="00D62076" w:rsidRPr="00572430">
      <w:rPr>
        <w:sz w:val="20"/>
      </w:rPr>
      <w:tab/>
    </w:r>
    <w:r w:rsidR="00F50C3B">
      <w:rPr>
        <w:sz w:val="20"/>
      </w:rPr>
      <w:t>01021</w:t>
    </w:r>
    <w:r w:rsidR="00D85BD1">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D709" w14:textId="77777777" w:rsidR="005C481F" w:rsidRDefault="005C481F" w:rsidP="00254264">
      <w:pPr>
        <w:spacing w:before="60"/>
        <w:ind w:left="624"/>
      </w:pPr>
      <w:r>
        <w:separator/>
      </w:r>
    </w:p>
  </w:footnote>
  <w:footnote w:type="continuationSeparator" w:id="0">
    <w:p w14:paraId="16004665" w14:textId="77777777" w:rsidR="005C481F" w:rsidRDefault="005C481F">
      <w:r>
        <w:continuationSeparator/>
      </w:r>
    </w:p>
    <w:p w14:paraId="239956FA" w14:textId="77777777" w:rsidR="005C481F" w:rsidRDefault="005C481F"/>
  </w:footnote>
  <w:footnote w:type="continuationNotice" w:id="1">
    <w:p w14:paraId="429DA431" w14:textId="77777777" w:rsidR="005C481F" w:rsidRDefault="005C481F"/>
  </w:footnote>
  <w:footnote w:id="2">
    <w:p w14:paraId="458E1BD1" w14:textId="77777777" w:rsidR="00D62076" w:rsidRPr="00254264" w:rsidRDefault="00D62076" w:rsidP="00F50C3B">
      <w:pPr>
        <w:pStyle w:val="FootnoteText"/>
        <w:tabs>
          <w:tab w:val="clear" w:pos="1247"/>
          <w:tab w:val="clear" w:pos="1814"/>
          <w:tab w:val="clear" w:pos="2381"/>
          <w:tab w:val="clear" w:pos="2948"/>
          <w:tab w:val="clear" w:pos="3515"/>
          <w:tab w:val="left" w:pos="624"/>
        </w:tabs>
        <w:rPr>
          <w:szCs w:val="18"/>
          <w:lang w:val="en-US"/>
        </w:rPr>
      </w:pPr>
      <w:r w:rsidRPr="00254264">
        <w:rPr>
          <w:rStyle w:val="FootnoteReference"/>
          <w:sz w:val="18"/>
          <w:vertAlign w:val="baseline"/>
        </w:rPr>
        <w:t>*</w:t>
      </w:r>
      <w:r w:rsidRPr="00254264">
        <w:rPr>
          <w:szCs w:val="18"/>
        </w:rPr>
        <w:t xml:space="preserve"> IPBES/6/1.</w:t>
      </w:r>
    </w:p>
  </w:footnote>
  <w:footnote w:id="3">
    <w:p w14:paraId="1345EF87" w14:textId="18F0415C" w:rsidR="00D5047E" w:rsidRPr="00D5047E" w:rsidRDefault="00D5047E" w:rsidP="00F50C3B">
      <w:pPr>
        <w:pStyle w:val="FootnoteText"/>
      </w:pPr>
      <w:r>
        <w:rPr>
          <w:rStyle w:val="FootnoteReference"/>
        </w:rPr>
        <w:footnoteRef/>
      </w:r>
      <w:r>
        <w:t xml:space="preserve"> </w:t>
      </w:r>
      <w:r w:rsidRPr="00FB5ED1">
        <w:rPr>
          <w:szCs w:val="18"/>
          <w:lang w:val="de-DE"/>
        </w:rPr>
        <w:t>IPBES/6/10.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747B5784" w:rsidR="00D62076" w:rsidRPr="00986F26" w:rsidRDefault="00D62076">
    <w:pPr>
      <w:pStyle w:val="Header"/>
      <w:rPr>
        <w:szCs w:val="18"/>
      </w:rPr>
    </w:pPr>
    <w:r w:rsidRPr="00342061">
      <w:rPr>
        <w:szCs w:val="18"/>
      </w:rPr>
      <w:t>IPBES/</w:t>
    </w:r>
    <w:r w:rsidRPr="00342061">
      <w:rPr>
        <w:szCs w:val="18"/>
        <w:lang w:eastAsia="ja-JP"/>
      </w:rPr>
      <w:t>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3AD9609C" w:rsidR="00D62076" w:rsidRPr="00494455" w:rsidRDefault="00D62076" w:rsidP="00C0058D">
    <w:pPr>
      <w:pStyle w:val="Header"/>
      <w:jc w:val="right"/>
      <w:rPr>
        <w:szCs w:val="18"/>
      </w:rPr>
    </w:pPr>
    <w:r w:rsidRPr="00C0058D">
      <w:rPr>
        <w:szCs w:val="18"/>
      </w:rPr>
      <w:t>IPBES/</w:t>
    </w:r>
    <w:r>
      <w:rPr>
        <w:szCs w:val="18"/>
        <w:lang w:eastAsia="ja-JP"/>
      </w:rPr>
      <w:t>6/10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C703" w14:textId="71B62A22" w:rsidR="00D62076" w:rsidRDefault="00D62076"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E0370F8"/>
    <w:multiLevelType w:val="multilevel"/>
    <w:tmpl w:val="73DE7A0C"/>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7"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4"/>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2"/>
  </w:num>
  <w:num w:numId="22">
    <w:abstractNumId w:val="7"/>
  </w:num>
  <w:num w:numId="23">
    <w:abstractNumId w:val="3"/>
  </w:num>
  <w:num w:numId="24">
    <w:abstractNumId w:val="9"/>
  </w:num>
  <w:num w:numId="25">
    <w:abstractNumId w:val="13"/>
  </w:num>
  <w:num w:numId="26">
    <w:abstractNumId w:val="10"/>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9"/>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2"/>
    <w:lvlOverride w:ilvl="0">
      <w:startOverride w:val="1"/>
    </w:lvlOverride>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81E43"/>
    <w:rsid w:val="00082A0C"/>
    <w:rsid w:val="000917E8"/>
    <w:rsid w:val="00094221"/>
    <w:rsid w:val="0009640C"/>
    <w:rsid w:val="000A4790"/>
    <w:rsid w:val="000B1C30"/>
    <w:rsid w:val="000B59B2"/>
    <w:rsid w:val="000C665C"/>
    <w:rsid w:val="000D33C0"/>
    <w:rsid w:val="000D523B"/>
    <w:rsid w:val="000E067F"/>
    <w:rsid w:val="000E13EF"/>
    <w:rsid w:val="000E53DF"/>
    <w:rsid w:val="000F3B6C"/>
    <w:rsid w:val="00100602"/>
    <w:rsid w:val="00102111"/>
    <w:rsid w:val="001159BB"/>
    <w:rsid w:val="001202E3"/>
    <w:rsid w:val="00121708"/>
    <w:rsid w:val="0012562E"/>
    <w:rsid w:val="0013059D"/>
    <w:rsid w:val="0013398F"/>
    <w:rsid w:val="0013648B"/>
    <w:rsid w:val="00137580"/>
    <w:rsid w:val="00141A55"/>
    <w:rsid w:val="00151424"/>
    <w:rsid w:val="001554A3"/>
    <w:rsid w:val="00156281"/>
    <w:rsid w:val="0016362C"/>
    <w:rsid w:val="00166FFD"/>
    <w:rsid w:val="001673CF"/>
    <w:rsid w:val="00170D4D"/>
    <w:rsid w:val="001811FA"/>
    <w:rsid w:val="00181BC9"/>
    <w:rsid w:val="00181EC8"/>
    <w:rsid w:val="00182AEE"/>
    <w:rsid w:val="00183EEE"/>
    <w:rsid w:val="00184349"/>
    <w:rsid w:val="00187A5D"/>
    <w:rsid w:val="00192269"/>
    <w:rsid w:val="0019268D"/>
    <w:rsid w:val="001A64B7"/>
    <w:rsid w:val="001B08F0"/>
    <w:rsid w:val="001B1617"/>
    <w:rsid w:val="001B3588"/>
    <w:rsid w:val="001B40EE"/>
    <w:rsid w:val="001C74C3"/>
    <w:rsid w:val="001D3874"/>
    <w:rsid w:val="001D4810"/>
    <w:rsid w:val="001D7E75"/>
    <w:rsid w:val="001E26C3"/>
    <w:rsid w:val="001E28D0"/>
    <w:rsid w:val="001E56D2"/>
    <w:rsid w:val="001E7D56"/>
    <w:rsid w:val="001F034F"/>
    <w:rsid w:val="001F75DE"/>
    <w:rsid w:val="001F765B"/>
    <w:rsid w:val="00200D58"/>
    <w:rsid w:val="002013BE"/>
    <w:rsid w:val="002041A0"/>
    <w:rsid w:val="002063A4"/>
    <w:rsid w:val="0021145B"/>
    <w:rsid w:val="00215826"/>
    <w:rsid w:val="00221AE7"/>
    <w:rsid w:val="002231FA"/>
    <w:rsid w:val="00234B58"/>
    <w:rsid w:val="002463AF"/>
    <w:rsid w:val="002464B8"/>
    <w:rsid w:val="00247707"/>
    <w:rsid w:val="00250609"/>
    <w:rsid w:val="00250F52"/>
    <w:rsid w:val="00253901"/>
    <w:rsid w:val="00254264"/>
    <w:rsid w:val="002545F6"/>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56EA"/>
    <w:rsid w:val="002C145D"/>
    <w:rsid w:val="002C2C3E"/>
    <w:rsid w:val="002C3453"/>
    <w:rsid w:val="002C533E"/>
    <w:rsid w:val="002C7132"/>
    <w:rsid w:val="002D027F"/>
    <w:rsid w:val="002D146C"/>
    <w:rsid w:val="002D3489"/>
    <w:rsid w:val="002D3D4C"/>
    <w:rsid w:val="002D7B60"/>
    <w:rsid w:val="002E0A87"/>
    <w:rsid w:val="002E0D90"/>
    <w:rsid w:val="002E3EA7"/>
    <w:rsid w:val="002F176E"/>
    <w:rsid w:val="002F1F0E"/>
    <w:rsid w:val="002F312A"/>
    <w:rsid w:val="002F4761"/>
    <w:rsid w:val="002F5B0F"/>
    <w:rsid w:val="002F6E0C"/>
    <w:rsid w:val="003029A1"/>
    <w:rsid w:val="003056C1"/>
    <w:rsid w:val="00306B12"/>
    <w:rsid w:val="003124FF"/>
    <w:rsid w:val="0031413F"/>
    <w:rsid w:val="00320BDB"/>
    <w:rsid w:val="003212A9"/>
    <w:rsid w:val="003364FF"/>
    <w:rsid w:val="00336901"/>
    <w:rsid w:val="00337F63"/>
    <w:rsid w:val="00341F94"/>
    <w:rsid w:val="00342061"/>
    <w:rsid w:val="003446B5"/>
    <w:rsid w:val="0034548C"/>
    <w:rsid w:val="00350017"/>
    <w:rsid w:val="003503B6"/>
    <w:rsid w:val="00352F00"/>
    <w:rsid w:val="00355EA9"/>
    <w:rsid w:val="00377EB9"/>
    <w:rsid w:val="00385963"/>
    <w:rsid w:val="00387932"/>
    <w:rsid w:val="00394E92"/>
    <w:rsid w:val="00396257"/>
    <w:rsid w:val="00397909"/>
    <w:rsid w:val="00397EB8"/>
    <w:rsid w:val="003A4FD0"/>
    <w:rsid w:val="003A69D1"/>
    <w:rsid w:val="003A6EF9"/>
    <w:rsid w:val="003B0C0D"/>
    <w:rsid w:val="003B1545"/>
    <w:rsid w:val="003B32FC"/>
    <w:rsid w:val="003B41D2"/>
    <w:rsid w:val="003B57B7"/>
    <w:rsid w:val="003B72EF"/>
    <w:rsid w:val="003B7A70"/>
    <w:rsid w:val="003C409D"/>
    <w:rsid w:val="003C4EFB"/>
    <w:rsid w:val="003C670D"/>
    <w:rsid w:val="003D2B36"/>
    <w:rsid w:val="003E05E6"/>
    <w:rsid w:val="003E09A0"/>
    <w:rsid w:val="003E395B"/>
    <w:rsid w:val="003E5FEA"/>
    <w:rsid w:val="003E7728"/>
    <w:rsid w:val="003F0E85"/>
    <w:rsid w:val="00400EFD"/>
    <w:rsid w:val="00404648"/>
    <w:rsid w:val="00404965"/>
    <w:rsid w:val="00410C55"/>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5F50"/>
    <w:rsid w:val="00476C56"/>
    <w:rsid w:val="00480742"/>
    <w:rsid w:val="004827F3"/>
    <w:rsid w:val="00493E19"/>
    <w:rsid w:val="00494455"/>
    <w:rsid w:val="00495289"/>
    <w:rsid w:val="00496EFB"/>
    <w:rsid w:val="004A1438"/>
    <w:rsid w:val="004A36DE"/>
    <w:rsid w:val="004A4744"/>
    <w:rsid w:val="004B1F4A"/>
    <w:rsid w:val="004B5666"/>
    <w:rsid w:val="004C5C96"/>
    <w:rsid w:val="004D06A4"/>
    <w:rsid w:val="004D6638"/>
    <w:rsid w:val="004E1BBB"/>
    <w:rsid w:val="004E6336"/>
    <w:rsid w:val="004F1A81"/>
    <w:rsid w:val="004F2D0E"/>
    <w:rsid w:val="0050619E"/>
    <w:rsid w:val="00507F32"/>
    <w:rsid w:val="00512808"/>
    <w:rsid w:val="0051335F"/>
    <w:rsid w:val="005160EC"/>
    <w:rsid w:val="005218D9"/>
    <w:rsid w:val="005269C4"/>
    <w:rsid w:val="005341C5"/>
    <w:rsid w:val="0053431C"/>
    <w:rsid w:val="00535BDA"/>
    <w:rsid w:val="00536186"/>
    <w:rsid w:val="00537EC1"/>
    <w:rsid w:val="00543454"/>
    <w:rsid w:val="00544198"/>
    <w:rsid w:val="005453ED"/>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58AD"/>
    <w:rsid w:val="0058611F"/>
    <w:rsid w:val="0058768E"/>
    <w:rsid w:val="0059580D"/>
    <w:rsid w:val="005A0602"/>
    <w:rsid w:val="005A1B2D"/>
    <w:rsid w:val="005A59FE"/>
    <w:rsid w:val="005B0DDF"/>
    <w:rsid w:val="005B584B"/>
    <w:rsid w:val="005C00D1"/>
    <w:rsid w:val="005C481F"/>
    <w:rsid w:val="005C6047"/>
    <w:rsid w:val="005C67C8"/>
    <w:rsid w:val="005D0249"/>
    <w:rsid w:val="005D36D1"/>
    <w:rsid w:val="005D4E57"/>
    <w:rsid w:val="005F05FD"/>
    <w:rsid w:val="005F100C"/>
    <w:rsid w:val="005F1648"/>
    <w:rsid w:val="005F7986"/>
    <w:rsid w:val="005F7B75"/>
    <w:rsid w:val="00601C87"/>
    <w:rsid w:val="00604768"/>
    <w:rsid w:val="00607ABA"/>
    <w:rsid w:val="0061054B"/>
    <w:rsid w:val="006119BC"/>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7141"/>
    <w:rsid w:val="00673954"/>
    <w:rsid w:val="00680C84"/>
    <w:rsid w:val="006848C8"/>
    <w:rsid w:val="00686FD9"/>
    <w:rsid w:val="00692E2A"/>
    <w:rsid w:val="006968D2"/>
    <w:rsid w:val="006A6838"/>
    <w:rsid w:val="006A76F2"/>
    <w:rsid w:val="006B23FC"/>
    <w:rsid w:val="006B2B6C"/>
    <w:rsid w:val="006C3C12"/>
    <w:rsid w:val="006C740F"/>
    <w:rsid w:val="006D3683"/>
    <w:rsid w:val="006D7EFB"/>
    <w:rsid w:val="006E2D3B"/>
    <w:rsid w:val="006E3441"/>
    <w:rsid w:val="006E6722"/>
    <w:rsid w:val="006F5B20"/>
    <w:rsid w:val="006F7C94"/>
    <w:rsid w:val="00700A0F"/>
    <w:rsid w:val="007027B9"/>
    <w:rsid w:val="00705F05"/>
    <w:rsid w:val="00714C5E"/>
    <w:rsid w:val="00715E88"/>
    <w:rsid w:val="00722341"/>
    <w:rsid w:val="00723B64"/>
    <w:rsid w:val="0072504C"/>
    <w:rsid w:val="0073025E"/>
    <w:rsid w:val="00734CAA"/>
    <w:rsid w:val="00745F24"/>
    <w:rsid w:val="00746D9D"/>
    <w:rsid w:val="007532F9"/>
    <w:rsid w:val="00754B14"/>
    <w:rsid w:val="00757581"/>
    <w:rsid w:val="00757CA2"/>
    <w:rsid w:val="0076107C"/>
    <w:rsid w:val="0077008E"/>
    <w:rsid w:val="00772F40"/>
    <w:rsid w:val="007737A8"/>
    <w:rsid w:val="0079062B"/>
    <w:rsid w:val="007964D9"/>
    <w:rsid w:val="007A0685"/>
    <w:rsid w:val="007A5746"/>
    <w:rsid w:val="007A5C12"/>
    <w:rsid w:val="007B3217"/>
    <w:rsid w:val="007C2541"/>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9B3"/>
    <w:rsid w:val="00843576"/>
    <w:rsid w:val="00843B64"/>
    <w:rsid w:val="00853640"/>
    <w:rsid w:val="00854EB8"/>
    <w:rsid w:val="008556AE"/>
    <w:rsid w:val="0086242F"/>
    <w:rsid w:val="00867BFF"/>
    <w:rsid w:val="00871513"/>
    <w:rsid w:val="008739BA"/>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523E"/>
    <w:rsid w:val="008F1ECC"/>
    <w:rsid w:val="008F5894"/>
    <w:rsid w:val="008F7B79"/>
    <w:rsid w:val="00901521"/>
    <w:rsid w:val="00911AB0"/>
    <w:rsid w:val="00914084"/>
    <w:rsid w:val="0092178C"/>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66754"/>
    <w:rsid w:val="00970E74"/>
    <w:rsid w:val="00975552"/>
    <w:rsid w:val="0098071E"/>
    <w:rsid w:val="00983EE2"/>
    <w:rsid w:val="0098413D"/>
    <w:rsid w:val="00986F26"/>
    <w:rsid w:val="0098795B"/>
    <w:rsid w:val="00992D72"/>
    <w:rsid w:val="009A2923"/>
    <w:rsid w:val="009A4ACC"/>
    <w:rsid w:val="009A6528"/>
    <w:rsid w:val="009B4A0F"/>
    <w:rsid w:val="009B78F6"/>
    <w:rsid w:val="009C1324"/>
    <w:rsid w:val="009C2890"/>
    <w:rsid w:val="009C2F37"/>
    <w:rsid w:val="009C6D94"/>
    <w:rsid w:val="009C725F"/>
    <w:rsid w:val="009D0B63"/>
    <w:rsid w:val="009D3F3B"/>
    <w:rsid w:val="009D59AB"/>
    <w:rsid w:val="009E6DF7"/>
    <w:rsid w:val="00A1348D"/>
    <w:rsid w:val="00A14A1D"/>
    <w:rsid w:val="00A17BA5"/>
    <w:rsid w:val="00A232EE"/>
    <w:rsid w:val="00A25358"/>
    <w:rsid w:val="00A41B84"/>
    <w:rsid w:val="00A42891"/>
    <w:rsid w:val="00A44411"/>
    <w:rsid w:val="00A469FA"/>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0568"/>
    <w:rsid w:val="00AA31A3"/>
    <w:rsid w:val="00AA3A0E"/>
    <w:rsid w:val="00AA4E66"/>
    <w:rsid w:val="00AB2918"/>
    <w:rsid w:val="00AB5340"/>
    <w:rsid w:val="00AC7790"/>
    <w:rsid w:val="00AC7C96"/>
    <w:rsid w:val="00AD07F8"/>
    <w:rsid w:val="00AD3BAC"/>
    <w:rsid w:val="00AD6913"/>
    <w:rsid w:val="00AD7C9B"/>
    <w:rsid w:val="00AE237D"/>
    <w:rsid w:val="00AE5B98"/>
    <w:rsid w:val="00AE78E0"/>
    <w:rsid w:val="00AE7DFE"/>
    <w:rsid w:val="00AF1164"/>
    <w:rsid w:val="00AF34B1"/>
    <w:rsid w:val="00AF7249"/>
    <w:rsid w:val="00AF7C07"/>
    <w:rsid w:val="00B02DB7"/>
    <w:rsid w:val="00B04D46"/>
    <w:rsid w:val="00B063E8"/>
    <w:rsid w:val="00B13586"/>
    <w:rsid w:val="00B17933"/>
    <w:rsid w:val="00B20FAE"/>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24C1"/>
    <w:rsid w:val="00C16DA2"/>
    <w:rsid w:val="00C30C63"/>
    <w:rsid w:val="00C3419C"/>
    <w:rsid w:val="00C41236"/>
    <w:rsid w:val="00C47B77"/>
    <w:rsid w:val="00C50649"/>
    <w:rsid w:val="00C50C11"/>
    <w:rsid w:val="00C51F45"/>
    <w:rsid w:val="00C549DA"/>
    <w:rsid w:val="00C558DA"/>
    <w:rsid w:val="00C55AF0"/>
    <w:rsid w:val="00C57664"/>
    <w:rsid w:val="00C644FB"/>
    <w:rsid w:val="00C67678"/>
    <w:rsid w:val="00C725DC"/>
    <w:rsid w:val="00C84759"/>
    <w:rsid w:val="00C90FDD"/>
    <w:rsid w:val="00C93203"/>
    <w:rsid w:val="00C93A3A"/>
    <w:rsid w:val="00C956B3"/>
    <w:rsid w:val="00C95831"/>
    <w:rsid w:val="00C961BB"/>
    <w:rsid w:val="00CA2CB5"/>
    <w:rsid w:val="00CA3FEB"/>
    <w:rsid w:val="00CA5494"/>
    <w:rsid w:val="00CA6C7F"/>
    <w:rsid w:val="00CB1404"/>
    <w:rsid w:val="00CB5521"/>
    <w:rsid w:val="00CC10A6"/>
    <w:rsid w:val="00CC2354"/>
    <w:rsid w:val="00CD2A97"/>
    <w:rsid w:val="00CD2BA6"/>
    <w:rsid w:val="00CD3D68"/>
    <w:rsid w:val="00CD7044"/>
    <w:rsid w:val="00CE2264"/>
    <w:rsid w:val="00CE229D"/>
    <w:rsid w:val="00CE2A2D"/>
    <w:rsid w:val="00CE524C"/>
    <w:rsid w:val="00CE5FCF"/>
    <w:rsid w:val="00CF141F"/>
    <w:rsid w:val="00CF1A24"/>
    <w:rsid w:val="00CF4777"/>
    <w:rsid w:val="00CF7C54"/>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E8C"/>
    <w:rsid w:val="00D539B7"/>
    <w:rsid w:val="00D62076"/>
    <w:rsid w:val="00D63B8C"/>
    <w:rsid w:val="00D71D25"/>
    <w:rsid w:val="00D72AE3"/>
    <w:rsid w:val="00D739CC"/>
    <w:rsid w:val="00D76614"/>
    <w:rsid w:val="00D8093D"/>
    <w:rsid w:val="00D80A9A"/>
    <w:rsid w:val="00D8108C"/>
    <w:rsid w:val="00D82D20"/>
    <w:rsid w:val="00D8418A"/>
    <w:rsid w:val="00D842AE"/>
    <w:rsid w:val="00D85BD1"/>
    <w:rsid w:val="00D9211C"/>
    <w:rsid w:val="00D92DE0"/>
    <w:rsid w:val="00D93A0F"/>
    <w:rsid w:val="00D956AE"/>
    <w:rsid w:val="00D96369"/>
    <w:rsid w:val="00D97F1C"/>
    <w:rsid w:val="00DA1BCA"/>
    <w:rsid w:val="00DA400B"/>
    <w:rsid w:val="00DA527D"/>
    <w:rsid w:val="00DA7368"/>
    <w:rsid w:val="00DB1194"/>
    <w:rsid w:val="00DB2A9F"/>
    <w:rsid w:val="00DC0B8D"/>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F3B"/>
    <w:rsid w:val="00E04301"/>
    <w:rsid w:val="00E06389"/>
    <w:rsid w:val="00E06797"/>
    <w:rsid w:val="00E07216"/>
    <w:rsid w:val="00E10FB7"/>
    <w:rsid w:val="00E110C8"/>
    <w:rsid w:val="00E1511C"/>
    <w:rsid w:val="00E17BD4"/>
    <w:rsid w:val="00E215B0"/>
    <w:rsid w:val="00E21C83"/>
    <w:rsid w:val="00E2657C"/>
    <w:rsid w:val="00E302D9"/>
    <w:rsid w:val="00E31C4A"/>
    <w:rsid w:val="00E41FB3"/>
    <w:rsid w:val="00E4304E"/>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81947"/>
    <w:rsid w:val="00E85B7D"/>
    <w:rsid w:val="00E9121B"/>
    <w:rsid w:val="00E92B5F"/>
    <w:rsid w:val="00EA0B53"/>
    <w:rsid w:val="00EA0F3E"/>
    <w:rsid w:val="00EA1C2C"/>
    <w:rsid w:val="00EA39E5"/>
    <w:rsid w:val="00EA5E5C"/>
    <w:rsid w:val="00EB1B8B"/>
    <w:rsid w:val="00EB1CC0"/>
    <w:rsid w:val="00EC0F91"/>
    <w:rsid w:val="00EC3219"/>
    <w:rsid w:val="00EC388E"/>
    <w:rsid w:val="00EC42AC"/>
    <w:rsid w:val="00EC5A46"/>
    <w:rsid w:val="00EC63E2"/>
    <w:rsid w:val="00EC6548"/>
    <w:rsid w:val="00ED75BF"/>
    <w:rsid w:val="00EE17B3"/>
    <w:rsid w:val="00EE1A7F"/>
    <w:rsid w:val="00EF22B3"/>
    <w:rsid w:val="00EF2844"/>
    <w:rsid w:val="00F044F7"/>
    <w:rsid w:val="00F064C1"/>
    <w:rsid w:val="00F113DA"/>
    <w:rsid w:val="00F12540"/>
    <w:rsid w:val="00F17586"/>
    <w:rsid w:val="00F22D44"/>
    <w:rsid w:val="00F32F67"/>
    <w:rsid w:val="00F366DE"/>
    <w:rsid w:val="00F37DC8"/>
    <w:rsid w:val="00F41127"/>
    <w:rsid w:val="00F42017"/>
    <w:rsid w:val="00F47CD5"/>
    <w:rsid w:val="00F50C3B"/>
    <w:rsid w:val="00F5341A"/>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4B93B"/>
  <w15:docId w15:val="{BB8F57FC-7E7A-4F32-B65B-3A0E84F1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dp-my.sharepoint.com/personal/benedict_aboki_omare_ipbes_net/Documents/IPBES/4e.%20Effectivness/Internal%20Review/Results/Statistical_Analysis_2017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DC87-44BB-BEF4-4E3B644CF3B8}"/>
            </c:ext>
          </c:extLst>
        </c:ser>
        <c:dLbls>
          <c:showLegendKey val="0"/>
          <c:showVal val="0"/>
          <c:showCatName val="0"/>
          <c:showSerName val="0"/>
          <c:showPercent val="0"/>
          <c:showBubbleSize val="0"/>
        </c:dLbls>
        <c:gapWidth val="219"/>
        <c:overlap val="-27"/>
        <c:axId val="2110637416"/>
        <c:axId val="2063525752"/>
      </c:barChart>
      <c:catAx>
        <c:axId val="211063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525752"/>
        <c:crosses val="autoZero"/>
        <c:auto val="1"/>
        <c:lblAlgn val="ctr"/>
        <c:lblOffset val="100"/>
        <c:noMultiLvlLbl val="0"/>
      </c:catAx>
      <c:valAx>
        <c:axId val="2063525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63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2931930321397E-2"/>
          <c:y val="3.7385618606209502E-2"/>
          <c:w val="0.91434160455515801"/>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0.44981432130447602</c:v>
                  </c:pt>
                </c:numCache>
              </c:numRef>
            </c:plus>
            <c:minus>
              <c:numRef>
                <c:f>Deviation!$C$109</c:f>
                <c:numCache>
                  <c:formatCode>General</c:formatCode>
                  <c:ptCount val="1"/>
                  <c:pt idx="0">
                    <c:v>0.44981432130447602</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4C45-482F-A00A-EF35ABF22880}"/>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0.34725257710687202</c:v>
                  </c:pt>
                </c:numCache>
              </c:numRef>
            </c:plus>
            <c:minus>
              <c:numRef>
                <c:f>Deviation!$D$109</c:f>
                <c:numCache>
                  <c:formatCode>General</c:formatCode>
                  <c:ptCount val="1"/>
                  <c:pt idx="0">
                    <c:v>0.34725257710687202</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4C45-482F-A00A-EF35ABF22880}"/>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0.53238477705558496</c:v>
                  </c:pt>
                </c:numCache>
              </c:numRef>
            </c:plus>
            <c:minus>
              <c:numRef>
                <c:f>Deviation!$E$109</c:f>
                <c:numCache>
                  <c:formatCode>General</c:formatCode>
                  <c:ptCount val="1"/>
                  <c:pt idx="0">
                    <c:v>0.53238477705558496</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3.3901647685644201</c:v>
                </c:pt>
              </c:numCache>
            </c:numRef>
          </c:val>
          <c:extLst>
            <c:ext xmlns:c16="http://schemas.microsoft.com/office/drawing/2014/chart" uri="{C3380CC4-5D6E-409C-BE32-E72D297353CC}">
              <c16:uniqueId val="{00000002-4C45-482F-A00A-EF35ABF22880}"/>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0.33769227367447902</c:v>
                  </c:pt>
                </c:numCache>
              </c:numRef>
            </c:plus>
            <c:minus>
              <c:numRef>
                <c:f>Deviation!$F$109</c:f>
                <c:numCache>
                  <c:formatCode>General</c:formatCode>
                  <c:ptCount val="1"/>
                  <c:pt idx="0">
                    <c:v>0.33769227367447902</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4C45-482F-A00A-EF35ABF22880}"/>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0.38126744933041701</c:v>
                  </c:pt>
                </c:numCache>
              </c:numRef>
            </c:plus>
            <c:minus>
              <c:numRef>
                <c:f>Deviation!$G$109</c:f>
                <c:numCache>
                  <c:formatCode>General</c:formatCode>
                  <c:ptCount val="1"/>
                  <c:pt idx="0">
                    <c:v>0.38126744933041701</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3.3378759428001841</c:v>
                </c:pt>
              </c:numCache>
            </c:numRef>
          </c:val>
          <c:extLst>
            <c:ext xmlns:c16="http://schemas.microsoft.com/office/drawing/2014/chart" uri="{C3380CC4-5D6E-409C-BE32-E72D297353CC}">
              <c16:uniqueId val="{00000004-4C45-482F-A00A-EF35ABF22880}"/>
            </c:ext>
          </c:extLst>
        </c:ser>
        <c:dLbls>
          <c:showLegendKey val="0"/>
          <c:showVal val="1"/>
          <c:showCatName val="0"/>
          <c:showSerName val="0"/>
          <c:showPercent val="0"/>
          <c:showBubbleSize val="0"/>
        </c:dLbls>
        <c:gapWidth val="219"/>
        <c:overlap val="-47"/>
        <c:axId val="2107863464"/>
        <c:axId val="2061617560"/>
      </c:barChart>
      <c:catAx>
        <c:axId val="2107863464"/>
        <c:scaling>
          <c:orientation val="minMax"/>
        </c:scaling>
        <c:delete val="1"/>
        <c:axPos val="b"/>
        <c:numFmt formatCode="General" sourceLinked="1"/>
        <c:majorTickMark val="none"/>
        <c:minorTickMark val="none"/>
        <c:tickLblPos val="nextTo"/>
        <c:crossAx val="2061617560"/>
        <c:crosses val="autoZero"/>
        <c:auto val="1"/>
        <c:lblAlgn val="ctr"/>
        <c:lblOffset val="100"/>
        <c:noMultiLvlLbl val="0"/>
      </c:catAx>
      <c:valAx>
        <c:axId val="206161756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6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0.181</cdr:x>
      <cdr:y>0.93141</cdr:y>
    </cdr:from>
    <cdr:to>
      <cdr:x>0.28876</cdr:x>
      <cdr:y>0.98235</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1255862" y="3480437"/>
          <a:ext cx="747728" cy="1903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chemeClr val="tx1">
                  <a:lumMod val="50000"/>
                  <a:lumOff val="50000"/>
                </a:schemeClr>
              </a:solidFill>
            </a:rPr>
            <a:t>Bureau</a:t>
          </a:r>
        </a:p>
      </cdr:txBody>
    </cdr:sp>
  </cdr:relSizeAnchor>
  <cdr:relSizeAnchor xmlns:cdr="http://schemas.openxmlformats.org/drawingml/2006/chartDrawing">
    <cdr:from>
      <cdr:x>0.61334</cdr:x>
      <cdr:y>0.92243</cdr:y>
    </cdr:from>
    <cdr:to>
      <cdr:x>0.71649</cdr:x>
      <cdr:y>0.97647</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4255742" y="3446868"/>
          <a:ext cx="715682" cy="2019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Secretariat</a:t>
          </a:r>
        </a:p>
      </cdr:txBody>
    </cdr:sp>
  </cdr:relSizeAnchor>
  <cdr:relSizeAnchor xmlns:cdr="http://schemas.openxmlformats.org/drawingml/2006/chartDrawing">
    <cdr:from>
      <cdr:x>0.43331</cdr:x>
      <cdr:y>0.92553</cdr:y>
    </cdr:from>
    <cdr:to>
      <cdr:x>0.53646</cdr:x>
      <cdr:y>0.98039</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006565" y="3458457"/>
          <a:ext cx="715683" cy="2050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National</a:t>
          </a:r>
          <a:r>
            <a:rPr lang="en-GB" sz="900" baseline="0">
              <a:solidFill>
                <a:schemeClr val="bg2">
                  <a:lumMod val="50000"/>
                </a:schemeClr>
              </a:solidFill>
            </a:rPr>
            <a:t> focal points</a:t>
          </a:r>
          <a:endParaRPr lang="en-GB" sz="900">
            <a:solidFill>
              <a:schemeClr val="bg2">
                <a:lumMod val="50000"/>
              </a:schemeClr>
            </a:solidFill>
          </a:endParaRPr>
        </a:p>
      </cdr:txBody>
    </cdr:sp>
  </cdr:relSizeAnchor>
  <cdr:relSizeAnchor xmlns:cdr="http://schemas.openxmlformats.org/drawingml/2006/chartDrawing">
    <cdr:from>
      <cdr:x>0.33447</cdr:x>
      <cdr:y>0.92749</cdr:y>
    </cdr:from>
    <cdr:to>
      <cdr:x>0.43762</cdr:x>
      <cdr:y>0.97843</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2320786" y="3465783"/>
          <a:ext cx="715682" cy="1903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tx1">
                  <a:lumMod val="50000"/>
                  <a:lumOff val="50000"/>
                </a:schemeClr>
              </a:solidFill>
            </a:rPr>
            <a:t>MEP</a:t>
          </a:r>
        </a:p>
      </cdr:txBody>
    </cdr:sp>
  </cdr:relSizeAnchor>
  <cdr:relSizeAnchor xmlns:cdr="http://schemas.openxmlformats.org/drawingml/2006/chartDrawing">
    <cdr:from>
      <cdr:x>0.74156</cdr:x>
      <cdr:y>0.92398</cdr:y>
    </cdr:from>
    <cdr:to>
      <cdr:x>0.84471</cdr:x>
      <cdr:y>0.97255</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5145405" y="3452664"/>
          <a:ext cx="715683" cy="1814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Selected experts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699a0643-be3a-4930-aa07-4f5905529aa4"/>
    <ds:schemaRef ds:uri="9a8f22b8-05ea-4936-a963-5334b0fbdd5f"/>
    <ds:schemaRef ds:uri="http://schemas.openxmlformats.org/package/2006/metadata/core-properties"/>
    <ds:schemaRef ds:uri="d4f199e1-8ff6-4421-800c-b60412eeab1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D6ECB6C2-02B4-4807-8E44-12A9FE41F6CD}">
  <ds:schemaRefs>
    <ds:schemaRef ds:uri="http://schemas.openxmlformats.org/officeDocument/2006/bibliography"/>
  </ds:schemaRefs>
</ds:datastoreItem>
</file>

<file path=customXml/itemProps5.xml><?xml version="1.0" encoding="utf-8"?>
<ds:datastoreItem xmlns:ds="http://schemas.openxmlformats.org/officeDocument/2006/customXml" ds:itemID="{23AE9C18-0B40-4125-9E2C-3D627D8D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8</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2014-11-28T12:25:00Z</cp:lastPrinted>
  <dcterms:created xsi:type="dcterms:W3CDTF">2018-02-05T14:24:00Z</dcterms:created>
  <dcterms:modified xsi:type="dcterms:W3CDTF">2018-02-05T14:24:00Z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