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9EE8" w14:textId="77777777" w:rsidR="00C9117A" w:rsidRPr="005F609B" w:rsidRDefault="00C9117A" w:rsidP="00C9117A">
      <w:pPr>
        <w:pStyle w:val="AATitle"/>
        <w:ind w:left="426" w:right="4160"/>
        <w:rPr>
          <w:b w:val="0"/>
          <w:lang w:val="fr-FR"/>
        </w:rPr>
      </w:pPr>
      <w:bookmarkStart w:id="0" w:name="_GoBack"/>
      <w:bookmarkEnd w:id="0"/>
    </w:p>
    <w:tbl>
      <w:tblPr>
        <w:tblW w:w="4963" w:type="pct"/>
        <w:jc w:val="right"/>
        <w:tblLayout w:type="fixed"/>
        <w:tblLook w:val="0000" w:firstRow="0" w:lastRow="0" w:firstColumn="0" w:lastColumn="0" w:noHBand="0" w:noVBand="0"/>
      </w:tblPr>
      <w:tblGrid>
        <w:gridCol w:w="1477"/>
        <w:gridCol w:w="600"/>
        <w:gridCol w:w="360"/>
        <w:gridCol w:w="882"/>
        <w:gridCol w:w="974"/>
        <w:gridCol w:w="2751"/>
        <w:gridCol w:w="993"/>
        <w:gridCol w:w="1745"/>
      </w:tblGrid>
      <w:tr w:rsidR="000051E6" w:rsidRPr="004700C8" w14:paraId="756933B4" w14:textId="77777777" w:rsidTr="0091376E">
        <w:trPr>
          <w:cantSplit/>
          <w:trHeight w:val="1079"/>
          <w:jc w:val="right"/>
        </w:trPr>
        <w:tc>
          <w:tcPr>
            <w:tcW w:w="1456" w:type="dxa"/>
          </w:tcPr>
          <w:p w14:paraId="4D17E04E" w14:textId="77777777" w:rsidR="000051E6" w:rsidRPr="004A68B8" w:rsidRDefault="000051E6" w:rsidP="0091376E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4A68B8">
              <w:rPr>
                <w:rFonts w:ascii="Arial" w:hAnsi="Arial" w:cs="Arial"/>
                <w:b/>
                <w:sz w:val="27"/>
                <w:szCs w:val="27"/>
              </w:rPr>
              <w:t>NATIONS UNIES</w:t>
            </w: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14:paraId="2804E8C1" w14:textId="77777777" w:rsidR="000051E6" w:rsidRPr="004700C8" w:rsidRDefault="000051E6" w:rsidP="0091376E">
            <w:pPr>
              <w:pStyle w:val="Normal-pool"/>
            </w:pPr>
            <w:r>
              <w:rPr>
                <w:noProof/>
                <w:lang w:val="en-US"/>
              </w:rPr>
              <w:drawing>
                <wp:inline distT="0" distB="0" distL="0" distR="0" wp14:anchorId="3DC0AC4F" wp14:editId="239F3023">
                  <wp:extent cx="482803" cy="460857"/>
                  <wp:effectExtent l="0" t="0" r="0" b="0"/>
                  <wp:docPr id="24" name="Picture 24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left w:val="nil"/>
            </w:tcBorders>
            <w:vAlign w:val="center"/>
          </w:tcPr>
          <w:p w14:paraId="5F61F47A" w14:textId="77777777" w:rsidR="000051E6" w:rsidRPr="004700C8" w:rsidRDefault="000051E6" w:rsidP="0091376E">
            <w:pPr>
              <w:pStyle w:val="Normal-pool"/>
              <w:spacing w:before="160"/>
            </w:pPr>
            <w:r>
              <w:rPr>
                <w:noProof/>
                <w:lang w:val="en-US"/>
              </w:rPr>
              <w:drawing>
                <wp:inline distT="0" distB="0" distL="0" distR="0" wp14:anchorId="2D067599" wp14:editId="6BDA41FA">
                  <wp:extent cx="362710" cy="478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4BECC748" w14:textId="77777777" w:rsidR="000051E6" w:rsidRPr="004700C8" w:rsidRDefault="000051E6" w:rsidP="0091376E">
            <w:pPr>
              <w:pStyle w:val="Normal-pool"/>
            </w:pPr>
            <w:r>
              <w:rPr>
                <w:noProof/>
                <w:lang w:val="en-US"/>
              </w:rPr>
              <w:drawing>
                <wp:inline distT="0" distB="0" distL="0" distR="0" wp14:anchorId="2F21F408" wp14:editId="449B9313">
                  <wp:extent cx="490119" cy="460857"/>
                  <wp:effectExtent l="0" t="0" r="5715" b="0"/>
                  <wp:docPr id="26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left w:val="nil"/>
            </w:tcBorders>
            <w:vAlign w:val="center"/>
          </w:tcPr>
          <w:p w14:paraId="55A602A0" w14:textId="77777777" w:rsidR="000051E6" w:rsidRPr="004700C8" w:rsidRDefault="000051E6" w:rsidP="0091376E">
            <w:pPr>
              <w:pStyle w:val="Normal-pool"/>
            </w:pPr>
            <w:r>
              <w:rPr>
                <w:noProof/>
                <w:lang w:val="en-US"/>
              </w:rPr>
              <w:drawing>
                <wp:inline distT="0" distB="0" distL="0" distR="0" wp14:anchorId="1F661446" wp14:editId="2A248923">
                  <wp:extent cx="1653236" cy="355488"/>
                  <wp:effectExtent l="0" t="0" r="4445" b="6985"/>
                  <wp:docPr id="27" name="Picture 27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14:paraId="5CBF9C6C" w14:textId="77777777" w:rsidR="000051E6" w:rsidRPr="004700C8" w:rsidRDefault="000051E6" w:rsidP="0091376E">
            <w:pPr>
              <w:pStyle w:val="Normal-pool"/>
              <w:ind w:right="-136"/>
            </w:pPr>
            <w:r>
              <w:rPr>
                <w:noProof/>
                <w:lang w:val="en-US"/>
              </w:rPr>
              <w:drawing>
                <wp:inline distT="0" distB="0" distL="0" distR="0" wp14:anchorId="56ADD709" wp14:editId="661F4D82">
                  <wp:extent cx="327617" cy="637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14:paraId="3DE0D571" w14:textId="77777777" w:rsidR="000051E6" w:rsidRPr="004A68B8" w:rsidRDefault="000051E6" w:rsidP="0091376E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4A68B8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0051E6" w:rsidRPr="004700C8" w14:paraId="2C1EDD12" w14:textId="77777777" w:rsidTr="0091376E">
        <w:trPr>
          <w:cantSplit/>
          <w:trHeight w:val="282"/>
          <w:jc w:val="right"/>
        </w:trPr>
        <w:tc>
          <w:tcPr>
            <w:tcW w:w="1456" w:type="dxa"/>
            <w:tcBorders>
              <w:bottom w:val="single" w:sz="2" w:space="0" w:color="auto"/>
            </w:tcBorders>
          </w:tcPr>
          <w:p w14:paraId="5FF1708F" w14:textId="77777777" w:rsidR="000051E6" w:rsidRPr="004700C8" w:rsidRDefault="000051E6" w:rsidP="0091376E">
            <w:pPr>
              <w:pStyle w:val="Normal-pool"/>
            </w:pPr>
          </w:p>
        </w:tc>
        <w:tc>
          <w:tcPr>
            <w:tcW w:w="5486" w:type="dxa"/>
            <w:gridSpan w:val="5"/>
            <w:tcBorders>
              <w:bottom w:val="single" w:sz="2" w:space="0" w:color="auto"/>
            </w:tcBorders>
          </w:tcPr>
          <w:p w14:paraId="4C77F4A4" w14:textId="77777777" w:rsidR="000051E6" w:rsidRPr="004700C8" w:rsidRDefault="000051E6" w:rsidP="0091376E">
            <w:pPr>
              <w:pStyle w:val="Normal-pool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2" w:space="0" w:color="auto"/>
            </w:tcBorders>
          </w:tcPr>
          <w:p w14:paraId="30F1177D" w14:textId="77777777" w:rsidR="000051E6" w:rsidRPr="004700C8" w:rsidRDefault="000051E6" w:rsidP="000051E6">
            <w:pPr>
              <w:pStyle w:val="Normal-pool"/>
              <w:spacing w:before="120"/>
              <w:rPr>
                <w:b/>
                <w:sz w:val="24"/>
                <w:szCs w:val="24"/>
              </w:rPr>
            </w:pPr>
            <w:r w:rsidRPr="004700C8">
              <w:rPr>
                <w:b/>
                <w:sz w:val="24"/>
              </w:rPr>
              <w:t>IPBES</w:t>
            </w:r>
            <w:r w:rsidRPr="004700C8">
              <w:t>/5</w:t>
            </w:r>
            <w:r>
              <w:t>/9</w:t>
            </w:r>
          </w:p>
        </w:tc>
      </w:tr>
      <w:tr w:rsidR="000051E6" w:rsidRPr="004700C8" w14:paraId="13AC7835" w14:textId="77777777" w:rsidTr="0091376E">
        <w:trPr>
          <w:cantSplit/>
          <w:trHeight w:val="1743"/>
          <w:jc w:val="right"/>
        </w:trPr>
        <w:tc>
          <w:tcPr>
            <w:tcW w:w="204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713BA08" w14:textId="77777777" w:rsidR="000051E6" w:rsidRPr="004700C8" w:rsidRDefault="000051E6" w:rsidP="0091376E">
            <w:pPr>
              <w:pStyle w:val="Normal-pool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9ED5AE1" wp14:editId="01C43DBD">
                  <wp:extent cx="1111406" cy="51937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0AD48B1E" w14:textId="77777777" w:rsidR="000051E6" w:rsidRPr="000051E6" w:rsidRDefault="00841419" w:rsidP="0091376E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5" w:tgtFrame="_blank" w:history="1">
              <w:r w:rsidR="000051E6" w:rsidRPr="000051E6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9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6E9B8F2" w14:textId="77777777" w:rsidR="000051E6" w:rsidRPr="000051E6" w:rsidRDefault="000051E6" w:rsidP="0091376E">
            <w:pPr>
              <w:pStyle w:val="Normal-pool"/>
              <w:spacing w:before="120"/>
              <w:rPr>
                <w:lang w:val="fr-FR"/>
              </w:rPr>
            </w:pPr>
            <w:r w:rsidRPr="000051E6">
              <w:rPr>
                <w:lang w:val="fr-FR"/>
              </w:rPr>
              <w:t xml:space="preserve">Distr. générale </w:t>
            </w:r>
            <w:r w:rsidRPr="000051E6">
              <w:rPr>
                <w:lang w:val="fr-FR"/>
              </w:rPr>
              <w:br/>
              <w:t>1</w:t>
            </w:r>
            <w:r>
              <w:rPr>
                <w:lang w:val="fr-FR"/>
              </w:rPr>
              <w:t>5</w:t>
            </w:r>
            <w:r w:rsidRPr="000051E6">
              <w:rPr>
                <w:lang w:val="fr-FR"/>
              </w:rPr>
              <w:t> décembre 2016</w:t>
            </w:r>
          </w:p>
          <w:p w14:paraId="1F68D47D" w14:textId="77777777" w:rsidR="000051E6" w:rsidRPr="000051E6" w:rsidRDefault="000051E6" w:rsidP="0091376E">
            <w:pPr>
              <w:pStyle w:val="Normal-pool"/>
              <w:spacing w:before="120"/>
              <w:rPr>
                <w:lang w:val="fr-FR"/>
              </w:rPr>
            </w:pPr>
            <w:r w:rsidRPr="000051E6">
              <w:rPr>
                <w:lang w:val="fr-FR"/>
              </w:rPr>
              <w:t xml:space="preserve">Français </w:t>
            </w:r>
            <w:r w:rsidRPr="000051E6">
              <w:rPr>
                <w:lang w:val="fr-FR"/>
              </w:rPr>
              <w:br/>
              <w:t>Original : anglais</w:t>
            </w:r>
          </w:p>
        </w:tc>
      </w:tr>
    </w:tbl>
    <w:p w14:paraId="5A8C56F4" w14:textId="77777777" w:rsidR="000051E6" w:rsidRDefault="000051E6" w:rsidP="000051E6">
      <w:pPr>
        <w:pStyle w:val="AATitle"/>
        <w:ind w:left="113" w:right="4162"/>
        <w:rPr>
          <w:lang w:val="fr-FR"/>
        </w:rPr>
      </w:pPr>
      <w:r w:rsidRPr="004700C8">
        <w:rPr>
          <w:lang w:val="fr-FR"/>
        </w:rPr>
        <w:t xml:space="preserve">Plénière de la Plateforme intergouvernementale </w:t>
      </w:r>
      <w:r>
        <w:rPr>
          <w:lang w:val="fr-FR"/>
        </w:rPr>
        <w:br/>
      </w:r>
      <w:r w:rsidRPr="004700C8">
        <w:rPr>
          <w:lang w:val="fr-FR"/>
        </w:rPr>
        <w:t xml:space="preserve">scientifique et politique sur la biodiversité </w:t>
      </w:r>
      <w:r>
        <w:rPr>
          <w:lang w:val="fr-FR"/>
        </w:rPr>
        <w:br/>
      </w:r>
      <w:r w:rsidRPr="004700C8">
        <w:rPr>
          <w:lang w:val="fr-FR"/>
        </w:rPr>
        <w:t>et les services écosystémiques</w:t>
      </w:r>
    </w:p>
    <w:p w14:paraId="54F0B657" w14:textId="77777777" w:rsidR="000051E6" w:rsidRPr="004700C8" w:rsidRDefault="000051E6" w:rsidP="000051E6">
      <w:pPr>
        <w:pStyle w:val="AATitle"/>
        <w:ind w:left="113" w:right="4162"/>
        <w:rPr>
          <w:lang w:val="fr-FR"/>
        </w:rPr>
      </w:pPr>
      <w:r w:rsidRPr="004700C8">
        <w:rPr>
          <w:lang w:val="fr-FR"/>
        </w:rPr>
        <w:t>Cinquième session</w:t>
      </w:r>
    </w:p>
    <w:p w14:paraId="3190106E" w14:textId="77777777" w:rsidR="000051E6" w:rsidRDefault="000051E6" w:rsidP="000051E6">
      <w:pPr>
        <w:pStyle w:val="AATitle"/>
        <w:ind w:left="113" w:right="4162"/>
        <w:rPr>
          <w:b w:val="0"/>
          <w:lang w:val="fr-FR" w:eastAsia="ja-JP"/>
        </w:rPr>
      </w:pPr>
      <w:r w:rsidRPr="004700C8">
        <w:rPr>
          <w:b w:val="0"/>
          <w:lang w:val="fr-FR" w:eastAsia="ja-JP"/>
        </w:rPr>
        <w:t xml:space="preserve">Bonn (Allemagne), </w:t>
      </w:r>
      <w:r>
        <w:rPr>
          <w:b w:val="0"/>
          <w:lang w:val="fr-FR" w:eastAsia="ja-JP"/>
        </w:rPr>
        <w:t>7-10 </w:t>
      </w:r>
      <w:r w:rsidRPr="004700C8">
        <w:rPr>
          <w:b w:val="0"/>
          <w:lang w:val="fr-FR" w:eastAsia="ja-JP"/>
        </w:rPr>
        <w:t>mars 2017</w:t>
      </w:r>
    </w:p>
    <w:p w14:paraId="7ED32A38" w14:textId="77777777" w:rsidR="000051E6" w:rsidRPr="001E2095" w:rsidRDefault="000051E6" w:rsidP="000051E6">
      <w:pPr>
        <w:pStyle w:val="AATitle"/>
        <w:ind w:left="113" w:right="4162"/>
        <w:rPr>
          <w:b w:val="0"/>
          <w:lang w:val="fr-FR"/>
        </w:rPr>
      </w:pPr>
      <w:r w:rsidRPr="001E2095">
        <w:rPr>
          <w:b w:val="0"/>
          <w:lang w:val="fr-FR"/>
        </w:rPr>
        <w:t>Point </w:t>
      </w:r>
      <w:r>
        <w:rPr>
          <w:b w:val="0"/>
          <w:lang w:val="fr-FR"/>
        </w:rPr>
        <w:t>6 h)</w:t>
      </w:r>
      <w:r w:rsidRPr="001E2095">
        <w:rPr>
          <w:b w:val="0"/>
          <w:lang w:val="fr-FR"/>
        </w:rPr>
        <w:t xml:space="preserve"> de l</w:t>
      </w:r>
      <w:r>
        <w:rPr>
          <w:b w:val="0"/>
          <w:lang w:val="fr-FR"/>
        </w:rPr>
        <w:t>’</w:t>
      </w:r>
      <w:r w:rsidRPr="001E2095">
        <w:rPr>
          <w:b w:val="0"/>
          <w:lang w:val="fr-FR"/>
        </w:rPr>
        <w:t>ordre du jour provisoire</w:t>
      </w:r>
      <w:r w:rsidRPr="001E2095">
        <w:rPr>
          <w:b w:val="0"/>
          <w:bCs/>
          <w:spacing w:val="4"/>
          <w:w w:val="103"/>
          <w:lang w:val="fr-FR"/>
        </w:rPr>
        <w:footnoteReference w:customMarkFollows="1" w:id="1"/>
        <w:t>*</w:t>
      </w:r>
    </w:p>
    <w:p w14:paraId="06079385" w14:textId="77777777" w:rsidR="00A07D4D" w:rsidRPr="000C5CA1" w:rsidRDefault="00A07D4D" w:rsidP="000051E6">
      <w:pPr>
        <w:pStyle w:val="AATitle2"/>
        <w:ind w:left="113"/>
        <w:rPr>
          <w:lang w:val="fr-FR"/>
        </w:rPr>
      </w:pPr>
      <w:r>
        <w:rPr>
          <w:lang w:val="fr-FR"/>
        </w:rPr>
        <w:t>Programme de travail de la Plateforme</w:t>
      </w:r>
      <w:r w:rsidR="000051E6">
        <w:rPr>
          <w:lang w:val="fr-FR"/>
        </w:rPr>
        <w:t> </w:t>
      </w:r>
      <w:r>
        <w:rPr>
          <w:lang w:val="fr-FR"/>
        </w:rPr>
        <w:t>: communication, association des parties prenantes et partenariats stratégiques</w:t>
      </w:r>
    </w:p>
    <w:p w14:paraId="6BB2FB74" w14:textId="77777777" w:rsidR="00A07D4D" w:rsidRPr="000C5CA1" w:rsidRDefault="00A07D4D" w:rsidP="00A07D4D">
      <w:pPr>
        <w:pStyle w:val="BBTitle"/>
        <w:rPr>
          <w:lang w:val="fr-FR"/>
        </w:rPr>
      </w:pPr>
      <w:r>
        <w:rPr>
          <w:lang w:val="fr-FR"/>
        </w:rPr>
        <w:t>Communication, association des parties prenantes et</w:t>
      </w:r>
      <w:r w:rsidR="0063125C">
        <w:rPr>
          <w:lang w:val="fr-FR"/>
        </w:rPr>
        <w:t> </w:t>
      </w:r>
      <w:r>
        <w:rPr>
          <w:lang w:val="fr-FR"/>
        </w:rPr>
        <w:t xml:space="preserve">partenariats stratégiques </w:t>
      </w:r>
      <w:r w:rsidR="001D39EA">
        <w:rPr>
          <w:lang w:val="fr-FR"/>
        </w:rPr>
        <w:t>(</w:t>
      </w:r>
      <w:r>
        <w:rPr>
          <w:lang w:val="fr-FR"/>
        </w:rPr>
        <w:t>produit 4 d)</w:t>
      </w:r>
      <w:r w:rsidR="001D39EA">
        <w:rPr>
          <w:lang w:val="fr-FR"/>
        </w:rPr>
        <w:t>)</w:t>
      </w:r>
    </w:p>
    <w:p w14:paraId="4C657C70" w14:textId="77777777" w:rsidR="00A07D4D" w:rsidRPr="00A07D4D" w:rsidRDefault="00A07D4D" w:rsidP="00A07D4D">
      <w:pPr>
        <w:pStyle w:val="CH2"/>
        <w:rPr>
          <w:rFonts w:eastAsia="Gulim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p w14:paraId="6C63B2B8" w14:textId="77777777" w:rsidR="00A07D4D" w:rsidRPr="00A07D4D" w:rsidRDefault="00A07D4D" w:rsidP="00A07D4D">
      <w:pPr>
        <w:pStyle w:val="CH1"/>
        <w:rPr>
          <w:rFonts w:eastAsia="MS Mincho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7CC3B79" w14:textId="77777777" w:rsidR="00A07D4D" w:rsidRPr="000C5CA1" w:rsidRDefault="00A07D4D" w:rsidP="00213E79">
      <w:pPr>
        <w:pStyle w:val="Normalnumber"/>
        <w:ind w:left="1247" w:firstLine="0"/>
        <w:rPr>
          <w:lang w:val="fr-FR"/>
        </w:rPr>
      </w:pPr>
      <w:r>
        <w:rPr>
          <w:lang w:val="fr-FR"/>
        </w:rPr>
        <w:t xml:space="preserve">La présente note se fonde en partie sur les mandats </w:t>
      </w:r>
      <w:r w:rsidR="00812A43">
        <w:rPr>
          <w:lang w:val="fr-FR"/>
        </w:rPr>
        <w:t xml:space="preserve">définis </w:t>
      </w:r>
      <w:r>
        <w:rPr>
          <w:lang w:val="fr-FR"/>
        </w:rPr>
        <w:t>dans la stratégie de communication et de sensibilisation approuvée pour la Plateforme intergouvernementale scientifique et politique sur la</w:t>
      </w:r>
      <w:r w:rsidR="007128BE">
        <w:rPr>
          <w:lang w:val="fr-FR"/>
        </w:rPr>
        <w:t> </w:t>
      </w:r>
      <w:r>
        <w:rPr>
          <w:lang w:val="fr-FR"/>
        </w:rPr>
        <w:t>biodiversité et les services écosystémiques (</w:t>
      </w:r>
      <w:r w:rsidR="00812A43">
        <w:rPr>
          <w:lang w:val="fr-FR"/>
        </w:rPr>
        <w:t>« la Plateforme »</w:t>
      </w:r>
      <w:r>
        <w:rPr>
          <w:lang w:val="fr-FR"/>
        </w:rPr>
        <w:t xml:space="preserve">), qui est </w:t>
      </w:r>
      <w:r w:rsidR="00812A43">
        <w:rPr>
          <w:lang w:val="fr-FR"/>
        </w:rPr>
        <w:t xml:space="preserve">reproduite </w:t>
      </w:r>
      <w:r>
        <w:rPr>
          <w:lang w:val="fr-FR"/>
        </w:rPr>
        <w:t>dans l</w:t>
      </w:r>
      <w:r w:rsidR="000051E6">
        <w:rPr>
          <w:lang w:val="fr-FR"/>
        </w:rPr>
        <w:t>‘</w:t>
      </w:r>
      <w:r>
        <w:rPr>
          <w:lang w:val="fr-FR"/>
        </w:rPr>
        <w:t>annexe I de la</w:t>
      </w:r>
      <w:r w:rsidR="007128BE">
        <w:rPr>
          <w:lang w:val="fr-FR"/>
        </w:rPr>
        <w:t> </w:t>
      </w:r>
      <w:r>
        <w:rPr>
          <w:lang w:val="fr-FR"/>
        </w:rPr>
        <w:t xml:space="preserve">décision IPBES-3/4 et dont la Plénière a pris acte dans la même décision, </w:t>
      </w:r>
      <w:r w:rsidR="00812A43">
        <w:rPr>
          <w:lang w:val="fr-FR"/>
        </w:rPr>
        <w:t xml:space="preserve">et dans </w:t>
      </w:r>
      <w:r>
        <w:rPr>
          <w:lang w:val="fr-FR"/>
        </w:rPr>
        <w:t>le projet révisé de stratégie d</w:t>
      </w:r>
      <w:r w:rsidR="000051E6">
        <w:rPr>
          <w:lang w:val="fr-FR"/>
        </w:rPr>
        <w:t>‘</w:t>
      </w:r>
      <w:commentRangeStart w:id="1"/>
      <w:r>
        <w:rPr>
          <w:lang w:val="fr-FR"/>
        </w:rPr>
        <w:t>association des parties prenantes</w:t>
      </w:r>
      <w:commentRangeEnd w:id="1"/>
      <w:r w:rsidR="00913794">
        <w:commentReference w:id="1"/>
      </w:r>
      <w:commentRangeStart w:id="2"/>
      <w:r w:rsidR="00812A43">
        <w:rPr>
          <w:lang w:val="fr-FR"/>
        </w:rPr>
        <w:t>,</w:t>
      </w:r>
      <w:commentRangeEnd w:id="2"/>
      <w:r w:rsidR="00812A43">
        <w:rPr>
          <w:rStyle w:val="CommentReference"/>
          <w:lang w:val="fr-FR"/>
        </w:rPr>
        <w:commentReference w:id="2"/>
      </w:r>
      <w:r>
        <w:rPr>
          <w:lang w:val="fr-FR"/>
        </w:rPr>
        <w:t xml:space="preserve"> dont la Plénière a pris </w:t>
      </w:r>
      <w:commentRangeStart w:id="3"/>
      <w:r>
        <w:rPr>
          <w:lang w:val="fr-FR"/>
        </w:rPr>
        <w:t xml:space="preserve">acte avec satisfaction </w:t>
      </w:r>
      <w:r w:rsidR="00812A43">
        <w:rPr>
          <w:lang w:val="fr-FR"/>
        </w:rPr>
        <w:t>(</w:t>
      </w:r>
      <w:r>
        <w:rPr>
          <w:lang w:val="fr-FR"/>
        </w:rPr>
        <w:t>annexe</w:t>
      </w:r>
      <w:r w:rsidR="00812A43">
        <w:rPr>
          <w:lang w:val="fr-FR"/>
        </w:rPr>
        <w:t> </w:t>
      </w:r>
      <w:r>
        <w:rPr>
          <w:lang w:val="fr-FR"/>
        </w:rPr>
        <w:t>II</w:t>
      </w:r>
      <w:r w:rsidR="00812A43">
        <w:rPr>
          <w:lang w:val="fr-FR"/>
        </w:rPr>
        <w:t>)</w:t>
      </w:r>
      <w:commentRangeEnd w:id="3"/>
      <w:r w:rsidR="00812A43">
        <w:rPr>
          <w:rStyle w:val="CommentReference"/>
          <w:lang w:val="fr-FR"/>
        </w:rPr>
        <w:commentReference w:id="3"/>
      </w:r>
      <w:r>
        <w:rPr>
          <w:lang w:val="fr-FR"/>
        </w:rPr>
        <w:t>. La</w:t>
      </w:r>
      <w:r w:rsidR="007128BE">
        <w:rPr>
          <w:lang w:val="fr-FR"/>
        </w:rPr>
        <w:t> </w:t>
      </w:r>
      <w:r>
        <w:rPr>
          <w:lang w:val="fr-FR"/>
        </w:rPr>
        <w:t>présente note tient également compte de la note du secrétariat sur les stratégies de communication et d</w:t>
      </w:r>
      <w:r w:rsidR="000051E6">
        <w:rPr>
          <w:lang w:val="fr-FR"/>
        </w:rPr>
        <w:t>‘</w:t>
      </w:r>
      <w:r>
        <w:rPr>
          <w:lang w:val="fr-FR"/>
        </w:rPr>
        <w:t xml:space="preserve">association des parties prenantes </w:t>
      </w:r>
      <w:commentRangeStart w:id="4"/>
      <w:r>
        <w:rPr>
          <w:lang w:val="fr-FR"/>
        </w:rPr>
        <w:t>(IPBES/4/INF/15)</w:t>
      </w:r>
      <w:commentRangeEnd w:id="4"/>
      <w:r w:rsidR="00913794">
        <w:commentReference w:id="4"/>
      </w:r>
      <w:commentRangeStart w:id="5"/>
      <w:r w:rsidR="001D39EA">
        <w:rPr>
          <w:lang w:val="fr-FR"/>
        </w:rPr>
        <w:t>,</w:t>
      </w:r>
      <w:commentRangeEnd w:id="5"/>
      <w:r w:rsidR="001D39EA">
        <w:rPr>
          <w:rStyle w:val="CommentReference"/>
          <w:lang w:val="fr-FR"/>
        </w:rPr>
        <w:commentReference w:id="5"/>
      </w:r>
      <w:r>
        <w:rPr>
          <w:lang w:val="fr-FR"/>
        </w:rPr>
        <w:t xml:space="preserve"> qui </w:t>
      </w:r>
      <w:commentRangeStart w:id="6"/>
      <w:r w:rsidR="00812A43">
        <w:rPr>
          <w:lang w:val="fr-FR"/>
        </w:rPr>
        <w:t xml:space="preserve">faisait le </w:t>
      </w:r>
      <w:r w:rsidR="002F2ED1">
        <w:rPr>
          <w:lang w:val="fr-FR"/>
        </w:rPr>
        <w:t>bilan de</w:t>
      </w:r>
      <w:commentRangeEnd w:id="6"/>
      <w:r w:rsidR="00812A43">
        <w:rPr>
          <w:rStyle w:val="CommentReference"/>
          <w:lang w:val="fr-FR"/>
        </w:rPr>
        <w:commentReference w:id="6"/>
      </w:r>
      <w:r>
        <w:rPr>
          <w:lang w:val="fr-FR"/>
        </w:rPr>
        <w:t xml:space="preserve"> la mise en œuvre du projet de stratégie de communication et de sensibilisation, de la </w:t>
      </w:r>
      <w:commentRangeStart w:id="7"/>
      <w:r>
        <w:rPr>
          <w:lang w:val="fr-FR"/>
        </w:rPr>
        <w:t xml:space="preserve">note du secrétariat intitulée « Réseau </w:t>
      </w:r>
      <w:commentRangeEnd w:id="7"/>
      <w:r w:rsidR="002F2ED1">
        <w:rPr>
          <w:rStyle w:val="CommentReference"/>
          <w:lang w:val="fr-FR"/>
        </w:rPr>
        <w:commentReference w:id="7"/>
      </w:r>
      <w:r>
        <w:rPr>
          <w:lang w:val="fr-FR"/>
        </w:rPr>
        <w:t xml:space="preserve">des parties prenantes </w:t>
      </w:r>
      <w:r w:rsidR="002F2ED1">
        <w:rPr>
          <w:lang w:val="fr-FR"/>
        </w:rPr>
        <w:t xml:space="preserve">à </w:t>
      </w:r>
      <w:r>
        <w:rPr>
          <w:lang w:val="fr-FR"/>
        </w:rPr>
        <w:t>la Plateforme intergouvernementale scientifique et politique sur la biodiversité et les</w:t>
      </w:r>
      <w:r w:rsidR="007128BE">
        <w:rPr>
          <w:lang w:val="fr-FR"/>
        </w:rPr>
        <w:t> </w:t>
      </w:r>
      <w:r>
        <w:rPr>
          <w:lang w:val="fr-FR"/>
        </w:rPr>
        <w:t xml:space="preserve">services écosystémiques : </w:t>
      </w:r>
      <w:r w:rsidR="002F2ED1">
        <w:rPr>
          <w:lang w:val="fr-FR"/>
        </w:rPr>
        <w:t xml:space="preserve">le point </w:t>
      </w:r>
      <w:r>
        <w:rPr>
          <w:lang w:val="fr-FR"/>
        </w:rPr>
        <w:t>sur les progrès réalisés dans l</w:t>
      </w:r>
      <w:r w:rsidR="000051E6">
        <w:rPr>
          <w:lang w:val="fr-FR"/>
        </w:rPr>
        <w:t>‘</w:t>
      </w:r>
      <w:r>
        <w:rPr>
          <w:lang w:val="fr-FR"/>
        </w:rPr>
        <w:t>organisation et la structur</w:t>
      </w:r>
      <w:r w:rsidR="002F2ED1">
        <w:rPr>
          <w:lang w:val="fr-FR"/>
        </w:rPr>
        <w:t>ation</w:t>
      </w:r>
      <w:r>
        <w:rPr>
          <w:lang w:val="fr-FR"/>
        </w:rPr>
        <w:t xml:space="preserve"> d</w:t>
      </w:r>
      <w:r w:rsidR="000051E6">
        <w:rPr>
          <w:lang w:val="fr-FR"/>
        </w:rPr>
        <w:t>‘</w:t>
      </w:r>
      <w:r>
        <w:rPr>
          <w:lang w:val="fr-FR"/>
        </w:rPr>
        <w:t>un</w:t>
      </w:r>
      <w:r w:rsidR="007128BE">
        <w:rPr>
          <w:lang w:val="fr-FR"/>
        </w:rPr>
        <w:t> </w:t>
      </w:r>
      <w:r>
        <w:rPr>
          <w:lang w:val="fr-FR"/>
        </w:rPr>
        <w:t>réseau inclusif</w:t>
      </w:r>
      <w:r w:rsidR="002F2ED1">
        <w:rPr>
          <w:lang w:val="fr-FR"/>
        </w:rPr>
        <w:t xml:space="preserve"> à composition non limitée de</w:t>
      </w:r>
      <w:r>
        <w:rPr>
          <w:lang w:val="fr-FR"/>
        </w:rPr>
        <w:t xml:space="preserve"> parties prenantes » (IPBES/4/INF/16), ainsi que de la</w:t>
      </w:r>
      <w:r w:rsidR="007128BE">
        <w:rPr>
          <w:lang w:val="fr-FR"/>
        </w:rPr>
        <w:t> </w:t>
      </w:r>
      <w:r>
        <w:rPr>
          <w:lang w:val="fr-FR"/>
        </w:rPr>
        <w:t xml:space="preserve">décision IPBES-4/4, dans laquelle la Plénière a pris note des progrès réalisés par les parties prenantes de la Plateforme dans </w:t>
      </w:r>
      <w:r w:rsidR="002F2ED1">
        <w:rPr>
          <w:lang w:val="fr-FR"/>
        </w:rPr>
        <w:t>la création</w:t>
      </w:r>
      <w:r>
        <w:rPr>
          <w:lang w:val="fr-FR"/>
        </w:rPr>
        <w:t xml:space="preserve"> d</w:t>
      </w:r>
      <w:r w:rsidR="000051E6">
        <w:rPr>
          <w:lang w:val="fr-FR"/>
        </w:rPr>
        <w:t>’</w:t>
      </w:r>
      <w:r>
        <w:rPr>
          <w:lang w:val="fr-FR"/>
        </w:rPr>
        <w:t>un réseau à composition non limitée de parties prenantes depuis la troisième session de la Plénière.</w:t>
      </w:r>
    </w:p>
    <w:p w14:paraId="011269E7" w14:textId="77777777" w:rsidR="00A07D4D" w:rsidRPr="000C5CA1" w:rsidRDefault="00A07D4D" w:rsidP="00213E79">
      <w:pPr>
        <w:pStyle w:val="Normalnumber"/>
        <w:ind w:left="1247" w:firstLine="0"/>
        <w:rPr>
          <w:lang w:val="fr-FR"/>
        </w:rPr>
      </w:pPr>
      <w:r>
        <w:rPr>
          <w:lang w:val="fr-FR"/>
        </w:rPr>
        <w:t xml:space="preserve">En plus de donner un aperçu des activités </w:t>
      </w:r>
      <w:r w:rsidR="002F2ED1">
        <w:rPr>
          <w:lang w:val="fr-FR"/>
        </w:rPr>
        <w:t xml:space="preserve">ayant été menées à bien et prévues </w:t>
      </w:r>
      <w:r w:rsidR="002F2ED1">
        <w:rPr>
          <w:rStyle w:val="CommentReference"/>
          <w:lang w:val="fr-FR"/>
        </w:rPr>
        <w:commentReference w:id="8"/>
      </w:r>
      <w:r w:rsidR="002F2ED1">
        <w:rPr>
          <w:lang w:val="fr-FR"/>
        </w:rPr>
        <w:t xml:space="preserve">dans les domaines </w:t>
      </w:r>
      <w:r>
        <w:rPr>
          <w:lang w:val="fr-FR"/>
        </w:rPr>
        <w:t xml:space="preserve">de </w:t>
      </w:r>
      <w:r w:rsidR="002F2ED1">
        <w:rPr>
          <w:lang w:val="fr-FR"/>
        </w:rPr>
        <w:t xml:space="preserve">la </w:t>
      </w:r>
      <w:r>
        <w:rPr>
          <w:lang w:val="fr-FR"/>
        </w:rPr>
        <w:t xml:space="preserve">communication, de </w:t>
      </w:r>
      <w:r w:rsidR="002F2ED1">
        <w:rPr>
          <w:lang w:val="fr-FR"/>
        </w:rPr>
        <w:t xml:space="preserve">la </w:t>
      </w:r>
      <w:r>
        <w:rPr>
          <w:lang w:val="fr-FR"/>
        </w:rPr>
        <w:t>sensibilisation et d</w:t>
      </w:r>
      <w:r w:rsidR="002F2ED1">
        <w:rPr>
          <w:lang w:val="fr-FR"/>
        </w:rPr>
        <w:t>e l</w:t>
      </w:r>
      <w:r w:rsidR="000051E6">
        <w:rPr>
          <w:lang w:val="fr-FR"/>
        </w:rPr>
        <w:t>‘</w:t>
      </w:r>
      <w:r>
        <w:rPr>
          <w:lang w:val="fr-FR"/>
        </w:rPr>
        <w:t>association des parties prenantes, la</w:t>
      </w:r>
      <w:r w:rsidR="001D39EA">
        <w:rPr>
          <w:lang w:val="fr-FR"/>
        </w:rPr>
        <w:t> </w:t>
      </w:r>
      <w:r>
        <w:rPr>
          <w:lang w:val="fr-FR"/>
        </w:rPr>
        <w:t xml:space="preserve">présente note </w:t>
      </w:r>
      <w:r w:rsidR="002F2ED1">
        <w:rPr>
          <w:lang w:val="fr-FR"/>
        </w:rPr>
        <w:t xml:space="preserve">informe </w:t>
      </w:r>
      <w:r>
        <w:rPr>
          <w:lang w:val="fr-FR"/>
        </w:rPr>
        <w:t xml:space="preserve">la Plénière </w:t>
      </w:r>
      <w:r w:rsidR="002F2ED1">
        <w:rPr>
          <w:lang w:val="fr-FR"/>
        </w:rPr>
        <w:t xml:space="preserve">des </w:t>
      </w:r>
      <w:r>
        <w:rPr>
          <w:lang w:val="fr-FR"/>
        </w:rPr>
        <w:t xml:space="preserve">décisions et orientations </w:t>
      </w:r>
      <w:r w:rsidR="002F2ED1">
        <w:rPr>
          <w:rStyle w:val="CommentReference"/>
          <w:lang w:val="fr-FR"/>
        </w:rPr>
        <w:commentReference w:id="9"/>
      </w:r>
      <w:r>
        <w:rPr>
          <w:lang w:val="fr-FR"/>
        </w:rPr>
        <w:t xml:space="preserve">formulées </w:t>
      </w:r>
      <w:r w:rsidR="002F2ED1">
        <w:rPr>
          <w:lang w:val="fr-FR"/>
        </w:rPr>
        <w:t xml:space="preserve">sur le sujet </w:t>
      </w:r>
      <w:r>
        <w:rPr>
          <w:lang w:val="fr-FR"/>
        </w:rPr>
        <w:t xml:space="preserve">par le Bureau </w:t>
      </w:r>
      <w:r w:rsidR="002F2ED1">
        <w:rPr>
          <w:lang w:val="fr-FR"/>
        </w:rPr>
        <w:t>à</w:t>
      </w:r>
      <w:r w:rsidR="001D39EA">
        <w:rPr>
          <w:rStyle w:val="CommentReference"/>
          <w:lang w:val="fr-FR"/>
        </w:rPr>
        <w:t> </w:t>
      </w:r>
      <w:r>
        <w:rPr>
          <w:lang w:val="fr-FR"/>
        </w:rPr>
        <w:t xml:space="preserve">a huitième réunion. </w:t>
      </w:r>
    </w:p>
    <w:p w14:paraId="3A756755" w14:textId="77777777" w:rsidR="00A07D4D" w:rsidRPr="000C5CA1" w:rsidRDefault="00A07D4D" w:rsidP="00213E79">
      <w:pPr>
        <w:pStyle w:val="Normalnumber"/>
        <w:ind w:left="1247" w:firstLine="0"/>
        <w:rPr>
          <w:lang w:val="fr-FR"/>
        </w:rPr>
      </w:pPr>
      <w:r>
        <w:rPr>
          <w:lang w:val="fr-FR"/>
        </w:rPr>
        <w:t xml:space="preserve">En ce qui concerne les partenariats stratégiques, la Plénière a, </w:t>
      </w:r>
      <w:r w:rsidR="00A35763">
        <w:rPr>
          <w:lang w:val="fr-FR"/>
        </w:rPr>
        <w:t xml:space="preserve">à la </w:t>
      </w:r>
      <w:commentRangeStart w:id="10"/>
      <w:r w:rsidR="00A35763">
        <w:rPr>
          <w:lang w:val="fr-FR"/>
        </w:rPr>
        <w:t>section III</w:t>
      </w:r>
      <w:commentRangeEnd w:id="10"/>
      <w:r w:rsidR="00A35763">
        <w:rPr>
          <w:rStyle w:val="CommentReference"/>
          <w:lang w:val="fr-FR"/>
        </w:rPr>
        <w:commentReference w:id="10"/>
      </w:r>
      <w:r w:rsidR="00A35763">
        <w:rPr>
          <w:lang w:val="fr-FR"/>
        </w:rPr>
        <w:t xml:space="preserve"> de</w:t>
      </w:r>
      <w:r>
        <w:rPr>
          <w:lang w:val="fr-FR"/>
        </w:rPr>
        <w:t xml:space="preserve"> sa décision</w:t>
      </w:r>
      <w:r w:rsidR="001D39EA">
        <w:rPr>
          <w:lang w:val="fr-FR"/>
        </w:rPr>
        <w:t> </w:t>
      </w:r>
      <w:r>
        <w:rPr>
          <w:lang w:val="fr-FR"/>
        </w:rPr>
        <w:t xml:space="preserve">IPBES-4/4, </w:t>
      </w:r>
      <w:r w:rsidR="00A35763">
        <w:rPr>
          <w:lang w:val="fr-FR"/>
        </w:rPr>
        <w:t>demandé à la</w:t>
      </w:r>
      <w:commentRangeStart w:id="11"/>
      <w:r>
        <w:rPr>
          <w:lang w:val="fr-FR"/>
        </w:rPr>
        <w:t xml:space="preserve"> Secrétaire exécuti</w:t>
      </w:r>
      <w:r w:rsidR="002F2ED1">
        <w:rPr>
          <w:lang w:val="fr-FR"/>
        </w:rPr>
        <w:t>ve</w:t>
      </w:r>
      <w:commentRangeEnd w:id="11"/>
      <w:r w:rsidR="002F2ED1">
        <w:rPr>
          <w:rStyle w:val="CommentReference"/>
          <w:lang w:val="fr-FR"/>
        </w:rPr>
        <w:commentReference w:id="11"/>
      </w:r>
      <w:r>
        <w:rPr>
          <w:lang w:val="fr-FR"/>
        </w:rPr>
        <w:t xml:space="preserve"> de finaliser les mémorandums de coopération </w:t>
      </w:r>
      <w:r w:rsidR="00A35763">
        <w:rPr>
          <w:lang w:val="fr-FR"/>
        </w:rPr>
        <w:t xml:space="preserve">entre </w:t>
      </w:r>
      <w:r w:rsidR="00913794">
        <w:commentReference w:id="12"/>
      </w:r>
      <w:r>
        <w:rPr>
          <w:lang w:val="fr-FR"/>
        </w:rPr>
        <w:t>les secrétariats des accords multilatéraux sur l</w:t>
      </w:r>
      <w:r w:rsidR="000051E6">
        <w:rPr>
          <w:lang w:val="fr-FR"/>
        </w:rPr>
        <w:t>’</w:t>
      </w:r>
      <w:r>
        <w:rPr>
          <w:lang w:val="fr-FR"/>
        </w:rPr>
        <w:t>environnement relatifs à la biodiversité et aux services écosystémiques et le secrétariat de la Plateforme, et l</w:t>
      </w:r>
      <w:r w:rsidR="000051E6">
        <w:rPr>
          <w:lang w:val="fr-FR"/>
        </w:rPr>
        <w:t>‘</w:t>
      </w:r>
      <w:r>
        <w:rPr>
          <w:lang w:val="fr-FR"/>
        </w:rPr>
        <w:t xml:space="preserve">a prié de </w:t>
      </w:r>
      <w:r w:rsidR="00911A3E">
        <w:rPr>
          <w:lang w:val="fr-FR"/>
        </w:rPr>
        <w:t xml:space="preserve">lui </w:t>
      </w:r>
      <w:r>
        <w:rPr>
          <w:lang w:val="fr-FR"/>
        </w:rPr>
        <w:t xml:space="preserve">faire rapport </w:t>
      </w:r>
      <w:r w:rsidR="00911A3E">
        <w:rPr>
          <w:rStyle w:val="CommentReference"/>
          <w:lang w:val="fr-FR"/>
        </w:rPr>
        <w:commentReference w:id="13"/>
      </w:r>
      <w:r>
        <w:rPr>
          <w:lang w:val="fr-FR"/>
        </w:rPr>
        <w:t>à sa cinquième</w:t>
      </w:r>
      <w:r w:rsidR="001D39EA">
        <w:rPr>
          <w:lang w:val="fr-FR"/>
        </w:rPr>
        <w:t> </w:t>
      </w:r>
      <w:r>
        <w:rPr>
          <w:lang w:val="fr-FR"/>
        </w:rPr>
        <w:t>session sur les activités de communication et de collaboration avec d</w:t>
      </w:r>
      <w:r w:rsidR="000051E6">
        <w:rPr>
          <w:lang w:val="fr-FR"/>
        </w:rPr>
        <w:t>’</w:t>
      </w:r>
      <w:r>
        <w:rPr>
          <w:lang w:val="fr-FR"/>
        </w:rPr>
        <w:t xml:space="preserve">autres organes internationaux concernés. Les </w:t>
      </w:r>
      <w:commentRangeStart w:id="14"/>
      <w:r>
        <w:rPr>
          <w:lang w:val="fr-FR"/>
        </w:rPr>
        <w:t xml:space="preserve">orientations </w:t>
      </w:r>
      <w:commentRangeEnd w:id="14"/>
      <w:r w:rsidR="00911A3E">
        <w:rPr>
          <w:rStyle w:val="CommentReference"/>
          <w:lang w:val="fr-FR"/>
        </w:rPr>
        <w:commentReference w:id="14"/>
      </w:r>
      <w:r>
        <w:rPr>
          <w:lang w:val="fr-FR"/>
        </w:rPr>
        <w:t>concernant l</w:t>
      </w:r>
      <w:r w:rsidR="000051E6">
        <w:rPr>
          <w:lang w:val="fr-FR"/>
        </w:rPr>
        <w:t>’</w:t>
      </w:r>
      <w:r>
        <w:rPr>
          <w:lang w:val="fr-FR"/>
        </w:rPr>
        <w:t>établissement de partenariats stratégiques et autres accords de collaboration figurent dans l</w:t>
      </w:r>
      <w:r w:rsidR="000051E6">
        <w:rPr>
          <w:lang w:val="fr-FR"/>
        </w:rPr>
        <w:t>’</w:t>
      </w:r>
      <w:r>
        <w:rPr>
          <w:lang w:val="fr-FR"/>
        </w:rPr>
        <w:t>annexe III de la décision IPBES-3/4.</w:t>
      </w:r>
    </w:p>
    <w:p w14:paraId="450A0C5C" w14:textId="77777777" w:rsidR="00A07D4D" w:rsidRPr="000C5CA1" w:rsidRDefault="009F65FC" w:rsidP="009F65FC">
      <w:pPr>
        <w:pStyle w:val="CH1"/>
        <w:rPr>
          <w:rFonts w:eastAsia="MS Mincho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Stratégie de communication et de sensibilisation</w:t>
      </w:r>
    </w:p>
    <w:p w14:paraId="2D88FA9E" w14:textId="77777777" w:rsidR="00A07D4D" w:rsidRPr="000C5CA1" w:rsidRDefault="009F65FC" w:rsidP="009F65FC">
      <w:pPr>
        <w:pStyle w:val="CH2"/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  <w:t>Communication au jour le jour</w:t>
      </w:r>
    </w:p>
    <w:p w14:paraId="7B034707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Analyse des besoins</w:t>
      </w:r>
      <w:r>
        <w:rPr>
          <w:lang w:val="fr-FR"/>
        </w:rPr>
        <w:t>. Grâce à l</w:t>
      </w:r>
      <w:r w:rsidR="000051E6">
        <w:rPr>
          <w:lang w:val="fr-FR"/>
        </w:rPr>
        <w:t>‘</w:t>
      </w:r>
      <w:r>
        <w:rPr>
          <w:lang w:val="fr-FR"/>
        </w:rPr>
        <w:t>appui en nature apporté par l</w:t>
      </w:r>
      <w:r w:rsidR="000051E6">
        <w:rPr>
          <w:lang w:val="fr-FR"/>
        </w:rPr>
        <w:t>‘</w:t>
      </w:r>
      <w:r>
        <w:rPr>
          <w:lang w:val="fr-FR"/>
        </w:rPr>
        <w:t>Union internationale pour la conservation de la nature</w:t>
      </w:r>
      <w:r w:rsidR="00911A3E">
        <w:rPr>
          <w:lang w:val="fr-FR"/>
        </w:rPr>
        <w:t>,</w:t>
      </w:r>
      <w:r>
        <w:rPr>
          <w:lang w:val="fr-FR"/>
        </w:rPr>
        <w:t xml:space="preserve"> </w:t>
      </w:r>
      <w:r w:rsidR="00911A3E">
        <w:rPr>
          <w:rStyle w:val="CommentReference"/>
          <w:lang w:val="fr-FR"/>
        </w:rPr>
        <w:commentReference w:id="15"/>
      </w:r>
      <w:r>
        <w:rPr>
          <w:lang w:val="fr-FR"/>
        </w:rPr>
        <w:t>le secrétariat a pu mener une enquête détaillée sur l</w:t>
      </w:r>
      <w:r w:rsidR="000051E6">
        <w:rPr>
          <w:lang w:val="fr-FR"/>
        </w:rPr>
        <w:t>‘</w:t>
      </w:r>
      <w:r>
        <w:rPr>
          <w:lang w:val="fr-FR"/>
        </w:rPr>
        <w:t>analyse des besoins des</w:t>
      </w:r>
      <w:r w:rsidR="007128BE">
        <w:rPr>
          <w:lang w:val="fr-FR"/>
        </w:rPr>
        <w:t> </w:t>
      </w:r>
      <w:r>
        <w:rPr>
          <w:lang w:val="fr-FR"/>
        </w:rPr>
        <w:t>parties prenantes dont les résultats, notamment les incidences en termes de communication et d</w:t>
      </w:r>
      <w:r w:rsidR="000051E6">
        <w:rPr>
          <w:lang w:val="fr-FR"/>
        </w:rPr>
        <w:t>‘</w:t>
      </w:r>
      <w:r>
        <w:rPr>
          <w:lang w:val="fr-FR"/>
        </w:rPr>
        <w:t xml:space="preserve">association des parties prenantes, sont </w:t>
      </w:r>
      <w:commentRangeStart w:id="16"/>
      <w:r w:rsidR="00911A3E">
        <w:rPr>
          <w:lang w:val="fr-FR"/>
        </w:rPr>
        <w:t>résumés</w:t>
      </w:r>
      <w:commentRangeEnd w:id="16"/>
      <w:r w:rsidR="00911A3E">
        <w:rPr>
          <w:rStyle w:val="CommentReference"/>
          <w:lang w:val="fr-FR"/>
        </w:rPr>
        <w:commentReference w:id="16"/>
      </w:r>
      <w:r w:rsidR="00911A3E">
        <w:rPr>
          <w:lang w:val="fr-FR"/>
        </w:rPr>
        <w:t xml:space="preserve"> </w:t>
      </w:r>
      <w:r>
        <w:rPr>
          <w:lang w:val="fr-FR"/>
        </w:rPr>
        <w:t>dans le document IPBES/5/INF/16.</w:t>
      </w:r>
    </w:p>
    <w:p w14:paraId="47C8CA42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commentRangeStart w:id="17"/>
      <w:r w:rsidRPr="000051E6">
        <w:rPr>
          <w:i/>
          <w:lang w:val="fr-FR"/>
        </w:rPr>
        <w:t>Stratégie de marque</w:t>
      </w:r>
      <w:r>
        <w:rPr>
          <w:lang w:val="fr-FR"/>
        </w:rPr>
        <w:t xml:space="preserve">. </w:t>
      </w:r>
      <w:r w:rsidR="00911A3E">
        <w:rPr>
          <w:lang w:val="fr-FR"/>
        </w:rPr>
        <w:t>S</w:t>
      </w:r>
      <w:r w:rsidR="000051E6">
        <w:rPr>
          <w:lang w:val="fr-FR"/>
        </w:rPr>
        <w:t>‘</w:t>
      </w:r>
      <w:r w:rsidR="00911A3E">
        <w:rPr>
          <w:lang w:val="fr-FR"/>
        </w:rPr>
        <w:t>appuyant sur les résultats de l</w:t>
      </w:r>
      <w:r w:rsidR="000051E6">
        <w:rPr>
          <w:lang w:val="fr-FR"/>
        </w:rPr>
        <w:t>‘</w:t>
      </w:r>
      <w:r w:rsidR="00911A3E">
        <w:rPr>
          <w:lang w:val="fr-FR"/>
        </w:rPr>
        <w:t>enquête sur l</w:t>
      </w:r>
      <w:r w:rsidR="000051E6">
        <w:rPr>
          <w:lang w:val="fr-FR"/>
        </w:rPr>
        <w:t>‘</w:t>
      </w:r>
      <w:r w:rsidR="00911A3E">
        <w:rPr>
          <w:lang w:val="fr-FR"/>
        </w:rPr>
        <w:t>analyse des besoins des parties prenantes, qui comprend des éléments d</w:t>
      </w:r>
      <w:r w:rsidR="000051E6">
        <w:rPr>
          <w:lang w:val="fr-FR"/>
        </w:rPr>
        <w:t>‘</w:t>
      </w:r>
      <w:r w:rsidR="00911A3E">
        <w:rPr>
          <w:lang w:val="fr-FR"/>
        </w:rPr>
        <w:t>audit de marque et qui sera menée avec le concours d</w:t>
      </w:r>
      <w:r w:rsidR="000051E6">
        <w:rPr>
          <w:lang w:val="fr-FR"/>
        </w:rPr>
        <w:t>‘</w:t>
      </w:r>
      <w:r w:rsidR="00911A3E">
        <w:rPr>
          <w:lang w:val="fr-FR"/>
        </w:rPr>
        <w:t>une agence professionnelle de stratégie de marque, le secrétariat présentera au Bureau, a</w:t>
      </w:r>
      <w:r>
        <w:rPr>
          <w:lang w:val="fr-FR"/>
        </w:rPr>
        <w:t>vant la fin de</w:t>
      </w:r>
      <w:r w:rsidR="00621BFA">
        <w:rPr>
          <w:lang w:val="fr-FR"/>
        </w:rPr>
        <w:t> </w:t>
      </w:r>
      <w:r>
        <w:rPr>
          <w:lang w:val="fr-FR"/>
        </w:rPr>
        <w:t xml:space="preserve">2017, un projet de stratégie de marque pour </w:t>
      </w:r>
      <w:r w:rsidR="00911A3E">
        <w:rPr>
          <w:lang w:val="fr-FR"/>
        </w:rPr>
        <w:t>la Plateforme</w:t>
      </w:r>
      <w:r>
        <w:rPr>
          <w:lang w:val="fr-FR"/>
        </w:rPr>
        <w:t>.</w:t>
      </w:r>
      <w:commentRangeEnd w:id="17"/>
      <w:r w:rsidR="00911A3E">
        <w:rPr>
          <w:rStyle w:val="CommentReference"/>
          <w:lang w:val="fr-FR"/>
        </w:rPr>
        <w:commentReference w:id="17"/>
      </w:r>
    </w:p>
    <w:p w14:paraId="7D042369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Site Web</w:t>
      </w:r>
      <w:r>
        <w:rPr>
          <w:lang w:val="fr-FR"/>
        </w:rPr>
        <w:t>.</w:t>
      </w:r>
      <w:r w:rsidR="008F4673">
        <w:rPr>
          <w:lang w:val="fr-FR"/>
        </w:rPr>
        <w:t xml:space="preserve"> Il sera procédé à u</w:t>
      </w:r>
      <w:r>
        <w:rPr>
          <w:lang w:val="fr-FR"/>
        </w:rPr>
        <w:t xml:space="preserve">n audit complet du site Web de </w:t>
      </w:r>
      <w:r w:rsidR="008F4673">
        <w:rPr>
          <w:lang w:val="fr-FR"/>
        </w:rPr>
        <w:t>la Plateforme avant la fin de</w:t>
      </w:r>
      <w:r w:rsidR="00621BFA">
        <w:rPr>
          <w:lang w:val="fr-FR"/>
        </w:rPr>
        <w:t> </w:t>
      </w:r>
      <w:r w:rsidR="008F4673">
        <w:rPr>
          <w:lang w:val="fr-FR"/>
        </w:rPr>
        <w:t xml:space="preserve">2017 </w:t>
      </w:r>
      <w:r>
        <w:rPr>
          <w:lang w:val="fr-FR"/>
        </w:rPr>
        <w:t>afin d</w:t>
      </w:r>
      <w:r w:rsidR="000051E6">
        <w:rPr>
          <w:lang w:val="fr-FR"/>
        </w:rPr>
        <w:t>‘</w:t>
      </w:r>
      <w:r>
        <w:rPr>
          <w:lang w:val="fr-FR"/>
        </w:rPr>
        <w:t>examiner sa structure et sa fonctionnalité et de déterminer l</w:t>
      </w:r>
      <w:r w:rsidR="000051E6">
        <w:rPr>
          <w:lang w:val="fr-FR"/>
        </w:rPr>
        <w:t>‘</w:t>
      </w:r>
      <w:r>
        <w:rPr>
          <w:lang w:val="fr-FR"/>
        </w:rPr>
        <w:t xml:space="preserve">étendue des travaux nécessaires </w:t>
      </w:r>
      <w:r w:rsidR="008F4673">
        <w:rPr>
          <w:rStyle w:val="CommentReference"/>
          <w:lang w:val="fr-FR"/>
        </w:rPr>
        <w:commentReference w:id="18"/>
      </w:r>
      <w:r w:rsidR="008F4673">
        <w:rPr>
          <w:lang w:val="fr-FR"/>
        </w:rPr>
        <w:t xml:space="preserve">pendant </w:t>
      </w:r>
      <w:r>
        <w:rPr>
          <w:lang w:val="fr-FR"/>
        </w:rPr>
        <w:t xml:space="preserve">la phase suivante de </w:t>
      </w:r>
      <w:commentRangeStart w:id="19"/>
      <w:r w:rsidR="008F4673">
        <w:rPr>
          <w:lang w:val="fr-FR"/>
        </w:rPr>
        <w:t>développement</w:t>
      </w:r>
      <w:commentRangeEnd w:id="19"/>
      <w:r w:rsidR="008F4673">
        <w:rPr>
          <w:rStyle w:val="CommentReference"/>
          <w:lang w:val="fr-FR"/>
        </w:rPr>
        <w:commentReference w:id="19"/>
      </w:r>
      <w:r w:rsidR="008F4673">
        <w:rPr>
          <w:lang w:val="fr-FR"/>
        </w:rPr>
        <w:t xml:space="preserve"> </w:t>
      </w:r>
      <w:r>
        <w:rPr>
          <w:lang w:val="fr-FR"/>
        </w:rPr>
        <w:t>du site Web.</w:t>
      </w:r>
    </w:p>
    <w:p w14:paraId="22CF6064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Politique d</w:t>
      </w:r>
      <w:r w:rsidR="000051E6">
        <w:rPr>
          <w:i/>
          <w:lang w:val="fr-FR"/>
        </w:rPr>
        <w:t>‘</w:t>
      </w:r>
      <w:r w:rsidRPr="000051E6">
        <w:rPr>
          <w:i/>
          <w:lang w:val="fr-FR"/>
        </w:rPr>
        <w:t>utilisation du logo</w:t>
      </w:r>
      <w:r>
        <w:rPr>
          <w:lang w:val="fr-FR"/>
        </w:rPr>
        <w:t>. Le Bureau a précisé la politique d</w:t>
      </w:r>
      <w:r w:rsidR="000051E6">
        <w:rPr>
          <w:lang w:val="fr-FR"/>
        </w:rPr>
        <w:t>‘</w:t>
      </w:r>
      <w:r>
        <w:rPr>
          <w:lang w:val="fr-FR"/>
        </w:rPr>
        <w:t xml:space="preserve">utilisation du logo de </w:t>
      </w:r>
      <w:r w:rsidR="008F4673">
        <w:rPr>
          <w:lang w:val="fr-FR"/>
        </w:rPr>
        <w:t>la</w:t>
      </w:r>
      <w:r w:rsidR="007128BE">
        <w:rPr>
          <w:lang w:val="fr-FR"/>
        </w:rPr>
        <w:t> </w:t>
      </w:r>
      <w:r w:rsidR="008F4673">
        <w:rPr>
          <w:lang w:val="fr-FR"/>
        </w:rPr>
        <w:t xml:space="preserve">Plateforme </w:t>
      </w:r>
      <w:commentRangeStart w:id="20"/>
      <w:r>
        <w:rPr>
          <w:lang w:val="fr-FR"/>
        </w:rPr>
        <w:t>e</w:t>
      </w:r>
      <w:r w:rsidR="008F4673">
        <w:rPr>
          <w:lang w:val="fr-FR"/>
        </w:rPr>
        <w:t>t</w:t>
      </w:r>
      <w:r>
        <w:rPr>
          <w:lang w:val="fr-FR"/>
        </w:rPr>
        <w:t xml:space="preserve"> décid</w:t>
      </w:r>
      <w:r w:rsidR="008F4673">
        <w:rPr>
          <w:lang w:val="fr-FR"/>
        </w:rPr>
        <w:t>é</w:t>
      </w:r>
      <w:commentRangeEnd w:id="20"/>
      <w:r w:rsidR="008F4673">
        <w:rPr>
          <w:rStyle w:val="CommentReference"/>
          <w:lang w:val="fr-FR"/>
        </w:rPr>
        <w:commentReference w:id="20"/>
      </w:r>
      <w:r>
        <w:rPr>
          <w:lang w:val="fr-FR"/>
        </w:rPr>
        <w:t xml:space="preserve"> que seul le logo de </w:t>
      </w:r>
      <w:r w:rsidR="008F4673">
        <w:rPr>
          <w:lang w:val="fr-FR"/>
        </w:rPr>
        <w:t xml:space="preserve">la Plateforme </w:t>
      </w:r>
      <w:r>
        <w:rPr>
          <w:lang w:val="fr-FR"/>
        </w:rPr>
        <w:t>apparaîtra</w:t>
      </w:r>
      <w:r w:rsidR="008F4673">
        <w:rPr>
          <w:lang w:val="fr-FR"/>
        </w:rPr>
        <w:t>it</w:t>
      </w:r>
      <w:r>
        <w:rPr>
          <w:lang w:val="fr-FR"/>
        </w:rPr>
        <w:t xml:space="preserve"> sur l</w:t>
      </w:r>
      <w:r w:rsidR="008F4673">
        <w:rPr>
          <w:lang w:val="fr-FR"/>
        </w:rPr>
        <w:t>a page</w:t>
      </w:r>
      <w:r>
        <w:rPr>
          <w:lang w:val="fr-FR"/>
        </w:rPr>
        <w:t xml:space="preserve"> de couverture de toutes les futures </w:t>
      </w:r>
      <w:commentRangeStart w:id="21"/>
      <w:r>
        <w:rPr>
          <w:lang w:val="fr-FR"/>
        </w:rPr>
        <w:t>publications de fond</w:t>
      </w:r>
      <w:commentRangeEnd w:id="21"/>
      <w:r w:rsidR="00913794">
        <w:commentReference w:id="21"/>
      </w:r>
      <w:r>
        <w:rPr>
          <w:lang w:val="fr-FR"/>
        </w:rPr>
        <w:t xml:space="preserve"> de </w:t>
      </w:r>
      <w:r w:rsidR="008F4673">
        <w:rPr>
          <w:lang w:val="fr-FR"/>
        </w:rPr>
        <w:t>la Plateforme</w:t>
      </w:r>
      <w:r>
        <w:rPr>
          <w:lang w:val="fr-FR"/>
        </w:rPr>
        <w:t>, tandis que les logos des quatre partenaires des Nations</w:t>
      </w:r>
      <w:r w:rsidR="007128BE">
        <w:rPr>
          <w:lang w:val="fr-FR"/>
        </w:rPr>
        <w:t> </w:t>
      </w:r>
      <w:r>
        <w:rPr>
          <w:lang w:val="fr-FR"/>
        </w:rPr>
        <w:t>Unies apparaîtr</w:t>
      </w:r>
      <w:r w:rsidR="006F1AFE">
        <w:rPr>
          <w:lang w:val="fr-FR"/>
        </w:rPr>
        <w:t>aie</w:t>
      </w:r>
      <w:r>
        <w:rPr>
          <w:lang w:val="fr-FR"/>
        </w:rPr>
        <w:t xml:space="preserve">nt sur le </w:t>
      </w:r>
      <w:r w:rsidR="006F1AFE">
        <w:rPr>
          <w:lang w:val="fr-FR"/>
        </w:rPr>
        <w:t>revers</w:t>
      </w:r>
      <w:r>
        <w:rPr>
          <w:lang w:val="fr-FR"/>
        </w:rPr>
        <w:t xml:space="preserve"> de la couverture</w:t>
      </w:r>
      <w:r w:rsidR="006F1AFE">
        <w:rPr>
          <w:lang w:val="fr-FR"/>
        </w:rPr>
        <w:t>, accompagnés d</w:t>
      </w:r>
      <w:r w:rsidR="000051E6">
        <w:rPr>
          <w:lang w:val="fr-FR"/>
        </w:rPr>
        <w:t>’</w:t>
      </w:r>
      <w:r w:rsidR="006F1AFE">
        <w:rPr>
          <w:rStyle w:val="CommentReference"/>
          <w:lang w:val="fr-FR"/>
        </w:rPr>
        <w:commentReference w:id="22"/>
      </w:r>
      <w:r>
        <w:rPr>
          <w:lang w:val="fr-FR"/>
        </w:rPr>
        <w:t>un texte décrivant le</w:t>
      </w:r>
      <w:r w:rsidR="007128BE">
        <w:rPr>
          <w:lang w:val="fr-FR"/>
        </w:rPr>
        <w:t> </w:t>
      </w:r>
      <w:r>
        <w:rPr>
          <w:lang w:val="fr-FR"/>
        </w:rPr>
        <w:t>lien</w:t>
      </w:r>
      <w:r w:rsidR="007128BE">
        <w:rPr>
          <w:lang w:val="fr-FR"/>
        </w:rPr>
        <w:t> </w:t>
      </w:r>
      <w:r>
        <w:rPr>
          <w:lang w:val="fr-FR"/>
        </w:rPr>
        <w:t xml:space="preserve">institutionnel existant entre </w:t>
      </w:r>
      <w:r w:rsidR="006F1AFE">
        <w:rPr>
          <w:lang w:val="fr-FR"/>
        </w:rPr>
        <w:t xml:space="preserve">la Plateforme </w:t>
      </w:r>
      <w:r>
        <w:rPr>
          <w:lang w:val="fr-FR"/>
        </w:rPr>
        <w:t xml:space="preserve">et ces partenaires. </w:t>
      </w:r>
      <w:r w:rsidR="006F1AFE">
        <w:rPr>
          <w:lang w:val="fr-FR"/>
        </w:rPr>
        <w:t>Par ailleurs</w:t>
      </w:r>
      <w:r>
        <w:rPr>
          <w:lang w:val="fr-FR"/>
        </w:rPr>
        <w:t>, le champ d</w:t>
      </w:r>
      <w:r w:rsidR="000051E6">
        <w:rPr>
          <w:lang w:val="fr-FR"/>
        </w:rPr>
        <w:t>‘</w:t>
      </w:r>
      <w:r>
        <w:rPr>
          <w:lang w:val="fr-FR"/>
        </w:rPr>
        <w:t>application de cette politique d</w:t>
      </w:r>
      <w:r w:rsidR="000051E6">
        <w:rPr>
          <w:lang w:val="fr-FR"/>
        </w:rPr>
        <w:t>‘</w:t>
      </w:r>
      <w:r>
        <w:rPr>
          <w:lang w:val="fr-FR"/>
        </w:rPr>
        <w:t>utilisation a été étendu afin d</w:t>
      </w:r>
      <w:r w:rsidR="000051E6">
        <w:rPr>
          <w:lang w:val="fr-FR"/>
        </w:rPr>
        <w:t>‘</w:t>
      </w:r>
      <w:r>
        <w:rPr>
          <w:lang w:val="fr-FR"/>
        </w:rPr>
        <w:t>y inclure les demandes d</w:t>
      </w:r>
      <w:r w:rsidR="000051E6">
        <w:rPr>
          <w:lang w:val="fr-FR"/>
        </w:rPr>
        <w:t>‘</w:t>
      </w:r>
      <w:r>
        <w:rPr>
          <w:lang w:val="fr-FR"/>
        </w:rPr>
        <w:t>autorisation de tierces parties souhaitant utiliser l</w:t>
      </w:r>
      <w:r w:rsidR="000051E6">
        <w:rPr>
          <w:lang w:val="fr-FR"/>
        </w:rPr>
        <w:t>‘</w:t>
      </w:r>
      <w:r>
        <w:rPr>
          <w:lang w:val="fr-FR"/>
        </w:rPr>
        <w:t xml:space="preserve">acronyme IPBES dans leur nom. Le secrétariat doit approuver par écrit chaque utilisation de ce genre </w:t>
      </w:r>
      <w:r w:rsidR="006A62D1">
        <w:rPr>
          <w:rStyle w:val="CommentReference"/>
          <w:lang w:val="fr-FR"/>
        </w:rPr>
        <w:commentReference w:id="23"/>
      </w:r>
      <w:r>
        <w:rPr>
          <w:lang w:val="fr-FR"/>
        </w:rPr>
        <w:t xml:space="preserve">et refusera de donner </w:t>
      </w:r>
      <w:r w:rsidR="006A62D1">
        <w:rPr>
          <w:lang w:val="fr-FR"/>
        </w:rPr>
        <w:t>son autorisation</w:t>
      </w:r>
      <w:r>
        <w:rPr>
          <w:lang w:val="fr-FR"/>
        </w:rPr>
        <w:t xml:space="preserve"> dans les cas où </w:t>
      </w:r>
      <w:r w:rsidR="004D08C4">
        <w:rPr>
          <w:lang w:val="fr-FR"/>
        </w:rPr>
        <w:t xml:space="preserve">la Plateforme </w:t>
      </w:r>
      <w:r>
        <w:rPr>
          <w:lang w:val="fr-FR"/>
        </w:rPr>
        <w:t>aurait un</w:t>
      </w:r>
      <w:r w:rsidR="007128BE">
        <w:rPr>
          <w:lang w:val="fr-FR"/>
        </w:rPr>
        <w:t> </w:t>
      </w:r>
      <w:r>
        <w:rPr>
          <w:lang w:val="fr-FR"/>
        </w:rPr>
        <w:t xml:space="preserve">contrôle limité ou inexistant sur </w:t>
      </w:r>
      <w:r w:rsidR="006A62D1">
        <w:rPr>
          <w:lang w:val="fr-FR"/>
        </w:rPr>
        <w:t xml:space="preserve">certaines </w:t>
      </w:r>
      <w:r>
        <w:rPr>
          <w:lang w:val="fr-FR"/>
        </w:rPr>
        <w:t xml:space="preserve">utilisations </w:t>
      </w:r>
      <w:r w:rsidR="006A62D1">
        <w:rPr>
          <w:lang w:val="fr-FR"/>
        </w:rPr>
        <w:t xml:space="preserve">données </w:t>
      </w:r>
      <w:r>
        <w:rPr>
          <w:lang w:val="fr-FR"/>
        </w:rPr>
        <w:t>du logo et sur les contextes dans</w:t>
      </w:r>
      <w:r w:rsidR="007128BE">
        <w:rPr>
          <w:lang w:val="fr-FR"/>
        </w:rPr>
        <w:t> </w:t>
      </w:r>
      <w:r>
        <w:rPr>
          <w:lang w:val="fr-FR"/>
        </w:rPr>
        <w:t xml:space="preserve">lesquels celui-ci apparaîtrait. </w:t>
      </w:r>
    </w:p>
    <w:p w14:paraId="08B1AFE0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Acronyme IPBES</w:t>
      </w:r>
      <w:r>
        <w:rPr>
          <w:lang w:val="fr-FR"/>
        </w:rPr>
        <w:t xml:space="preserve">. Le Bureau </w:t>
      </w:r>
      <w:commentRangeStart w:id="24"/>
      <w:r w:rsidR="006A62D1">
        <w:rPr>
          <w:lang w:val="fr-FR"/>
        </w:rPr>
        <w:t>est</w:t>
      </w:r>
      <w:r>
        <w:rPr>
          <w:lang w:val="fr-FR"/>
        </w:rPr>
        <w:t xml:space="preserve"> convenu</w:t>
      </w:r>
      <w:r w:rsidR="006A62D1">
        <w:rPr>
          <w:lang w:val="fr-FR"/>
        </w:rPr>
        <w:t>, ainsi que l</w:t>
      </w:r>
      <w:r w:rsidR="000051E6">
        <w:rPr>
          <w:lang w:val="fr-FR"/>
        </w:rPr>
        <w:t>’</w:t>
      </w:r>
      <w:r w:rsidR="006A62D1">
        <w:rPr>
          <w:lang w:val="fr-FR"/>
        </w:rPr>
        <w:t>avait proposé</w:t>
      </w:r>
      <w:r w:rsidR="006A62D1" w:rsidRPr="006A62D1">
        <w:rPr>
          <w:lang w:val="fr-FR"/>
        </w:rPr>
        <w:t xml:space="preserve"> </w:t>
      </w:r>
      <w:r w:rsidR="006A62D1">
        <w:rPr>
          <w:lang w:val="fr-FR"/>
        </w:rPr>
        <w:t>le secrétariat à des fins d</w:t>
      </w:r>
      <w:r w:rsidR="000051E6">
        <w:rPr>
          <w:lang w:val="fr-FR"/>
        </w:rPr>
        <w:t>‘</w:t>
      </w:r>
      <w:r w:rsidR="006A62D1">
        <w:rPr>
          <w:lang w:val="fr-FR"/>
        </w:rPr>
        <w:t>unité et de reconnaissance de marque,</w:t>
      </w:r>
      <w:r>
        <w:rPr>
          <w:lang w:val="fr-FR"/>
        </w:rPr>
        <w:t xml:space="preserve"> </w:t>
      </w:r>
      <w:commentRangeEnd w:id="24"/>
      <w:r w:rsidR="006A62D1">
        <w:rPr>
          <w:rStyle w:val="CommentReference"/>
          <w:lang w:val="fr-FR"/>
        </w:rPr>
        <w:commentReference w:id="24"/>
      </w:r>
      <w:r>
        <w:rPr>
          <w:lang w:val="fr-FR"/>
        </w:rPr>
        <w:t>d</w:t>
      </w:r>
      <w:r w:rsidR="000051E6">
        <w:rPr>
          <w:lang w:val="fr-FR"/>
        </w:rPr>
        <w:t>‘</w:t>
      </w:r>
      <w:r>
        <w:rPr>
          <w:lang w:val="fr-FR"/>
        </w:rPr>
        <w:t>adopter une prononciation commune de l</w:t>
      </w:r>
      <w:r w:rsidR="000051E6">
        <w:rPr>
          <w:lang w:val="fr-FR"/>
        </w:rPr>
        <w:t>‘</w:t>
      </w:r>
      <w:r>
        <w:rPr>
          <w:lang w:val="fr-FR"/>
        </w:rPr>
        <w:t xml:space="preserve">acronyme IPBES. </w:t>
      </w:r>
      <w:commentRangeStart w:id="25"/>
      <w:r>
        <w:rPr>
          <w:lang w:val="fr-FR"/>
        </w:rPr>
        <w:t>Conformément aux conventions linguistiques généralement reconnues</w:t>
      </w:r>
      <w:commentRangeEnd w:id="25"/>
      <w:r w:rsidR="00913794">
        <w:commentReference w:id="25"/>
      </w:r>
      <w:r>
        <w:rPr>
          <w:lang w:val="fr-FR"/>
        </w:rPr>
        <w:t>, la prononciation officielle de l</w:t>
      </w:r>
      <w:r w:rsidR="000051E6">
        <w:rPr>
          <w:lang w:val="fr-FR"/>
        </w:rPr>
        <w:t>‘</w:t>
      </w:r>
      <w:r>
        <w:rPr>
          <w:lang w:val="fr-FR"/>
        </w:rPr>
        <w:t xml:space="preserve">acronyme sera </w:t>
      </w:r>
      <w:commentRangeStart w:id="26"/>
      <w:r>
        <w:rPr>
          <w:lang w:val="fr-FR"/>
        </w:rPr>
        <w:t xml:space="preserve">« ip-besse », « ip » </w:t>
      </w:r>
      <w:r w:rsidR="00B10D96">
        <w:rPr>
          <w:lang w:val="fr-FR"/>
        </w:rPr>
        <w:t xml:space="preserve">se prononçant </w:t>
      </w:r>
      <w:r>
        <w:rPr>
          <w:lang w:val="fr-FR"/>
        </w:rPr>
        <w:t>comme dans « équipe » et « besse » comme dans « abbesse ».</w:t>
      </w:r>
      <w:commentRangeEnd w:id="26"/>
      <w:r w:rsidR="00B10D96">
        <w:rPr>
          <w:rStyle w:val="CommentReference"/>
          <w:lang w:val="fr-FR"/>
        </w:rPr>
        <w:commentReference w:id="26"/>
      </w:r>
      <w:r>
        <w:rPr>
          <w:lang w:val="fr-FR"/>
        </w:rPr>
        <w:t xml:space="preserve"> </w:t>
      </w:r>
    </w:p>
    <w:p w14:paraId="23B4EC29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Charte graphique</w:t>
      </w:r>
      <w:r>
        <w:rPr>
          <w:lang w:val="fr-FR"/>
        </w:rPr>
        <w:t xml:space="preserve">. Le Bureau a créé et approuvé une charte graphique pour </w:t>
      </w:r>
      <w:r w:rsidR="004D08C4">
        <w:rPr>
          <w:lang w:val="fr-FR"/>
        </w:rPr>
        <w:t xml:space="preserve">la Plateforme </w:t>
      </w:r>
      <w:r>
        <w:rPr>
          <w:lang w:val="fr-FR"/>
        </w:rPr>
        <w:t>(voir</w:t>
      </w:r>
      <w:r w:rsidR="007128BE">
        <w:rPr>
          <w:lang w:val="fr-FR"/>
        </w:rPr>
        <w:t> </w:t>
      </w:r>
      <w:r>
        <w:rPr>
          <w:lang w:val="fr-FR"/>
        </w:rPr>
        <w:t>IPBES/5/INF/15).</w:t>
      </w:r>
    </w:p>
    <w:p w14:paraId="6ED494D1" w14:textId="77777777" w:rsidR="00A07D4D" w:rsidRPr="000C5CA1" w:rsidRDefault="004D08C4" w:rsidP="009F65FC">
      <w:pPr>
        <w:pStyle w:val="Normalnumber"/>
        <w:ind w:left="1247" w:firstLine="0"/>
        <w:rPr>
          <w:lang w:val="fr-FR"/>
        </w:rPr>
      </w:pPr>
      <w:commentRangeStart w:id="27"/>
      <w:r>
        <w:rPr>
          <w:i/>
          <w:lang w:val="fr-FR"/>
        </w:rPr>
        <w:t>Matériel de</w:t>
      </w:r>
      <w:commentRangeEnd w:id="27"/>
      <w:r>
        <w:rPr>
          <w:rStyle w:val="CommentReference"/>
          <w:lang w:val="fr-FR"/>
        </w:rPr>
        <w:commentReference w:id="27"/>
      </w:r>
      <w:r w:rsidRPr="000051E6">
        <w:rPr>
          <w:i/>
          <w:lang w:val="fr-FR"/>
        </w:rPr>
        <w:t xml:space="preserve"> </w:t>
      </w:r>
      <w:commentRangeStart w:id="28"/>
      <w:r w:rsidR="00A07D4D" w:rsidRPr="000051E6">
        <w:rPr>
          <w:i/>
          <w:lang w:val="fr-FR"/>
        </w:rPr>
        <w:t>marketing</w:t>
      </w:r>
      <w:commentRangeEnd w:id="28"/>
      <w:r w:rsidR="00911A3E">
        <w:rPr>
          <w:lang w:val="fr-FR"/>
        </w:rPr>
        <w:t>.</w:t>
      </w:r>
      <w:r w:rsidR="00913794" w:rsidRPr="000051E6">
        <w:rPr>
          <w:lang w:val="fr-FR"/>
        </w:rPr>
        <w:commentReference w:id="28"/>
      </w:r>
      <w:r w:rsidR="00A07D4D">
        <w:rPr>
          <w:lang w:val="fr-FR"/>
        </w:rPr>
        <w:t xml:space="preserve"> </w:t>
      </w:r>
      <w:r w:rsidR="00455F70">
        <w:rPr>
          <w:rStyle w:val="CommentReference"/>
          <w:lang w:val="fr-FR"/>
        </w:rPr>
        <w:commentReference w:id="29"/>
      </w:r>
      <w:r w:rsidR="00B10D96">
        <w:rPr>
          <w:lang w:val="fr-FR"/>
        </w:rPr>
        <w:t>U</w:t>
      </w:r>
      <w:r w:rsidR="00A07D4D">
        <w:rPr>
          <w:lang w:val="fr-FR"/>
        </w:rPr>
        <w:t>ne nouvelle gamme de document</w:t>
      </w:r>
      <w:r w:rsidR="00B10D96">
        <w:rPr>
          <w:lang w:val="fr-FR"/>
        </w:rPr>
        <w:t>s</w:t>
      </w:r>
      <w:r w:rsidR="00A07D4D">
        <w:rPr>
          <w:lang w:val="fr-FR"/>
        </w:rPr>
        <w:t xml:space="preserve"> </w:t>
      </w:r>
      <w:r>
        <w:rPr>
          <w:lang w:val="fr-FR"/>
        </w:rPr>
        <w:t xml:space="preserve">de </w:t>
      </w:r>
      <w:r w:rsidR="00A07D4D">
        <w:rPr>
          <w:lang w:val="fr-FR"/>
        </w:rPr>
        <w:t xml:space="preserve">marketing </w:t>
      </w:r>
      <w:r>
        <w:rPr>
          <w:lang w:val="fr-FR"/>
        </w:rPr>
        <w:t>sur l</w:t>
      </w:r>
      <w:r w:rsidR="000051E6">
        <w:rPr>
          <w:lang w:val="fr-FR"/>
        </w:rPr>
        <w:t>’</w:t>
      </w:r>
      <w:r>
        <w:rPr>
          <w:lang w:val="fr-FR"/>
        </w:rPr>
        <w:t xml:space="preserve">organisation </w:t>
      </w:r>
      <w:r w:rsidR="00455F70">
        <w:rPr>
          <w:lang w:val="fr-FR"/>
        </w:rPr>
        <w:t>sera conçue par des professionnels et produits par le secrétariat en</w:t>
      </w:r>
      <w:r w:rsidR="00621BFA">
        <w:rPr>
          <w:lang w:val="fr-FR"/>
        </w:rPr>
        <w:t> </w:t>
      </w:r>
      <w:r w:rsidR="00455F70">
        <w:rPr>
          <w:lang w:val="fr-FR"/>
        </w:rPr>
        <w:t xml:space="preserve">2017 dans le respect de </w:t>
      </w:r>
      <w:r w:rsidR="00A07D4D">
        <w:rPr>
          <w:lang w:val="fr-FR"/>
        </w:rPr>
        <w:t xml:space="preserve">la charte graphique de </w:t>
      </w:r>
      <w:r>
        <w:rPr>
          <w:lang w:val="fr-FR"/>
        </w:rPr>
        <w:t>la Plateforme</w:t>
      </w:r>
      <w:r w:rsidR="00A07D4D">
        <w:rPr>
          <w:lang w:val="fr-FR"/>
        </w:rPr>
        <w:t>. Elle comprendra</w:t>
      </w:r>
      <w:r w:rsidR="00455F70">
        <w:rPr>
          <w:lang w:val="fr-FR"/>
        </w:rPr>
        <w:t>,</w:t>
      </w:r>
      <w:r w:rsidR="00A07D4D">
        <w:rPr>
          <w:lang w:val="fr-FR"/>
        </w:rPr>
        <w:t xml:space="preserve"> par exemple</w:t>
      </w:r>
      <w:r w:rsidR="00455F70">
        <w:rPr>
          <w:lang w:val="fr-FR"/>
        </w:rPr>
        <w:t>,</w:t>
      </w:r>
      <w:r w:rsidR="00A07D4D">
        <w:rPr>
          <w:lang w:val="fr-FR"/>
        </w:rPr>
        <w:t xml:space="preserve"> des modèles de présentation, des modèles de fiche d</w:t>
      </w:r>
      <w:r w:rsidR="000051E6">
        <w:rPr>
          <w:lang w:val="fr-FR"/>
        </w:rPr>
        <w:t>‘</w:t>
      </w:r>
      <w:r w:rsidR="00A07D4D">
        <w:rPr>
          <w:lang w:val="fr-FR"/>
        </w:rPr>
        <w:t xml:space="preserve">information et de communiqué de presse, un style visuel unique pour les outils de formation en ligne de </w:t>
      </w:r>
      <w:r>
        <w:rPr>
          <w:lang w:val="fr-FR"/>
        </w:rPr>
        <w:t>la Plateforme</w:t>
      </w:r>
      <w:r w:rsidR="00A07D4D">
        <w:rPr>
          <w:lang w:val="fr-FR"/>
        </w:rPr>
        <w:t>, des brochures d</w:t>
      </w:r>
      <w:r w:rsidR="000051E6">
        <w:rPr>
          <w:lang w:val="fr-FR"/>
        </w:rPr>
        <w:t>‘</w:t>
      </w:r>
      <w:r w:rsidR="00A07D4D">
        <w:rPr>
          <w:lang w:val="fr-FR"/>
        </w:rPr>
        <w:t>information, ainsi que de</w:t>
      </w:r>
      <w:r>
        <w:rPr>
          <w:lang w:val="fr-FR"/>
        </w:rPr>
        <w:t>s</w:t>
      </w:r>
      <w:r w:rsidR="00A07D4D">
        <w:rPr>
          <w:lang w:val="fr-FR"/>
        </w:rPr>
        <w:t xml:space="preserve"> </w:t>
      </w:r>
      <w:commentRangeStart w:id="30"/>
      <w:r>
        <w:rPr>
          <w:lang w:val="fr-FR"/>
        </w:rPr>
        <w:t xml:space="preserve">supports </w:t>
      </w:r>
      <w:r w:rsidR="00455F70">
        <w:rPr>
          <w:rStyle w:val="CommentReference"/>
          <w:lang w:val="fr-FR"/>
        </w:rPr>
        <w:commentReference w:id="31"/>
      </w:r>
      <w:r>
        <w:rPr>
          <w:lang w:val="fr-FR"/>
        </w:rPr>
        <w:t>pour</w:t>
      </w:r>
      <w:r w:rsidR="00455F70">
        <w:rPr>
          <w:lang w:val="fr-FR"/>
        </w:rPr>
        <w:t xml:space="preserve"> les manifestations </w:t>
      </w:r>
      <w:r w:rsidR="00A07D4D">
        <w:rPr>
          <w:lang w:val="fr-FR"/>
        </w:rPr>
        <w:t xml:space="preserve">et des </w:t>
      </w:r>
      <w:r>
        <w:rPr>
          <w:lang w:val="fr-FR"/>
        </w:rPr>
        <w:t xml:space="preserve">stands </w:t>
      </w:r>
      <w:r w:rsidR="00A07D4D">
        <w:rPr>
          <w:lang w:val="fr-FR"/>
        </w:rPr>
        <w:t>de présentation</w:t>
      </w:r>
      <w:commentRangeEnd w:id="30"/>
      <w:r w:rsidR="00913794">
        <w:commentReference w:id="30"/>
      </w:r>
      <w:r w:rsidR="00A07D4D">
        <w:rPr>
          <w:lang w:val="fr-FR"/>
        </w:rPr>
        <w:t xml:space="preserve"> affichant la marque IPBES. </w:t>
      </w:r>
    </w:p>
    <w:p w14:paraId="6C5E1168" w14:textId="77777777" w:rsidR="00A07D4D" w:rsidRPr="000C5CA1" w:rsidRDefault="00A07D4D" w:rsidP="00524653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Vidéos</w:t>
      </w:r>
      <w:r>
        <w:rPr>
          <w:lang w:val="fr-FR"/>
        </w:rPr>
        <w:t xml:space="preserve">. </w:t>
      </w:r>
      <w:r w:rsidR="004D08C4">
        <w:rPr>
          <w:lang w:val="fr-FR"/>
        </w:rPr>
        <w:t>U</w:t>
      </w:r>
      <w:r>
        <w:rPr>
          <w:lang w:val="fr-FR"/>
        </w:rPr>
        <w:t xml:space="preserve">ne série de vidéos </w:t>
      </w:r>
      <w:r w:rsidR="004D08C4">
        <w:rPr>
          <w:lang w:val="fr-FR"/>
        </w:rPr>
        <w:t>d</w:t>
      </w:r>
      <w:r w:rsidR="000051E6">
        <w:rPr>
          <w:lang w:val="fr-FR"/>
        </w:rPr>
        <w:t>’</w:t>
      </w:r>
      <w:r w:rsidR="004D08C4">
        <w:rPr>
          <w:lang w:val="fr-FR"/>
        </w:rPr>
        <w:t>information sur les</w:t>
      </w:r>
      <w:r>
        <w:rPr>
          <w:lang w:val="fr-FR"/>
        </w:rPr>
        <w:t xml:space="preserve"> travaux de </w:t>
      </w:r>
      <w:r w:rsidR="004D08C4">
        <w:rPr>
          <w:lang w:val="fr-FR"/>
        </w:rPr>
        <w:t xml:space="preserve">la Plateforme </w:t>
      </w:r>
      <w:r>
        <w:rPr>
          <w:lang w:val="fr-FR"/>
        </w:rPr>
        <w:t>de</w:t>
      </w:r>
      <w:r w:rsidR="00621BFA">
        <w:rPr>
          <w:lang w:val="fr-FR"/>
        </w:rPr>
        <w:t> </w:t>
      </w:r>
      <w:r>
        <w:rPr>
          <w:lang w:val="fr-FR"/>
        </w:rPr>
        <w:t>5 à</w:t>
      </w:r>
      <w:r w:rsidR="00621BFA">
        <w:rPr>
          <w:lang w:val="fr-FR"/>
        </w:rPr>
        <w:t> </w:t>
      </w:r>
      <w:r>
        <w:rPr>
          <w:lang w:val="fr-FR"/>
        </w:rPr>
        <w:t xml:space="preserve">7 minutes chacune sera conçue, scénarisée et produite </w:t>
      </w:r>
      <w:r w:rsidR="004D08C4">
        <w:rPr>
          <w:lang w:val="fr-FR"/>
        </w:rPr>
        <w:t xml:space="preserve">par </w:t>
      </w:r>
      <w:r>
        <w:rPr>
          <w:lang w:val="fr-FR"/>
        </w:rPr>
        <w:t>de</w:t>
      </w:r>
      <w:r w:rsidR="004D08C4">
        <w:rPr>
          <w:lang w:val="fr-FR"/>
        </w:rPr>
        <w:t>s</w:t>
      </w:r>
      <w:r>
        <w:rPr>
          <w:lang w:val="fr-FR"/>
        </w:rPr>
        <w:t xml:space="preserve"> professionnels</w:t>
      </w:r>
      <w:r w:rsidR="004D08C4">
        <w:rPr>
          <w:lang w:val="fr-FR"/>
        </w:rPr>
        <w:t xml:space="preserve"> avant la fin de</w:t>
      </w:r>
      <w:r w:rsidR="00621BFA">
        <w:rPr>
          <w:lang w:val="fr-FR"/>
        </w:rPr>
        <w:t> </w:t>
      </w:r>
      <w:r w:rsidR="004D08C4">
        <w:rPr>
          <w:lang w:val="fr-FR"/>
        </w:rPr>
        <w:t>2017</w:t>
      </w:r>
      <w:r>
        <w:rPr>
          <w:lang w:val="fr-FR"/>
        </w:rPr>
        <w:t xml:space="preserve">. Ces vidéos </w:t>
      </w:r>
      <w:r w:rsidR="004D08C4">
        <w:rPr>
          <w:lang w:val="fr-FR"/>
        </w:rPr>
        <w:t>seront</w:t>
      </w:r>
      <w:r>
        <w:rPr>
          <w:lang w:val="fr-FR"/>
        </w:rPr>
        <w:t xml:space="preserve"> diffusées sur le site </w:t>
      </w:r>
      <w:r w:rsidR="004D08C4">
        <w:rPr>
          <w:lang w:val="fr-FR"/>
        </w:rPr>
        <w:t xml:space="preserve">Web </w:t>
      </w:r>
      <w:r>
        <w:rPr>
          <w:lang w:val="fr-FR"/>
        </w:rPr>
        <w:t xml:space="preserve">de </w:t>
      </w:r>
      <w:r w:rsidR="004D08C4">
        <w:rPr>
          <w:lang w:val="fr-FR"/>
        </w:rPr>
        <w:t>la Plateforme</w:t>
      </w:r>
      <w:r>
        <w:rPr>
          <w:lang w:val="fr-FR"/>
        </w:rPr>
        <w:t xml:space="preserve">, </w:t>
      </w:r>
      <w:r w:rsidR="00913794">
        <w:rPr>
          <w:lang w:val="fr-FR"/>
        </w:rPr>
        <w:t>dans les</w:t>
      </w:r>
      <w:r>
        <w:rPr>
          <w:lang w:val="fr-FR"/>
        </w:rPr>
        <w:t xml:space="preserve"> médias sociaux et </w:t>
      </w:r>
      <w:r w:rsidR="00913794">
        <w:rPr>
          <w:lang w:val="fr-FR"/>
        </w:rPr>
        <w:t>à l</w:t>
      </w:r>
      <w:r w:rsidR="000051E6">
        <w:rPr>
          <w:lang w:val="fr-FR"/>
        </w:rPr>
        <w:t>’</w:t>
      </w:r>
      <w:r w:rsidR="00913794">
        <w:rPr>
          <w:lang w:val="fr-FR"/>
        </w:rPr>
        <w:t xml:space="preserve">occasion de grandes manifestations </w:t>
      </w:r>
      <w:r w:rsidR="00913794">
        <w:rPr>
          <w:rStyle w:val="CommentReference"/>
          <w:lang w:val="fr-FR"/>
        </w:rPr>
        <w:commentReference w:id="32"/>
      </w:r>
      <w:r>
        <w:rPr>
          <w:lang w:val="fr-FR"/>
        </w:rPr>
        <w:t>mondia</w:t>
      </w:r>
      <w:r w:rsidR="00913794">
        <w:rPr>
          <w:lang w:val="fr-FR"/>
        </w:rPr>
        <w:t>les</w:t>
      </w:r>
      <w:r>
        <w:rPr>
          <w:lang w:val="fr-FR"/>
        </w:rPr>
        <w:t xml:space="preserve"> et régiona</w:t>
      </w:r>
      <w:r w:rsidR="00913794">
        <w:rPr>
          <w:lang w:val="fr-FR"/>
        </w:rPr>
        <w:t>les</w:t>
      </w:r>
      <w:r>
        <w:rPr>
          <w:lang w:val="fr-FR"/>
        </w:rPr>
        <w:t xml:space="preserve">, et serviront également à </w:t>
      </w:r>
      <w:r w:rsidR="00913794">
        <w:rPr>
          <w:lang w:val="fr-FR"/>
        </w:rPr>
        <w:t xml:space="preserve">informer </w:t>
      </w:r>
      <w:r>
        <w:rPr>
          <w:lang w:val="fr-FR"/>
        </w:rPr>
        <w:t>les parties prenantes et à</w:t>
      </w:r>
      <w:r w:rsidR="007128BE">
        <w:rPr>
          <w:lang w:val="fr-FR"/>
        </w:rPr>
        <w:t> </w:t>
      </w:r>
      <w:r>
        <w:rPr>
          <w:lang w:val="fr-FR"/>
        </w:rPr>
        <w:t>mobiliser des ressources.</w:t>
      </w:r>
    </w:p>
    <w:p w14:paraId="6FCEA9CE" w14:textId="77777777" w:rsidR="00A07D4D" w:rsidRPr="000C5CA1" w:rsidRDefault="00A07D4D" w:rsidP="009F65FC">
      <w:pPr>
        <w:pStyle w:val="Normalnumber"/>
        <w:ind w:left="1247" w:firstLine="0"/>
        <w:rPr>
          <w:i/>
          <w:lang w:val="fr-FR"/>
        </w:rPr>
      </w:pPr>
      <w:r w:rsidRPr="000051E6">
        <w:rPr>
          <w:i/>
          <w:lang w:val="fr-FR"/>
        </w:rPr>
        <w:t>Médias sociaux</w:t>
      </w:r>
      <w:r>
        <w:rPr>
          <w:lang w:val="fr-FR"/>
        </w:rPr>
        <w:t xml:space="preserve">. </w:t>
      </w:r>
      <w:r w:rsidR="00913794">
        <w:rPr>
          <w:lang w:val="fr-FR"/>
        </w:rPr>
        <w:t>L</w:t>
      </w:r>
      <w:r>
        <w:rPr>
          <w:lang w:val="fr-FR"/>
        </w:rPr>
        <w:t xml:space="preserve">a campagne de sensibilisation </w:t>
      </w:r>
      <w:r w:rsidR="00913794">
        <w:rPr>
          <w:lang w:val="fr-FR"/>
        </w:rPr>
        <w:t>que la Plateforme mènera en 2017</w:t>
      </w:r>
      <w:r>
        <w:rPr>
          <w:lang w:val="fr-FR"/>
        </w:rPr>
        <w:t xml:space="preserve"> auprès des</w:t>
      </w:r>
      <w:r w:rsidR="007128BE">
        <w:rPr>
          <w:lang w:val="fr-FR"/>
        </w:rPr>
        <w:t> </w:t>
      </w:r>
      <w:r>
        <w:rPr>
          <w:lang w:val="fr-FR"/>
        </w:rPr>
        <w:t>médias sociaux visera principalement Twitter</w:t>
      </w:r>
      <w:r w:rsidR="00913794">
        <w:rPr>
          <w:lang w:val="fr-FR"/>
        </w:rPr>
        <w:t xml:space="preserve">, notamment </w:t>
      </w:r>
      <w:r>
        <w:rPr>
          <w:lang w:val="fr-FR"/>
        </w:rPr>
        <w:t>l</w:t>
      </w:r>
      <w:r w:rsidR="000051E6">
        <w:rPr>
          <w:lang w:val="fr-FR"/>
        </w:rPr>
        <w:t>‘</w:t>
      </w:r>
      <w:r>
        <w:rPr>
          <w:lang w:val="fr-FR"/>
        </w:rPr>
        <w:t xml:space="preserve">utilisation de services payants de Twitter; une augmentation </w:t>
      </w:r>
      <w:commentRangeStart w:id="33"/>
      <w:r w:rsidR="00913794">
        <w:rPr>
          <w:lang w:val="fr-FR"/>
        </w:rPr>
        <w:t>sensible</w:t>
      </w:r>
      <w:commentRangeEnd w:id="33"/>
      <w:r w:rsidR="00913794">
        <w:rPr>
          <w:rStyle w:val="CommentReference"/>
          <w:lang w:val="fr-FR"/>
        </w:rPr>
        <w:commentReference w:id="33"/>
      </w:r>
      <w:r w:rsidR="00913794">
        <w:rPr>
          <w:lang w:val="fr-FR"/>
        </w:rPr>
        <w:t xml:space="preserve"> </w:t>
      </w:r>
      <w:r>
        <w:rPr>
          <w:lang w:val="fr-FR"/>
        </w:rPr>
        <w:t xml:space="preserve">du nombre </w:t>
      </w:r>
      <w:r w:rsidR="00913794">
        <w:rPr>
          <w:lang w:val="fr-FR"/>
        </w:rPr>
        <w:t xml:space="preserve">du supports </w:t>
      </w:r>
      <w:r>
        <w:rPr>
          <w:lang w:val="fr-FR"/>
        </w:rPr>
        <w:t xml:space="preserve">audio et vidéo; </w:t>
      </w:r>
      <w:r w:rsidR="00913794">
        <w:rPr>
          <w:lang w:val="fr-FR"/>
        </w:rPr>
        <w:t>le développement</w:t>
      </w:r>
      <w:r>
        <w:rPr>
          <w:lang w:val="fr-FR"/>
        </w:rPr>
        <w:t xml:space="preserve"> des partenariats avec les médias sociaux; une</w:t>
      </w:r>
      <w:r w:rsidR="00913794">
        <w:rPr>
          <w:lang w:val="fr-FR"/>
        </w:rPr>
        <w:t xml:space="preserve"> plus grande</w:t>
      </w:r>
      <w:r>
        <w:rPr>
          <w:lang w:val="fr-FR"/>
        </w:rPr>
        <w:t xml:space="preserve"> utilisation de la gestion stratégique des listes Twitter; </w:t>
      </w:r>
      <w:r w:rsidR="000D3B23">
        <w:rPr>
          <w:lang w:val="fr-FR"/>
        </w:rPr>
        <w:t>et un</w:t>
      </w:r>
      <w:r>
        <w:rPr>
          <w:lang w:val="fr-FR"/>
        </w:rPr>
        <w:t xml:space="preserve"> compte de gestion professionnel. </w:t>
      </w:r>
      <w:r w:rsidR="00913794">
        <w:rPr>
          <w:lang w:val="fr-FR"/>
        </w:rPr>
        <w:t>Si</w:t>
      </w:r>
      <w:r>
        <w:rPr>
          <w:lang w:val="fr-FR"/>
        </w:rPr>
        <w:t xml:space="preserve"> la page Facebook de </w:t>
      </w:r>
      <w:r w:rsidR="00913794">
        <w:rPr>
          <w:lang w:val="fr-FR"/>
        </w:rPr>
        <w:t xml:space="preserve">la Plateforme </w:t>
      </w:r>
      <w:r>
        <w:rPr>
          <w:lang w:val="fr-FR"/>
        </w:rPr>
        <w:t>continuera d</w:t>
      </w:r>
      <w:r w:rsidR="000051E6">
        <w:rPr>
          <w:lang w:val="fr-FR"/>
        </w:rPr>
        <w:t>‘</w:t>
      </w:r>
      <w:r>
        <w:rPr>
          <w:lang w:val="fr-FR"/>
        </w:rPr>
        <w:t xml:space="preserve">être mise à jour </w:t>
      </w:r>
      <w:r w:rsidR="00913794">
        <w:rPr>
          <w:lang w:val="fr-FR"/>
        </w:rPr>
        <w:t>chaque semaine</w:t>
      </w:r>
      <w:r>
        <w:rPr>
          <w:lang w:val="fr-FR"/>
        </w:rPr>
        <w:t>, elle ne sera plus un média social prioritaire étant donné l</w:t>
      </w:r>
      <w:r w:rsidR="000051E6">
        <w:rPr>
          <w:lang w:val="fr-FR"/>
        </w:rPr>
        <w:t>‘</w:t>
      </w:r>
      <w:r>
        <w:rPr>
          <w:lang w:val="fr-FR"/>
        </w:rPr>
        <w:t>accent qui sera mis en</w:t>
      </w:r>
      <w:r w:rsidR="00621BFA">
        <w:rPr>
          <w:lang w:val="fr-FR"/>
        </w:rPr>
        <w:t> </w:t>
      </w:r>
      <w:r>
        <w:rPr>
          <w:lang w:val="fr-FR"/>
        </w:rPr>
        <w:t>2017 sur l</w:t>
      </w:r>
      <w:r w:rsidR="00913794">
        <w:rPr>
          <w:lang w:val="fr-FR"/>
        </w:rPr>
        <w:t>e renforcement de la</w:t>
      </w:r>
      <w:r>
        <w:rPr>
          <w:lang w:val="fr-FR"/>
        </w:rPr>
        <w:t xml:space="preserve"> présence de </w:t>
      </w:r>
      <w:r w:rsidR="00913794">
        <w:rPr>
          <w:lang w:val="fr-FR"/>
        </w:rPr>
        <w:t xml:space="preserve">la Plateforme </w:t>
      </w:r>
      <w:r>
        <w:rPr>
          <w:lang w:val="fr-FR"/>
        </w:rPr>
        <w:t xml:space="preserve">sur LinkedIn (pour </w:t>
      </w:r>
      <w:r w:rsidR="00913794">
        <w:rPr>
          <w:lang w:val="fr-FR"/>
        </w:rPr>
        <w:t>informer davantage les</w:t>
      </w:r>
      <w:r>
        <w:rPr>
          <w:lang w:val="fr-FR"/>
        </w:rPr>
        <w:t xml:space="preserve"> parties prenantes, notamment les communautés d</w:t>
      </w:r>
      <w:r w:rsidR="000051E6">
        <w:rPr>
          <w:lang w:val="fr-FR"/>
        </w:rPr>
        <w:t>‘</w:t>
      </w:r>
      <w:r>
        <w:rPr>
          <w:lang w:val="fr-FR"/>
        </w:rPr>
        <w:t>experts et de scientifiques); YouTube (pour y héberger des vidéo</w:t>
      </w:r>
      <w:r w:rsidR="00913794">
        <w:rPr>
          <w:lang w:val="fr-FR"/>
        </w:rPr>
        <w:t>s</w:t>
      </w:r>
      <w:r>
        <w:rPr>
          <w:lang w:val="fr-FR"/>
        </w:rPr>
        <w:t xml:space="preserve"> de); SoundCloud (pour y héberger des documents audio de); et Medium (pour y héberger des articles et autres documents écrits). </w:t>
      </w:r>
      <w:r w:rsidR="00913794">
        <w:rPr>
          <w:lang w:val="fr-FR"/>
        </w:rPr>
        <w:t>Il sera procédé à u</w:t>
      </w:r>
      <w:r>
        <w:rPr>
          <w:lang w:val="fr-FR"/>
        </w:rPr>
        <w:t xml:space="preserve">n audit </w:t>
      </w:r>
      <w:r w:rsidR="00913794">
        <w:rPr>
          <w:lang w:val="fr-FR"/>
        </w:rPr>
        <w:t xml:space="preserve">concernant </w:t>
      </w:r>
      <w:r>
        <w:rPr>
          <w:lang w:val="fr-FR"/>
        </w:rPr>
        <w:t xml:space="preserve">les médias sociaux </w:t>
      </w:r>
      <w:r w:rsidR="00913794">
        <w:rPr>
          <w:lang w:val="fr-FR"/>
        </w:rPr>
        <w:t>avant de créer et d</w:t>
      </w:r>
      <w:r w:rsidR="000051E6">
        <w:rPr>
          <w:lang w:val="fr-FR"/>
        </w:rPr>
        <w:t>’</w:t>
      </w:r>
      <w:r w:rsidR="00913794">
        <w:rPr>
          <w:lang w:val="fr-FR"/>
        </w:rPr>
        <w:t xml:space="preserve">exécuter, </w:t>
      </w:r>
      <w:r>
        <w:rPr>
          <w:lang w:val="fr-FR"/>
        </w:rPr>
        <w:t>sur une période de</w:t>
      </w:r>
      <w:r w:rsidR="00621BFA">
        <w:rPr>
          <w:lang w:val="fr-FR"/>
        </w:rPr>
        <w:t> </w:t>
      </w:r>
      <w:r>
        <w:rPr>
          <w:lang w:val="fr-FR"/>
        </w:rPr>
        <w:t>12</w:t>
      </w:r>
      <w:r w:rsidR="000947C9">
        <w:rPr>
          <w:lang w:val="fr-FR"/>
        </w:rPr>
        <w:t> </w:t>
      </w:r>
      <w:r>
        <w:rPr>
          <w:lang w:val="fr-FR"/>
        </w:rPr>
        <w:t>mois</w:t>
      </w:r>
      <w:r w:rsidR="00913794">
        <w:rPr>
          <w:lang w:val="fr-FR"/>
        </w:rPr>
        <w:t>,</w:t>
      </w:r>
      <w:r>
        <w:rPr>
          <w:lang w:val="fr-FR"/>
        </w:rPr>
        <w:t xml:space="preserve"> un programme intégré de communication et </w:t>
      </w:r>
      <w:r w:rsidR="00913794">
        <w:rPr>
          <w:lang w:val="fr-FR"/>
        </w:rPr>
        <w:t>d</w:t>
      </w:r>
      <w:r w:rsidR="000051E6">
        <w:rPr>
          <w:lang w:val="fr-FR"/>
        </w:rPr>
        <w:t>’</w:t>
      </w:r>
      <w:r w:rsidR="00913794">
        <w:rPr>
          <w:lang w:val="fr-FR"/>
        </w:rPr>
        <w:t xml:space="preserve">information </w:t>
      </w:r>
      <w:r>
        <w:rPr>
          <w:lang w:val="fr-FR"/>
        </w:rPr>
        <w:t>numériques, afin d</w:t>
      </w:r>
      <w:r w:rsidR="000051E6">
        <w:rPr>
          <w:lang w:val="fr-FR"/>
        </w:rPr>
        <w:t>‘</w:t>
      </w:r>
      <w:r>
        <w:rPr>
          <w:lang w:val="fr-FR"/>
        </w:rPr>
        <w:t>harmoniser les activités de communication et d</w:t>
      </w:r>
      <w:r w:rsidR="000051E6">
        <w:rPr>
          <w:lang w:val="fr-FR"/>
        </w:rPr>
        <w:t>‘</w:t>
      </w:r>
      <w:r>
        <w:rPr>
          <w:lang w:val="fr-FR"/>
        </w:rPr>
        <w:t>association des parties prenantes avec la stratégie prévue de mobilisation des ressources.</w:t>
      </w:r>
    </w:p>
    <w:p w14:paraId="66553ABF" w14:textId="77777777" w:rsidR="00A07D4D" w:rsidRPr="000C5CA1" w:rsidRDefault="00A07D4D" w:rsidP="000051E6">
      <w:pPr>
        <w:pStyle w:val="Normalnumber"/>
        <w:keepNext/>
        <w:keepLines/>
        <w:ind w:left="1247" w:firstLine="0"/>
        <w:rPr>
          <w:lang w:val="fr-FR"/>
        </w:rPr>
      </w:pPr>
      <w:r w:rsidRPr="000051E6">
        <w:rPr>
          <w:i/>
          <w:lang w:val="fr-FR"/>
        </w:rPr>
        <w:lastRenderedPageBreak/>
        <w:t>Médias traditionnels</w:t>
      </w:r>
      <w:r>
        <w:rPr>
          <w:lang w:val="fr-FR"/>
        </w:rPr>
        <w:t>. D</w:t>
      </w:r>
      <w:r w:rsidR="000051E6">
        <w:rPr>
          <w:lang w:val="fr-FR"/>
        </w:rPr>
        <w:t>‘</w:t>
      </w:r>
      <w:r>
        <w:rPr>
          <w:lang w:val="fr-FR"/>
        </w:rPr>
        <w:t xml:space="preserve">ici à </w:t>
      </w:r>
      <w:r w:rsidR="00913794">
        <w:rPr>
          <w:lang w:val="fr-FR"/>
        </w:rPr>
        <w:t xml:space="preserve">la </w:t>
      </w:r>
      <w:r>
        <w:rPr>
          <w:lang w:val="fr-FR"/>
        </w:rPr>
        <w:t xml:space="preserve">mi-2017, </w:t>
      </w:r>
      <w:r w:rsidR="003B5D88">
        <w:rPr>
          <w:lang w:val="fr-FR"/>
        </w:rPr>
        <w:t xml:space="preserve">les coordonnées de </w:t>
      </w:r>
      <w:r>
        <w:rPr>
          <w:lang w:val="fr-FR"/>
        </w:rPr>
        <w:t xml:space="preserve">tous les </w:t>
      </w:r>
      <w:r w:rsidR="003B5D88">
        <w:rPr>
          <w:lang w:val="fr-FR"/>
        </w:rPr>
        <w:t xml:space="preserve">correspondants </w:t>
      </w:r>
      <w:r>
        <w:rPr>
          <w:lang w:val="fr-FR"/>
        </w:rPr>
        <w:t xml:space="preserve">médiatiques existants de </w:t>
      </w:r>
      <w:r w:rsidR="00913794">
        <w:rPr>
          <w:lang w:val="fr-FR"/>
        </w:rPr>
        <w:t xml:space="preserve">la Plateforme </w:t>
      </w:r>
      <w:r>
        <w:rPr>
          <w:lang w:val="fr-FR"/>
        </w:rPr>
        <w:t xml:space="preserve">seront </w:t>
      </w:r>
      <w:r w:rsidR="003B5D88">
        <w:rPr>
          <w:lang w:val="fr-FR"/>
        </w:rPr>
        <w:t>rassemblées</w:t>
      </w:r>
      <w:r>
        <w:rPr>
          <w:lang w:val="fr-FR"/>
        </w:rPr>
        <w:t xml:space="preserve">, </w:t>
      </w:r>
      <w:r w:rsidR="003B5D88">
        <w:rPr>
          <w:lang w:val="fr-FR"/>
        </w:rPr>
        <w:t xml:space="preserve">mises à jour </w:t>
      </w:r>
      <w:r>
        <w:rPr>
          <w:lang w:val="fr-FR"/>
        </w:rPr>
        <w:t xml:space="preserve">et </w:t>
      </w:r>
      <w:commentRangeStart w:id="34"/>
      <w:r>
        <w:rPr>
          <w:lang w:val="fr-FR"/>
        </w:rPr>
        <w:t>intégré</w:t>
      </w:r>
      <w:r w:rsidR="003B5D88">
        <w:rPr>
          <w:lang w:val="fr-FR"/>
        </w:rPr>
        <w:t>e</w:t>
      </w:r>
      <w:r>
        <w:rPr>
          <w:lang w:val="fr-FR"/>
        </w:rPr>
        <w:t>s</w:t>
      </w:r>
      <w:commentRangeEnd w:id="34"/>
      <w:r w:rsidR="00913794">
        <w:commentReference w:id="34"/>
      </w:r>
      <w:r>
        <w:rPr>
          <w:lang w:val="fr-FR"/>
        </w:rPr>
        <w:t xml:space="preserve"> dans une base de</w:t>
      </w:r>
      <w:r w:rsidR="007128BE">
        <w:rPr>
          <w:lang w:val="fr-FR"/>
        </w:rPr>
        <w:t> </w:t>
      </w:r>
      <w:r>
        <w:rPr>
          <w:lang w:val="fr-FR"/>
        </w:rPr>
        <w:t xml:space="preserve">données </w:t>
      </w:r>
      <w:commentRangeStart w:id="35"/>
      <w:r>
        <w:rPr>
          <w:lang w:val="fr-FR"/>
        </w:rPr>
        <w:t>stockée en nuage</w:t>
      </w:r>
      <w:commentRangeEnd w:id="35"/>
      <w:r w:rsidR="00913794">
        <w:commentReference w:id="35"/>
      </w:r>
      <w:r>
        <w:rPr>
          <w:lang w:val="fr-FR"/>
        </w:rPr>
        <w:t xml:space="preserve">. La </w:t>
      </w:r>
      <w:r w:rsidR="0060682A">
        <w:rPr>
          <w:lang w:val="fr-FR"/>
        </w:rPr>
        <w:t xml:space="preserve">Plateforme renforcera sa </w:t>
      </w:r>
      <w:r>
        <w:rPr>
          <w:lang w:val="fr-FR"/>
        </w:rPr>
        <w:t>collaboration avec les services de communication d</w:t>
      </w:r>
      <w:r w:rsidR="000051E6">
        <w:rPr>
          <w:lang w:val="fr-FR"/>
        </w:rPr>
        <w:t>‘</w:t>
      </w:r>
      <w:r>
        <w:rPr>
          <w:lang w:val="fr-FR"/>
        </w:rPr>
        <w:t xml:space="preserve">un certain nombre de ses partenaires, </w:t>
      </w:r>
      <w:r w:rsidR="0060682A">
        <w:rPr>
          <w:rStyle w:val="CommentReference"/>
          <w:lang w:val="fr-FR"/>
        </w:rPr>
        <w:commentReference w:id="36"/>
      </w:r>
      <w:r w:rsidR="0060682A">
        <w:rPr>
          <w:lang w:val="fr-FR"/>
        </w:rPr>
        <w:t xml:space="preserve">notamment </w:t>
      </w:r>
      <w:r>
        <w:rPr>
          <w:lang w:val="fr-FR"/>
        </w:rPr>
        <w:t>le Programme des Nations Unies pour l</w:t>
      </w:r>
      <w:r w:rsidR="000051E6">
        <w:rPr>
          <w:lang w:val="fr-FR"/>
        </w:rPr>
        <w:t>‘</w:t>
      </w:r>
      <w:r>
        <w:rPr>
          <w:lang w:val="fr-FR"/>
        </w:rPr>
        <w:t>environnement, l</w:t>
      </w:r>
      <w:r w:rsidR="000051E6">
        <w:rPr>
          <w:lang w:val="fr-FR"/>
        </w:rPr>
        <w:t>‘</w:t>
      </w:r>
      <w:r>
        <w:rPr>
          <w:lang w:val="fr-FR"/>
        </w:rPr>
        <w:t>Organisation des Nations Unies pour l</w:t>
      </w:r>
      <w:r w:rsidR="000051E6">
        <w:rPr>
          <w:lang w:val="fr-FR"/>
        </w:rPr>
        <w:t>‘</w:t>
      </w:r>
      <w:r>
        <w:rPr>
          <w:lang w:val="fr-FR"/>
        </w:rPr>
        <w:t>éducation, la science et la culture, l</w:t>
      </w:r>
      <w:r w:rsidR="000051E6">
        <w:rPr>
          <w:lang w:val="fr-FR"/>
        </w:rPr>
        <w:t>‘</w:t>
      </w:r>
      <w:r>
        <w:rPr>
          <w:lang w:val="fr-FR"/>
        </w:rPr>
        <w:t>Organisation des Nations Unies pour l</w:t>
      </w:r>
      <w:r w:rsidR="000051E6">
        <w:rPr>
          <w:lang w:val="fr-FR"/>
        </w:rPr>
        <w:t>‘</w:t>
      </w:r>
      <w:r>
        <w:rPr>
          <w:lang w:val="fr-FR"/>
        </w:rPr>
        <w:t>alimentation et l</w:t>
      </w:r>
      <w:r w:rsidR="000051E6">
        <w:rPr>
          <w:lang w:val="fr-FR"/>
        </w:rPr>
        <w:t>‘</w:t>
      </w:r>
      <w:r>
        <w:rPr>
          <w:lang w:val="fr-FR"/>
        </w:rPr>
        <w:t xml:space="preserve">agriculture, le Programme des Nations Unies pour le développement (PNUD), </w:t>
      </w:r>
      <w:commentRangeStart w:id="37"/>
      <w:r w:rsidR="0060682A">
        <w:rPr>
          <w:lang w:val="fr-FR"/>
        </w:rPr>
        <w:t xml:space="preserve">le Groupe </w:t>
      </w:r>
      <w:r>
        <w:rPr>
          <w:lang w:val="fr-FR"/>
        </w:rPr>
        <w:t>d</w:t>
      </w:r>
      <w:r w:rsidR="000051E6">
        <w:rPr>
          <w:lang w:val="fr-FR"/>
        </w:rPr>
        <w:t>‘</w:t>
      </w:r>
      <w:r>
        <w:rPr>
          <w:lang w:val="fr-FR"/>
        </w:rPr>
        <w:t>information commune des organis</w:t>
      </w:r>
      <w:r w:rsidR="0060682A">
        <w:rPr>
          <w:lang w:val="fr-FR"/>
        </w:rPr>
        <w:t>mes</w:t>
      </w:r>
      <w:r>
        <w:rPr>
          <w:lang w:val="fr-FR"/>
        </w:rPr>
        <w:t xml:space="preserve"> des Nations Unies à</w:t>
      </w:r>
      <w:r w:rsidR="007128BE">
        <w:rPr>
          <w:lang w:val="fr-FR"/>
        </w:rPr>
        <w:t> </w:t>
      </w:r>
      <w:r>
        <w:rPr>
          <w:lang w:val="fr-FR"/>
        </w:rPr>
        <w:t>Bonn</w:t>
      </w:r>
      <w:commentRangeEnd w:id="37"/>
      <w:r w:rsidR="00913794">
        <w:commentReference w:id="37"/>
      </w:r>
      <w:r>
        <w:rPr>
          <w:lang w:val="fr-FR"/>
        </w:rPr>
        <w:t>, le Centre régional d</w:t>
      </w:r>
      <w:r w:rsidR="000051E6">
        <w:rPr>
          <w:lang w:val="fr-FR"/>
        </w:rPr>
        <w:t>‘</w:t>
      </w:r>
      <w:r>
        <w:rPr>
          <w:lang w:val="fr-FR"/>
        </w:rPr>
        <w:t xml:space="preserve">information des Nations Unies à Bruxelles, </w:t>
      </w:r>
      <w:r w:rsidR="00911A3E">
        <w:rPr>
          <w:lang w:val="fr-FR"/>
        </w:rPr>
        <w:t>l</w:t>
      </w:r>
      <w:r w:rsidR="000051E6">
        <w:rPr>
          <w:lang w:val="fr-FR"/>
        </w:rPr>
        <w:t>‘</w:t>
      </w:r>
      <w:r w:rsidR="00911A3E">
        <w:rPr>
          <w:lang w:val="fr-FR"/>
        </w:rPr>
        <w:t>Union internationale pour la</w:t>
      </w:r>
      <w:r w:rsidR="007128BE">
        <w:rPr>
          <w:lang w:val="fr-FR"/>
        </w:rPr>
        <w:t> </w:t>
      </w:r>
      <w:r w:rsidR="00911A3E">
        <w:rPr>
          <w:lang w:val="fr-FR"/>
        </w:rPr>
        <w:t>conservation de la nature</w:t>
      </w:r>
      <w:r>
        <w:rPr>
          <w:lang w:val="fr-FR"/>
        </w:rPr>
        <w:t xml:space="preserve">, le </w:t>
      </w:r>
      <w:commentRangeStart w:id="38"/>
      <w:r w:rsidR="00911A3E">
        <w:rPr>
          <w:lang w:val="fr-FR"/>
        </w:rPr>
        <w:t>s</w:t>
      </w:r>
      <w:r>
        <w:rPr>
          <w:lang w:val="fr-FR"/>
        </w:rPr>
        <w:t xml:space="preserve">ecrétariat </w:t>
      </w:r>
      <w:commentRangeEnd w:id="38"/>
      <w:r w:rsidR="00911A3E">
        <w:rPr>
          <w:rStyle w:val="CommentReference"/>
          <w:lang w:val="fr-FR"/>
        </w:rPr>
        <w:commentReference w:id="38"/>
      </w:r>
      <w:r>
        <w:rPr>
          <w:lang w:val="fr-FR"/>
        </w:rPr>
        <w:t xml:space="preserve">de la Convention-cadre des Nations Unies sur les changements climatiques et le </w:t>
      </w:r>
      <w:r w:rsidR="0060682A">
        <w:rPr>
          <w:lang w:val="fr-FR"/>
        </w:rPr>
        <w:t>s</w:t>
      </w:r>
      <w:r>
        <w:rPr>
          <w:lang w:val="fr-FR"/>
        </w:rPr>
        <w:t>ecrétariat de la Convention sur la diversité biologique. L</w:t>
      </w:r>
      <w:r w:rsidR="000051E6">
        <w:rPr>
          <w:lang w:val="fr-FR"/>
        </w:rPr>
        <w:t>‘</w:t>
      </w:r>
      <w:r>
        <w:rPr>
          <w:lang w:val="fr-FR"/>
        </w:rPr>
        <w:t>objectif est d</w:t>
      </w:r>
      <w:r w:rsidR="000051E6">
        <w:rPr>
          <w:lang w:val="fr-FR"/>
        </w:rPr>
        <w:t>‘</w:t>
      </w:r>
      <w:r>
        <w:rPr>
          <w:lang w:val="fr-FR"/>
        </w:rPr>
        <w:t xml:space="preserve">étendre le réseau médiatique de </w:t>
      </w:r>
      <w:r w:rsidR="0060682A">
        <w:rPr>
          <w:lang w:val="fr-FR"/>
        </w:rPr>
        <w:t xml:space="preserve">la Plateforme </w:t>
      </w:r>
      <w:r>
        <w:rPr>
          <w:lang w:val="fr-FR"/>
        </w:rPr>
        <w:t xml:space="preserve">et </w:t>
      </w:r>
      <w:r w:rsidR="004C5204">
        <w:rPr>
          <w:lang w:val="fr-FR"/>
        </w:rPr>
        <w:t xml:space="preserve">de conclure </w:t>
      </w:r>
      <w:r>
        <w:rPr>
          <w:lang w:val="fr-FR"/>
        </w:rPr>
        <w:t xml:space="preserve">des accords </w:t>
      </w:r>
      <w:r w:rsidR="004C5204">
        <w:rPr>
          <w:lang w:val="fr-FR"/>
        </w:rPr>
        <w:t xml:space="preserve">de réciprocité </w:t>
      </w:r>
      <w:r>
        <w:rPr>
          <w:lang w:val="fr-FR"/>
        </w:rPr>
        <w:t>visant à publier simultanément les annonces aux médias et communiqués de presse d</w:t>
      </w:r>
      <w:r w:rsidR="000051E6">
        <w:rPr>
          <w:lang w:val="fr-FR"/>
        </w:rPr>
        <w:t>‘</w:t>
      </w:r>
      <w:r>
        <w:rPr>
          <w:lang w:val="fr-FR"/>
        </w:rPr>
        <w:t xml:space="preserve">importance. Un programme de sensibilisation médiatique sera </w:t>
      </w:r>
      <w:r w:rsidR="004C5204">
        <w:rPr>
          <w:lang w:val="fr-FR"/>
        </w:rPr>
        <w:t xml:space="preserve">élaboré </w:t>
      </w:r>
      <w:r>
        <w:rPr>
          <w:lang w:val="fr-FR"/>
        </w:rPr>
        <w:t>et mis en œuvre sur une période de 12</w:t>
      </w:r>
      <w:r w:rsidR="00A71146">
        <w:rPr>
          <w:lang w:val="fr-FR"/>
        </w:rPr>
        <w:t> </w:t>
      </w:r>
      <w:r>
        <w:rPr>
          <w:lang w:val="fr-FR"/>
        </w:rPr>
        <w:t>mois. Il intégrera des éléments issus de la stratégie de marque, du plan d</w:t>
      </w:r>
      <w:r w:rsidR="000051E6">
        <w:rPr>
          <w:lang w:val="fr-FR"/>
        </w:rPr>
        <w:t>‘</w:t>
      </w:r>
      <w:r>
        <w:rPr>
          <w:lang w:val="fr-FR"/>
        </w:rPr>
        <w:t>action sur les médias sociaux et des stratégies de communication et d</w:t>
      </w:r>
      <w:r w:rsidR="000051E6">
        <w:rPr>
          <w:lang w:val="fr-FR"/>
        </w:rPr>
        <w:t>‘</w:t>
      </w:r>
      <w:r>
        <w:rPr>
          <w:lang w:val="fr-FR"/>
        </w:rPr>
        <w:t>association des parties prenantes afin d</w:t>
      </w:r>
      <w:r w:rsidR="004C5204">
        <w:rPr>
          <w:lang w:val="fr-FR"/>
        </w:rPr>
        <w:t xml:space="preserve">e </w:t>
      </w:r>
      <w:r w:rsidR="00294366">
        <w:rPr>
          <w:lang w:val="fr-FR"/>
        </w:rPr>
        <w:t>donner un plus fort</w:t>
      </w:r>
      <w:r w:rsidR="004C5204">
        <w:rPr>
          <w:lang w:val="fr-FR"/>
        </w:rPr>
        <w:t xml:space="preserve"> retentissement </w:t>
      </w:r>
      <w:r w:rsidR="00294366">
        <w:rPr>
          <w:lang w:val="fr-FR"/>
        </w:rPr>
        <w:t>aux</w:t>
      </w:r>
      <w:r w:rsidR="007128BE">
        <w:rPr>
          <w:lang w:val="fr-FR"/>
        </w:rPr>
        <w:t> </w:t>
      </w:r>
      <w:r w:rsidR="004C5204">
        <w:rPr>
          <w:lang w:val="fr-FR"/>
        </w:rPr>
        <w:t>campagnes de</w:t>
      </w:r>
      <w:r>
        <w:rPr>
          <w:lang w:val="fr-FR"/>
        </w:rPr>
        <w:t xml:space="preserve"> communication de </w:t>
      </w:r>
      <w:r w:rsidR="004C5204">
        <w:rPr>
          <w:lang w:val="fr-FR"/>
        </w:rPr>
        <w:t>la Plateforme</w:t>
      </w:r>
      <w:r>
        <w:rPr>
          <w:lang w:val="fr-FR"/>
        </w:rPr>
        <w:t xml:space="preserve">, en particulier </w:t>
      </w:r>
      <w:r w:rsidR="004C5204">
        <w:rPr>
          <w:lang w:val="fr-FR"/>
        </w:rPr>
        <w:t>auprès d</w:t>
      </w:r>
      <w:r>
        <w:rPr>
          <w:lang w:val="fr-FR"/>
        </w:rPr>
        <w:t>es médias de premier plan et</w:t>
      </w:r>
      <w:r w:rsidR="007128BE">
        <w:rPr>
          <w:lang w:val="fr-FR"/>
        </w:rPr>
        <w:t> </w:t>
      </w:r>
      <w:r>
        <w:rPr>
          <w:lang w:val="fr-FR"/>
        </w:rPr>
        <w:t xml:space="preserve">les </w:t>
      </w:r>
      <w:r w:rsidR="004C5204">
        <w:rPr>
          <w:lang w:val="fr-FR"/>
        </w:rPr>
        <w:t xml:space="preserve">leaders </w:t>
      </w:r>
      <w:r>
        <w:rPr>
          <w:lang w:val="fr-FR"/>
        </w:rPr>
        <w:t>d</w:t>
      </w:r>
      <w:r w:rsidR="000051E6">
        <w:rPr>
          <w:lang w:val="fr-FR"/>
        </w:rPr>
        <w:t>‘</w:t>
      </w:r>
      <w:r>
        <w:rPr>
          <w:lang w:val="fr-FR"/>
        </w:rPr>
        <w:t xml:space="preserve">opinion des milieux scientifique et politique. Il sera fait appel à des services de suivi médiatique de façon quotidienne, hebdomadaire et pour </w:t>
      </w:r>
      <w:r w:rsidR="00172F77">
        <w:rPr>
          <w:lang w:val="fr-FR"/>
        </w:rPr>
        <w:t xml:space="preserve">les </w:t>
      </w:r>
      <w:r>
        <w:rPr>
          <w:lang w:val="fr-FR"/>
        </w:rPr>
        <w:t>information</w:t>
      </w:r>
      <w:r w:rsidR="00172F77">
        <w:rPr>
          <w:lang w:val="fr-FR"/>
        </w:rPr>
        <w:t>s</w:t>
      </w:r>
      <w:r>
        <w:rPr>
          <w:lang w:val="fr-FR"/>
        </w:rPr>
        <w:t xml:space="preserve"> de dernière minute afin d</w:t>
      </w:r>
      <w:r w:rsidR="000051E6">
        <w:rPr>
          <w:lang w:val="fr-FR"/>
        </w:rPr>
        <w:t>‘</w:t>
      </w:r>
      <w:r>
        <w:rPr>
          <w:lang w:val="fr-FR"/>
        </w:rPr>
        <w:t>obtenir des données de référence et en continu sur le nombre d</w:t>
      </w:r>
      <w:r w:rsidR="000051E6">
        <w:rPr>
          <w:lang w:val="fr-FR"/>
        </w:rPr>
        <w:t>‘</w:t>
      </w:r>
      <w:r>
        <w:rPr>
          <w:lang w:val="fr-FR"/>
        </w:rPr>
        <w:t xml:space="preserve">accès, les mentions et </w:t>
      </w:r>
      <w:r w:rsidR="00172F77">
        <w:rPr>
          <w:lang w:val="fr-FR"/>
        </w:rPr>
        <w:t>l</w:t>
      </w:r>
      <w:r w:rsidR="000051E6">
        <w:rPr>
          <w:lang w:val="fr-FR"/>
        </w:rPr>
        <w:t>’</w:t>
      </w:r>
      <w:r w:rsidR="00172F77">
        <w:rPr>
          <w:lang w:val="fr-FR"/>
        </w:rPr>
        <w:t xml:space="preserve">incidence </w:t>
      </w:r>
      <w:r>
        <w:rPr>
          <w:lang w:val="fr-FR"/>
        </w:rPr>
        <w:t xml:space="preserve">des diffusions médiatiques de </w:t>
      </w:r>
      <w:r w:rsidR="00172F77">
        <w:rPr>
          <w:lang w:val="fr-FR"/>
        </w:rPr>
        <w:t>la Plateforme</w:t>
      </w:r>
      <w:r>
        <w:rPr>
          <w:lang w:val="fr-FR"/>
        </w:rPr>
        <w:t>, et de porter à l</w:t>
      </w:r>
      <w:r w:rsidR="000051E6">
        <w:rPr>
          <w:lang w:val="fr-FR"/>
        </w:rPr>
        <w:t>‘</w:t>
      </w:r>
      <w:r>
        <w:rPr>
          <w:lang w:val="fr-FR"/>
        </w:rPr>
        <w:t>attention du secrétariat tout</w:t>
      </w:r>
      <w:r w:rsidR="00172F77">
        <w:rPr>
          <w:lang w:val="fr-FR"/>
        </w:rPr>
        <w:t xml:space="preserve"> point d</w:t>
      </w:r>
      <w:r w:rsidR="000051E6">
        <w:rPr>
          <w:lang w:val="fr-FR"/>
        </w:rPr>
        <w:t>’</w:t>
      </w:r>
      <w:r w:rsidR="00172F77">
        <w:rPr>
          <w:lang w:val="fr-FR"/>
        </w:rPr>
        <w:t xml:space="preserve">actualité </w:t>
      </w:r>
      <w:r>
        <w:rPr>
          <w:lang w:val="fr-FR"/>
        </w:rPr>
        <w:t>d</w:t>
      </w:r>
      <w:r w:rsidR="000051E6">
        <w:rPr>
          <w:lang w:val="fr-FR"/>
        </w:rPr>
        <w:t>‘</w:t>
      </w:r>
      <w:r>
        <w:rPr>
          <w:lang w:val="fr-FR"/>
        </w:rPr>
        <w:t xml:space="preserve">importance lié au programme de travail de </w:t>
      </w:r>
      <w:r w:rsidR="00172F77">
        <w:rPr>
          <w:lang w:val="fr-FR"/>
        </w:rPr>
        <w:t xml:space="preserve">la Plateforme </w:t>
      </w:r>
      <w:r>
        <w:rPr>
          <w:lang w:val="fr-FR"/>
        </w:rPr>
        <w:t>faisant l</w:t>
      </w:r>
      <w:r w:rsidR="000051E6">
        <w:rPr>
          <w:lang w:val="fr-FR"/>
        </w:rPr>
        <w:t>‘</w:t>
      </w:r>
      <w:r>
        <w:rPr>
          <w:lang w:val="fr-FR"/>
        </w:rPr>
        <w:t>objet d</w:t>
      </w:r>
      <w:r w:rsidR="000051E6">
        <w:rPr>
          <w:lang w:val="fr-FR"/>
        </w:rPr>
        <w:t>‘</w:t>
      </w:r>
      <w:r>
        <w:rPr>
          <w:lang w:val="fr-FR"/>
        </w:rPr>
        <w:t xml:space="preserve">une couverture médiatique. </w:t>
      </w:r>
    </w:p>
    <w:p w14:paraId="6EBB956A" w14:textId="77777777" w:rsidR="00A07D4D" w:rsidRPr="000C5CA1" w:rsidRDefault="00A07D4D" w:rsidP="00432F7D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Articles d</w:t>
      </w:r>
      <w:r w:rsidR="000051E6">
        <w:rPr>
          <w:i/>
          <w:lang w:val="fr-FR"/>
        </w:rPr>
        <w:t>‘</w:t>
      </w:r>
      <w:r w:rsidRPr="000051E6">
        <w:rPr>
          <w:i/>
          <w:lang w:val="fr-FR"/>
        </w:rPr>
        <w:t>opinion</w:t>
      </w:r>
      <w:r>
        <w:rPr>
          <w:lang w:val="fr-FR"/>
        </w:rPr>
        <w:t>. Le Bureau a approuvé une proposition visant à ce que le secrétariat</w:t>
      </w:r>
      <w:r w:rsidR="00172F77">
        <w:rPr>
          <w:lang w:val="fr-FR"/>
        </w:rPr>
        <w:t xml:space="preserve"> recense</w:t>
      </w:r>
      <w:r>
        <w:rPr>
          <w:lang w:val="fr-FR"/>
        </w:rPr>
        <w:t xml:space="preserve">, </w:t>
      </w:r>
      <w:r w:rsidR="00172F77">
        <w:rPr>
          <w:lang w:val="fr-FR"/>
        </w:rPr>
        <w:t>avec le concours</w:t>
      </w:r>
      <w:r>
        <w:rPr>
          <w:lang w:val="fr-FR"/>
        </w:rPr>
        <w:t xml:space="preserve"> d</w:t>
      </w:r>
      <w:r w:rsidR="000051E6">
        <w:rPr>
          <w:lang w:val="fr-FR"/>
        </w:rPr>
        <w:t>‘</w:t>
      </w:r>
      <w:r>
        <w:rPr>
          <w:lang w:val="fr-FR"/>
        </w:rPr>
        <w:t xml:space="preserve">experts de </w:t>
      </w:r>
      <w:r w:rsidR="00172F77">
        <w:rPr>
          <w:lang w:val="fr-FR"/>
        </w:rPr>
        <w:t>la Plateforme</w:t>
      </w:r>
      <w:r>
        <w:rPr>
          <w:lang w:val="fr-FR"/>
        </w:rPr>
        <w:t xml:space="preserve">, </w:t>
      </w:r>
      <w:r w:rsidR="00172F77">
        <w:rPr>
          <w:rStyle w:val="CommentReference"/>
          <w:lang w:val="fr-FR"/>
        </w:rPr>
        <w:commentReference w:id="39"/>
      </w:r>
      <w:r>
        <w:rPr>
          <w:lang w:val="fr-FR"/>
        </w:rPr>
        <w:t>les questions et discussions majeures à l</w:t>
      </w:r>
      <w:r w:rsidR="000051E6">
        <w:rPr>
          <w:lang w:val="fr-FR"/>
        </w:rPr>
        <w:t>‘</w:t>
      </w:r>
      <w:r>
        <w:rPr>
          <w:lang w:val="fr-FR"/>
        </w:rPr>
        <w:t xml:space="preserve">échelle mondiale auxquelles </w:t>
      </w:r>
      <w:r w:rsidR="00172F77">
        <w:rPr>
          <w:lang w:val="fr-FR"/>
        </w:rPr>
        <w:t xml:space="preserve">celle-ci </w:t>
      </w:r>
      <w:r>
        <w:rPr>
          <w:lang w:val="fr-FR"/>
        </w:rPr>
        <w:t xml:space="preserve">peut apporter une contribution précieuse </w:t>
      </w:r>
      <w:r w:rsidR="000E1A85">
        <w:rPr>
          <w:rStyle w:val="CommentReference"/>
          <w:lang w:val="fr-FR"/>
        </w:rPr>
        <w:commentReference w:id="40"/>
      </w:r>
      <w:r w:rsidR="000E1A85">
        <w:rPr>
          <w:lang w:val="fr-FR"/>
        </w:rPr>
        <w:t xml:space="preserve">en présentant </w:t>
      </w:r>
      <w:r>
        <w:rPr>
          <w:lang w:val="fr-FR"/>
        </w:rPr>
        <w:t>d</w:t>
      </w:r>
      <w:r w:rsidR="000E1A85">
        <w:rPr>
          <w:lang w:val="fr-FR"/>
        </w:rPr>
        <w:t xml:space="preserve">es </w:t>
      </w:r>
      <w:r>
        <w:rPr>
          <w:lang w:val="fr-FR"/>
        </w:rPr>
        <w:t>articles d</w:t>
      </w:r>
      <w:r w:rsidR="000051E6">
        <w:rPr>
          <w:lang w:val="fr-FR"/>
        </w:rPr>
        <w:t>‘</w:t>
      </w:r>
      <w:r>
        <w:rPr>
          <w:lang w:val="fr-FR"/>
        </w:rPr>
        <w:t xml:space="preserve">opinion ciblés qui lui donneraient davantage de visibilité et amélioreraient sa crédibilité, tout en renforçant la portée et </w:t>
      </w:r>
      <w:r w:rsidR="000E1A85">
        <w:rPr>
          <w:lang w:val="fr-FR"/>
        </w:rPr>
        <w:t xml:space="preserve">les effets </w:t>
      </w:r>
      <w:r>
        <w:rPr>
          <w:lang w:val="fr-FR"/>
        </w:rPr>
        <w:t>des produits de son programme de travail. Ces articles seront rédigés au nom du Président, du</w:t>
      </w:r>
      <w:r w:rsidR="007128BE">
        <w:rPr>
          <w:lang w:val="fr-FR"/>
        </w:rPr>
        <w:t> </w:t>
      </w:r>
      <w:r>
        <w:rPr>
          <w:lang w:val="fr-FR"/>
        </w:rPr>
        <w:t>Secrétaire exécutif, des membres du Bureau et d</w:t>
      </w:r>
      <w:r w:rsidR="000051E6">
        <w:rPr>
          <w:lang w:val="fr-FR"/>
        </w:rPr>
        <w:t>‘</w:t>
      </w:r>
      <w:r>
        <w:rPr>
          <w:lang w:val="fr-FR"/>
        </w:rPr>
        <w:t xml:space="preserve">experts désignés de </w:t>
      </w:r>
      <w:r w:rsidR="00172F77">
        <w:rPr>
          <w:lang w:val="fr-FR"/>
        </w:rPr>
        <w:t>la Plateforme</w:t>
      </w:r>
      <w:r>
        <w:rPr>
          <w:lang w:val="fr-FR"/>
        </w:rPr>
        <w:t xml:space="preserve">. </w:t>
      </w:r>
    </w:p>
    <w:p w14:paraId="2D5FF028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 w:rsidRPr="000051E6">
        <w:rPr>
          <w:i/>
          <w:lang w:val="fr-FR"/>
        </w:rPr>
        <w:t>Bénévoles</w:t>
      </w:r>
      <w:r>
        <w:rPr>
          <w:lang w:val="fr-FR"/>
        </w:rPr>
        <w:t xml:space="preserve">. Des partenaires bénévoles de </w:t>
      </w:r>
      <w:r w:rsidR="000E1A85">
        <w:rPr>
          <w:lang w:val="fr-FR"/>
        </w:rPr>
        <w:t xml:space="preserve">la Plateforme </w:t>
      </w:r>
      <w:r>
        <w:rPr>
          <w:lang w:val="fr-FR"/>
        </w:rPr>
        <w:t xml:space="preserve">pour la communication et </w:t>
      </w:r>
      <w:r w:rsidR="000E1A85">
        <w:rPr>
          <w:lang w:val="fr-FR"/>
        </w:rPr>
        <w:t>l</w:t>
      </w:r>
      <w:r w:rsidR="000051E6">
        <w:rPr>
          <w:lang w:val="fr-FR"/>
        </w:rPr>
        <w:t>’</w:t>
      </w:r>
      <w:r w:rsidR="000E1A85">
        <w:rPr>
          <w:lang w:val="fr-FR"/>
        </w:rPr>
        <w:t xml:space="preserve">information </w:t>
      </w:r>
      <w:r>
        <w:rPr>
          <w:lang w:val="fr-FR"/>
        </w:rPr>
        <w:t xml:space="preserve">régionales seront identifiés et guidés afin de diffuser les messages de </w:t>
      </w:r>
      <w:r w:rsidR="000E1A85">
        <w:rPr>
          <w:lang w:val="fr-FR"/>
        </w:rPr>
        <w:t xml:space="preserve">la Plateforme </w:t>
      </w:r>
      <w:r>
        <w:rPr>
          <w:lang w:val="fr-FR"/>
        </w:rPr>
        <w:t>dans un plus grand nombre de régions, de sous-régions et de langues. Cette initiative a déjà démarré</w:t>
      </w:r>
      <w:r w:rsidR="000E1A85">
        <w:rPr>
          <w:lang w:val="fr-FR"/>
        </w:rPr>
        <w:t>,</w:t>
      </w:r>
      <w:r>
        <w:rPr>
          <w:lang w:val="fr-FR"/>
        </w:rPr>
        <w:t xml:space="preserve"> une sensibilisation </w:t>
      </w:r>
      <w:r w:rsidR="000E1A85">
        <w:rPr>
          <w:lang w:val="fr-FR"/>
        </w:rPr>
        <w:t xml:space="preserve">ayant été lancée </w:t>
      </w:r>
      <w:r>
        <w:rPr>
          <w:lang w:val="fr-FR"/>
        </w:rPr>
        <w:t>en espagnol en Amérique latine.</w:t>
      </w:r>
    </w:p>
    <w:p w14:paraId="548CF0B1" w14:textId="77777777" w:rsidR="00A07D4D" w:rsidRPr="000C5CA1" w:rsidRDefault="009F65FC" w:rsidP="009F65FC">
      <w:pPr>
        <w:pStyle w:val="CH2"/>
        <w:rPr>
          <w:rFonts w:eastAsia="MS Mincho"/>
          <w:lang w:val="fr-FR"/>
        </w:rPr>
      </w:pPr>
      <w:r>
        <w:rPr>
          <w:lang w:val="fr-FR"/>
        </w:rPr>
        <w:tab/>
        <w:t>B.</w:t>
      </w:r>
      <w:r>
        <w:rPr>
          <w:lang w:val="fr-FR"/>
        </w:rPr>
        <w:tab/>
        <w:t>Préparatifs pour le lancement d</w:t>
      </w:r>
      <w:r w:rsidR="000051E6">
        <w:rPr>
          <w:lang w:val="fr-FR"/>
        </w:rPr>
        <w:t>‘</w:t>
      </w:r>
      <w:r>
        <w:rPr>
          <w:lang w:val="fr-FR"/>
        </w:rPr>
        <w:t>évaluations en</w:t>
      </w:r>
      <w:r w:rsidR="00621BFA">
        <w:rPr>
          <w:lang w:val="fr-FR"/>
        </w:rPr>
        <w:t> </w:t>
      </w:r>
      <w:r>
        <w:rPr>
          <w:lang w:val="fr-FR"/>
        </w:rPr>
        <w:t>2018 et</w:t>
      </w:r>
      <w:r w:rsidR="00621BFA">
        <w:rPr>
          <w:lang w:val="fr-FR"/>
        </w:rPr>
        <w:t> </w:t>
      </w:r>
      <w:r>
        <w:rPr>
          <w:lang w:val="fr-FR"/>
        </w:rPr>
        <w:t>2019</w:t>
      </w:r>
    </w:p>
    <w:p w14:paraId="3DFA9F0D" w14:textId="77777777" w:rsidR="00A07D4D" w:rsidRPr="000C5CA1" w:rsidRDefault="0056471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L</w:t>
      </w:r>
      <w:r w:rsidR="00A07D4D">
        <w:rPr>
          <w:lang w:val="fr-FR"/>
        </w:rPr>
        <w:t xml:space="preserve">a Plénière </w:t>
      </w:r>
      <w:r>
        <w:rPr>
          <w:lang w:val="fr-FR"/>
        </w:rPr>
        <w:t>devrait terminer l</w:t>
      </w:r>
      <w:r w:rsidR="00A07D4D">
        <w:rPr>
          <w:lang w:val="fr-FR"/>
        </w:rPr>
        <w:t>es quatre évaluations régionales et l</w:t>
      </w:r>
      <w:r w:rsidR="000051E6">
        <w:rPr>
          <w:lang w:val="fr-FR"/>
        </w:rPr>
        <w:t>‘</w:t>
      </w:r>
      <w:r w:rsidR="00A07D4D">
        <w:rPr>
          <w:lang w:val="fr-FR"/>
        </w:rPr>
        <w:t>évaluation de la dégradation et</w:t>
      </w:r>
      <w:r w:rsidR="007128BE">
        <w:rPr>
          <w:lang w:val="fr-FR"/>
        </w:rPr>
        <w:t> </w:t>
      </w:r>
      <w:r w:rsidR="00A07D4D">
        <w:rPr>
          <w:lang w:val="fr-FR"/>
        </w:rPr>
        <w:t xml:space="preserve">de la restauration des terres </w:t>
      </w:r>
      <w:r>
        <w:rPr>
          <w:lang w:val="fr-FR"/>
        </w:rPr>
        <w:t xml:space="preserve">à </w:t>
      </w:r>
      <w:r w:rsidR="00A07D4D">
        <w:rPr>
          <w:lang w:val="fr-FR"/>
        </w:rPr>
        <w:t>sa sixième session</w:t>
      </w:r>
      <w:commentRangeStart w:id="41"/>
      <w:r>
        <w:rPr>
          <w:lang w:val="fr-FR"/>
        </w:rPr>
        <w:t>,</w:t>
      </w:r>
      <w:commentRangeEnd w:id="41"/>
      <w:r>
        <w:rPr>
          <w:rStyle w:val="CommentReference"/>
          <w:lang w:val="fr-FR"/>
        </w:rPr>
        <w:commentReference w:id="41"/>
      </w:r>
      <w:r w:rsidR="00A07D4D">
        <w:rPr>
          <w:lang w:val="fr-FR"/>
        </w:rPr>
        <w:t xml:space="preserve"> en</w:t>
      </w:r>
      <w:r w:rsidR="00CD6A71">
        <w:rPr>
          <w:lang w:val="fr-FR"/>
        </w:rPr>
        <w:t> </w:t>
      </w:r>
      <w:r w:rsidR="00A07D4D">
        <w:rPr>
          <w:lang w:val="fr-FR"/>
        </w:rPr>
        <w:t>2018</w:t>
      </w:r>
      <w:r w:rsidR="00103AAB">
        <w:rPr>
          <w:lang w:val="fr-FR"/>
        </w:rPr>
        <w:t>,</w:t>
      </w:r>
      <w:r>
        <w:rPr>
          <w:lang w:val="fr-FR"/>
        </w:rPr>
        <w:t xml:space="preserve"> </w:t>
      </w:r>
      <w:r w:rsidR="00D9376E">
        <w:rPr>
          <w:lang w:val="fr-FR"/>
        </w:rPr>
        <w:t>ainsi que</w:t>
      </w:r>
      <w:r>
        <w:rPr>
          <w:lang w:val="fr-FR"/>
        </w:rPr>
        <w:t xml:space="preserve"> </w:t>
      </w:r>
      <w:r w:rsidR="00A07D4D">
        <w:rPr>
          <w:lang w:val="fr-FR"/>
        </w:rPr>
        <w:t>l</w:t>
      </w:r>
      <w:r w:rsidR="000051E6">
        <w:rPr>
          <w:lang w:val="fr-FR"/>
        </w:rPr>
        <w:t>‘</w:t>
      </w:r>
      <w:r w:rsidR="00A07D4D">
        <w:rPr>
          <w:lang w:val="fr-FR"/>
        </w:rPr>
        <w:t>évaluation mondiale de la</w:t>
      </w:r>
      <w:r w:rsidR="00CD6A71">
        <w:rPr>
          <w:lang w:val="fr-FR"/>
        </w:rPr>
        <w:t> </w:t>
      </w:r>
      <w:r w:rsidR="00A07D4D">
        <w:rPr>
          <w:lang w:val="fr-FR"/>
        </w:rPr>
        <w:t>biodiversité et des services écosystémiques</w:t>
      </w:r>
      <w:r>
        <w:rPr>
          <w:lang w:val="fr-FR"/>
        </w:rPr>
        <w:t xml:space="preserve"> à </w:t>
      </w:r>
      <w:r w:rsidR="00D9376E">
        <w:rPr>
          <w:lang w:val="fr-FR"/>
        </w:rPr>
        <w:t>s</w:t>
      </w:r>
      <w:r>
        <w:rPr>
          <w:lang w:val="fr-FR"/>
        </w:rPr>
        <w:t>a septième session</w:t>
      </w:r>
      <w:r w:rsidR="00CD6A71">
        <w:rPr>
          <w:lang w:val="fr-FR"/>
        </w:rPr>
        <w:t>, en </w:t>
      </w:r>
      <w:r w:rsidR="00103AAB">
        <w:rPr>
          <w:lang w:val="fr-FR"/>
        </w:rPr>
        <w:t>2019</w:t>
      </w:r>
      <w:r w:rsidR="00D9376E">
        <w:rPr>
          <w:lang w:val="fr-FR"/>
        </w:rPr>
        <w:t>. L</w:t>
      </w:r>
      <w:r w:rsidR="00A07D4D">
        <w:rPr>
          <w:lang w:val="fr-FR"/>
        </w:rPr>
        <w:t xml:space="preserve">e secrétariat est conscient des </w:t>
      </w:r>
      <w:r w:rsidR="00D9376E">
        <w:rPr>
          <w:rStyle w:val="CommentReference"/>
          <w:lang w:val="fr-FR"/>
        </w:rPr>
        <w:commentReference w:id="42"/>
      </w:r>
      <w:r w:rsidR="00D9376E">
        <w:rPr>
          <w:lang w:val="fr-FR"/>
        </w:rPr>
        <w:t xml:space="preserve">enseignements tirés en matière </w:t>
      </w:r>
      <w:r w:rsidR="00A07D4D">
        <w:rPr>
          <w:lang w:val="fr-FR"/>
        </w:rPr>
        <w:t>de communication du lancement des deux premières évaluations en</w:t>
      </w:r>
      <w:r w:rsidR="00CD6A71">
        <w:rPr>
          <w:lang w:val="fr-FR"/>
        </w:rPr>
        <w:t> </w:t>
      </w:r>
      <w:r w:rsidR="00A07D4D">
        <w:rPr>
          <w:lang w:val="fr-FR"/>
        </w:rPr>
        <w:t xml:space="preserve">2016, en particulier </w:t>
      </w:r>
      <w:r w:rsidR="00D9376E">
        <w:rPr>
          <w:lang w:val="fr-FR"/>
        </w:rPr>
        <w:t xml:space="preserve">de </w:t>
      </w:r>
      <w:r w:rsidR="00A07D4D">
        <w:rPr>
          <w:lang w:val="fr-FR"/>
        </w:rPr>
        <w:t>l</w:t>
      </w:r>
      <w:r w:rsidR="000051E6">
        <w:rPr>
          <w:lang w:val="fr-FR"/>
        </w:rPr>
        <w:t>‘</w:t>
      </w:r>
      <w:r w:rsidR="00A07D4D">
        <w:rPr>
          <w:lang w:val="fr-FR"/>
        </w:rPr>
        <w:t xml:space="preserve">importance </w:t>
      </w:r>
      <w:r w:rsidR="00D9376E">
        <w:rPr>
          <w:lang w:val="fr-FR"/>
        </w:rPr>
        <w:t>de les planifier le plut tôt possible et d</w:t>
      </w:r>
      <w:r w:rsidR="000051E6">
        <w:rPr>
          <w:lang w:val="fr-FR"/>
        </w:rPr>
        <w:t>’</w:t>
      </w:r>
      <w:r w:rsidR="00D9376E">
        <w:rPr>
          <w:lang w:val="fr-FR"/>
        </w:rPr>
        <w:t>entamer rapidement les</w:t>
      </w:r>
      <w:r w:rsidR="00CD6A71">
        <w:rPr>
          <w:lang w:val="fr-FR"/>
        </w:rPr>
        <w:t> </w:t>
      </w:r>
      <w:r w:rsidR="00A07D4D">
        <w:rPr>
          <w:lang w:val="fr-FR"/>
        </w:rPr>
        <w:t xml:space="preserve">préparatifs </w:t>
      </w:r>
      <w:r w:rsidR="00D9376E">
        <w:rPr>
          <w:lang w:val="fr-FR"/>
        </w:rPr>
        <w:t>afin de</w:t>
      </w:r>
      <w:r w:rsidR="00A07D4D">
        <w:rPr>
          <w:lang w:val="fr-FR"/>
        </w:rPr>
        <w:t xml:space="preserve"> maximiser </w:t>
      </w:r>
      <w:r w:rsidR="00D9376E">
        <w:rPr>
          <w:rStyle w:val="CommentReference"/>
          <w:lang w:val="fr-FR"/>
        </w:rPr>
        <w:commentReference w:id="43"/>
      </w:r>
      <w:r w:rsidR="00D9376E">
        <w:rPr>
          <w:lang w:val="fr-FR"/>
        </w:rPr>
        <w:t>l</w:t>
      </w:r>
      <w:r w:rsidR="000051E6">
        <w:rPr>
          <w:lang w:val="fr-FR"/>
        </w:rPr>
        <w:t>’</w:t>
      </w:r>
      <w:r w:rsidR="00D9376E">
        <w:rPr>
          <w:lang w:val="fr-FR"/>
        </w:rPr>
        <w:t xml:space="preserve">effet des campagnes </w:t>
      </w:r>
      <w:r w:rsidR="00A07D4D">
        <w:rPr>
          <w:lang w:val="fr-FR"/>
        </w:rPr>
        <w:t>de sensibilisation des médias et des</w:t>
      </w:r>
      <w:r w:rsidR="00CD6A71">
        <w:rPr>
          <w:lang w:val="fr-FR"/>
        </w:rPr>
        <w:t> </w:t>
      </w:r>
      <w:r w:rsidR="00A07D4D">
        <w:rPr>
          <w:lang w:val="fr-FR"/>
        </w:rPr>
        <w:t>parties</w:t>
      </w:r>
      <w:r w:rsidR="00CD6A71">
        <w:rPr>
          <w:lang w:val="fr-FR"/>
        </w:rPr>
        <w:t> </w:t>
      </w:r>
      <w:r w:rsidR="00A07D4D">
        <w:rPr>
          <w:lang w:val="fr-FR"/>
        </w:rPr>
        <w:t xml:space="preserve">prenantes. </w:t>
      </w:r>
    </w:p>
    <w:p w14:paraId="52B48D03" w14:textId="77777777" w:rsidR="00A07D4D" w:rsidRPr="000C5CA1" w:rsidRDefault="000D3B23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Les six évaluations feront l</w:t>
      </w:r>
      <w:r w:rsidR="000051E6">
        <w:rPr>
          <w:lang w:val="fr-FR"/>
        </w:rPr>
        <w:t>’</w:t>
      </w:r>
      <w:r>
        <w:rPr>
          <w:lang w:val="fr-FR"/>
        </w:rPr>
        <w:t>objet d</w:t>
      </w:r>
      <w:r w:rsidR="000051E6">
        <w:rPr>
          <w:lang w:val="fr-FR"/>
        </w:rPr>
        <w:t>’</w:t>
      </w:r>
      <w:r>
        <w:rPr>
          <w:lang w:val="fr-FR"/>
        </w:rPr>
        <w:t>une campagne d</w:t>
      </w:r>
      <w:r w:rsidR="000051E6">
        <w:rPr>
          <w:lang w:val="fr-FR"/>
        </w:rPr>
        <w:t>’</w:t>
      </w:r>
      <w:r>
        <w:rPr>
          <w:lang w:val="fr-FR"/>
        </w:rPr>
        <w:t>information ciblée, qui visera à informer des principaux médias, les journalistes de premier plan et les interlocuteurs de la Plateforme au sein des</w:t>
      </w:r>
      <w:r w:rsidR="00CD6A71">
        <w:rPr>
          <w:lang w:val="fr-FR"/>
        </w:rPr>
        <w:t> </w:t>
      </w:r>
      <w:r>
        <w:rPr>
          <w:lang w:val="fr-FR"/>
        </w:rPr>
        <w:t>médias sociaux de l</w:t>
      </w:r>
      <w:r w:rsidR="000051E6">
        <w:rPr>
          <w:lang w:val="fr-FR"/>
        </w:rPr>
        <w:t>‘</w:t>
      </w:r>
      <w:r>
        <w:rPr>
          <w:lang w:val="fr-FR"/>
        </w:rPr>
        <w:t>importance de ces produits au moyen d</w:t>
      </w:r>
      <w:r w:rsidR="000051E6">
        <w:rPr>
          <w:lang w:val="fr-FR"/>
        </w:rPr>
        <w:t>‘</w:t>
      </w:r>
      <w:r>
        <w:rPr>
          <w:lang w:val="fr-FR"/>
        </w:rPr>
        <w:t>exposés sur leur avancée, de mises à</w:t>
      </w:r>
      <w:r w:rsidR="00CD6A71">
        <w:rPr>
          <w:lang w:val="fr-FR"/>
        </w:rPr>
        <w:t> </w:t>
      </w:r>
      <w:r>
        <w:rPr>
          <w:lang w:val="fr-FR"/>
        </w:rPr>
        <w:t>jour communiquées par les réunions d</w:t>
      </w:r>
      <w:r w:rsidR="000051E6">
        <w:rPr>
          <w:lang w:val="fr-FR"/>
        </w:rPr>
        <w:t>‘</w:t>
      </w:r>
      <w:r>
        <w:rPr>
          <w:lang w:val="fr-FR"/>
        </w:rPr>
        <w:t>auteurs et d</w:t>
      </w:r>
      <w:r w:rsidR="000051E6">
        <w:rPr>
          <w:lang w:val="fr-FR"/>
        </w:rPr>
        <w:t>‘</w:t>
      </w:r>
      <w:r>
        <w:rPr>
          <w:lang w:val="fr-FR"/>
        </w:rPr>
        <w:t xml:space="preserve">ateliers de formation de la gestion des relations avec les médias. </w:t>
      </w:r>
    </w:p>
    <w:p w14:paraId="73929D61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Il est également prévu que les coprésidents des évaluations achevées, les membres du Groupe d</w:t>
      </w:r>
      <w:r w:rsidR="000051E6">
        <w:rPr>
          <w:lang w:val="fr-FR"/>
        </w:rPr>
        <w:t>‘</w:t>
      </w:r>
      <w:r>
        <w:rPr>
          <w:lang w:val="fr-FR"/>
        </w:rPr>
        <w:t xml:space="preserve">experts multidisciplinaire et du Bureau, des experts collaborateurs désignés, ainsi que les partenaires bénévoles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pour la communication et </w:t>
      </w:r>
      <w:r w:rsidR="002A4127">
        <w:rPr>
          <w:lang w:val="fr-FR"/>
        </w:rPr>
        <w:t>l</w:t>
      </w:r>
      <w:r w:rsidR="000051E6">
        <w:rPr>
          <w:lang w:val="fr-FR"/>
        </w:rPr>
        <w:t>’</w:t>
      </w:r>
      <w:r w:rsidR="002A4127">
        <w:rPr>
          <w:lang w:val="fr-FR"/>
        </w:rPr>
        <w:t>information</w:t>
      </w:r>
      <w:r>
        <w:rPr>
          <w:lang w:val="fr-FR"/>
        </w:rPr>
        <w:t xml:space="preserve"> régionales, participeront à une série de lancements et de </w:t>
      </w:r>
      <w:r w:rsidR="002A4127">
        <w:rPr>
          <w:lang w:val="fr-FR"/>
        </w:rPr>
        <w:t>« </w:t>
      </w:r>
      <w:r>
        <w:rPr>
          <w:lang w:val="fr-FR"/>
        </w:rPr>
        <w:t>tournées de discussion</w:t>
      </w:r>
      <w:r w:rsidR="002A4127">
        <w:rPr>
          <w:lang w:val="fr-FR"/>
        </w:rPr>
        <w:t> »</w:t>
      </w:r>
      <w:r>
        <w:rPr>
          <w:lang w:val="fr-FR"/>
        </w:rPr>
        <w:t xml:space="preserve"> </w:t>
      </w:r>
      <w:r w:rsidR="002A4127">
        <w:rPr>
          <w:lang w:val="fr-FR"/>
        </w:rPr>
        <w:t xml:space="preserve">après les </w:t>
      </w:r>
      <w:r>
        <w:rPr>
          <w:lang w:val="fr-FR"/>
        </w:rPr>
        <w:t>session</w:t>
      </w:r>
      <w:r w:rsidR="002A4127">
        <w:rPr>
          <w:lang w:val="fr-FR"/>
        </w:rPr>
        <w:t>s de la</w:t>
      </w:r>
      <w:r>
        <w:rPr>
          <w:lang w:val="fr-FR"/>
        </w:rPr>
        <w:t xml:space="preserve"> Plénière au niveau régional et à</w:t>
      </w:r>
      <w:r w:rsidR="00CD6A71">
        <w:rPr>
          <w:lang w:val="fr-FR"/>
        </w:rPr>
        <w:t> </w:t>
      </w:r>
      <w:r>
        <w:rPr>
          <w:lang w:val="fr-FR"/>
        </w:rPr>
        <w:t xml:space="preserve">des </w:t>
      </w:r>
      <w:r w:rsidR="002A4127">
        <w:rPr>
          <w:lang w:val="fr-FR"/>
        </w:rPr>
        <w:t xml:space="preserve">manifestations organisées en marge de </w:t>
      </w:r>
      <w:r w:rsidR="002A4127">
        <w:rPr>
          <w:rStyle w:val="CommentReference"/>
          <w:lang w:val="fr-FR"/>
        </w:rPr>
        <w:commentReference w:id="44"/>
      </w:r>
      <w:r>
        <w:rPr>
          <w:lang w:val="fr-FR"/>
        </w:rPr>
        <w:t xml:space="preserve">conférences et de sommets mondiaux </w:t>
      </w:r>
      <w:r w:rsidR="002A4127">
        <w:rPr>
          <w:lang w:val="fr-FR"/>
        </w:rPr>
        <w:t>d</w:t>
      </w:r>
      <w:r>
        <w:rPr>
          <w:lang w:val="fr-FR"/>
        </w:rPr>
        <w:t xml:space="preserve">es </w:t>
      </w:r>
      <w:commentRangeStart w:id="45"/>
      <w:r>
        <w:rPr>
          <w:lang w:val="fr-FR"/>
        </w:rPr>
        <w:t>accords multilatéraux sur l</w:t>
      </w:r>
      <w:r w:rsidR="000051E6">
        <w:rPr>
          <w:lang w:val="fr-FR"/>
        </w:rPr>
        <w:t>‘</w:t>
      </w:r>
      <w:r>
        <w:rPr>
          <w:lang w:val="fr-FR"/>
        </w:rPr>
        <w:t>environnement</w:t>
      </w:r>
      <w:commentRangeEnd w:id="45"/>
      <w:r w:rsidR="00913794">
        <w:commentReference w:id="45"/>
      </w:r>
      <w:r>
        <w:rPr>
          <w:lang w:val="fr-FR"/>
        </w:rPr>
        <w:t xml:space="preserve"> relatifs à la biodiversité. </w:t>
      </w:r>
    </w:p>
    <w:p w14:paraId="5AAC84A7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Le secrétariat fera appel à des services spécialisés en médias et relations publiques à partir de</w:t>
      </w:r>
      <w:r w:rsidR="00CD6A71">
        <w:rPr>
          <w:lang w:val="fr-FR"/>
        </w:rPr>
        <w:t> </w:t>
      </w:r>
      <w:r>
        <w:rPr>
          <w:lang w:val="fr-FR"/>
        </w:rPr>
        <w:t xml:space="preserve">2017, </w:t>
      </w:r>
      <w:r w:rsidR="002A4127">
        <w:rPr>
          <w:lang w:val="fr-FR"/>
        </w:rPr>
        <w:t>pendant</w:t>
      </w:r>
      <w:r>
        <w:rPr>
          <w:lang w:val="fr-FR"/>
        </w:rPr>
        <w:t xml:space="preserve"> la phase de</w:t>
      </w:r>
      <w:r w:rsidR="002A4127">
        <w:rPr>
          <w:lang w:val="fr-FR"/>
        </w:rPr>
        <w:t xml:space="preserve"> planification</w:t>
      </w:r>
      <w:r>
        <w:rPr>
          <w:lang w:val="fr-FR"/>
        </w:rPr>
        <w:t>, et jusqu</w:t>
      </w:r>
      <w:r w:rsidR="000051E6">
        <w:rPr>
          <w:lang w:val="fr-FR"/>
        </w:rPr>
        <w:t>‘</w:t>
      </w:r>
      <w:r>
        <w:rPr>
          <w:lang w:val="fr-FR"/>
        </w:rPr>
        <w:t>en</w:t>
      </w:r>
      <w:r w:rsidR="00CD6A71">
        <w:rPr>
          <w:lang w:val="fr-FR"/>
        </w:rPr>
        <w:t> </w:t>
      </w:r>
      <w:r>
        <w:rPr>
          <w:lang w:val="fr-FR"/>
        </w:rPr>
        <w:t>2018 et</w:t>
      </w:r>
      <w:r w:rsidR="00CD6A71">
        <w:rPr>
          <w:lang w:val="fr-FR"/>
        </w:rPr>
        <w:t> </w:t>
      </w:r>
      <w:r>
        <w:rPr>
          <w:lang w:val="fr-FR"/>
        </w:rPr>
        <w:t>2019, afin que l</w:t>
      </w:r>
      <w:r w:rsidR="002A4127">
        <w:rPr>
          <w:lang w:val="fr-FR"/>
        </w:rPr>
        <w:t>es activités de</w:t>
      </w:r>
      <w:r>
        <w:rPr>
          <w:lang w:val="fr-FR"/>
        </w:rPr>
        <w:t xml:space="preserve"> communication </w:t>
      </w:r>
      <w:r w:rsidR="002A4127">
        <w:rPr>
          <w:rStyle w:val="CommentReference"/>
          <w:lang w:val="fr-FR"/>
        </w:rPr>
        <w:commentReference w:id="46"/>
      </w:r>
      <w:r w:rsidR="002A4127">
        <w:rPr>
          <w:lang w:val="fr-FR"/>
        </w:rPr>
        <w:t xml:space="preserve">concernant </w:t>
      </w:r>
      <w:r>
        <w:rPr>
          <w:lang w:val="fr-FR"/>
        </w:rPr>
        <w:t xml:space="preserve">le lancement des six évaluations </w:t>
      </w:r>
      <w:r w:rsidR="002A4127">
        <w:rPr>
          <w:lang w:val="fr-FR"/>
        </w:rPr>
        <w:t>aient l</w:t>
      </w:r>
      <w:r w:rsidR="000051E6">
        <w:rPr>
          <w:lang w:val="fr-FR"/>
        </w:rPr>
        <w:t>’</w:t>
      </w:r>
      <w:r w:rsidR="002A4127">
        <w:rPr>
          <w:lang w:val="fr-FR"/>
        </w:rPr>
        <w:t>écho et la portée les plus vastes possible</w:t>
      </w:r>
      <w:r>
        <w:rPr>
          <w:lang w:val="fr-FR"/>
        </w:rPr>
        <w:t>.</w:t>
      </w:r>
    </w:p>
    <w:p w14:paraId="2769E298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 xml:space="preserve">Le secrétariat </w:t>
      </w:r>
      <w:r w:rsidR="002A4127">
        <w:rPr>
          <w:lang w:val="fr-FR"/>
        </w:rPr>
        <w:t xml:space="preserve">œuvrera </w:t>
      </w:r>
      <w:r>
        <w:rPr>
          <w:lang w:val="fr-FR"/>
        </w:rPr>
        <w:t>également avec ses organisations et entités partenaires à l</w:t>
      </w:r>
      <w:r w:rsidR="000051E6">
        <w:rPr>
          <w:lang w:val="fr-FR"/>
        </w:rPr>
        <w:t>‘</w:t>
      </w:r>
      <w:r>
        <w:rPr>
          <w:lang w:val="fr-FR"/>
        </w:rPr>
        <w:t xml:space="preserve">élaboration de stratégies de communication pour le lancement de rapports similaires ou </w:t>
      </w:r>
      <w:r w:rsidR="002A4127">
        <w:rPr>
          <w:lang w:val="fr-FR"/>
        </w:rPr>
        <w:t xml:space="preserve">connexes </w:t>
      </w:r>
      <w:r>
        <w:rPr>
          <w:lang w:val="fr-FR"/>
        </w:rPr>
        <w:t>au cours de la</w:t>
      </w:r>
      <w:r w:rsidR="00CD6A71">
        <w:rPr>
          <w:lang w:val="fr-FR"/>
        </w:rPr>
        <w:t> </w:t>
      </w:r>
      <w:r>
        <w:rPr>
          <w:lang w:val="fr-FR"/>
        </w:rPr>
        <w:t>période</w:t>
      </w:r>
      <w:r w:rsidR="00CD6A71">
        <w:rPr>
          <w:lang w:val="fr-FR"/>
        </w:rPr>
        <w:t> </w:t>
      </w:r>
      <w:r>
        <w:rPr>
          <w:lang w:val="fr-FR"/>
        </w:rPr>
        <w:t xml:space="preserve">2017-2019. </w:t>
      </w:r>
    </w:p>
    <w:p w14:paraId="2426B896" w14:textId="77777777" w:rsidR="00A07D4D" w:rsidRPr="000C5CA1" w:rsidRDefault="009F65FC" w:rsidP="009F65FC">
      <w:pPr>
        <w:pStyle w:val="CH1"/>
        <w:rPr>
          <w:rFonts w:eastAsia="MS Mincho"/>
          <w:lang w:val="fr-FR"/>
        </w:rPr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  <w:t>Étapes de mise en œuvre de la stratégie d</w:t>
      </w:r>
      <w:r w:rsidR="000051E6">
        <w:rPr>
          <w:lang w:val="fr-FR"/>
        </w:rPr>
        <w:t>’</w:t>
      </w:r>
      <w:r>
        <w:rPr>
          <w:lang w:val="fr-FR"/>
        </w:rPr>
        <w:t>association des parties prenantes</w:t>
      </w:r>
    </w:p>
    <w:p w14:paraId="7C842463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La première étape de la mise en œuvre de la stratégie d</w:t>
      </w:r>
      <w:r w:rsidR="000051E6">
        <w:rPr>
          <w:lang w:val="fr-FR"/>
        </w:rPr>
        <w:t>‘</w:t>
      </w:r>
      <w:r>
        <w:rPr>
          <w:lang w:val="fr-FR"/>
        </w:rPr>
        <w:t>association des parties prenantes</w:t>
      </w:r>
      <w:r w:rsidR="00F00DAE">
        <w:rPr>
          <w:lang w:val="fr-FR"/>
        </w:rPr>
        <w:t xml:space="preserve"> –</w:t>
      </w:r>
      <w:r>
        <w:rPr>
          <w:lang w:val="fr-FR"/>
        </w:rPr>
        <w:t xml:space="preserve"> </w:t>
      </w:r>
      <w:r w:rsidR="00F00DAE">
        <w:rPr>
          <w:lang w:val="fr-FR"/>
        </w:rPr>
        <w:t>qui est terminée –</w:t>
      </w:r>
      <w:r>
        <w:rPr>
          <w:lang w:val="fr-FR"/>
        </w:rPr>
        <w:t xml:space="preserve"> </w:t>
      </w:r>
      <w:r w:rsidR="00F00DAE">
        <w:rPr>
          <w:lang w:val="fr-FR"/>
        </w:rPr>
        <w:t xml:space="preserve">consistait à identifier et catégoriser </w:t>
      </w:r>
      <w:r>
        <w:rPr>
          <w:lang w:val="fr-FR"/>
        </w:rPr>
        <w:t xml:space="preserve">toutes les parties prenantes existantes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afin de mieux </w:t>
      </w:r>
      <w:r w:rsidR="00F00DAE">
        <w:rPr>
          <w:lang w:val="fr-FR"/>
        </w:rPr>
        <w:t xml:space="preserve">cerner </w:t>
      </w:r>
      <w:r>
        <w:rPr>
          <w:lang w:val="fr-FR"/>
        </w:rPr>
        <w:t xml:space="preserve">leurs </w:t>
      </w:r>
      <w:commentRangeStart w:id="47"/>
      <w:r w:rsidR="00F00DAE">
        <w:rPr>
          <w:lang w:val="fr-FR"/>
        </w:rPr>
        <w:t>compétences spécialisées</w:t>
      </w:r>
      <w:commentRangeEnd w:id="47"/>
      <w:r w:rsidR="00076DA0">
        <w:rPr>
          <w:rStyle w:val="CommentReference"/>
          <w:lang w:val="fr-FR"/>
        </w:rPr>
        <w:commentReference w:id="47"/>
      </w:r>
      <w:r>
        <w:rPr>
          <w:lang w:val="fr-FR"/>
        </w:rPr>
        <w:t xml:space="preserve">, </w:t>
      </w:r>
      <w:r w:rsidR="00F00DAE">
        <w:rPr>
          <w:lang w:val="fr-FR"/>
        </w:rPr>
        <w:t xml:space="preserve">leurs </w:t>
      </w:r>
      <w:r>
        <w:rPr>
          <w:lang w:val="fr-FR"/>
        </w:rPr>
        <w:t xml:space="preserve">priorités et </w:t>
      </w:r>
      <w:r w:rsidR="00F00DAE">
        <w:rPr>
          <w:lang w:val="fr-FR"/>
        </w:rPr>
        <w:t xml:space="preserve">leurs </w:t>
      </w:r>
      <w:r>
        <w:rPr>
          <w:lang w:val="fr-FR"/>
        </w:rPr>
        <w:t xml:space="preserve">besoins et </w:t>
      </w:r>
      <w:r w:rsidR="00076DA0">
        <w:rPr>
          <w:lang w:val="fr-FR"/>
        </w:rPr>
        <w:t xml:space="preserve">de déterminer </w:t>
      </w:r>
      <w:r>
        <w:rPr>
          <w:lang w:val="fr-FR"/>
        </w:rPr>
        <w:t>toute carence</w:t>
      </w:r>
      <w:r w:rsidR="00076DA0">
        <w:rPr>
          <w:lang w:val="fr-FR"/>
        </w:rPr>
        <w:t xml:space="preserve"> </w:t>
      </w:r>
      <w:commentRangeStart w:id="48"/>
      <w:r w:rsidR="00076DA0">
        <w:rPr>
          <w:lang w:val="fr-FR"/>
        </w:rPr>
        <w:t>majeure</w:t>
      </w:r>
      <w:commentRangeEnd w:id="48"/>
      <w:r w:rsidR="00076DA0">
        <w:rPr>
          <w:rStyle w:val="CommentReference"/>
          <w:lang w:val="fr-FR"/>
        </w:rPr>
        <w:commentReference w:id="48"/>
      </w:r>
      <w:r>
        <w:rPr>
          <w:lang w:val="fr-FR"/>
        </w:rPr>
        <w:t xml:space="preserve"> dans le registre des parties prenantes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. Les résultats de cet </w:t>
      </w:r>
      <w:commentRangeStart w:id="49"/>
      <w:r>
        <w:rPr>
          <w:lang w:val="fr-FR"/>
        </w:rPr>
        <w:t>état des</w:t>
      </w:r>
      <w:r w:rsidR="00CD6A71">
        <w:rPr>
          <w:lang w:val="fr-FR"/>
        </w:rPr>
        <w:t> </w:t>
      </w:r>
      <w:r>
        <w:rPr>
          <w:lang w:val="fr-FR"/>
        </w:rPr>
        <w:t xml:space="preserve">lieux </w:t>
      </w:r>
      <w:commentRangeEnd w:id="49"/>
      <w:r w:rsidR="00076DA0">
        <w:rPr>
          <w:rStyle w:val="CommentReference"/>
          <w:lang w:val="fr-FR"/>
        </w:rPr>
        <w:commentReference w:id="49"/>
      </w:r>
      <w:r>
        <w:rPr>
          <w:lang w:val="fr-FR"/>
        </w:rPr>
        <w:t>figurent dans le document IPBES/5/INF/16.</w:t>
      </w:r>
    </w:p>
    <w:p w14:paraId="7474D842" w14:textId="77777777" w:rsidR="00A07D4D" w:rsidRPr="000051E6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La deuxième phase de mise en œuvre</w:t>
      </w:r>
      <w:r w:rsidR="00076DA0">
        <w:rPr>
          <w:lang w:val="fr-FR"/>
        </w:rPr>
        <w:t>, qui vis</w:t>
      </w:r>
      <w:r w:rsidR="00CC463B">
        <w:rPr>
          <w:lang w:val="fr-FR"/>
        </w:rPr>
        <w:t>ait</w:t>
      </w:r>
      <w:r w:rsidR="00076DA0">
        <w:rPr>
          <w:lang w:val="fr-FR"/>
        </w:rPr>
        <w:t xml:space="preserve"> à orienter l</w:t>
      </w:r>
      <w:r w:rsidR="000051E6">
        <w:rPr>
          <w:lang w:val="fr-FR"/>
        </w:rPr>
        <w:t>’</w:t>
      </w:r>
      <w:r w:rsidR="00076DA0">
        <w:rPr>
          <w:lang w:val="fr-FR"/>
        </w:rPr>
        <w:t>action que le secrétariat mènera</w:t>
      </w:r>
      <w:r w:rsidR="00CC463B">
        <w:rPr>
          <w:lang w:val="fr-FR"/>
        </w:rPr>
        <w:t>it</w:t>
      </w:r>
      <w:r w:rsidR="00076DA0">
        <w:rPr>
          <w:lang w:val="fr-FR"/>
        </w:rPr>
        <w:t xml:space="preserve"> en</w:t>
      </w:r>
      <w:r w:rsidR="00CD6A71">
        <w:rPr>
          <w:lang w:val="fr-FR"/>
        </w:rPr>
        <w:t> </w:t>
      </w:r>
      <w:r w:rsidR="00076DA0">
        <w:rPr>
          <w:lang w:val="fr-FR"/>
        </w:rPr>
        <w:t>2017 dans les domaines de la communication et de l</w:t>
      </w:r>
      <w:r w:rsidR="000051E6">
        <w:rPr>
          <w:lang w:val="fr-FR"/>
        </w:rPr>
        <w:t>’</w:t>
      </w:r>
      <w:r w:rsidR="00076DA0">
        <w:rPr>
          <w:lang w:val="fr-FR"/>
        </w:rPr>
        <w:t>information, compren</w:t>
      </w:r>
      <w:r w:rsidR="00CC463B">
        <w:rPr>
          <w:lang w:val="fr-FR"/>
        </w:rPr>
        <w:t>ait</w:t>
      </w:r>
      <w:r w:rsidR="00076DA0">
        <w:rPr>
          <w:lang w:val="fr-FR"/>
        </w:rPr>
        <w:t xml:space="preserve"> plusieurs activités</w:t>
      </w:r>
      <w:r w:rsidR="00CC463B">
        <w:rPr>
          <w:lang w:val="fr-FR"/>
        </w:rPr>
        <w:t> </w:t>
      </w:r>
      <w:r w:rsidR="00076DA0">
        <w:rPr>
          <w:lang w:val="fr-FR"/>
        </w:rPr>
        <w:t>:</w:t>
      </w:r>
      <w:r w:rsidR="00CC463B">
        <w:rPr>
          <w:lang w:val="fr-FR"/>
        </w:rPr>
        <w:t xml:space="preserve"> </w:t>
      </w:r>
      <w:r>
        <w:rPr>
          <w:lang w:val="fr-FR"/>
        </w:rPr>
        <w:t xml:space="preserve">ventilation et analyse approfondie des réponses reçues </w:t>
      </w:r>
      <w:r w:rsidR="00076DA0">
        <w:rPr>
          <w:lang w:val="fr-FR"/>
        </w:rPr>
        <w:t>à</w:t>
      </w:r>
      <w:r>
        <w:rPr>
          <w:lang w:val="fr-FR"/>
        </w:rPr>
        <w:t xml:space="preserve"> l</w:t>
      </w:r>
      <w:r w:rsidR="000051E6">
        <w:rPr>
          <w:lang w:val="fr-FR"/>
        </w:rPr>
        <w:t>‘</w:t>
      </w:r>
      <w:r>
        <w:rPr>
          <w:lang w:val="fr-FR"/>
        </w:rPr>
        <w:t>enquête sur l</w:t>
      </w:r>
      <w:r w:rsidR="000051E6">
        <w:rPr>
          <w:lang w:val="fr-FR"/>
        </w:rPr>
        <w:t>‘</w:t>
      </w:r>
      <w:r>
        <w:rPr>
          <w:lang w:val="fr-FR"/>
        </w:rPr>
        <w:t>analyse des besoins des parties prenantes</w:t>
      </w:r>
      <w:r w:rsidR="00076DA0">
        <w:rPr>
          <w:lang w:val="fr-FR"/>
        </w:rPr>
        <w:t xml:space="preserve">; lancement, par le secrétariat, des premières activités visant à donner suite aux </w:t>
      </w:r>
      <w:r>
        <w:rPr>
          <w:lang w:val="fr-FR"/>
        </w:rPr>
        <w:t xml:space="preserve">principaux éléments qui sont ressortis des réponses reçues, en particulier </w:t>
      </w:r>
      <w:r w:rsidR="00076DA0">
        <w:rPr>
          <w:lang w:val="fr-FR"/>
        </w:rPr>
        <w:t xml:space="preserve">lorsque les parties prenantes ont déclaré souhaiter contribuer </w:t>
      </w:r>
      <w:r>
        <w:rPr>
          <w:lang w:val="fr-FR"/>
        </w:rPr>
        <w:t>plus directe</w:t>
      </w:r>
      <w:r w:rsidR="00076DA0">
        <w:rPr>
          <w:lang w:val="fr-FR"/>
        </w:rPr>
        <w:t>ment</w:t>
      </w:r>
      <w:r>
        <w:rPr>
          <w:lang w:val="fr-FR"/>
        </w:rPr>
        <w:t xml:space="preserve"> aux travaux de </w:t>
      </w:r>
      <w:r w:rsidR="00640022">
        <w:rPr>
          <w:lang w:val="fr-FR"/>
        </w:rPr>
        <w:t>la Plateforme</w:t>
      </w:r>
      <w:r w:rsidR="00076DA0">
        <w:rPr>
          <w:lang w:val="fr-FR"/>
        </w:rPr>
        <w:t>;</w:t>
      </w:r>
      <w:r>
        <w:rPr>
          <w:lang w:val="fr-FR"/>
        </w:rPr>
        <w:t xml:space="preserve"> </w:t>
      </w:r>
      <w:r w:rsidR="000510E9">
        <w:rPr>
          <w:lang w:val="fr-FR"/>
        </w:rPr>
        <w:t xml:space="preserve">promotion </w:t>
      </w:r>
      <w:r>
        <w:rPr>
          <w:lang w:val="fr-FR"/>
        </w:rPr>
        <w:t xml:space="preserve">des catégories de parties prenantes </w:t>
      </w:r>
      <w:commentRangeStart w:id="50"/>
      <w:r>
        <w:rPr>
          <w:lang w:val="fr-FR"/>
        </w:rPr>
        <w:t xml:space="preserve">non représentées </w:t>
      </w:r>
      <w:commentRangeEnd w:id="50"/>
      <w:r w:rsidR="000510E9">
        <w:rPr>
          <w:rStyle w:val="CommentReference"/>
          <w:lang w:val="fr-FR"/>
        </w:rPr>
        <w:commentReference w:id="50"/>
      </w:r>
      <w:r>
        <w:rPr>
          <w:lang w:val="fr-FR"/>
        </w:rPr>
        <w:t xml:space="preserve">ou </w:t>
      </w:r>
      <w:r w:rsidR="000510E9">
        <w:rPr>
          <w:lang w:val="fr-FR"/>
        </w:rPr>
        <w:t xml:space="preserve">nettement </w:t>
      </w:r>
      <w:r>
        <w:rPr>
          <w:lang w:val="fr-FR"/>
        </w:rPr>
        <w:t xml:space="preserve">sous-représentées au niveau mondial et dans chacune des cinq régions des Nations Unies. </w:t>
      </w:r>
      <w:r w:rsidR="000510E9">
        <w:rPr>
          <w:lang w:val="fr-FR"/>
        </w:rPr>
        <w:t>Les résultats de c</w:t>
      </w:r>
      <w:r>
        <w:rPr>
          <w:lang w:val="fr-FR"/>
        </w:rPr>
        <w:t>et</w:t>
      </w:r>
      <w:r w:rsidR="000510E9">
        <w:rPr>
          <w:lang w:val="fr-FR"/>
        </w:rPr>
        <w:t xml:space="preserve"> exercice</w:t>
      </w:r>
      <w:r>
        <w:rPr>
          <w:lang w:val="fr-FR"/>
        </w:rPr>
        <w:t xml:space="preserve"> figure</w:t>
      </w:r>
      <w:r w:rsidR="000510E9">
        <w:rPr>
          <w:lang w:val="fr-FR"/>
        </w:rPr>
        <w:t>nt</w:t>
      </w:r>
      <w:r>
        <w:rPr>
          <w:lang w:val="fr-FR"/>
        </w:rPr>
        <w:t xml:space="preserve"> dans le document IPBES/5/INF/16.</w:t>
      </w:r>
    </w:p>
    <w:p w14:paraId="41994434" w14:textId="77777777" w:rsidR="00A07D4D" w:rsidRPr="000051E6" w:rsidRDefault="000510E9" w:rsidP="009F65FC">
      <w:pPr>
        <w:pStyle w:val="Normalnumber"/>
        <w:ind w:left="1247" w:firstLine="0"/>
        <w:rPr>
          <w:lang w:val="fr-FR"/>
        </w:rPr>
      </w:pPr>
      <w:r>
        <w:rPr>
          <w:rStyle w:val="CommentReference"/>
          <w:lang w:val="fr-FR"/>
        </w:rPr>
        <w:commentReference w:id="51"/>
      </w:r>
      <w:r>
        <w:rPr>
          <w:lang w:val="fr-FR"/>
        </w:rPr>
        <w:t>L</w:t>
      </w:r>
      <w:r w:rsidR="00D4235F">
        <w:rPr>
          <w:lang w:val="fr-FR"/>
        </w:rPr>
        <w:t>a troisième phase de mise en œuvre</w:t>
      </w:r>
      <w:r>
        <w:rPr>
          <w:lang w:val="fr-FR"/>
        </w:rPr>
        <w:t>, qui sera lancée en</w:t>
      </w:r>
      <w:r w:rsidR="00621BFA">
        <w:rPr>
          <w:lang w:val="fr-FR"/>
        </w:rPr>
        <w:t> </w:t>
      </w:r>
      <w:r>
        <w:rPr>
          <w:lang w:val="fr-FR"/>
        </w:rPr>
        <w:t>2017,</w:t>
      </w:r>
      <w:r w:rsidR="00D4235F">
        <w:rPr>
          <w:lang w:val="fr-FR"/>
        </w:rPr>
        <w:t xml:space="preserve"> comprendra des campagnes </w:t>
      </w:r>
      <w:r>
        <w:rPr>
          <w:lang w:val="fr-FR"/>
        </w:rPr>
        <w:t>d</w:t>
      </w:r>
      <w:r w:rsidR="000051E6">
        <w:rPr>
          <w:lang w:val="fr-FR"/>
        </w:rPr>
        <w:t>’</w:t>
      </w:r>
      <w:r>
        <w:rPr>
          <w:lang w:val="fr-FR"/>
        </w:rPr>
        <w:t>information</w:t>
      </w:r>
      <w:r w:rsidR="00D4235F">
        <w:rPr>
          <w:lang w:val="fr-FR"/>
        </w:rPr>
        <w:t xml:space="preserve"> </w:t>
      </w:r>
      <w:commentRangeStart w:id="52"/>
      <w:r w:rsidR="00D4235F">
        <w:rPr>
          <w:lang w:val="fr-FR"/>
        </w:rPr>
        <w:t xml:space="preserve">ciblant </w:t>
      </w:r>
      <w:commentRangeEnd w:id="52"/>
      <w:r>
        <w:rPr>
          <w:rStyle w:val="CommentReference"/>
          <w:lang w:val="fr-FR"/>
        </w:rPr>
        <w:commentReference w:id="52"/>
      </w:r>
      <w:r w:rsidR="00D4235F">
        <w:rPr>
          <w:lang w:val="fr-FR"/>
        </w:rPr>
        <w:t>les catégories prioritaires de parties prenantes</w:t>
      </w:r>
      <w:r>
        <w:rPr>
          <w:lang w:val="fr-FR"/>
        </w:rPr>
        <w:t>, à savoir celles qui ne sont pas</w:t>
      </w:r>
      <w:r w:rsidR="00D4235F">
        <w:rPr>
          <w:lang w:val="fr-FR"/>
        </w:rPr>
        <w:t xml:space="preserve"> représentées ou </w:t>
      </w:r>
      <w:r>
        <w:rPr>
          <w:lang w:val="fr-FR"/>
        </w:rPr>
        <w:t xml:space="preserve">qui sont </w:t>
      </w:r>
      <w:r w:rsidR="00D4235F">
        <w:rPr>
          <w:lang w:val="fr-FR"/>
        </w:rPr>
        <w:t>sous</w:t>
      </w:r>
      <w:r>
        <w:rPr>
          <w:lang w:val="fr-FR"/>
        </w:rPr>
        <w:noBreakHyphen/>
      </w:r>
      <w:r w:rsidR="00D4235F">
        <w:rPr>
          <w:lang w:val="fr-FR"/>
        </w:rPr>
        <w:t>représentées</w:t>
      </w:r>
      <w:r>
        <w:rPr>
          <w:lang w:val="fr-FR"/>
        </w:rPr>
        <w:t>,</w:t>
      </w:r>
      <w:r w:rsidR="00D4235F">
        <w:rPr>
          <w:lang w:val="fr-FR"/>
        </w:rPr>
        <w:t xml:space="preserve"> et associant </w:t>
      </w:r>
      <w:r>
        <w:rPr>
          <w:lang w:val="fr-FR"/>
        </w:rPr>
        <w:t xml:space="preserve">des moyens de </w:t>
      </w:r>
      <w:r w:rsidR="00D4235F">
        <w:rPr>
          <w:lang w:val="fr-FR"/>
        </w:rPr>
        <w:t>communication électronique</w:t>
      </w:r>
      <w:r>
        <w:rPr>
          <w:lang w:val="fr-FR"/>
        </w:rPr>
        <w:t>s</w:t>
      </w:r>
      <w:r w:rsidR="00D4235F">
        <w:rPr>
          <w:lang w:val="fr-FR"/>
        </w:rPr>
        <w:t xml:space="preserve"> et traditionnel</w:t>
      </w:r>
      <w:r>
        <w:rPr>
          <w:lang w:val="fr-FR"/>
        </w:rPr>
        <w:t>s</w:t>
      </w:r>
      <w:r w:rsidR="00D4235F">
        <w:rPr>
          <w:lang w:val="fr-FR"/>
        </w:rPr>
        <w:t xml:space="preserve"> à des éléments inspirés des tournées</w:t>
      </w:r>
      <w:r w:rsidR="0044444A">
        <w:rPr>
          <w:lang w:val="fr-FR"/>
        </w:rPr>
        <w:t xml:space="preserve"> de présentation</w:t>
      </w:r>
      <w:r w:rsidR="00D4235F">
        <w:rPr>
          <w:lang w:val="fr-FR"/>
        </w:rPr>
        <w:t xml:space="preserve"> pour les membres du Groupe d</w:t>
      </w:r>
      <w:r w:rsidR="000051E6">
        <w:rPr>
          <w:lang w:val="fr-FR"/>
        </w:rPr>
        <w:t>‘</w:t>
      </w:r>
      <w:r w:rsidR="00D4235F">
        <w:rPr>
          <w:lang w:val="fr-FR"/>
        </w:rPr>
        <w:t>experts multidisciplinair</w:t>
      </w:r>
      <w:r w:rsidR="00CC463B">
        <w:rPr>
          <w:lang w:val="fr-FR"/>
        </w:rPr>
        <w:t>e</w:t>
      </w:r>
      <w:r w:rsidR="0044444A">
        <w:rPr>
          <w:lang w:val="fr-FR"/>
        </w:rPr>
        <w:t xml:space="preserve"> et</w:t>
      </w:r>
      <w:r w:rsidR="00D4235F">
        <w:rPr>
          <w:lang w:val="fr-FR"/>
        </w:rPr>
        <w:t xml:space="preserve"> du Bureau et les experts désignés. Les groupes d</w:t>
      </w:r>
      <w:r w:rsidR="000051E6">
        <w:rPr>
          <w:lang w:val="fr-FR"/>
        </w:rPr>
        <w:t>‘</w:t>
      </w:r>
      <w:r w:rsidR="00D4235F">
        <w:rPr>
          <w:lang w:val="fr-FR"/>
        </w:rPr>
        <w:t xml:space="preserve">appui technique, les partenaires bénévoles de </w:t>
      </w:r>
      <w:r w:rsidR="00640022">
        <w:rPr>
          <w:lang w:val="fr-FR"/>
        </w:rPr>
        <w:t>la Plateforme</w:t>
      </w:r>
      <w:r w:rsidR="00D4235F">
        <w:rPr>
          <w:lang w:val="fr-FR"/>
        </w:rPr>
        <w:t xml:space="preserve"> pour la communication régionale et les réseaux de parties prenantes de </w:t>
      </w:r>
      <w:r w:rsidR="00640022">
        <w:rPr>
          <w:lang w:val="fr-FR"/>
        </w:rPr>
        <w:t>la Plateforme</w:t>
      </w:r>
      <w:r w:rsidR="00D4235F">
        <w:rPr>
          <w:lang w:val="fr-FR"/>
        </w:rPr>
        <w:t xml:space="preserve"> dans chacune des cinq régions </w:t>
      </w:r>
      <w:r w:rsidR="00CC463B">
        <w:rPr>
          <w:lang w:val="fr-FR"/>
        </w:rPr>
        <w:t xml:space="preserve">concourront au bon déroulement </w:t>
      </w:r>
      <w:r w:rsidR="00D4235F">
        <w:rPr>
          <w:lang w:val="fr-FR"/>
        </w:rPr>
        <w:t xml:space="preserve">de cette phase, dans la limite des ressources disponibles. </w:t>
      </w:r>
      <w:r w:rsidR="000D3B23">
        <w:rPr>
          <w:lang w:val="fr-FR"/>
        </w:rPr>
        <w:t>Durant la troisième phase, il sera également procédé à l</w:t>
      </w:r>
      <w:r w:rsidR="000051E6">
        <w:rPr>
          <w:lang w:val="fr-FR"/>
        </w:rPr>
        <w:t>‘</w:t>
      </w:r>
      <w:r w:rsidR="000D3B23">
        <w:rPr>
          <w:lang w:val="fr-FR"/>
        </w:rPr>
        <w:t>élaboration, à</w:t>
      </w:r>
      <w:r w:rsidR="00CD6A71">
        <w:rPr>
          <w:lang w:val="fr-FR"/>
        </w:rPr>
        <w:t> </w:t>
      </w:r>
      <w:r w:rsidR="000D3B23">
        <w:rPr>
          <w:lang w:val="fr-FR"/>
        </w:rPr>
        <w:t>la</w:t>
      </w:r>
      <w:r w:rsidR="00CD6A71">
        <w:rPr>
          <w:lang w:val="fr-FR"/>
        </w:rPr>
        <w:t> </w:t>
      </w:r>
      <w:r w:rsidR="000D3B23">
        <w:rPr>
          <w:lang w:val="fr-FR"/>
        </w:rPr>
        <w:t>diffusion et à la promotion de guides pratiques et des traductions, ainsi que d</w:t>
      </w:r>
      <w:r w:rsidR="000051E6">
        <w:rPr>
          <w:lang w:val="fr-FR"/>
        </w:rPr>
        <w:t>‘</w:t>
      </w:r>
      <w:r w:rsidR="000D3B23">
        <w:rPr>
          <w:lang w:val="fr-FR"/>
        </w:rPr>
        <w:t>autres documents d</w:t>
      </w:r>
      <w:r w:rsidR="000051E6">
        <w:rPr>
          <w:lang w:val="fr-FR"/>
        </w:rPr>
        <w:t>’</w:t>
      </w:r>
      <w:r w:rsidR="000D3B23">
        <w:rPr>
          <w:lang w:val="fr-FR"/>
        </w:rPr>
        <w:t xml:space="preserve">information ciblés. </w:t>
      </w:r>
      <w:r w:rsidR="00D4235F">
        <w:rPr>
          <w:lang w:val="fr-FR"/>
        </w:rPr>
        <w:t>Une enquête de suivi sera effectuée en octobre</w:t>
      </w:r>
      <w:r w:rsidR="00CD6A71">
        <w:rPr>
          <w:lang w:val="fr-FR"/>
        </w:rPr>
        <w:t> </w:t>
      </w:r>
      <w:r w:rsidR="00D4235F">
        <w:rPr>
          <w:lang w:val="fr-FR"/>
        </w:rPr>
        <w:t>2017.</w:t>
      </w:r>
    </w:p>
    <w:p w14:paraId="2FDA4BD8" w14:textId="77777777" w:rsidR="00A07D4D" w:rsidRPr="000C5CA1" w:rsidRDefault="009F65FC" w:rsidP="009F65FC">
      <w:pPr>
        <w:pStyle w:val="CH1"/>
        <w:rPr>
          <w:rFonts w:eastAsia="MS Mincho"/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  <w:t>Campagnes pluriannuelles de communication et d</w:t>
      </w:r>
      <w:r w:rsidR="000051E6">
        <w:rPr>
          <w:lang w:val="fr-FR"/>
        </w:rPr>
        <w:t>‘</w:t>
      </w:r>
      <w:r>
        <w:rPr>
          <w:lang w:val="fr-FR"/>
        </w:rPr>
        <w:t>association des</w:t>
      </w:r>
      <w:r w:rsidR="00CD6A71">
        <w:rPr>
          <w:lang w:val="fr-FR"/>
        </w:rPr>
        <w:t> </w:t>
      </w:r>
      <w:r>
        <w:rPr>
          <w:lang w:val="fr-FR"/>
        </w:rPr>
        <w:t>parties prenantes</w:t>
      </w:r>
    </w:p>
    <w:p w14:paraId="649C65D9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 xml:space="preserve">Le Bureau a approuvé une proposition </w:t>
      </w:r>
      <w:r w:rsidR="005663F6">
        <w:rPr>
          <w:lang w:val="fr-FR"/>
        </w:rPr>
        <w:t xml:space="preserve">tendant </w:t>
      </w:r>
      <w:r>
        <w:rPr>
          <w:lang w:val="fr-FR"/>
        </w:rPr>
        <w:t xml:space="preserve">à ce que le secrétariat </w:t>
      </w:r>
      <w:r w:rsidR="005663F6">
        <w:rPr>
          <w:lang w:val="fr-FR"/>
        </w:rPr>
        <w:t>se penche sur la question de savoir s</w:t>
      </w:r>
      <w:r w:rsidR="000051E6">
        <w:rPr>
          <w:lang w:val="fr-FR"/>
        </w:rPr>
        <w:t>’</w:t>
      </w:r>
      <w:r w:rsidR="005663F6">
        <w:rPr>
          <w:lang w:val="fr-FR"/>
        </w:rPr>
        <w:t xml:space="preserve">il serait possible de lancer </w:t>
      </w:r>
      <w:r>
        <w:rPr>
          <w:lang w:val="fr-FR"/>
        </w:rPr>
        <w:t xml:space="preserve">une ou plusieurs campagnes pluriannuelles </w:t>
      </w:r>
      <w:r w:rsidR="005663F6">
        <w:rPr>
          <w:lang w:val="fr-FR"/>
        </w:rPr>
        <w:t xml:space="preserve">de </w:t>
      </w:r>
      <w:r>
        <w:rPr>
          <w:lang w:val="fr-FR"/>
        </w:rPr>
        <w:t xml:space="preserve">communication à plus grande échelle </w:t>
      </w:r>
      <w:r w:rsidR="005663F6">
        <w:rPr>
          <w:lang w:val="fr-FR"/>
        </w:rPr>
        <w:t xml:space="preserve">permettant </w:t>
      </w:r>
      <w:r>
        <w:rPr>
          <w:lang w:val="fr-FR"/>
        </w:rPr>
        <w:t xml:space="preserve">de réunir les messages thématiques, méthodologiques et administratifs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en un tout plus cohérent. Ces campagnes seraient conçues </w:t>
      </w:r>
      <w:r w:rsidR="0047516F">
        <w:rPr>
          <w:lang w:val="fr-FR"/>
        </w:rPr>
        <w:t>de façon à démultiplier</w:t>
      </w:r>
      <w:r>
        <w:rPr>
          <w:lang w:val="fr-FR"/>
        </w:rPr>
        <w:t xml:space="preserve"> </w:t>
      </w:r>
      <w:commentRangeStart w:id="53"/>
      <w:r>
        <w:rPr>
          <w:lang w:val="fr-FR"/>
        </w:rPr>
        <w:t>les</w:t>
      </w:r>
      <w:r w:rsidR="00CD6A71">
        <w:rPr>
          <w:lang w:val="fr-FR"/>
        </w:rPr>
        <w:t> </w:t>
      </w:r>
      <w:r w:rsidR="0047516F">
        <w:rPr>
          <w:lang w:val="fr-FR"/>
        </w:rPr>
        <w:t xml:space="preserve">effets </w:t>
      </w:r>
      <w:r>
        <w:rPr>
          <w:lang w:val="fr-FR"/>
        </w:rPr>
        <w:t>de</w:t>
      </w:r>
      <w:r w:rsidR="0047516F">
        <w:rPr>
          <w:lang w:val="fr-FR"/>
        </w:rPr>
        <w:t>s</w:t>
      </w:r>
      <w:r>
        <w:rPr>
          <w:lang w:val="fr-FR"/>
        </w:rPr>
        <w:t xml:space="preserve"> messages et de</w:t>
      </w:r>
      <w:r w:rsidR="0047516F">
        <w:rPr>
          <w:lang w:val="fr-FR"/>
        </w:rPr>
        <w:t>s activités d</w:t>
      </w:r>
      <w:r w:rsidR="000051E6">
        <w:rPr>
          <w:lang w:val="fr-FR"/>
        </w:rPr>
        <w:t>’</w:t>
      </w:r>
      <w:r w:rsidR="0047516F">
        <w:rPr>
          <w:lang w:val="fr-FR"/>
        </w:rPr>
        <w:t>information</w:t>
      </w:r>
      <w:r>
        <w:rPr>
          <w:lang w:val="fr-FR"/>
        </w:rPr>
        <w:t xml:space="preserve"> pour toutes les évaluations de </w:t>
      </w:r>
      <w:commentRangeEnd w:id="53"/>
      <w:r w:rsidR="00640022">
        <w:rPr>
          <w:lang w:val="fr-FR"/>
        </w:rPr>
        <w:t>la Plateforme</w:t>
      </w:r>
      <w:r w:rsidR="00913794">
        <w:commentReference w:id="53"/>
      </w:r>
      <w:r>
        <w:rPr>
          <w:lang w:val="fr-FR"/>
        </w:rPr>
        <w:t xml:space="preserve"> et </w:t>
      </w:r>
      <w:r w:rsidR="0047516F">
        <w:rPr>
          <w:lang w:val="fr-FR"/>
        </w:rPr>
        <w:t>à</w:t>
      </w:r>
      <w:r w:rsidR="00CD6A71">
        <w:rPr>
          <w:lang w:val="fr-FR"/>
        </w:rPr>
        <w:t> </w:t>
      </w:r>
      <w:r w:rsidR="0047516F">
        <w:rPr>
          <w:lang w:val="fr-FR"/>
        </w:rPr>
        <w:t xml:space="preserve">relier </w:t>
      </w:r>
      <w:r>
        <w:rPr>
          <w:lang w:val="fr-FR"/>
        </w:rPr>
        <w:t xml:space="preserve">directement les avancées </w:t>
      </w:r>
      <w:r w:rsidR="0047516F">
        <w:rPr>
          <w:lang w:val="fr-FR"/>
        </w:rPr>
        <w:t xml:space="preserve">en ce qui concerne les </w:t>
      </w:r>
      <w:r>
        <w:rPr>
          <w:lang w:val="fr-FR"/>
        </w:rPr>
        <w:t xml:space="preserve">produits </w:t>
      </w:r>
      <w:r w:rsidR="0047516F">
        <w:rPr>
          <w:lang w:val="fr-FR"/>
        </w:rPr>
        <w:t>inscrits a</w:t>
      </w:r>
      <w:r>
        <w:rPr>
          <w:lang w:val="fr-FR"/>
        </w:rPr>
        <w:t xml:space="preserve">u programme de travail de </w:t>
      </w:r>
      <w:r w:rsidR="00640022">
        <w:rPr>
          <w:lang w:val="fr-FR"/>
        </w:rPr>
        <w:t>la</w:t>
      </w:r>
      <w:r w:rsidR="00CD6A71">
        <w:rPr>
          <w:lang w:val="fr-FR"/>
        </w:rPr>
        <w:t> </w:t>
      </w:r>
      <w:r w:rsidR="00640022">
        <w:rPr>
          <w:lang w:val="fr-FR"/>
        </w:rPr>
        <w:t>Plateforme</w:t>
      </w:r>
      <w:r>
        <w:rPr>
          <w:lang w:val="fr-FR"/>
        </w:rPr>
        <w:t xml:space="preserve"> </w:t>
      </w:r>
      <w:r w:rsidR="0047516F">
        <w:rPr>
          <w:lang w:val="fr-FR"/>
        </w:rPr>
        <w:t>aux</w:t>
      </w:r>
      <w:r>
        <w:rPr>
          <w:lang w:val="fr-FR"/>
        </w:rPr>
        <w:t xml:space="preserve"> processus, buts, priorités et </w:t>
      </w:r>
      <w:r w:rsidR="0047516F">
        <w:rPr>
          <w:lang w:val="fr-FR"/>
        </w:rPr>
        <w:t>manifestations</w:t>
      </w:r>
      <w:r>
        <w:rPr>
          <w:lang w:val="fr-FR"/>
        </w:rPr>
        <w:t xml:space="preserve"> </w:t>
      </w:r>
      <w:r w:rsidR="0047516F">
        <w:rPr>
          <w:lang w:val="fr-FR"/>
        </w:rPr>
        <w:t>à l</w:t>
      </w:r>
      <w:r w:rsidR="000051E6">
        <w:rPr>
          <w:lang w:val="fr-FR"/>
        </w:rPr>
        <w:t>’</w:t>
      </w:r>
      <w:r w:rsidR="0047516F">
        <w:rPr>
          <w:lang w:val="fr-FR"/>
        </w:rPr>
        <w:t>échelle mondiale</w:t>
      </w:r>
      <w:r>
        <w:rPr>
          <w:lang w:val="fr-FR"/>
        </w:rPr>
        <w:t xml:space="preserve">. </w:t>
      </w:r>
    </w:p>
    <w:p w14:paraId="5EFC2181" w14:textId="77777777" w:rsidR="00A07D4D" w:rsidRPr="00A07D4D" w:rsidRDefault="009F65FC" w:rsidP="009F65FC">
      <w:pPr>
        <w:pStyle w:val="CH1"/>
        <w:rPr>
          <w:rFonts w:eastAsia="MS Mincho"/>
        </w:rPr>
      </w:pPr>
      <w:r>
        <w:rPr>
          <w:lang w:val="fr-FR"/>
        </w:rPr>
        <w:tab/>
        <w:t>IV.</w:t>
      </w:r>
      <w:r>
        <w:rPr>
          <w:lang w:val="fr-FR"/>
        </w:rPr>
        <w:tab/>
        <w:t>Partenariats stratégiques</w:t>
      </w:r>
    </w:p>
    <w:p w14:paraId="099E2C61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Dans sa décision</w:t>
      </w:r>
      <w:r w:rsidR="00A71146">
        <w:rPr>
          <w:lang w:val="fr-FR"/>
        </w:rPr>
        <w:t> </w:t>
      </w:r>
      <w:r>
        <w:rPr>
          <w:lang w:val="fr-FR"/>
        </w:rPr>
        <w:t>IPBES-3/4, la Plénière a invité les secrétariats des accords multilatéraux sur l</w:t>
      </w:r>
      <w:r w:rsidR="000051E6">
        <w:rPr>
          <w:lang w:val="fr-FR"/>
        </w:rPr>
        <w:t>’</w:t>
      </w:r>
      <w:r>
        <w:rPr>
          <w:lang w:val="fr-FR"/>
        </w:rPr>
        <w:t>environnement relatifs à la biodiversité et aux services écosystémiques, selon qu</w:t>
      </w:r>
      <w:r w:rsidR="000051E6">
        <w:rPr>
          <w:lang w:val="fr-FR"/>
        </w:rPr>
        <w:t>’</w:t>
      </w:r>
      <w:r>
        <w:rPr>
          <w:lang w:val="fr-FR"/>
        </w:rPr>
        <w:t>il convient, à œuvrer avec le Bureau à l</w:t>
      </w:r>
      <w:r w:rsidR="000051E6">
        <w:rPr>
          <w:lang w:val="fr-FR"/>
        </w:rPr>
        <w:t>’</w:t>
      </w:r>
      <w:r>
        <w:rPr>
          <w:lang w:val="fr-FR"/>
        </w:rPr>
        <w:t>établissement de partenariats stratégiques conçus à l</w:t>
      </w:r>
      <w:r w:rsidR="000051E6">
        <w:rPr>
          <w:lang w:val="fr-FR"/>
        </w:rPr>
        <w:t>’</w:t>
      </w:r>
      <w:r>
        <w:rPr>
          <w:lang w:val="fr-FR"/>
        </w:rPr>
        <w:t>image de celui conclu avec le</w:t>
      </w:r>
      <w:r w:rsidR="00CD6A71">
        <w:rPr>
          <w:lang w:val="fr-FR"/>
        </w:rPr>
        <w:t> </w:t>
      </w:r>
      <w:r>
        <w:rPr>
          <w:lang w:val="fr-FR"/>
        </w:rPr>
        <w:t>secrétariat de la Convention sur la diversité biologique. Comme suite à cette décision, un projet de mémorandum de coopération entre les membres du Groupe de liaison sur les conventions concernant la</w:t>
      </w:r>
      <w:r w:rsidR="00CD6A71">
        <w:rPr>
          <w:lang w:val="fr-FR"/>
        </w:rPr>
        <w:t> </w:t>
      </w:r>
      <w:r>
        <w:rPr>
          <w:lang w:val="fr-FR"/>
        </w:rPr>
        <w:t xml:space="preserve">diversité biologique et le secrétariat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a été présenté à la Plénière à sa quatrième session pour qu</w:t>
      </w:r>
      <w:r w:rsidR="000051E6">
        <w:rPr>
          <w:lang w:val="fr-FR"/>
        </w:rPr>
        <w:t>‘</w:t>
      </w:r>
      <w:r>
        <w:rPr>
          <w:lang w:val="fr-FR"/>
        </w:rPr>
        <w:t>elle l</w:t>
      </w:r>
      <w:r w:rsidR="000051E6">
        <w:rPr>
          <w:lang w:val="fr-FR"/>
        </w:rPr>
        <w:t>‘</w:t>
      </w:r>
      <w:r>
        <w:rPr>
          <w:lang w:val="fr-FR"/>
        </w:rPr>
        <w:t>examine (IPBES/4/18, annex</w:t>
      </w:r>
      <w:r w:rsidR="0047516F">
        <w:rPr>
          <w:lang w:val="fr-FR"/>
        </w:rPr>
        <w:t>e</w:t>
      </w:r>
      <w:r>
        <w:rPr>
          <w:lang w:val="fr-FR"/>
        </w:rPr>
        <w:t xml:space="preserve"> I). Lors de son examen de la question pendant cette</w:t>
      </w:r>
      <w:r w:rsidR="00CD6A71">
        <w:rPr>
          <w:lang w:val="fr-FR"/>
        </w:rPr>
        <w:t> </w:t>
      </w:r>
      <w:r>
        <w:rPr>
          <w:lang w:val="fr-FR"/>
        </w:rPr>
        <w:t>session, la Plénière s</w:t>
      </w:r>
      <w:r w:rsidR="000051E6">
        <w:rPr>
          <w:lang w:val="fr-FR"/>
        </w:rPr>
        <w:t>‘</w:t>
      </w:r>
      <w:r>
        <w:rPr>
          <w:lang w:val="fr-FR"/>
        </w:rPr>
        <w:t>est rendue compte qu</w:t>
      </w:r>
      <w:r w:rsidR="000051E6">
        <w:rPr>
          <w:lang w:val="fr-FR"/>
        </w:rPr>
        <w:t>‘</w:t>
      </w:r>
      <w:r w:rsidR="0047516F">
        <w:rPr>
          <w:lang w:val="fr-FR"/>
        </w:rPr>
        <w:t>il faudrait conclure</w:t>
      </w:r>
      <w:r>
        <w:rPr>
          <w:lang w:val="fr-FR"/>
        </w:rPr>
        <w:t xml:space="preserve"> des accords individuels avec chacun des secrétariats des accords multilatéraux sur l</w:t>
      </w:r>
      <w:r w:rsidR="000051E6">
        <w:rPr>
          <w:lang w:val="fr-FR"/>
        </w:rPr>
        <w:t>‘</w:t>
      </w:r>
      <w:r>
        <w:rPr>
          <w:lang w:val="fr-FR"/>
        </w:rPr>
        <w:t>environnement relatifs à la biodiversité et aux services écosystémiques</w:t>
      </w:r>
      <w:r w:rsidR="0047516F">
        <w:rPr>
          <w:lang w:val="fr-FR"/>
        </w:rPr>
        <w:t xml:space="preserve"> plutôt qu</w:t>
      </w:r>
      <w:r w:rsidR="000051E6">
        <w:rPr>
          <w:lang w:val="fr-FR"/>
        </w:rPr>
        <w:t>‘</w:t>
      </w:r>
      <w:r w:rsidR="0047516F">
        <w:rPr>
          <w:lang w:val="fr-FR"/>
        </w:rPr>
        <w:t>un mémorandum unique de coopération avec les membres du Groupe de liaison</w:t>
      </w:r>
      <w:r>
        <w:rPr>
          <w:lang w:val="fr-FR"/>
        </w:rPr>
        <w:t xml:space="preserve">. À la suite des </w:t>
      </w:r>
      <w:r w:rsidR="0047516F">
        <w:rPr>
          <w:lang w:val="fr-FR"/>
        </w:rPr>
        <w:t xml:space="preserve">débats menés au cours </w:t>
      </w:r>
      <w:r>
        <w:rPr>
          <w:lang w:val="fr-FR"/>
        </w:rPr>
        <w:t xml:space="preserve">de la quatrième session, la Plénière a, </w:t>
      </w:r>
      <w:r w:rsidR="0047516F">
        <w:rPr>
          <w:lang w:val="fr-FR"/>
        </w:rPr>
        <w:t xml:space="preserve">par </w:t>
      </w:r>
      <w:r>
        <w:rPr>
          <w:lang w:val="fr-FR"/>
        </w:rPr>
        <w:t xml:space="preserve">sa décision IPBES-4/4, demandé au Secrétaire exécutif de finaliser ces mémorandums de coopération. </w:t>
      </w:r>
    </w:p>
    <w:p w14:paraId="141948E7" w14:textId="77777777" w:rsidR="00A07D4D" w:rsidRPr="000C5CA1" w:rsidRDefault="004E3FBB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>Des mémorandums de coopération seront conclus avant la cinquième session de la Plénière entre</w:t>
      </w:r>
      <w:r w:rsidR="00CD6A71">
        <w:rPr>
          <w:lang w:val="fr-FR"/>
        </w:rPr>
        <w:t> </w:t>
      </w:r>
      <w:r>
        <w:rPr>
          <w:lang w:val="fr-FR"/>
        </w:rPr>
        <w:t xml:space="preserve">le secrétariat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et les secrétariats de la </w:t>
      </w:r>
      <w:commentRangeStart w:id="54"/>
      <w:r>
        <w:rPr>
          <w:lang w:val="fr-FR"/>
        </w:rPr>
        <w:t>Convention sur la conservation des espèces migratrices appartenant à la faune sauvage</w:t>
      </w:r>
      <w:commentRangeEnd w:id="54"/>
      <w:r w:rsidR="005352B2">
        <w:rPr>
          <w:rStyle w:val="CommentReference"/>
          <w:lang w:val="fr-FR"/>
        </w:rPr>
        <w:commentReference w:id="54"/>
      </w:r>
      <w:r>
        <w:rPr>
          <w:lang w:val="fr-FR"/>
        </w:rPr>
        <w:t xml:space="preserve"> et de la </w:t>
      </w:r>
      <w:commentRangeStart w:id="55"/>
      <w:r>
        <w:rPr>
          <w:lang w:val="fr-FR"/>
        </w:rPr>
        <w:t>Convention sur le commerce international des espèces de faune et de flore sauvages menacées d</w:t>
      </w:r>
      <w:r w:rsidR="000051E6">
        <w:rPr>
          <w:lang w:val="fr-FR"/>
        </w:rPr>
        <w:t>‘</w:t>
      </w:r>
      <w:r>
        <w:rPr>
          <w:lang w:val="fr-FR"/>
        </w:rPr>
        <w:t>extinction</w:t>
      </w:r>
      <w:commentRangeEnd w:id="55"/>
      <w:r w:rsidR="005352B2">
        <w:rPr>
          <w:rStyle w:val="CommentReference"/>
          <w:lang w:val="fr-FR"/>
        </w:rPr>
        <w:commentReference w:id="55"/>
      </w:r>
      <w:r>
        <w:rPr>
          <w:lang w:val="fr-FR"/>
        </w:rPr>
        <w:t xml:space="preserve">. Le secrétariat de la </w:t>
      </w:r>
      <w:commentRangeStart w:id="56"/>
      <w:r>
        <w:rPr>
          <w:lang w:val="fr-FR"/>
        </w:rPr>
        <w:t>Convention relative aux zones humides d</w:t>
      </w:r>
      <w:r w:rsidR="000051E6">
        <w:rPr>
          <w:lang w:val="fr-FR"/>
        </w:rPr>
        <w:t>‘</w:t>
      </w:r>
      <w:r>
        <w:rPr>
          <w:lang w:val="fr-FR"/>
        </w:rPr>
        <w:t>importance internationale, particulièrement comme habitats des oiseaux d</w:t>
      </w:r>
      <w:r w:rsidR="000051E6">
        <w:rPr>
          <w:lang w:val="fr-FR"/>
        </w:rPr>
        <w:t>‘</w:t>
      </w:r>
      <w:r>
        <w:rPr>
          <w:lang w:val="fr-FR"/>
        </w:rPr>
        <w:t>eau (Convention de Ramsar)</w:t>
      </w:r>
      <w:commentRangeEnd w:id="56"/>
      <w:r w:rsidR="005352B2">
        <w:rPr>
          <w:rStyle w:val="CommentReference"/>
          <w:lang w:val="fr-FR"/>
        </w:rPr>
        <w:commentReference w:id="56"/>
      </w:r>
      <w:r>
        <w:rPr>
          <w:lang w:val="fr-FR"/>
        </w:rPr>
        <w:t xml:space="preserve"> a </w:t>
      </w:r>
      <w:r w:rsidR="00EE1F83">
        <w:rPr>
          <w:lang w:val="fr-FR"/>
        </w:rPr>
        <w:t xml:space="preserve">affirmé avoir à cœur de </w:t>
      </w:r>
      <w:r>
        <w:rPr>
          <w:lang w:val="fr-FR"/>
        </w:rPr>
        <w:t xml:space="preserve">collaborer avec le secrétariat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et </w:t>
      </w:r>
      <w:r w:rsidR="00EE1F83">
        <w:rPr>
          <w:lang w:val="fr-FR"/>
        </w:rPr>
        <w:t>un</w:t>
      </w:r>
      <w:r w:rsidR="00CD6A71">
        <w:rPr>
          <w:lang w:val="fr-FR"/>
        </w:rPr>
        <w:t> </w:t>
      </w:r>
      <w:r>
        <w:rPr>
          <w:lang w:val="fr-FR"/>
        </w:rPr>
        <w:t xml:space="preserve">mémorandum de coopération </w:t>
      </w:r>
      <w:r w:rsidR="00EE1F83">
        <w:rPr>
          <w:lang w:val="fr-FR"/>
        </w:rPr>
        <w:t>pourrait être conclu en ce sens</w:t>
      </w:r>
      <w:r>
        <w:rPr>
          <w:lang w:val="fr-FR"/>
        </w:rPr>
        <w:t xml:space="preserve"> en</w:t>
      </w:r>
      <w:r w:rsidR="00CD6A71">
        <w:rPr>
          <w:lang w:val="fr-FR"/>
        </w:rPr>
        <w:t> </w:t>
      </w:r>
      <w:r>
        <w:rPr>
          <w:lang w:val="fr-FR"/>
        </w:rPr>
        <w:t xml:space="preserve">2017. </w:t>
      </w:r>
    </w:p>
    <w:p w14:paraId="290E7A38" w14:textId="77777777" w:rsidR="00A07D4D" w:rsidRPr="000C5CA1" w:rsidRDefault="00152805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lastRenderedPageBreak/>
        <w:t>En ce qui concerne la collaboration avec d</w:t>
      </w:r>
      <w:r w:rsidR="000051E6">
        <w:rPr>
          <w:lang w:val="fr-FR"/>
        </w:rPr>
        <w:t>‘</w:t>
      </w:r>
      <w:r>
        <w:rPr>
          <w:lang w:val="fr-FR"/>
        </w:rPr>
        <w:t>autres partenaires stratégiques, un mémorandum d</w:t>
      </w:r>
      <w:r w:rsidR="000051E6">
        <w:rPr>
          <w:lang w:val="fr-FR"/>
        </w:rPr>
        <w:t>‘</w:t>
      </w:r>
      <w:r>
        <w:rPr>
          <w:lang w:val="fr-FR"/>
        </w:rPr>
        <w:t>accord a été conclu avec</w:t>
      </w:r>
      <w:r w:rsidR="005352B2">
        <w:rPr>
          <w:lang w:val="fr-FR"/>
        </w:rPr>
        <w:t xml:space="preserve"> l</w:t>
      </w:r>
      <w:r w:rsidR="000051E6">
        <w:rPr>
          <w:lang w:val="fr-FR"/>
        </w:rPr>
        <w:t>’</w:t>
      </w:r>
      <w:r w:rsidR="005352B2">
        <w:rPr>
          <w:lang w:val="fr-FR"/>
        </w:rPr>
        <w:t>initiative</w:t>
      </w:r>
      <w:r>
        <w:rPr>
          <w:lang w:val="fr-FR"/>
        </w:rPr>
        <w:t xml:space="preserve"> </w:t>
      </w:r>
      <w:commentRangeStart w:id="57"/>
      <w:r>
        <w:rPr>
          <w:lang w:val="fr-FR"/>
        </w:rPr>
        <w:t>Future Earth</w:t>
      </w:r>
      <w:commentRangeEnd w:id="57"/>
      <w:r w:rsidR="005352B2">
        <w:rPr>
          <w:rStyle w:val="CommentReference"/>
          <w:lang w:val="fr-FR"/>
        </w:rPr>
        <w:commentReference w:id="57"/>
      </w:r>
      <w:r>
        <w:rPr>
          <w:lang w:val="fr-FR"/>
        </w:rPr>
        <w:t xml:space="preserve">, </w:t>
      </w:r>
      <w:r w:rsidR="00EE1F83">
        <w:rPr>
          <w:lang w:val="fr-FR"/>
        </w:rPr>
        <w:t>organisme</w:t>
      </w:r>
      <w:r>
        <w:rPr>
          <w:lang w:val="fr-FR"/>
        </w:rPr>
        <w:t xml:space="preserve"> de recherche sur les changements environnementaux à l</w:t>
      </w:r>
      <w:r w:rsidR="000051E6">
        <w:rPr>
          <w:lang w:val="fr-FR"/>
        </w:rPr>
        <w:t>‘</w:t>
      </w:r>
      <w:r>
        <w:rPr>
          <w:lang w:val="fr-FR"/>
        </w:rPr>
        <w:t xml:space="preserve">échelle planétaire et la viabilité mondiale. </w:t>
      </w:r>
      <w:r w:rsidR="00EE1F83">
        <w:rPr>
          <w:lang w:val="fr-FR"/>
        </w:rPr>
        <w:t>Des accords types seront établis, sous la supervision du</w:t>
      </w:r>
      <w:r>
        <w:rPr>
          <w:lang w:val="fr-FR"/>
        </w:rPr>
        <w:t xml:space="preserve"> Bureau</w:t>
      </w:r>
      <w:r w:rsidR="00EE1F83">
        <w:rPr>
          <w:lang w:val="fr-FR"/>
        </w:rPr>
        <w:t>,</w:t>
      </w:r>
      <w:r w:rsidR="00EE1F83" w:rsidDel="00EE1F83">
        <w:rPr>
          <w:lang w:val="fr-FR"/>
        </w:rPr>
        <w:t xml:space="preserve"> </w:t>
      </w:r>
      <w:commentRangeStart w:id="58"/>
      <w:r>
        <w:rPr>
          <w:lang w:val="fr-FR"/>
        </w:rPr>
        <w:t xml:space="preserve">pour </w:t>
      </w:r>
      <w:commentRangeEnd w:id="58"/>
      <w:r w:rsidR="00EE1F83">
        <w:rPr>
          <w:rStyle w:val="CommentReference"/>
          <w:lang w:val="fr-FR"/>
        </w:rPr>
        <w:commentReference w:id="58"/>
      </w:r>
      <w:r>
        <w:rPr>
          <w:lang w:val="fr-FR"/>
        </w:rPr>
        <w:t xml:space="preserve">appuyer </w:t>
      </w:r>
      <w:r w:rsidR="00EE1F83">
        <w:rPr>
          <w:lang w:val="fr-FR"/>
        </w:rPr>
        <w:t xml:space="preserve">les travaux de certaines </w:t>
      </w:r>
      <w:r>
        <w:rPr>
          <w:lang w:val="fr-FR"/>
        </w:rPr>
        <w:t xml:space="preserve">équipes </w:t>
      </w:r>
      <w:r w:rsidR="00EE1F83">
        <w:rPr>
          <w:lang w:val="fr-FR"/>
        </w:rPr>
        <w:t xml:space="preserve">spéciales </w:t>
      </w:r>
      <w:r>
        <w:rPr>
          <w:lang w:val="fr-FR"/>
        </w:rPr>
        <w:t xml:space="preserve">de </w:t>
      </w:r>
      <w:r w:rsidR="00640022">
        <w:rPr>
          <w:lang w:val="fr-FR"/>
        </w:rPr>
        <w:t>la Plateforme</w:t>
      </w:r>
      <w:r>
        <w:rPr>
          <w:lang w:val="fr-FR"/>
        </w:rPr>
        <w:t>, avec</w:t>
      </w:r>
      <w:r w:rsidR="00CD6A71">
        <w:rPr>
          <w:lang w:val="fr-FR"/>
        </w:rPr>
        <w:t> </w:t>
      </w:r>
      <w:r>
        <w:rPr>
          <w:lang w:val="fr-FR"/>
        </w:rPr>
        <w:t xml:space="preserve">le </w:t>
      </w:r>
      <w:commentRangeStart w:id="59"/>
      <w:commentRangeStart w:id="60"/>
      <w:r>
        <w:rPr>
          <w:lang w:val="fr-FR"/>
        </w:rPr>
        <w:t>Portail d</w:t>
      </w:r>
      <w:r w:rsidR="000051E6">
        <w:rPr>
          <w:lang w:val="fr-FR"/>
        </w:rPr>
        <w:t>‘</w:t>
      </w:r>
      <w:r>
        <w:rPr>
          <w:lang w:val="fr-FR"/>
        </w:rPr>
        <w:t>information sur la biodiversité mondiale</w:t>
      </w:r>
      <w:commentRangeEnd w:id="59"/>
      <w:r w:rsidR="00913794">
        <w:commentReference w:id="59"/>
      </w:r>
      <w:r w:rsidR="005352B2">
        <w:rPr>
          <w:lang w:val="fr-FR"/>
        </w:rPr>
        <w:t xml:space="preserve"> (GBIF)</w:t>
      </w:r>
      <w:r>
        <w:rPr>
          <w:lang w:val="fr-FR"/>
        </w:rPr>
        <w:t xml:space="preserve">, </w:t>
      </w:r>
      <w:commentRangeStart w:id="61"/>
      <w:r>
        <w:rPr>
          <w:lang w:val="fr-FR"/>
        </w:rPr>
        <w:t xml:space="preserve">le </w:t>
      </w:r>
      <w:r w:rsidR="00D546B1">
        <w:rPr>
          <w:lang w:val="fr-FR"/>
        </w:rPr>
        <w:t xml:space="preserve">Réseau de veille de la diversité biologique du </w:t>
      </w:r>
      <w:r>
        <w:rPr>
          <w:lang w:val="fr-FR"/>
        </w:rPr>
        <w:t>Groupe sur l</w:t>
      </w:r>
      <w:r w:rsidR="000051E6">
        <w:rPr>
          <w:lang w:val="fr-FR"/>
        </w:rPr>
        <w:t>‘</w:t>
      </w:r>
      <w:r>
        <w:rPr>
          <w:lang w:val="fr-FR"/>
        </w:rPr>
        <w:t xml:space="preserve">observation de la Terre, </w:t>
      </w:r>
      <w:commentRangeEnd w:id="61"/>
      <w:r w:rsidR="00D546B1">
        <w:rPr>
          <w:rStyle w:val="CommentReference"/>
          <w:lang w:val="fr-FR"/>
        </w:rPr>
        <w:commentReference w:id="61"/>
      </w:r>
      <w:r>
        <w:rPr>
          <w:lang w:val="fr-FR"/>
        </w:rPr>
        <w:t>le Partenariat relatif aux indicateurs de biodiversité, l</w:t>
      </w:r>
      <w:r w:rsidR="000051E6">
        <w:rPr>
          <w:lang w:val="fr-FR"/>
        </w:rPr>
        <w:t>‘</w:t>
      </w:r>
      <w:r>
        <w:rPr>
          <w:lang w:val="fr-FR"/>
        </w:rPr>
        <w:t xml:space="preserve">Institut interaméricain de recherche sur les changements planétaires et </w:t>
      </w:r>
      <w:commentRangeStart w:id="62"/>
      <w:r>
        <w:rPr>
          <w:lang w:val="fr-FR"/>
        </w:rPr>
        <w:t>l</w:t>
      </w:r>
      <w:r w:rsidR="000051E6">
        <w:rPr>
          <w:lang w:val="fr-FR"/>
        </w:rPr>
        <w:t>‘</w:t>
      </w:r>
      <w:r>
        <w:rPr>
          <w:lang w:val="fr-FR"/>
        </w:rPr>
        <w:t>Institut des hautes études</w:t>
      </w:r>
      <w:commentRangeEnd w:id="62"/>
      <w:r w:rsidR="004239FC">
        <w:rPr>
          <w:rStyle w:val="CommentReference"/>
          <w:lang w:val="fr-FR"/>
        </w:rPr>
        <w:commentReference w:id="62"/>
      </w:r>
      <w:r w:rsidR="00926368">
        <w:rPr>
          <w:lang w:val="fr-FR"/>
        </w:rPr>
        <w:t xml:space="preserve"> de l’Université des Nations Unies</w:t>
      </w:r>
      <w:r>
        <w:rPr>
          <w:lang w:val="fr-FR"/>
        </w:rPr>
        <w:t>.</w:t>
      </w:r>
      <w:commentRangeEnd w:id="60"/>
      <w:r w:rsidR="00B56AF6">
        <w:rPr>
          <w:rStyle w:val="CommentReference"/>
          <w:lang w:val="fr-FR"/>
        </w:rPr>
        <w:commentReference w:id="60"/>
      </w:r>
    </w:p>
    <w:p w14:paraId="2B7387F1" w14:textId="77777777" w:rsidR="00A07D4D" w:rsidRPr="000C5CA1" w:rsidRDefault="00A07D4D" w:rsidP="009F65FC">
      <w:pPr>
        <w:pStyle w:val="Normalnumber"/>
        <w:ind w:left="1247" w:firstLine="0"/>
        <w:rPr>
          <w:lang w:val="fr-FR"/>
        </w:rPr>
      </w:pPr>
      <w:r>
        <w:rPr>
          <w:lang w:val="fr-FR"/>
        </w:rPr>
        <w:t xml:space="preserve">Les discussions </w:t>
      </w:r>
      <w:r w:rsidR="004239FC">
        <w:rPr>
          <w:lang w:val="fr-FR"/>
        </w:rPr>
        <w:t xml:space="preserve">concernant </w:t>
      </w:r>
      <w:r>
        <w:rPr>
          <w:lang w:val="fr-FR"/>
        </w:rPr>
        <w:t>la collaboration avec le PNUD se sont poursuivies, en particulier en ce qui concerne l</w:t>
      </w:r>
      <w:r w:rsidR="000051E6">
        <w:rPr>
          <w:lang w:val="fr-FR"/>
        </w:rPr>
        <w:t>‘</w:t>
      </w:r>
      <w:r>
        <w:rPr>
          <w:lang w:val="fr-FR"/>
        </w:rPr>
        <w:t xml:space="preserve">initiative du </w:t>
      </w:r>
      <w:r w:rsidR="00A263F8">
        <w:rPr>
          <w:lang w:val="fr-FR"/>
        </w:rPr>
        <w:t>R</w:t>
      </w:r>
      <w:r>
        <w:rPr>
          <w:lang w:val="fr-FR"/>
        </w:rPr>
        <w:t>éseau sur la biodiversité et les services écosystémiques (BES-Net)</w:t>
      </w:r>
      <w:r w:rsidR="00D70904">
        <w:rPr>
          <w:lang w:val="fr-FR"/>
        </w:rPr>
        <w:t xml:space="preserve">. </w:t>
      </w:r>
      <w:r w:rsidR="006B0A50">
        <w:rPr>
          <w:lang w:val="fr-FR"/>
        </w:rPr>
        <w:t>Dans</w:t>
      </w:r>
      <w:r w:rsidR="00CD6A71">
        <w:rPr>
          <w:lang w:val="fr-FR"/>
        </w:rPr>
        <w:t> </w:t>
      </w:r>
      <w:r w:rsidR="006B0A50">
        <w:rPr>
          <w:lang w:val="fr-FR"/>
        </w:rPr>
        <w:t>ce contexte</w:t>
      </w:r>
      <w:r>
        <w:rPr>
          <w:lang w:val="fr-FR"/>
        </w:rPr>
        <w:t xml:space="preserve">, </w:t>
      </w:r>
      <w:r w:rsidR="006B0A50">
        <w:rPr>
          <w:lang w:val="fr-FR"/>
        </w:rPr>
        <w:t xml:space="preserve">des précisions ont été apportées concernant </w:t>
      </w:r>
      <w:commentRangeStart w:id="63"/>
      <w:r w:rsidR="006B0A50">
        <w:rPr>
          <w:lang w:val="fr-FR"/>
        </w:rPr>
        <w:t xml:space="preserve">les liens </w:t>
      </w:r>
      <w:r>
        <w:rPr>
          <w:lang w:val="fr-FR"/>
        </w:rPr>
        <w:t xml:space="preserve">entre le BES-Net et </w:t>
      </w:r>
      <w:r w:rsidR="00640022">
        <w:rPr>
          <w:lang w:val="fr-FR"/>
        </w:rPr>
        <w:t>la Plateforme</w:t>
      </w:r>
      <w:r>
        <w:rPr>
          <w:lang w:val="fr-FR"/>
        </w:rPr>
        <w:t xml:space="preserve"> </w:t>
      </w:r>
      <w:r w:rsidR="006B0A50">
        <w:rPr>
          <w:lang w:val="fr-FR"/>
        </w:rPr>
        <w:t>par rapport au</w:t>
      </w:r>
      <w:r>
        <w:rPr>
          <w:lang w:val="fr-FR"/>
        </w:rPr>
        <w:t xml:space="preserve"> portail Web du BES-Net et </w:t>
      </w:r>
      <w:r w:rsidR="006B0A50">
        <w:rPr>
          <w:lang w:val="fr-FR"/>
        </w:rPr>
        <w:t xml:space="preserve">aux </w:t>
      </w:r>
      <w:r>
        <w:rPr>
          <w:lang w:val="fr-FR"/>
        </w:rPr>
        <w:t>activités de renforcement des capacités</w:t>
      </w:r>
      <w:commentRangeEnd w:id="63"/>
      <w:r w:rsidR="00913794">
        <w:commentReference w:id="63"/>
      </w:r>
      <w:r>
        <w:rPr>
          <w:lang w:val="fr-FR"/>
        </w:rPr>
        <w:t xml:space="preserve">. Le secrétariat et le PNUD </w:t>
      </w:r>
      <w:r w:rsidR="006B0A50">
        <w:rPr>
          <w:lang w:val="fr-FR"/>
        </w:rPr>
        <w:t xml:space="preserve">étudient actuellement la possibilité de collaborer davantage </w:t>
      </w:r>
      <w:r>
        <w:rPr>
          <w:lang w:val="fr-FR"/>
        </w:rPr>
        <w:t>avec d</w:t>
      </w:r>
      <w:r w:rsidR="000051E6">
        <w:rPr>
          <w:lang w:val="fr-FR"/>
        </w:rPr>
        <w:t>‘</w:t>
      </w:r>
      <w:r>
        <w:rPr>
          <w:lang w:val="fr-FR"/>
        </w:rPr>
        <w:t xml:space="preserve">autres initiatives et projets du PNUD, </w:t>
      </w:r>
      <w:r w:rsidR="006B0A50">
        <w:rPr>
          <w:lang w:val="fr-FR"/>
        </w:rPr>
        <w:t xml:space="preserve">en particulier </w:t>
      </w:r>
      <w:r>
        <w:rPr>
          <w:lang w:val="fr-FR"/>
        </w:rPr>
        <w:t>l</w:t>
      </w:r>
      <w:r w:rsidR="000051E6">
        <w:rPr>
          <w:lang w:val="fr-FR"/>
        </w:rPr>
        <w:t>‘</w:t>
      </w:r>
      <w:commentRangeStart w:id="64"/>
      <w:r w:rsidR="00A263F8">
        <w:rPr>
          <w:lang w:val="fr-FR"/>
        </w:rPr>
        <w:t>I</w:t>
      </w:r>
      <w:r>
        <w:rPr>
          <w:lang w:val="fr-FR"/>
        </w:rPr>
        <w:t>nitiative « Équateur »</w:t>
      </w:r>
      <w:commentRangeEnd w:id="64"/>
      <w:r w:rsidR="00A263F8">
        <w:rPr>
          <w:rStyle w:val="CommentReference"/>
          <w:lang w:val="fr-FR"/>
        </w:rPr>
        <w:commentReference w:id="64"/>
      </w:r>
      <w:r>
        <w:rPr>
          <w:lang w:val="fr-FR"/>
        </w:rPr>
        <w:t xml:space="preserve">, qui pourrait </w:t>
      </w:r>
      <w:r w:rsidR="006B0A50">
        <w:rPr>
          <w:lang w:val="fr-FR"/>
        </w:rPr>
        <w:t xml:space="preserve">contribuer aux </w:t>
      </w:r>
      <w:r>
        <w:rPr>
          <w:lang w:val="fr-FR"/>
        </w:rPr>
        <w:t xml:space="preserve">travaux de </w:t>
      </w:r>
      <w:r w:rsidR="00640022">
        <w:rPr>
          <w:lang w:val="fr-FR"/>
        </w:rPr>
        <w:t>la Plateforme</w:t>
      </w:r>
      <w:r>
        <w:rPr>
          <w:lang w:val="fr-FR"/>
        </w:rPr>
        <w:t xml:space="preserve"> </w:t>
      </w:r>
      <w:r w:rsidR="006B0A50">
        <w:rPr>
          <w:lang w:val="fr-FR"/>
        </w:rPr>
        <w:t xml:space="preserve">concernant </w:t>
      </w:r>
      <w:r>
        <w:rPr>
          <w:lang w:val="fr-FR"/>
        </w:rPr>
        <w:t>le</w:t>
      </w:r>
      <w:r w:rsidR="00A263F8">
        <w:rPr>
          <w:lang w:val="fr-FR"/>
        </w:rPr>
        <w:t>s</w:t>
      </w:r>
      <w:r>
        <w:rPr>
          <w:lang w:val="fr-FR"/>
        </w:rPr>
        <w:t xml:space="preserve"> savoir</w:t>
      </w:r>
      <w:r w:rsidR="00A263F8">
        <w:rPr>
          <w:lang w:val="fr-FR"/>
        </w:rPr>
        <w:t>s</w:t>
      </w:r>
      <w:r>
        <w:rPr>
          <w:lang w:val="fr-FR"/>
        </w:rPr>
        <w:t xml:space="preserve"> </w:t>
      </w:r>
      <w:commentRangeStart w:id="65"/>
      <w:r w:rsidR="00A263F8">
        <w:rPr>
          <w:lang w:val="fr-FR"/>
        </w:rPr>
        <w:t>autochtone</w:t>
      </w:r>
      <w:commentRangeEnd w:id="65"/>
      <w:r w:rsidR="00A263F8">
        <w:rPr>
          <w:rStyle w:val="CommentReference"/>
          <w:lang w:val="fr-FR"/>
        </w:rPr>
        <w:commentReference w:id="65"/>
      </w:r>
      <w:r w:rsidR="00A263F8">
        <w:rPr>
          <w:lang w:val="fr-FR"/>
        </w:rPr>
        <w:t xml:space="preserve">s </w:t>
      </w:r>
      <w:r>
        <w:rPr>
          <w:lang w:val="fr-FR"/>
        </w:rPr>
        <w:t>et loca</w:t>
      </w:r>
      <w:r w:rsidR="00A263F8">
        <w:rPr>
          <w:lang w:val="fr-FR"/>
        </w:rPr>
        <w:t>ux</w:t>
      </w:r>
      <w:r>
        <w:rPr>
          <w:lang w:val="fr-FR"/>
        </w:rPr>
        <w:t>.</w:t>
      </w:r>
    </w:p>
    <w:p w14:paraId="0A32FAFA" w14:textId="77777777" w:rsidR="00A07D4D" w:rsidRPr="00A07D4D" w:rsidRDefault="009F65FC" w:rsidP="009F65FC">
      <w:pPr>
        <w:pStyle w:val="CH1"/>
      </w:pPr>
      <w:r>
        <w:rPr>
          <w:lang w:val="fr-FR"/>
        </w:rPr>
        <w:tab/>
        <w:t>V.</w:t>
      </w:r>
      <w:r>
        <w:rPr>
          <w:lang w:val="fr-FR"/>
        </w:rPr>
        <w:tab/>
        <w:t>Mesures proposées</w:t>
      </w:r>
    </w:p>
    <w:p w14:paraId="60D2F4CD" w14:textId="77777777" w:rsidR="00A07D4D" w:rsidRPr="000C5CA1" w:rsidRDefault="00A07D4D" w:rsidP="009F65FC">
      <w:pPr>
        <w:pStyle w:val="Normalnumber"/>
        <w:ind w:left="1247" w:firstLine="0"/>
        <w:rPr>
          <w:rFonts w:eastAsia="Calibri"/>
          <w:lang w:val="fr-FR"/>
        </w:rPr>
      </w:pPr>
      <w:r>
        <w:rPr>
          <w:lang w:val="fr-FR"/>
        </w:rPr>
        <w:t xml:space="preserve">La Plénière souhaitera peut-être prendre note des progrès accomplis </w:t>
      </w:r>
      <w:r w:rsidR="006B0A50">
        <w:rPr>
          <w:lang w:val="fr-FR"/>
        </w:rPr>
        <w:t>à ce jour</w:t>
      </w:r>
      <w:r>
        <w:rPr>
          <w:lang w:val="fr-FR"/>
        </w:rPr>
        <w:t xml:space="preserve">, des orientations </w:t>
      </w:r>
      <w:r w:rsidR="006B0A50">
        <w:rPr>
          <w:lang w:val="fr-FR"/>
        </w:rPr>
        <w:t xml:space="preserve">données </w:t>
      </w:r>
      <w:r>
        <w:rPr>
          <w:lang w:val="fr-FR"/>
        </w:rPr>
        <w:t xml:space="preserve">par le Bureau et des </w:t>
      </w:r>
      <w:r w:rsidR="006B0A50">
        <w:rPr>
          <w:lang w:val="fr-FR"/>
        </w:rPr>
        <w:t xml:space="preserve">nouveaux </w:t>
      </w:r>
      <w:r>
        <w:rPr>
          <w:lang w:val="fr-FR"/>
        </w:rPr>
        <w:t xml:space="preserve">plans de mise en œuvre </w:t>
      </w:r>
      <w:r w:rsidR="006B0A50">
        <w:rPr>
          <w:lang w:val="fr-FR"/>
        </w:rPr>
        <w:t>des activités concernant</w:t>
      </w:r>
      <w:r>
        <w:rPr>
          <w:lang w:val="fr-FR"/>
        </w:rPr>
        <w:t xml:space="preserve"> la communication, l</w:t>
      </w:r>
      <w:r w:rsidR="000051E6">
        <w:rPr>
          <w:lang w:val="fr-FR"/>
        </w:rPr>
        <w:t>‘</w:t>
      </w:r>
      <w:r>
        <w:rPr>
          <w:lang w:val="fr-FR"/>
        </w:rPr>
        <w:t xml:space="preserve">association des parties prenantes et les partenariats stratégiques. La Plénière est également invitée à </w:t>
      </w:r>
      <w:r w:rsidR="006B0A50">
        <w:rPr>
          <w:lang w:val="fr-FR"/>
        </w:rPr>
        <w:t xml:space="preserve">communiquer </w:t>
      </w:r>
      <w:r>
        <w:rPr>
          <w:lang w:val="fr-FR"/>
        </w:rPr>
        <w:t>des observations et des orientations sur ces sujets.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9F65FC" w:rsidRPr="00E559DF" w14:paraId="1CCC5C39" w14:textId="77777777" w:rsidTr="009F65FC">
        <w:tc>
          <w:tcPr>
            <w:tcW w:w="1942" w:type="dxa"/>
          </w:tcPr>
          <w:p w14:paraId="18064E37" w14:textId="77777777" w:rsidR="009F65FC" w:rsidRPr="000C5CA1" w:rsidRDefault="009F65FC" w:rsidP="00432F7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</w:tabs>
              <w:spacing w:before="520" w:after="0"/>
              <w:rPr>
                <w:rFonts w:eastAsia="Calibri"/>
                <w:lang w:val="fr-FR"/>
              </w:rPr>
            </w:pPr>
          </w:p>
        </w:tc>
        <w:tc>
          <w:tcPr>
            <w:tcW w:w="1942" w:type="dxa"/>
          </w:tcPr>
          <w:p w14:paraId="44F3637B" w14:textId="77777777" w:rsidR="009F65FC" w:rsidRPr="000C5CA1" w:rsidRDefault="009F65FC" w:rsidP="00432F7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</w:tabs>
              <w:spacing w:before="520" w:after="0"/>
              <w:rPr>
                <w:rFonts w:eastAsia="Calibri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83C34CF" w14:textId="77777777" w:rsidR="009F65FC" w:rsidRPr="000C5CA1" w:rsidRDefault="009F65FC" w:rsidP="00432F7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</w:tabs>
              <w:spacing w:before="520" w:after="0"/>
              <w:rPr>
                <w:rFonts w:eastAsia="Calibri"/>
                <w:lang w:val="fr-FR"/>
              </w:rPr>
            </w:pPr>
          </w:p>
        </w:tc>
        <w:tc>
          <w:tcPr>
            <w:tcW w:w="1943" w:type="dxa"/>
          </w:tcPr>
          <w:p w14:paraId="48C2BBD8" w14:textId="77777777" w:rsidR="009F65FC" w:rsidRPr="000C5CA1" w:rsidRDefault="009F65FC" w:rsidP="00432F7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</w:tabs>
              <w:spacing w:before="520" w:after="0"/>
              <w:rPr>
                <w:rFonts w:eastAsia="Calibri"/>
                <w:lang w:val="fr-FR"/>
              </w:rPr>
            </w:pPr>
          </w:p>
        </w:tc>
        <w:tc>
          <w:tcPr>
            <w:tcW w:w="1943" w:type="dxa"/>
          </w:tcPr>
          <w:p w14:paraId="71AD34B8" w14:textId="77777777" w:rsidR="009F65FC" w:rsidRPr="000C5CA1" w:rsidRDefault="009F65FC" w:rsidP="00432F7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  <w:tab w:val="left" w:pos="624"/>
              </w:tabs>
              <w:spacing w:before="520" w:after="0"/>
              <w:rPr>
                <w:rFonts w:eastAsia="Calibri"/>
                <w:lang w:val="fr-FR"/>
              </w:rPr>
            </w:pPr>
          </w:p>
        </w:tc>
      </w:tr>
    </w:tbl>
    <w:p w14:paraId="66FAC767" w14:textId="77777777" w:rsidR="009F65FC" w:rsidRPr="000C5CA1" w:rsidRDefault="009F65FC" w:rsidP="009F65FC">
      <w:pPr>
        <w:pStyle w:val="Normal-pool"/>
        <w:rPr>
          <w:rFonts w:eastAsia="Calibri"/>
          <w:lang w:val="fr-FR"/>
        </w:rPr>
      </w:pPr>
    </w:p>
    <w:sectPr w:rsidR="009F65FC" w:rsidRPr="000C5CA1" w:rsidSect="000051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907" w:right="849" w:bottom="1418" w:left="1418" w:header="539" w:footer="975" w:gutter="0"/>
      <w:cols w:space="539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iane.belud" w:date="2017-01-17T08:59:00Z" w:initials="">
    <w:p w14:paraId="60812086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annexe parle d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"association des parties prenantes" tandis que le titre de la décision parle de "participation des parties prenantes". J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gardé association dans tout le document, mais comment on choisit dans ces cas-là ? Ou bien est-ce que j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manqué quelque chose et association et participation ne veulent pas dire la même chose ?</w:t>
      </w:r>
    </w:p>
    <w:p w14:paraId="54C99C9B" w14:textId="77777777" w:rsidR="00EE1F83" w:rsidRDefault="00EE1F83">
      <w:pPr>
        <w:rPr>
          <w:shd w:val="clear" w:color="auto" w:fill="F8ED7F"/>
        </w:rPr>
      </w:pPr>
    </w:p>
    <w:p w14:paraId="5589D4AD" w14:textId="77777777" w:rsidR="00EE1F83" w:rsidRDefault="00EE1F83">
      <w:r w:rsidRPr="00812A43">
        <w:rPr>
          <w:highlight w:val="green"/>
          <w:shd w:val="clear" w:color="auto" w:fill="F8ED7F"/>
        </w:rPr>
        <w:t>Association traduit « engagement » et participation « participation ». On parlera ici d</w:t>
      </w:r>
      <w:r w:rsidR="000051E6">
        <w:rPr>
          <w:highlight w:val="green"/>
          <w:shd w:val="clear" w:color="auto" w:fill="F8ED7F"/>
        </w:rPr>
        <w:t>’</w:t>
      </w:r>
      <w:r w:rsidRPr="00812A43">
        <w:rPr>
          <w:highlight w:val="green"/>
          <w:shd w:val="clear" w:color="auto" w:fill="F8ED7F"/>
        </w:rPr>
        <w:t>association, qui comprend la phase antérieure à la participation</w:t>
      </w:r>
    </w:p>
  </w:comment>
  <w:comment w:id="2" w:author="Maite Suengas" w:date="2017-01-17T08:59:00Z" w:initials="MS">
    <w:p w14:paraId="23B0E00B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Attention à l</w:t>
      </w:r>
      <w:r w:rsidR="000051E6">
        <w:t>’</w:t>
      </w:r>
      <w:r>
        <w:t>usage - virgules</w:t>
      </w:r>
    </w:p>
  </w:comment>
  <w:comment w:id="3" w:author="Maite Suengas" w:date="2017-01-17T08:59:00Z" w:initials="MS">
    <w:p w14:paraId="538FCEC0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Elle n</w:t>
      </w:r>
      <w:r w:rsidR="000051E6">
        <w:t>’</w:t>
      </w:r>
      <w:r>
        <w:t>en a pas pris acte dans l</w:t>
      </w:r>
      <w:r w:rsidR="000051E6">
        <w:t>’</w:t>
      </w:r>
      <w:r>
        <w:t>annexe &gt; Elle est reproduite dans l</w:t>
      </w:r>
      <w:r w:rsidR="000051E6">
        <w:t>’</w:t>
      </w:r>
      <w:r>
        <w:t>annexe II. Suivre l</w:t>
      </w:r>
      <w:r w:rsidR="000051E6">
        <w:t>’</w:t>
      </w:r>
      <w:r>
        <w:t>anglais</w:t>
      </w:r>
    </w:p>
  </w:comment>
  <w:comment w:id="4" w:author="diane.belud" w:date="2017-01-17T08:59:00Z" w:initials="">
    <w:p w14:paraId="4EFB83E6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Ce genre de document n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est jamais traduit et publié quelque part ?</w:t>
      </w:r>
    </w:p>
    <w:p w14:paraId="21FFFAD4" w14:textId="77777777" w:rsidR="00EE1F83" w:rsidRDefault="00EE1F83">
      <w:pPr>
        <w:rPr>
          <w:shd w:val="clear" w:color="auto" w:fill="F8ED7F"/>
        </w:rPr>
      </w:pPr>
    </w:p>
    <w:p w14:paraId="74465C8C" w14:textId="77777777" w:rsidR="00EE1F83" w:rsidRDefault="00EE1F83">
      <w:r w:rsidRPr="00812A43">
        <w:rPr>
          <w:highlight w:val="green"/>
          <w:shd w:val="clear" w:color="auto" w:fill="F8ED7F"/>
        </w:rPr>
        <w:t>Ils sont parfois traduits, mais rarement. Il faut vérifier sur les sites web de la Plateforme ou dans nos serveurs.</w:t>
      </w:r>
    </w:p>
  </w:comment>
  <w:comment w:id="5" w:author="Maite Suengas" w:date="2017-01-16T10:32:00Z" w:initials="MS">
    <w:p w14:paraId="4A595647" w14:textId="77777777" w:rsidR="001D39EA" w:rsidRDefault="001D39EA" w:rsidP="001D39EA">
      <w:pPr>
        <w:pStyle w:val="CommentText"/>
      </w:pPr>
      <w:r>
        <w:rPr>
          <w:rStyle w:val="CommentReference"/>
        </w:rPr>
        <w:annotationRef/>
      </w:r>
      <w:r>
        <w:t>Virgule</w:t>
      </w:r>
    </w:p>
  </w:comment>
  <w:comment w:id="6" w:author="Maite Suengas" w:date="2017-01-13T12:22:00Z" w:initials="MS">
    <w:p w14:paraId="604FBF87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Plus idiomatique (en plus on évite le « actualisées »)</w:t>
      </w:r>
    </w:p>
  </w:comment>
  <w:comment w:id="7" w:author="Maite Suengas" w:date="2017-01-17T08:59:00Z" w:initials="MS">
    <w:p w14:paraId="6E7380CC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Normalement, lorsqu</w:t>
      </w:r>
      <w:r w:rsidR="000051E6">
        <w:t>’</w:t>
      </w:r>
      <w:r>
        <w:t>un document n</w:t>
      </w:r>
      <w:r w:rsidR="000051E6">
        <w:t>’</w:t>
      </w:r>
      <w:r>
        <w:t>est pas traduit en français, on dirait "la note de secrétariat portant sur...". En l</w:t>
      </w:r>
      <w:r w:rsidR="000051E6">
        <w:t>’</w:t>
      </w:r>
      <w:r>
        <w:t>occurrence,  c</w:t>
      </w:r>
      <w:r w:rsidR="000051E6">
        <w:t>’</w:t>
      </w:r>
      <w:r>
        <w:t>est difficile du fait des deux points dans le titre de la note. C</w:t>
      </w:r>
      <w:r w:rsidR="000051E6">
        <w:t>’</w:t>
      </w:r>
      <w:r>
        <w:t>est pour ça que je n</w:t>
      </w:r>
      <w:r w:rsidR="000051E6">
        <w:t>’</w:t>
      </w:r>
      <w:r>
        <w:t>ai pas modifié</w:t>
      </w:r>
    </w:p>
  </w:comment>
  <w:comment w:id="8" w:author="Maite Suengas" w:date="2017-01-13T12:22:00Z" w:initials="MS">
    <w:p w14:paraId="6020FB62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Le plus généralement, « planned » se traduit par « prévu »</w:t>
      </w:r>
    </w:p>
  </w:comment>
  <w:comment w:id="9" w:author="Maite Suengas" w:date="2017-01-13T12:22:00Z" w:initials="MS">
    <w:p w14:paraId="6C58C061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La plupart du temps, « relevant » ne se traduit pas par pertinent (voir révision antérieure)</w:t>
      </w:r>
    </w:p>
  </w:comment>
  <w:comment w:id="10" w:author="Maite Suengas" w:date="2017-01-13T12:22:00Z" w:initials="MS">
    <w:p w14:paraId="23D94B04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OMISSION</w:t>
      </w:r>
    </w:p>
  </w:comment>
  <w:comment w:id="11" w:author="Maite Suengas" w:date="2017-01-13T12:22:00Z" w:initials="MS">
    <w:p w14:paraId="621FA301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Toujours vérifier le sexe</w:t>
      </w:r>
    </w:p>
  </w:comment>
  <w:comment w:id="12" w:author="diane.belud" w:date="2017-01-13T12:22:00Z" w:initials="">
    <w:p w14:paraId="72BD534C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La décision parle de "mémorandums de coopération avec", cette note parle de "mémorandums de coopération entre", lequel je dois utiliser ?</w:t>
      </w:r>
    </w:p>
    <w:p w14:paraId="64318710" w14:textId="77777777" w:rsidR="00EE1F83" w:rsidRDefault="00EE1F83">
      <w:pPr>
        <w:rPr>
          <w:shd w:val="clear" w:color="auto" w:fill="F8ED7F"/>
        </w:rPr>
      </w:pPr>
    </w:p>
    <w:p w14:paraId="5B1765C6" w14:textId="77777777" w:rsidR="00EE1F83" w:rsidRDefault="00EE1F83">
      <w:r w:rsidRPr="00A35763">
        <w:rPr>
          <w:highlight w:val="green"/>
          <w:shd w:val="clear" w:color="auto" w:fill="F8ED7F"/>
        </w:rPr>
        <w:t>La décision dit « entre ». Où as-tu trouvé la décision ?</w:t>
      </w:r>
    </w:p>
  </w:comment>
  <w:comment w:id="13" w:author="Maite Suengas" w:date="2017-01-17T08:59:00Z" w:initials="MS">
    <w:p w14:paraId="2BA84B87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Redondant (c</w:t>
      </w:r>
      <w:r w:rsidR="000051E6">
        <w:t>’</w:t>
      </w:r>
      <w:r>
        <w:t>est le sujet de la phrase)</w:t>
      </w:r>
    </w:p>
  </w:comment>
  <w:comment w:id="14" w:author="Maite Suengas" w:date="2017-01-17T08:59:00Z" w:initials="MS">
    <w:p w14:paraId="7266316A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Titre de l</w:t>
      </w:r>
      <w:r w:rsidR="000051E6">
        <w:t>’</w:t>
      </w:r>
      <w:r>
        <w:t>annexe</w:t>
      </w:r>
    </w:p>
  </w:comment>
  <w:comment w:id="15" w:author="Maite Suengas" w:date="2017-01-17T08:59:00Z" w:initials="MS">
    <w:p w14:paraId="55829243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Repris qu</w:t>
      </w:r>
      <w:r w:rsidR="000051E6">
        <w:t>’</w:t>
      </w:r>
      <w:r>
        <w:t>une seule fois dans le reste du doc = pas besoin de raccourci.</w:t>
      </w:r>
    </w:p>
  </w:comment>
  <w:comment w:id="16" w:author="Maite Suengas" w:date="2017-01-13T12:22:00Z" w:initials="MS">
    <w:p w14:paraId="0D31FDC4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Anglais = summarized</w:t>
      </w:r>
    </w:p>
  </w:comment>
  <w:comment w:id="17" w:author="Maite Suengas" w:date="2017-01-17T08:59:00Z" w:initials="MS">
    <w:p w14:paraId="51E1117B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On peut conserver l</w:t>
      </w:r>
      <w:r w:rsidR="000051E6">
        <w:t>’</w:t>
      </w:r>
      <w:r>
        <w:t>ordre de l</w:t>
      </w:r>
      <w:r w:rsidR="000051E6">
        <w:t>’</w:t>
      </w:r>
      <w:r>
        <w:t>anglais</w:t>
      </w:r>
    </w:p>
  </w:comment>
  <w:comment w:id="18" w:author="Maite Suengas" w:date="2017-01-13T12:22:00Z" w:initials="MS">
    <w:p w14:paraId="42688E40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19" w:author="Maite Suengas" w:date="2017-01-17T08:59:00Z" w:initials="MS">
    <w:p w14:paraId="4025FCAD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« création » est bizarre vu qu</w:t>
      </w:r>
      <w:r w:rsidR="000051E6">
        <w:t>’</w:t>
      </w:r>
      <w:r>
        <w:t>un site Web existe déjà</w:t>
      </w:r>
    </w:p>
  </w:comment>
  <w:comment w:id="20" w:author="Maite Suengas" w:date="2017-01-17T08:59:00Z" w:initials="MS">
    <w:p w14:paraId="0C5B4102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Pourquoi ne pas suivre l</w:t>
      </w:r>
      <w:r w:rsidR="000051E6">
        <w:t>’</w:t>
      </w:r>
      <w:r>
        <w:t>anglais ?</w:t>
      </w:r>
    </w:p>
  </w:comment>
  <w:comment w:id="21" w:author="diane.belud" w:date="2017-01-13T12:22:00Z" w:initials="">
    <w:p w14:paraId="23D99A22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Pas sûre de ce qui est entendu ici par "substantive publication"</w:t>
      </w:r>
    </w:p>
    <w:p w14:paraId="6DFACADD" w14:textId="77777777" w:rsidR="00EE1F83" w:rsidRDefault="00EE1F83">
      <w:pPr>
        <w:rPr>
          <w:shd w:val="clear" w:color="auto" w:fill="F8ED7F"/>
        </w:rPr>
      </w:pPr>
    </w:p>
    <w:p w14:paraId="4945692F" w14:textId="77777777" w:rsidR="00EE1F83" w:rsidRDefault="00EE1F83">
      <w:r w:rsidRPr="00233461">
        <w:rPr>
          <w:highlight w:val="green"/>
          <w:shd w:val="clear" w:color="auto" w:fill="F8ED7F"/>
        </w:rPr>
        <w:t>Bof, des publications techniques ? Sais pas trop non plus… Mais « de fond », ça va</w:t>
      </w:r>
    </w:p>
  </w:comment>
  <w:comment w:id="22" w:author="Maite Suengas" w:date="2017-01-13T12:22:00Z" w:initials="MS">
    <w:p w14:paraId="06E1154E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Trop familier</w:t>
      </w:r>
    </w:p>
  </w:comment>
  <w:comment w:id="23" w:author="Maite Suengas" w:date="2017-01-13T12:22:00Z" w:initials="MS">
    <w:p w14:paraId="03FB1407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Redondant avec le « chaque » et en plus je ne le vois pas en anglais</w:t>
      </w:r>
    </w:p>
  </w:comment>
  <w:comment w:id="24" w:author="Maite Suengas" w:date="2017-01-17T08:59:00Z" w:initials="MS">
    <w:p w14:paraId="523BF6FB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Faire la distinction entre "être convenu" (expression soignée qui correspond davantage au sens de "décider") et "avoir convenu" (registre courant qui met plus l</w:t>
      </w:r>
      <w:r w:rsidR="000051E6">
        <w:t>’</w:t>
      </w:r>
      <w:r>
        <w:t>accent sur le fait qu</w:t>
      </w:r>
      <w:r w:rsidR="000051E6">
        <w:t>’</w:t>
      </w:r>
      <w:r>
        <w:t xml:space="preserve">il y a eu examen collectif) </w:t>
      </w:r>
    </w:p>
  </w:comment>
  <w:comment w:id="25" w:author="diane.belud" w:date="2017-01-17T08:59:00Z" w:initials="">
    <w:p w14:paraId="617EDBFD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Je ne sais pas trop de quelles conventions il est question ici, mais vu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exemple anglais j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préféré une explication de prononciation assez orale.</w:t>
      </w:r>
    </w:p>
    <w:p w14:paraId="5ACA6CD3" w14:textId="77777777" w:rsidR="00EE1F83" w:rsidRDefault="00EE1F83">
      <w:pPr>
        <w:rPr>
          <w:shd w:val="clear" w:color="auto" w:fill="F8ED7F"/>
        </w:rPr>
      </w:pPr>
    </w:p>
    <w:p w14:paraId="22BDB46B" w14:textId="77777777" w:rsidR="00EE1F83" w:rsidRDefault="00EE1F83">
      <w:r w:rsidRPr="00B10D96">
        <w:rPr>
          <w:highlight w:val="green"/>
          <w:shd w:val="clear" w:color="auto" w:fill="F8ED7F"/>
        </w:rPr>
        <w:t>Ils veulent juste utiliser des grands mots. C</w:t>
      </w:r>
      <w:r w:rsidR="000051E6">
        <w:rPr>
          <w:highlight w:val="green"/>
          <w:shd w:val="clear" w:color="auto" w:fill="F8ED7F"/>
        </w:rPr>
        <w:t>’</w:t>
      </w:r>
      <w:r w:rsidRPr="00B10D96">
        <w:rPr>
          <w:highlight w:val="green"/>
          <w:shd w:val="clear" w:color="auto" w:fill="F8ED7F"/>
        </w:rPr>
        <w:t>est juste les règles de prononciation habituelles.</w:t>
      </w:r>
      <w:r>
        <w:rPr>
          <w:shd w:val="clear" w:color="auto" w:fill="F8ED7F"/>
        </w:rPr>
        <w:t xml:space="preserve">  </w:t>
      </w:r>
    </w:p>
  </w:comment>
  <w:comment w:id="26" w:author="Maite Suengas" w:date="2017-01-13T12:22:00Z" w:initials="MS">
    <w:p w14:paraId="62BF3793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Super ;-)</w:t>
      </w:r>
    </w:p>
  </w:comment>
  <w:comment w:id="27" w:author="Maite Suengas" w:date="2017-01-17T08:59:00Z" w:initials="MS">
    <w:p w14:paraId="5CC3DFE9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Dans la mesure où il y a des « display unit », qui sont certainement des stands, on n</w:t>
      </w:r>
      <w:r w:rsidR="000051E6">
        <w:t>’</w:t>
      </w:r>
      <w:r>
        <w:t>utilisera pas qqchoz d</w:t>
      </w:r>
      <w:r w:rsidR="000051E6">
        <w:t>’</w:t>
      </w:r>
      <w:r>
        <w:t>aussi restrictif que "documentation". On aurait pu choisir "supports" également.</w:t>
      </w:r>
    </w:p>
  </w:comment>
  <w:comment w:id="28" w:author="diane.belud" w:date="2017-01-17T08:59:00Z" w:initials="">
    <w:p w14:paraId="6171E1DB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À quel point "marketing" est-il accepté en français de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ONU ? Je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retrouvé assez massivement dans UNTERM en tout cas.</w:t>
      </w:r>
      <w:r>
        <w:rPr>
          <w:shd w:val="clear" w:color="auto" w:fill="F8ED7F"/>
        </w:rPr>
        <w:br/>
        <w:t>Si ce n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est pas accepté je suppose que le plus simple serait d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utiliser "commercialisation", mais ce qui suit ressemble plus à de la "communication" ou de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"information".</w:t>
      </w:r>
    </w:p>
    <w:p w14:paraId="68F28432" w14:textId="77777777" w:rsidR="00EE1F83" w:rsidRDefault="00EE1F83">
      <w:pPr>
        <w:rPr>
          <w:shd w:val="clear" w:color="auto" w:fill="F8ED7F"/>
        </w:rPr>
      </w:pPr>
    </w:p>
    <w:p w14:paraId="3AC652BF" w14:textId="77777777" w:rsidR="00EE1F83" w:rsidRDefault="00EE1F83">
      <w:pPr>
        <w:rPr>
          <w:highlight w:val="green"/>
          <w:shd w:val="clear" w:color="auto" w:fill="F8ED7F"/>
        </w:rPr>
      </w:pPr>
      <w:r w:rsidRPr="00B10D96">
        <w:rPr>
          <w:highlight w:val="green"/>
          <w:shd w:val="clear" w:color="auto" w:fill="F8ED7F"/>
        </w:rPr>
        <w:t>La vieille école dirait non à « marketing », mais elle est morte… Donc pour moi c</w:t>
      </w:r>
      <w:r w:rsidR="000051E6">
        <w:rPr>
          <w:highlight w:val="green"/>
          <w:shd w:val="clear" w:color="auto" w:fill="F8ED7F"/>
        </w:rPr>
        <w:t>’</w:t>
      </w:r>
      <w:r w:rsidRPr="00B10D96">
        <w:rPr>
          <w:highlight w:val="green"/>
          <w:shd w:val="clear" w:color="auto" w:fill="F8ED7F"/>
        </w:rPr>
        <w:t>est ok, d</w:t>
      </w:r>
      <w:r w:rsidR="000051E6">
        <w:rPr>
          <w:highlight w:val="green"/>
          <w:shd w:val="clear" w:color="auto" w:fill="F8ED7F"/>
        </w:rPr>
        <w:t>’</w:t>
      </w:r>
      <w:r w:rsidRPr="00B10D96">
        <w:rPr>
          <w:highlight w:val="green"/>
          <w:shd w:val="clear" w:color="auto" w:fill="F8ED7F"/>
        </w:rPr>
        <w:t xml:space="preserve">autant plus dans ce contexte ! </w:t>
      </w:r>
      <w:r>
        <w:rPr>
          <w:highlight w:val="green"/>
          <w:shd w:val="clear" w:color="auto" w:fill="F8ED7F"/>
        </w:rPr>
        <w:t>On aurait également pu parler de "communication", mais je pense que le client veut être "hip", donc laissons-lui le "marketing".</w:t>
      </w:r>
    </w:p>
    <w:p w14:paraId="65614865" w14:textId="77777777" w:rsidR="00EE1F83" w:rsidRDefault="00EE1F83">
      <w:r w:rsidRPr="00B10D96">
        <w:rPr>
          <w:highlight w:val="green"/>
          <w:shd w:val="clear" w:color="auto" w:fill="F8ED7F"/>
        </w:rPr>
        <w:t>Dans un autre registre, on accepte même parfois « leadership », imagine !</w:t>
      </w:r>
    </w:p>
  </w:comment>
  <w:comment w:id="29" w:author="Maite Suengas" w:date="2017-01-17T08:59:00Z" w:initials="MS">
    <w:p w14:paraId="602330D1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Garder l</w:t>
      </w:r>
      <w:r w:rsidR="000051E6">
        <w:t>’</w:t>
      </w:r>
      <w:r>
        <w:t>ordre de la phrase originale (au passif) permet d</w:t>
      </w:r>
      <w:r w:rsidR="000051E6">
        <w:t>’</w:t>
      </w:r>
      <w:r>
        <w:t>éviter le couac créé par l</w:t>
      </w:r>
      <w:r w:rsidR="000051E6">
        <w:t>’</w:t>
      </w:r>
      <w:r>
        <w:t>insertion de « à l</w:t>
      </w:r>
      <w:r w:rsidR="000051E6">
        <w:t>’</w:t>
      </w:r>
      <w:r>
        <w:t>aide de professionnels » dans cette phrase.</w:t>
      </w:r>
    </w:p>
  </w:comment>
  <w:comment w:id="31" w:author="Maite Suengas" w:date="2017-01-17T08:59:00Z" w:initials="MS">
    <w:p w14:paraId="4114B1DE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Là c</w:t>
      </w:r>
      <w:r w:rsidR="000051E6">
        <w:t>’</w:t>
      </w:r>
      <w:r>
        <w:t>est trop pour le coup (hahahah). « événementiel » (attention au deuxième accent) s</w:t>
      </w:r>
      <w:r w:rsidR="000051E6">
        <w:t>’</w:t>
      </w:r>
      <w:r>
        <w:t>utilisera pour dire "qui décrit un événement".</w:t>
      </w:r>
    </w:p>
  </w:comment>
  <w:comment w:id="30" w:author="diane.belud" w:date="2017-01-17T08:59:00Z" w:initials="">
    <w:p w14:paraId="51F879B9" w14:textId="77777777" w:rsidR="00EE1F83" w:rsidRDefault="00EE1F83">
      <w:r>
        <w:rPr>
          <w:shd w:val="clear" w:color="auto" w:fill="F8ED7F"/>
        </w:rPr>
        <w:t>Dans le doute j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laissé aussi vague que possible, mais est-il qu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il y aurait un moyen de vérifier exactement ce que sont tous ces éléments ?</w:t>
      </w:r>
      <w:r>
        <w:rPr>
          <w:shd w:val="clear" w:color="auto" w:fill="F8ED7F"/>
        </w:rPr>
        <w:br/>
        <w:t>Est-ce qu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il se pourrait par exemple que les "event materials and branded display units" soient en fait des objets et pas des documents (comme je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imaginais jusqu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ici) et qu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il s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agisse donc plutôt de matériel évènementiel et de mobilier de présentation ?</w:t>
      </w:r>
      <w:r>
        <w:rPr>
          <w:shd w:val="clear" w:color="auto" w:fill="F8ED7F"/>
        </w:rPr>
        <w:br/>
        <w:t>Si c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est le cas, "marketing collateral" ne pourrait plus être de la simple "documentation marketing" mais quelque chose comme "Objets marketing dérivés" ?</w:t>
      </w:r>
    </w:p>
  </w:comment>
  <w:comment w:id="32" w:author="Maite Suengas" w:date="2017-01-17T08:59:00Z" w:initials="MS">
    <w:p w14:paraId="44629383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Attention à l</w:t>
      </w:r>
      <w:r w:rsidR="000051E6">
        <w:t>’</w:t>
      </w:r>
      <w:r>
        <w:t>accent (événement). A l</w:t>
      </w:r>
      <w:r w:rsidR="000051E6">
        <w:t>’</w:t>
      </w:r>
      <w:r>
        <w:t>ONU, on évite le mot "événement" et on lui préfère "manifestation".</w:t>
      </w:r>
    </w:p>
  </w:comment>
  <w:comment w:id="33" w:author="Maite Suengas" w:date="2017-01-17T08:59:00Z" w:initials="MS">
    <w:p w14:paraId="14C1D23F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« significatif » n</w:t>
      </w:r>
      <w:r w:rsidR="000051E6">
        <w:t>’</w:t>
      </w:r>
      <w:r>
        <w:t>a pas ce sens (en tout cas on ne l</w:t>
      </w:r>
      <w:r w:rsidR="000051E6">
        <w:t>’</w:t>
      </w:r>
      <w:r>
        <w:t>utilise pas à l</w:t>
      </w:r>
      <w:r w:rsidR="000051E6">
        <w:t>’</w:t>
      </w:r>
      <w:r>
        <w:t>onu). A éviter dans ce contexte.</w:t>
      </w:r>
    </w:p>
  </w:comment>
  <w:comment w:id="34" w:author="diane.belud" w:date="2017-01-17T08:59:00Z" w:initials="">
    <w:p w14:paraId="6AAB8391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Je n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pas bien compris ce qui est entendu par "contacts expanded into a database", "intégrés" m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 semblé logique. J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avais aussi pensé à "dématérialisés", mais je ne sais pas s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ils ne le sont pas déjà.</w:t>
      </w:r>
    </w:p>
    <w:p w14:paraId="50E332DB" w14:textId="77777777" w:rsidR="00EE1F83" w:rsidRDefault="00EE1F83">
      <w:pPr>
        <w:rPr>
          <w:shd w:val="clear" w:color="auto" w:fill="F8ED7F"/>
        </w:rPr>
      </w:pPr>
    </w:p>
    <w:p w14:paraId="3722EBF4" w14:textId="77777777" w:rsidR="00EE1F83" w:rsidRDefault="00EE1F83">
      <w:r w:rsidRPr="003B5D88">
        <w:rPr>
          <w:highlight w:val="green"/>
          <w:shd w:val="clear" w:color="auto" w:fill="F8ED7F"/>
        </w:rPr>
        <w:t>J</w:t>
      </w:r>
      <w:r w:rsidR="000051E6">
        <w:rPr>
          <w:highlight w:val="green"/>
          <w:shd w:val="clear" w:color="auto" w:fill="F8ED7F"/>
        </w:rPr>
        <w:t>’</w:t>
      </w:r>
      <w:r w:rsidRPr="003B5D88">
        <w:rPr>
          <w:highlight w:val="green"/>
          <w:shd w:val="clear" w:color="auto" w:fill="F8ED7F"/>
        </w:rPr>
        <w:t>ai pas mieux. Peut-être veulent-ils dire que les données seront exportées/transférées dans la base de données?</w:t>
      </w:r>
    </w:p>
  </w:comment>
  <w:comment w:id="35" w:author="diane.belud" w:date="2017-01-17T08:59:00Z" w:initials="">
    <w:p w14:paraId="51C2B4CC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 xml:space="preserve">Inspiré de "informatique/information en nuage" validé par le JO du 24/04/2010 </w:t>
      </w:r>
      <w:hyperlink r:id="rId1" w:history="1">
        <w:r>
          <w:rPr>
            <w:rStyle w:val="Hyperlink"/>
            <w:shd w:val="clear" w:color="auto" w:fill="F8ED7F"/>
          </w:rPr>
          <w:t>https://www.legifrance.gouv.fr/affichTexte.do;jsessionid=1A09661E039E954E731375B287E27A0F.tpdila09v_2?cidTexte=JORFTEXT000022134019&amp;dateTexte=&amp;oldAction=rechJO&amp;categorieLien=id&amp;idJO=JORFCONT000022133229</w:t>
        </w:r>
      </w:hyperlink>
      <w:r>
        <w:rPr>
          <w:shd w:val="clear" w:color="auto" w:fill="F8ED7F"/>
        </w:rPr>
        <w:br/>
        <w:t>Ça tombe bien, le JO du même jour règle aussi le problème de "breaking news" un peu plus bas.</w:t>
      </w:r>
    </w:p>
    <w:p w14:paraId="359EE90D" w14:textId="77777777" w:rsidR="00EE1F83" w:rsidRDefault="00EE1F83">
      <w:pPr>
        <w:rPr>
          <w:shd w:val="clear" w:color="auto" w:fill="F8ED7F"/>
        </w:rPr>
      </w:pPr>
    </w:p>
    <w:p w14:paraId="2C5F63A0" w14:textId="77777777" w:rsidR="00EE1F83" w:rsidRDefault="00EE1F83">
      <w:r w:rsidRPr="003B5D88">
        <w:rPr>
          <w:highlight w:val="green"/>
          <w:shd w:val="clear" w:color="auto" w:fill="F8ED7F"/>
        </w:rPr>
        <w:t>J</w:t>
      </w:r>
      <w:r w:rsidR="000051E6">
        <w:rPr>
          <w:highlight w:val="green"/>
          <w:shd w:val="clear" w:color="auto" w:fill="F8ED7F"/>
        </w:rPr>
        <w:t>’</w:t>
      </w:r>
      <w:r w:rsidRPr="003B5D88">
        <w:rPr>
          <w:highlight w:val="green"/>
          <w:shd w:val="clear" w:color="auto" w:fill="F8ED7F"/>
        </w:rPr>
        <w:t>adore la solution de Termium (infonuag</w:t>
      </w:r>
      <w:r>
        <w:rPr>
          <w:highlight w:val="green"/>
          <w:shd w:val="clear" w:color="auto" w:fill="F8ED7F"/>
        </w:rPr>
        <w:t>ique</w:t>
      </w:r>
      <w:r w:rsidRPr="003B5D88">
        <w:rPr>
          <w:highlight w:val="green"/>
          <w:shd w:val="clear" w:color="auto" w:fill="F8ED7F"/>
        </w:rPr>
        <w:t>) hahahahaha!</w:t>
      </w:r>
      <w:r>
        <w:rPr>
          <w:shd w:val="clear" w:color="auto" w:fill="F8ED7F"/>
        </w:rPr>
        <w:t xml:space="preserve"> </w:t>
      </w:r>
      <w:r w:rsidRPr="003B5D88">
        <w:rPr>
          <w:highlight w:val="green"/>
          <w:shd w:val="clear" w:color="auto" w:fill="F8ED7F"/>
        </w:rPr>
        <w:t>On aurait pu dire aussi "dans un nuage".</w:t>
      </w:r>
    </w:p>
  </w:comment>
  <w:comment w:id="36" w:author="Maite Suengas" w:date="2017-01-13T12:22:00Z" w:initials="MS">
    <w:p w14:paraId="627DCB0A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redondant</w:t>
      </w:r>
    </w:p>
  </w:comment>
  <w:comment w:id="37" w:author="diane.belud" w:date="2017-01-17T08:59:00Z" w:initials="">
    <w:p w14:paraId="0EE31747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 xml:space="preserve">Traduction trouvée ici </w:t>
      </w:r>
      <w:hyperlink r:id="rId2" w:history="1">
        <w:r>
          <w:rPr>
            <w:rStyle w:val="Hyperlink"/>
            <w:shd w:val="clear" w:color="auto" w:fill="F8ED7F"/>
          </w:rPr>
          <w:t>http://newsroom.unfccc.int/fr/actualit%C3%A9s/onu-bonn-lance-nouveau-site-web-dynamique/</w:t>
        </w:r>
      </w:hyperlink>
      <w:r>
        <w:rPr>
          <w:shd w:val="clear" w:color="auto" w:fill="F8ED7F"/>
        </w:rPr>
        <w:br/>
        <w:t>Est-ce que c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est fiable ?</w:t>
      </w:r>
      <w:r>
        <w:rPr>
          <w:shd w:val="clear" w:color="auto" w:fill="F8ED7F"/>
        </w:rPr>
        <w:br/>
        <w:t>Le site officiel de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ONU à Bonn n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est disponible qu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en anglais et allemand.</w:t>
      </w:r>
    </w:p>
    <w:p w14:paraId="3900ADB3" w14:textId="77777777" w:rsidR="00EE1F83" w:rsidRDefault="00EE1F83">
      <w:pPr>
        <w:rPr>
          <w:shd w:val="clear" w:color="auto" w:fill="F8ED7F"/>
        </w:rPr>
      </w:pPr>
    </w:p>
    <w:p w14:paraId="6A147AA0" w14:textId="77777777" w:rsidR="00EE1F83" w:rsidRDefault="00EE1F83">
      <w:r w:rsidRPr="0060682A">
        <w:rPr>
          <w:rStyle w:val="CommentReference"/>
          <w:highlight w:val="green"/>
        </w:rPr>
        <w:t>Dans la nomenclature, on traduit « unit » par « groupe » et non « unité », donc je ne suivrais pas le site</w:t>
      </w:r>
    </w:p>
  </w:comment>
  <w:comment w:id="38" w:author="Maite Suengas" w:date="2017-01-13T12:22:00Z" w:initials="MS">
    <w:p w14:paraId="2EB13AB8" w14:textId="77777777" w:rsidR="00EE1F83" w:rsidRPr="00172F77" w:rsidRDefault="00EE1F83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172F77">
        <w:rPr>
          <w:lang w:val="es-ES"/>
        </w:rPr>
        <w:t>Minuscule</w:t>
      </w:r>
    </w:p>
  </w:comment>
  <w:comment w:id="39" w:author="Maite Suengas" w:date="2017-01-13T12:22:00Z" w:initials="MS">
    <w:p w14:paraId="60268294" w14:textId="77777777" w:rsidR="00EE1F83" w:rsidRPr="00172F77" w:rsidRDefault="00EE1F83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172F77">
        <w:rPr>
          <w:lang w:val="es-ES"/>
        </w:rPr>
        <w:t>Beurk (ha ha ha)</w:t>
      </w:r>
    </w:p>
  </w:comment>
  <w:comment w:id="40" w:author="Maite Suengas" w:date="2017-01-13T12:22:00Z" w:initials="MS">
    <w:p w14:paraId="406C4A85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Seulement dans les contextes « spatiaux ».</w:t>
      </w:r>
    </w:p>
  </w:comment>
  <w:comment w:id="41" w:author="Maite Suengas" w:date="2017-01-13T12:22:00Z" w:initials="MS">
    <w:p w14:paraId="1573B998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Virgule (on peut supprimer le complément)</w:t>
      </w:r>
    </w:p>
  </w:comment>
  <w:comment w:id="42" w:author="Maite Suengas" w:date="2017-01-13T12:22:00Z" w:initials="MS">
    <w:p w14:paraId="13A3B791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Lessons learned = enseignements tirés (en général)</w:t>
      </w:r>
    </w:p>
  </w:comment>
  <w:comment w:id="43" w:author="Maite Suengas" w:date="2017-01-17T08:59:00Z" w:initials="MS">
    <w:p w14:paraId="0AC5E3C3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On évitera l</w:t>
      </w:r>
      <w:r w:rsidR="000051E6">
        <w:t>’</w:t>
      </w:r>
      <w:r>
        <w:t>utilisation du terme « impact », sauf à parler de l</w:t>
      </w:r>
      <w:r w:rsidR="000051E6">
        <w:t>’</w:t>
      </w:r>
      <w:r>
        <w:t>impact environnemental</w:t>
      </w:r>
    </w:p>
  </w:comment>
  <w:comment w:id="44" w:author="Maite Suengas" w:date="2017-01-13T12:22:00Z" w:initials="MS">
    <w:p w14:paraId="64BF5826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Jamais entendu</w:t>
      </w:r>
    </w:p>
  </w:comment>
  <w:comment w:id="45" w:author="diane.belud" w:date="2017-01-13T12:22:00Z" w:initials="">
    <w:p w14:paraId="1BA59F5F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VINTARS dit "accords environnementaux multilatéraux"… ?</w:t>
      </w:r>
    </w:p>
    <w:p w14:paraId="3BDFB2C3" w14:textId="77777777" w:rsidR="00EE1F83" w:rsidRDefault="00EE1F83">
      <w:pPr>
        <w:rPr>
          <w:shd w:val="clear" w:color="auto" w:fill="F8ED7F"/>
        </w:rPr>
      </w:pPr>
    </w:p>
    <w:p w14:paraId="0FD9C5F9" w14:textId="77777777" w:rsidR="00EE1F83" w:rsidRDefault="00EE1F83">
      <w:r w:rsidRPr="002A4127">
        <w:rPr>
          <w:highlight w:val="green"/>
          <w:shd w:val="clear" w:color="auto" w:fill="F8ED7F"/>
        </w:rPr>
        <w:t>Pas nous</w:t>
      </w:r>
    </w:p>
  </w:comment>
  <w:comment w:id="46" w:author="Maite Suengas" w:date="2017-01-17T08:59:00Z" w:initials="MS">
    <w:p w14:paraId="308CA0D9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Attention à l</w:t>
      </w:r>
      <w:r w:rsidR="000051E6">
        <w:t>’</w:t>
      </w:r>
      <w:r>
        <w:t>utilisation abusive de la préposition « sur », qui n</w:t>
      </w:r>
      <w:r w:rsidR="000051E6">
        <w:t>’</w:t>
      </w:r>
      <w:r>
        <w:t>appartient pas à un registre assez soigné dans cette acception.</w:t>
      </w:r>
    </w:p>
  </w:comment>
  <w:comment w:id="47" w:author="Maite Suengas" w:date="2017-01-17T08:59:00Z" w:initials="MS">
    <w:p w14:paraId="1E0371F0" w14:textId="77777777" w:rsidR="00EE1F83" w:rsidRDefault="00EE1F83">
      <w:pPr>
        <w:pStyle w:val="CommentText"/>
      </w:pPr>
      <w:r>
        <w:t>"</w:t>
      </w:r>
      <w:r>
        <w:rPr>
          <w:rStyle w:val="CommentReference"/>
        </w:rPr>
        <w:annotationRef/>
      </w:r>
      <w:r>
        <w:t>Expertise" se rend souvent par un mot composé comprenant l</w:t>
      </w:r>
      <w:r w:rsidR="000051E6">
        <w:t>’</w:t>
      </w:r>
      <w:r>
        <w:t>adjectif "spécialisé" et rarement par "expertise".</w:t>
      </w:r>
    </w:p>
  </w:comment>
  <w:comment w:id="48" w:author="Maite Suengas" w:date="2017-01-13T12:22:00Z" w:initials="MS">
    <w:p w14:paraId="0536B425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Omission (significant)</w:t>
      </w:r>
    </w:p>
  </w:comment>
  <w:comment w:id="49" w:author="Maite Suengas" w:date="2017-01-17T08:59:00Z" w:initials="MS">
    <w:p w14:paraId="1EA9AC83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C</w:t>
      </w:r>
      <w:r w:rsidR="000051E6">
        <w:t>’</w:t>
      </w:r>
      <w:r>
        <w:t>est tout à fait ça</w:t>
      </w:r>
    </w:p>
  </w:comment>
  <w:comment w:id="50" w:author="Maite Suengas" w:date="2017-01-17T08:59:00Z" w:initials="MS">
    <w:p w14:paraId="6E4BD27D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Ça n</w:t>
      </w:r>
      <w:r w:rsidR="000051E6">
        <w:t>’</w:t>
      </w:r>
      <w:r>
        <w:t>a pas vraiment de sens (en anglais)</w:t>
      </w:r>
    </w:p>
  </w:comment>
  <w:comment w:id="51" w:author="Maite Suengas" w:date="2017-01-17T08:59:00Z" w:initials="MS">
    <w:p w14:paraId="6DD6E863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Le lancement de la phase ne peut pas comprendre des activités. C</w:t>
      </w:r>
      <w:r w:rsidR="000051E6">
        <w:t>’</w:t>
      </w:r>
      <w:r>
        <w:t>est la phase elle-même qui les comprend. Du coup, on peut déplacer le « lancement » au sein du complément de temps.</w:t>
      </w:r>
    </w:p>
  </w:comment>
  <w:comment w:id="52" w:author="Maite Suengas" w:date="2017-01-13T12:22:00Z" w:initials="MS">
    <w:p w14:paraId="689E1C38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redondant</w:t>
      </w:r>
    </w:p>
  </w:comment>
  <w:comment w:id="53" w:author="diane.belud" w:date="2017-01-17T08:59:00Z" w:initials="">
    <w:p w14:paraId="14AD6CBC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J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ai l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impression de m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être pas mal éloignée, mais c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est la seule signification que je voyais dans la version anglaise.</w:t>
      </w:r>
    </w:p>
    <w:p w14:paraId="5C311A59" w14:textId="77777777" w:rsidR="00EE1F83" w:rsidRDefault="00EE1F83">
      <w:pPr>
        <w:rPr>
          <w:shd w:val="clear" w:color="auto" w:fill="F8ED7F"/>
        </w:rPr>
      </w:pPr>
    </w:p>
    <w:p w14:paraId="62CCAF0F" w14:textId="77777777" w:rsidR="00EE1F83" w:rsidRDefault="00EE1F83">
      <w:r w:rsidRPr="0009495B">
        <w:rPr>
          <w:highlight w:val="green"/>
          <w:shd w:val="clear" w:color="auto" w:fill="F8ED7F"/>
        </w:rPr>
        <w:t>Selon moi, c</w:t>
      </w:r>
      <w:r w:rsidR="000051E6">
        <w:rPr>
          <w:highlight w:val="green"/>
          <w:shd w:val="clear" w:color="auto" w:fill="F8ED7F"/>
        </w:rPr>
        <w:t>’</w:t>
      </w:r>
      <w:r w:rsidRPr="0009495B">
        <w:rPr>
          <w:highlight w:val="green"/>
          <w:shd w:val="clear" w:color="auto" w:fill="F8ED7F"/>
        </w:rPr>
        <w:t>est la bonne interprétation.</w:t>
      </w:r>
    </w:p>
  </w:comment>
  <w:comment w:id="54" w:author="Maite Suengas" w:date="2017-01-13T12:22:00Z" w:initials="MS">
    <w:p w14:paraId="6164AD69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Vérifié dans UNTERM (indiquer systématiquement ce genre de vérification)</w:t>
      </w:r>
    </w:p>
  </w:comment>
  <w:comment w:id="55" w:author="Maite Suengas" w:date="2017-01-13T12:22:00Z" w:initials="MS">
    <w:p w14:paraId="6E5D829D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Idem</w:t>
      </w:r>
    </w:p>
  </w:comment>
  <w:comment w:id="56" w:author="Maite Suengas" w:date="2017-01-13T12:22:00Z" w:initials="MS">
    <w:p w14:paraId="1468A957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Idem</w:t>
      </w:r>
    </w:p>
  </w:comment>
  <w:comment w:id="57" w:author="Maite Suengas" w:date="2017-01-13T12:22:00Z" w:initials="MS">
    <w:p w14:paraId="0E351C17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Vérifié dans UNTERM</w:t>
      </w:r>
    </w:p>
  </w:comment>
  <w:comment w:id="58" w:author="Maite Suengas" w:date="2017-01-17T08:59:00Z" w:initials="MS">
    <w:p w14:paraId="26835BA6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On dira que le Bureau supervise pour appuyer les équipes. Ce n</w:t>
      </w:r>
      <w:r w:rsidR="000051E6">
        <w:t>’</w:t>
      </w:r>
      <w:r>
        <w:t>est pas le sens de la phrase.</w:t>
      </w:r>
    </w:p>
  </w:comment>
  <w:comment w:id="59" w:author="diane.belud" w:date="2017-01-17T08:59:00Z" w:initials="">
    <w:p w14:paraId="185FB91D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UNTERM propose ça mais il n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y a apparemment pas de traduction officielle</w:t>
      </w:r>
    </w:p>
    <w:p w14:paraId="2B4D3DCA" w14:textId="77777777" w:rsidR="00EE1F83" w:rsidRDefault="00EE1F83">
      <w:pPr>
        <w:rPr>
          <w:shd w:val="clear" w:color="auto" w:fill="F8ED7F"/>
        </w:rPr>
      </w:pPr>
    </w:p>
    <w:p w14:paraId="4D484752" w14:textId="77777777" w:rsidR="00EE1F83" w:rsidRDefault="00EE1F83">
      <w:r w:rsidRPr="005352B2">
        <w:rPr>
          <w:highlight w:val="green"/>
          <w:shd w:val="clear" w:color="auto" w:fill="F8ED7F"/>
        </w:rPr>
        <w:t>Donc je rajoute le sigle anglais</w:t>
      </w:r>
    </w:p>
  </w:comment>
  <w:comment w:id="61" w:author="Maite Suengas" w:date="2017-01-13T12:22:00Z" w:initials="MS">
    <w:p w14:paraId="68E505EE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La note dans UNTERM explique que le Réseau relève du Groupe.</w:t>
      </w:r>
    </w:p>
  </w:comment>
  <w:comment w:id="62" w:author="Maite Suengas" w:date="2017-01-17T08:59:00Z" w:initials="MS">
    <w:p w14:paraId="35215FF1" w14:textId="77777777" w:rsidR="004239FC" w:rsidRDefault="004239FC">
      <w:pPr>
        <w:pStyle w:val="CommentText"/>
      </w:pPr>
      <w:r>
        <w:rPr>
          <w:rStyle w:val="CommentReference"/>
        </w:rPr>
        <w:annotationRef/>
      </w:r>
      <w:r>
        <w:t>La fiche UNTERM indique que ce terme (en anglais) n</w:t>
      </w:r>
      <w:r w:rsidR="000051E6">
        <w:t>’</w:t>
      </w:r>
      <w:r>
        <w:t>existe plus. Il faut le signaler aux éditeurs.</w:t>
      </w:r>
    </w:p>
  </w:comment>
  <w:comment w:id="60" w:author="Maite Suengas" w:date="2017-01-13T12:22:00Z" w:initials="MS">
    <w:p w14:paraId="5C6A6A47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Indiquer que ces termes sont vérifiés dans UNTERM.</w:t>
      </w:r>
    </w:p>
  </w:comment>
  <w:comment w:id="63" w:author="diane.belud" w:date="2017-01-17T08:59:00Z" w:initials="">
    <w:p w14:paraId="797C1BCD" w14:textId="77777777" w:rsidR="00EE1F83" w:rsidRDefault="00EE1F83">
      <w:pPr>
        <w:rPr>
          <w:shd w:val="clear" w:color="auto" w:fill="F8ED7F"/>
        </w:rPr>
      </w:pPr>
      <w:r>
        <w:rPr>
          <w:shd w:val="clear" w:color="auto" w:fill="F8ED7F"/>
        </w:rPr>
        <w:t>Je ne suis pas sûre d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avoir compris comment s</w:t>
      </w:r>
      <w:r w:rsidR="000051E6">
        <w:rPr>
          <w:shd w:val="clear" w:color="auto" w:fill="F8ED7F"/>
        </w:rPr>
        <w:t>’</w:t>
      </w:r>
      <w:r>
        <w:rPr>
          <w:shd w:val="clear" w:color="auto" w:fill="F8ED7F"/>
        </w:rPr>
        <w:t>articule la phrase en anglais</w:t>
      </w:r>
    </w:p>
    <w:p w14:paraId="29438AE6" w14:textId="77777777" w:rsidR="006B0A50" w:rsidRDefault="006B0A50">
      <w:pPr>
        <w:rPr>
          <w:shd w:val="clear" w:color="auto" w:fill="F8ED7F"/>
        </w:rPr>
      </w:pPr>
    </w:p>
    <w:p w14:paraId="1F34641C" w14:textId="77777777" w:rsidR="006B0A50" w:rsidRDefault="006B0A50">
      <w:r w:rsidRPr="006B0A50">
        <w:rPr>
          <w:highlight w:val="green"/>
          <w:shd w:val="clear" w:color="auto" w:fill="F8ED7F"/>
        </w:rPr>
        <w:t>En gros, ça dit qu</w:t>
      </w:r>
      <w:r w:rsidR="000051E6">
        <w:rPr>
          <w:highlight w:val="green"/>
          <w:shd w:val="clear" w:color="auto" w:fill="F8ED7F"/>
        </w:rPr>
        <w:t>’</w:t>
      </w:r>
      <w:r w:rsidRPr="006B0A50">
        <w:rPr>
          <w:highlight w:val="green"/>
          <w:shd w:val="clear" w:color="auto" w:fill="F8ED7F"/>
        </w:rPr>
        <w:t>il faut déterminer qui fait quoi concernant le portail et le renforcement des capacités (je crois)</w:t>
      </w:r>
    </w:p>
  </w:comment>
  <w:comment w:id="64" w:author="Maite Suengas" w:date="2017-01-13T12:22:00Z" w:initials="MS">
    <w:p w14:paraId="37F155BF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Majuscule. UNTERM</w:t>
      </w:r>
    </w:p>
  </w:comment>
  <w:comment w:id="65" w:author="Maite Suengas" w:date="2017-01-17T08:59:00Z" w:initials="MS">
    <w:p w14:paraId="4073567B" w14:textId="77777777" w:rsidR="00EE1F83" w:rsidRDefault="00EE1F83">
      <w:pPr>
        <w:pStyle w:val="CommentText"/>
      </w:pPr>
      <w:r>
        <w:rPr>
          <w:rStyle w:val="CommentReference"/>
        </w:rPr>
        <w:annotationRef/>
      </w:r>
      <w:r>
        <w:t>Attention à l</w:t>
      </w:r>
      <w:r w:rsidR="000051E6">
        <w:t>’</w:t>
      </w:r>
      <w:r>
        <w:t>utilisation du terme « indigène 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89D4AD" w15:done="0"/>
  <w15:commentEx w15:paraId="23B0E00B" w15:done="0"/>
  <w15:commentEx w15:paraId="538FCEC0" w15:done="0"/>
  <w15:commentEx w15:paraId="74465C8C" w15:done="0"/>
  <w15:commentEx w15:paraId="4A595647" w15:done="0"/>
  <w15:commentEx w15:paraId="604FBF87" w15:done="0"/>
  <w15:commentEx w15:paraId="6E7380CC" w15:done="0"/>
  <w15:commentEx w15:paraId="6020FB62" w15:done="0"/>
  <w15:commentEx w15:paraId="6C58C061" w15:done="0"/>
  <w15:commentEx w15:paraId="23D94B04" w15:done="0"/>
  <w15:commentEx w15:paraId="621FA301" w15:done="0"/>
  <w15:commentEx w15:paraId="5B1765C6" w15:done="0"/>
  <w15:commentEx w15:paraId="2BA84B87" w15:done="0"/>
  <w15:commentEx w15:paraId="7266316A" w15:done="0"/>
  <w15:commentEx w15:paraId="55829243" w15:done="0"/>
  <w15:commentEx w15:paraId="0D31FDC4" w15:done="0"/>
  <w15:commentEx w15:paraId="51E1117B" w15:done="0"/>
  <w15:commentEx w15:paraId="42688E40" w15:done="0"/>
  <w15:commentEx w15:paraId="4025FCAD" w15:done="0"/>
  <w15:commentEx w15:paraId="0C5B4102" w15:done="0"/>
  <w15:commentEx w15:paraId="4945692F" w15:done="0"/>
  <w15:commentEx w15:paraId="06E1154E" w15:done="0"/>
  <w15:commentEx w15:paraId="03FB1407" w15:done="0"/>
  <w15:commentEx w15:paraId="523BF6FB" w15:done="0"/>
  <w15:commentEx w15:paraId="22BDB46B" w15:done="0"/>
  <w15:commentEx w15:paraId="62BF3793" w15:done="0"/>
  <w15:commentEx w15:paraId="5CC3DFE9" w15:done="0"/>
  <w15:commentEx w15:paraId="65614865" w15:done="0"/>
  <w15:commentEx w15:paraId="602330D1" w15:done="0"/>
  <w15:commentEx w15:paraId="4114B1DE" w15:done="0"/>
  <w15:commentEx w15:paraId="51F879B9" w15:done="0"/>
  <w15:commentEx w15:paraId="44629383" w15:done="0"/>
  <w15:commentEx w15:paraId="14C1D23F" w15:done="0"/>
  <w15:commentEx w15:paraId="3722EBF4" w15:done="0"/>
  <w15:commentEx w15:paraId="2C5F63A0" w15:done="0"/>
  <w15:commentEx w15:paraId="627DCB0A" w15:done="0"/>
  <w15:commentEx w15:paraId="6A147AA0" w15:done="0"/>
  <w15:commentEx w15:paraId="2EB13AB8" w15:done="0"/>
  <w15:commentEx w15:paraId="60268294" w15:done="0"/>
  <w15:commentEx w15:paraId="406C4A85" w15:done="0"/>
  <w15:commentEx w15:paraId="1573B998" w15:done="0"/>
  <w15:commentEx w15:paraId="13A3B791" w15:done="0"/>
  <w15:commentEx w15:paraId="0AC5E3C3" w15:done="0"/>
  <w15:commentEx w15:paraId="64BF5826" w15:done="0"/>
  <w15:commentEx w15:paraId="0FD9C5F9" w15:done="0"/>
  <w15:commentEx w15:paraId="308CA0D9" w15:done="0"/>
  <w15:commentEx w15:paraId="1E0371F0" w15:done="0"/>
  <w15:commentEx w15:paraId="0536B425" w15:done="0"/>
  <w15:commentEx w15:paraId="1EA9AC83" w15:done="0"/>
  <w15:commentEx w15:paraId="6E4BD27D" w15:done="0"/>
  <w15:commentEx w15:paraId="6DD6E863" w15:done="0"/>
  <w15:commentEx w15:paraId="689E1C38" w15:done="0"/>
  <w15:commentEx w15:paraId="62CCAF0F" w15:done="0"/>
  <w15:commentEx w15:paraId="6164AD69" w15:done="0"/>
  <w15:commentEx w15:paraId="6E5D829D" w15:done="0"/>
  <w15:commentEx w15:paraId="1468A957" w15:done="0"/>
  <w15:commentEx w15:paraId="0E351C17" w15:done="0"/>
  <w15:commentEx w15:paraId="26835BA6" w15:done="0"/>
  <w15:commentEx w15:paraId="4D484752" w15:done="0"/>
  <w15:commentEx w15:paraId="68E505EE" w15:done="0"/>
  <w15:commentEx w15:paraId="35215FF1" w15:done="0"/>
  <w15:commentEx w15:paraId="5C6A6A47" w15:done="0"/>
  <w15:commentEx w15:paraId="1F34641C" w15:done="0"/>
  <w15:commentEx w15:paraId="37F155BF" w15:done="0"/>
  <w15:commentEx w15:paraId="407356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508D" w14:textId="77777777" w:rsidR="00841419" w:rsidRDefault="00841419">
      <w:r>
        <w:separator/>
      </w:r>
    </w:p>
  </w:endnote>
  <w:endnote w:type="continuationSeparator" w:id="0">
    <w:p w14:paraId="0766830D" w14:textId="77777777" w:rsidR="00841419" w:rsidRDefault="008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07F7" w14:textId="433DBF46" w:rsidR="00EE1F83" w:rsidRDefault="00EE1F8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5FC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E14F" w14:textId="3143FCE0" w:rsidR="00EE1F83" w:rsidRDefault="00EE1F8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5F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F825" w14:textId="77777777" w:rsidR="00EE1F83" w:rsidRPr="00A07D4D" w:rsidRDefault="00CB5082" w:rsidP="00213E79">
    <w:pPr>
      <w:pStyle w:val="Normal-pool"/>
    </w:pPr>
    <w:r>
      <w:rPr>
        <w:lang w:val="fr-FR"/>
      </w:rPr>
      <w:t>K1612042</w:t>
    </w:r>
    <w:r w:rsidR="00EE1F83">
      <w:rPr>
        <w:lang w:val="fr-FR"/>
      </w:rPr>
      <w:tab/>
    </w:r>
    <w:r w:rsidR="00926368">
      <w:rPr>
        <w:lang w:val="fr-FR"/>
      </w:rPr>
      <w:t>19</w:t>
    </w:r>
    <w:r>
      <w:rPr>
        <w:lang w:val="fr-FR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A439" w14:textId="77777777" w:rsidR="00841419" w:rsidRPr="00022429" w:rsidRDefault="00841419" w:rsidP="0002242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022429">
        <w:rPr>
          <w:sz w:val="18"/>
          <w:szCs w:val="18"/>
        </w:rPr>
        <w:separator/>
      </w:r>
    </w:p>
  </w:footnote>
  <w:footnote w:type="continuationSeparator" w:id="0">
    <w:p w14:paraId="28887DF0" w14:textId="77777777" w:rsidR="00841419" w:rsidRDefault="00841419">
      <w:r>
        <w:continuationSeparator/>
      </w:r>
    </w:p>
  </w:footnote>
  <w:footnote w:id="1">
    <w:p w14:paraId="39E5B0DC" w14:textId="77777777" w:rsidR="000051E6" w:rsidRPr="001E2095" w:rsidRDefault="000051E6" w:rsidP="000051E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  <w:lang w:val="fr-FR"/>
        </w:rPr>
      </w:pPr>
      <w:r w:rsidRPr="001E2095">
        <w:rPr>
          <w:rStyle w:val="FootnoteReference"/>
          <w:spacing w:val="5"/>
          <w:w w:val="104"/>
          <w:sz w:val="18"/>
          <w:vertAlign w:val="baseline"/>
          <w:lang w:val="fr-FR"/>
        </w:rPr>
        <w:t>*</w:t>
      </w:r>
      <w:r w:rsidRPr="001E2095">
        <w:rPr>
          <w:sz w:val="18"/>
          <w:szCs w:val="18"/>
          <w:lang w:val="fr-FR"/>
        </w:rPr>
        <w:t xml:space="preserve"> IPBES/5/1/Rev.1.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D844" w14:textId="77777777" w:rsidR="00EE1F83" w:rsidRPr="009F65FC" w:rsidRDefault="00EE1F83" w:rsidP="009F65FC">
    <w:pPr>
      <w:pStyle w:val="Header"/>
      <w:rPr>
        <w:szCs w:val="18"/>
        <w:lang w:val="en-GB"/>
      </w:rPr>
    </w:pPr>
    <w:r w:rsidRPr="00A07D4D">
      <w:rPr>
        <w:szCs w:val="18"/>
        <w:lang w:val="en-GB"/>
      </w:rPr>
      <w:t>IPBES/5/9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D9E8" w14:textId="77777777" w:rsidR="00EE1F83" w:rsidRPr="009F65FC" w:rsidRDefault="00EE1F83" w:rsidP="009F65FC">
    <w:pPr>
      <w:pStyle w:val="Header"/>
      <w:jc w:val="right"/>
      <w:rPr>
        <w:szCs w:val="18"/>
        <w:lang w:val="en-GB"/>
      </w:rPr>
    </w:pPr>
    <w:r w:rsidRPr="00A07D4D">
      <w:rPr>
        <w:szCs w:val="18"/>
        <w:lang w:val="en-GB"/>
      </w:rPr>
      <w:t>IPBES/5/9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3BFB" w14:textId="77777777" w:rsidR="00EE1F83" w:rsidRDefault="00EE1F83" w:rsidP="00432F7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1CA41C88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  <w:i w:val="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4D"/>
    <w:rsid w:val="000051E6"/>
    <w:rsid w:val="000149E6"/>
    <w:rsid w:val="00022429"/>
    <w:rsid w:val="00024653"/>
    <w:rsid w:val="000247B0"/>
    <w:rsid w:val="00026997"/>
    <w:rsid w:val="00033E0B"/>
    <w:rsid w:val="00035EDE"/>
    <w:rsid w:val="00036740"/>
    <w:rsid w:val="00040AD5"/>
    <w:rsid w:val="00040EF9"/>
    <w:rsid w:val="000509B4"/>
    <w:rsid w:val="000510E9"/>
    <w:rsid w:val="0006035B"/>
    <w:rsid w:val="00071886"/>
    <w:rsid w:val="000742BC"/>
    <w:rsid w:val="00076DA0"/>
    <w:rsid w:val="00082A0C"/>
    <w:rsid w:val="00083504"/>
    <w:rsid w:val="00091ABB"/>
    <w:rsid w:val="000947C9"/>
    <w:rsid w:val="0009495B"/>
    <w:rsid w:val="0009640C"/>
    <w:rsid w:val="000B22A2"/>
    <w:rsid w:val="000C2A52"/>
    <w:rsid w:val="000C5CA1"/>
    <w:rsid w:val="000D33C0"/>
    <w:rsid w:val="000D3B23"/>
    <w:rsid w:val="000D6941"/>
    <w:rsid w:val="000E1A85"/>
    <w:rsid w:val="00103AAB"/>
    <w:rsid w:val="00105641"/>
    <w:rsid w:val="0010649D"/>
    <w:rsid w:val="001202E3"/>
    <w:rsid w:val="00123699"/>
    <w:rsid w:val="0013059D"/>
    <w:rsid w:val="00133C9F"/>
    <w:rsid w:val="00141A55"/>
    <w:rsid w:val="001446A3"/>
    <w:rsid w:val="00152805"/>
    <w:rsid w:val="00155395"/>
    <w:rsid w:val="00160D74"/>
    <w:rsid w:val="00163E83"/>
    <w:rsid w:val="00167D02"/>
    <w:rsid w:val="00172F77"/>
    <w:rsid w:val="00181EC8"/>
    <w:rsid w:val="00184349"/>
    <w:rsid w:val="00195F33"/>
    <w:rsid w:val="001A7E04"/>
    <w:rsid w:val="001B1617"/>
    <w:rsid w:val="001B504B"/>
    <w:rsid w:val="001D3874"/>
    <w:rsid w:val="001D39EA"/>
    <w:rsid w:val="001D7E75"/>
    <w:rsid w:val="001E56D2"/>
    <w:rsid w:val="001E7D56"/>
    <w:rsid w:val="001F75DE"/>
    <w:rsid w:val="00200D58"/>
    <w:rsid w:val="002013BE"/>
    <w:rsid w:val="002053E6"/>
    <w:rsid w:val="002063A4"/>
    <w:rsid w:val="0021145B"/>
    <w:rsid w:val="00213E79"/>
    <w:rsid w:val="00233461"/>
    <w:rsid w:val="00243D36"/>
    <w:rsid w:val="00247707"/>
    <w:rsid w:val="0025193F"/>
    <w:rsid w:val="0026018E"/>
    <w:rsid w:val="00281839"/>
    <w:rsid w:val="002863EA"/>
    <w:rsid w:val="00286740"/>
    <w:rsid w:val="0029147C"/>
    <w:rsid w:val="002929D8"/>
    <w:rsid w:val="00294366"/>
    <w:rsid w:val="002A237D"/>
    <w:rsid w:val="002A4127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5B59"/>
    <w:rsid w:val="002F2ED1"/>
    <w:rsid w:val="002F4761"/>
    <w:rsid w:val="002F5C79"/>
    <w:rsid w:val="003019E2"/>
    <w:rsid w:val="0031413F"/>
    <w:rsid w:val="003148BB"/>
    <w:rsid w:val="00317976"/>
    <w:rsid w:val="00355EA9"/>
    <w:rsid w:val="003578DE"/>
    <w:rsid w:val="00362F79"/>
    <w:rsid w:val="00386EE8"/>
    <w:rsid w:val="00396257"/>
    <w:rsid w:val="00397EB8"/>
    <w:rsid w:val="003A4FD0"/>
    <w:rsid w:val="003A69D1"/>
    <w:rsid w:val="003A7705"/>
    <w:rsid w:val="003A77F1"/>
    <w:rsid w:val="003B1545"/>
    <w:rsid w:val="003B4057"/>
    <w:rsid w:val="003B5D88"/>
    <w:rsid w:val="003C409D"/>
    <w:rsid w:val="003C5BA6"/>
    <w:rsid w:val="003D686B"/>
    <w:rsid w:val="003E451D"/>
    <w:rsid w:val="003F0332"/>
    <w:rsid w:val="003F0E85"/>
    <w:rsid w:val="00410C55"/>
    <w:rsid w:val="00416854"/>
    <w:rsid w:val="00417725"/>
    <w:rsid w:val="004239FC"/>
    <w:rsid w:val="00432F7D"/>
    <w:rsid w:val="00437F26"/>
    <w:rsid w:val="00444097"/>
    <w:rsid w:val="0044444A"/>
    <w:rsid w:val="00445487"/>
    <w:rsid w:val="00454769"/>
    <w:rsid w:val="00455F70"/>
    <w:rsid w:val="00466991"/>
    <w:rsid w:val="0047064C"/>
    <w:rsid w:val="0047516F"/>
    <w:rsid w:val="00475EA4"/>
    <w:rsid w:val="004A42E1"/>
    <w:rsid w:val="004B162C"/>
    <w:rsid w:val="004C3DBE"/>
    <w:rsid w:val="004C5204"/>
    <w:rsid w:val="004C5C96"/>
    <w:rsid w:val="004D06A4"/>
    <w:rsid w:val="004D08C4"/>
    <w:rsid w:val="004E3FBB"/>
    <w:rsid w:val="004F1A81"/>
    <w:rsid w:val="005218D9"/>
    <w:rsid w:val="00524653"/>
    <w:rsid w:val="005352B2"/>
    <w:rsid w:val="00536186"/>
    <w:rsid w:val="00544CBB"/>
    <w:rsid w:val="00561943"/>
    <w:rsid w:val="0056471D"/>
    <w:rsid w:val="005663F6"/>
    <w:rsid w:val="0057315F"/>
    <w:rsid w:val="00576104"/>
    <w:rsid w:val="005C67C8"/>
    <w:rsid w:val="005D0249"/>
    <w:rsid w:val="005D6E8C"/>
    <w:rsid w:val="005E76E6"/>
    <w:rsid w:val="005F100C"/>
    <w:rsid w:val="005F1988"/>
    <w:rsid w:val="005F68DA"/>
    <w:rsid w:val="00600471"/>
    <w:rsid w:val="0060682A"/>
    <w:rsid w:val="0060773B"/>
    <w:rsid w:val="006131C4"/>
    <w:rsid w:val="006157B5"/>
    <w:rsid w:val="00621BFA"/>
    <w:rsid w:val="00626FC6"/>
    <w:rsid w:val="006303B4"/>
    <w:rsid w:val="0063125C"/>
    <w:rsid w:val="00633D3D"/>
    <w:rsid w:val="00640022"/>
    <w:rsid w:val="00641703"/>
    <w:rsid w:val="006431A6"/>
    <w:rsid w:val="006459F6"/>
    <w:rsid w:val="006501AD"/>
    <w:rsid w:val="00651BFA"/>
    <w:rsid w:val="00654475"/>
    <w:rsid w:val="00665A4B"/>
    <w:rsid w:val="006779FF"/>
    <w:rsid w:val="00692E2A"/>
    <w:rsid w:val="006A62D1"/>
    <w:rsid w:val="006A76F2"/>
    <w:rsid w:val="006B0A50"/>
    <w:rsid w:val="006D7EFB"/>
    <w:rsid w:val="006E6672"/>
    <w:rsid w:val="006E6722"/>
    <w:rsid w:val="006F171D"/>
    <w:rsid w:val="006F1AFE"/>
    <w:rsid w:val="006F4652"/>
    <w:rsid w:val="007027B9"/>
    <w:rsid w:val="007128BE"/>
    <w:rsid w:val="00715E88"/>
    <w:rsid w:val="00734CAA"/>
    <w:rsid w:val="00741607"/>
    <w:rsid w:val="0075533C"/>
    <w:rsid w:val="00756C2A"/>
    <w:rsid w:val="00757581"/>
    <w:rsid w:val="007611A0"/>
    <w:rsid w:val="00766201"/>
    <w:rsid w:val="00796D3F"/>
    <w:rsid w:val="007A1683"/>
    <w:rsid w:val="007A5C12"/>
    <w:rsid w:val="007A7CB0"/>
    <w:rsid w:val="007B68A3"/>
    <w:rsid w:val="007C2541"/>
    <w:rsid w:val="007D66A8"/>
    <w:rsid w:val="007E003F"/>
    <w:rsid w:val="007E53D1"/>
    <w:rsid w:val="00812A43"/>
    <w:rsid w:val="008164F2"/>
    <w:rsid w:val="00821395"/>
    <w:rsid w:val="00830E26"/>
    <w:rsid w:val="00841419"/>
    <w:rsid w:val="00842C54"/>
    <w:rsid w:val="00843576"/>
    <w:rsid w:val="00843B64"/>
    <w:rsid w:val="008467E2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8F4673"/>
    <w:rsid w:val="00911A3E"/>
    <w:rsid w:val="00913794"/>
    <w:rsid w:val="0092178C"/>
    <w:rsid w:val="00926368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736A9"/>
    <w:rsid w:val="00990B9B"/>
    <w:rsid w:val="009A0743"/>
    <w:rsid w:val="009B4A0F"/>
    <w:rsid w:val="009C11D2"/>
    <w:rsid w:val="009C6C70"/>
    <w:rsid w:val="009D0B63"/>
    <w:rsid w:val="009E307E"/>
    <w:rsid w:val="009F65FC"/>
    <w:rsid w:val="00A07870"/>
    <w:rsid w:val="00A07D4D"/>
    <w:rsid w:val="00A07F19"/>
    <w:rsid w:val="00A1348D"/>
    <w:rsid w:val="00A232EE"/>
    <w:rsid w:val="00A263F8"/>
    <w:rsid w:val="00A27C68"/>
    <w:rsid w:val="00A35763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1146"/>
    <w:rsid w:val="00A72437"/>
    <w:rsid w:val="00A80611"/>
    <w:rsid w:val="00AB5340"/>
    <w:rsid w:val="00AC0A89"/>
    <w:rsid w:val="00AC7C96"/>
    <w:rsid w:val="00AE0FAC"/>
    <w:rsid w:val="00AE237D"/>
    <w:rsid w:val="00AE502A"/>
    <w:rsid w:val="00AE6495"/>
    <w:rsid w:val="00AF7C07"/>
    <w:rsid w:val="00B10D96"/>
    <w:rsid w:val="00B22C93"/>
    <w:rsid w:val="00B27589"/>
    <w:rsid w:val="00B405B7"/>
    <w:rsid w:val="00B52222"/>
    <w:rsid w:val="00B54A26"/>
    <w:rsid w:val="00B54FE7"/>
    <w:rsid w:val="00B56AF6"/>
    <w:rsid w:val="00B66901"/>
    <w:rsid w:val="00B71E6D"/>
    <w:rsid w:val="00B72070"/>
    <w:rsid w:val="00B779E1"/>
    <w:rsid w:val="00B91EE1"/>
    <w:rsid w:val="00B92074"/>
    <w:rsid w:val="00B96A7C"/>
    <w:rsid w:val="00BA0090"/>
    <w:rsid w:val="00BA1A67"/>
    <w:rsid w:val="00BE5B5F"/>
    <w:rsid w:val="00C20B72"/>
    <w:rsid w:val="00C26F55"/>
    <w:rsid w:val="00C30C63"/>
    <w:rsid w:val="00C36B8B"/>
    <w:rsid w:val="00C415C1"/>
    <w:rsid w:val="00C42AD9"/>
    <w:rsid w:val="00C47DBF"/>
    <w:rsid w:val="00C552FF"/>
    <w:rsid w:val="00C558DA"/>
    <w:rsid w:val="00C55AF3"/>
    <w:rsid w:val="00C6512B"/>
    <w:rsid w:val="00C84759"/>
    <w:rsid w:val="00C9117A"/>
    <w:rsid w:val="00C93CA4"/>
    <w:rsid w:val="00CA6C7F"/>
    <w:rsid w:val="00CB5082"/>
    <w:rsid w:val="00CC10A6"/>
    <w:rsid w:val="00CC1DFE"/>
    <w:rsid w:val="00CC463B"/>
    <w:rsid w:val="00CD5EB8"/>
    <w:rsid w:val="00CD6A71"/>
    <w:rsid w:val="00CD7044"/>
    <w:rsid w:val="00CE08B9"/>
    <w:rsid w:val="00CE524C"/>
    <w:rsid w:val="00CF141F"/>
    <w:rsid w:val="00CF4777"/>
    <w:rsid w:val="00CF4876"/>
    <w:rsid w:val="00D067BB"/>
    <w:rsid w:val="00D1352A"/>
    <w:rsid w:val="00D169AF"/>
    <w:rsid w:val="00D25249"/>
    <w:rsid w:val="00D318DD"/>
    <w:rsid w:val="00D4235F"/>
    <w:rsid w:val="00D44172"/>
    <w:rsid w:val="00D50BA2"/>
    <w:rsid w:val="00D546B1"/>
    <w:rsid w:val="00D63B8C"/>
    <w:rsid w:val="00D67664"/>
    <w:rsid w:val="00D70904"/>
    <w:rsid w:val="00D739CC"/>
    <w:rsid w:val="00D8093D"/>
    <w:rsid w:val="00D8108C"/>
    <w:rsid w:val="00D842AE"/>
    <w:rsid w:val="00D918F0"/>
    <w:rsid w:val="00D9211C"/>
    <w:rsid w:val="00D92DE0"/>
    <w:rsid w:val="00D92FEF"/>
    <w:rsid w:val="00D9376E"/>
    <w:rsid w:val="00D93A0F"/>
    <w:rsid w:val="00D956D2"/>
    <w:rsid w:val="00DA1BCA"/>
    <w:rsid w:val="00DB3D62"/>
    <w:rsid w:val="00DC46FF"/>
    <w:rsid w:val="00DC5254"/>
    <w:rsid w:val="00DD1A4F"/>
    <w:rsid w:val="00DD3107"/>
    <w:rsid w:val="00DD7C2C"/>
    <w:rsid w:val="00DE5D84"/>
    <w:rsid w:val="00E06797"/>
    <w:rsid w:val="00E1265B"/>
    <w:rsid w:val="00E13B48"/>
    <w:rsid w:val="00E1404F"/>
    <w:rsid w:val="00E21C83"/>
    <w:rsid w:val="00E24ADA"/>
    <w:rsid w:val="00E32F59"/>
    <w:rsid w:val="00E3711D"/>
    <w:rsid w:val="00E46D9A"/>
    <w:rsid w:val="00E559DF"/>
    <w:rsid w:val="00E565FF"/>
    <w:rsid w:val="00E65388"/>
    <w:rsid w:val="00E75FCA"/>
    <w:rsid w:val="00E85B7D"/>
    <w:rsid w:val="00E9121B"/>
    <w:rsid w:val="00EA0660"/>
    <w:rsid w:val="00EA0AE2"/>
    <w:rsid w:val="00EA39E5"/>
    <w:rsid w:val="00EC5A46"/>
    <w:rsid w:val="00EC63E2"/>
    <w:rsid w:val="00EE1F83"/>
    <w:rsid w:val="00EF22B3"/>
    <w:rsid w:val="00F00DAE"/>
    <w:rsid w:val="00F03B69"/>
    <w:rsid w:val="00F07A50"/>
    <w:rsid w:val="00F1039B"/>
    <w:rsid w:val="00F113DA"/>
    <w:rsid w:val="00F2217B"/>
    <w:rsid w:val="00F37DC8"/>
    <w:rsid w:val="00F439B3"/>
    <w:rsid w:val="00F57D68"/>
    <w:rsid w:val="00F62034"/>
    <w:rsid w:val="00F650C3"/>
    <w:rsid w:val="00F65D85"/>
    <w:rsid w:val="00F8091E"/>
    <w:rsid w:val="00F8615C"/>
    <w:rsid w:val="00F969E5"/>
    <w:rsid w:val="00FA6BB0"/>
    <w:rsid w:val="00FA7808"/>
    <w:rsid w:val="00FC4777"/>
    <w:rsid w:val="00FD5860"/>
    <w:rsid w:val="00FE352D"/>
    <w:rsid w:val="00FE40EB"/>
    <w:rsid w:val="00FE4D02"/>
    <w:rsid w:val="00FE7D62"/>
    <w:rsid w:val="00FF0A7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52028"/>
  <w15:docId w15:val="{23AA71EC-F64D-4480-A7D2-154B0DBA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numbering" w:customStyle="1" w:styleId="Normallist1">
    <w:name w:val="Normal_list1"/>
    <w:basedOn w:val="NoList"/>
    <w:rsid w:val="00A07D4D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213E79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uiPriority w:val="99"/>
    <w:qFormat/>
    <w:rsid w:val="00213E79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D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D62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semiHidden/>
    <w:unhideWhenUsed/>
    <w:rsid w:val="002914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47C"/>
  </w:style>
  <w:style w:type="character" w:customStyle="1" w:styleId="CommentTextChar">
    <w:name w:val="Comment Text Char"/>
    <w:basedOn w:val="DefaultParagraphFont"/>
    <w:link w:val="CommentText"/>
    <w:semiHidden/>
    <w:rsid w:val="0029147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47C"/>
    <w:rPr>
      <w:b/>
      <w:bCs/>
      <w:lang w:val="fr-FR"/>
    </w:rPr>
  </w:style>
  <w:style w:type="paragraph" w:styleId="Revision">
    <w:name w:val="Revision"/>
    <w:hidden/>
    <w:uiPriority w:val="99"/>
    <w:semiHidden/>
    <w:rsid w:val="00812A43"/>
    <w:rPr>
      <w:lang w:val="fr-FR"/>
    </w:rPr>
  </w:style>
  <w:style w:type="character" w:customStyle="1" w:styleId="Normal-poolChar">
    <w:name w:val="Normal-pool Char"/>
    <w:link w:val="Normal-pool"/>
    <w:rsid w:val="00C911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newsroom.unfccc.int/fr/actualit%C3%A9s/onu-bonn-lance-nouveau-site-web-dynamique/" TargetMode="External"/><Relationship Id="rId1" Type="http://schemas.openxmlformats.org/officeDocument/2006/relationships/hyperlink" Target="https://www.legifrance.gouv.fr/affichTexte.do;jsessionid=1A09661E039E954E731375B287E27A0F.tpdila09v_2?cidTexte=JORFTEXT000022134019&amp;dateTexte=&amp;oldAction=rechJO&amp;categorieLien=id&amp;idJO=JORFCONT000022133229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B340-3A41-4363-84CB-6B8EB41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Sarah Banda-Genchev</cp:lastModifiedBy>
  <cp:revision>2</cp:revision>
  <cp:lastPrinted>2016-12-30T10:57:00Z</cp:lastPrinted>
  <dcterms:created xsi:type="dcterms:W3CDTF">2017-01-23T09:14:00Z</dcterms:created>
  <dcterms:modified xsi:type="dcterms:W3CDTF">2017-01-23T09:14:00Z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1/10/2017 3:01:28 PM</vt:lpwstr>
  </property>
  <property fmtid="{D5CDD505-2E9C-101B-9397-08002B2CF9AE}" pid="5" name="OriginalDocID">
    <vt:lpwstr>4b9aeac1-2540-4381-bd3e-ecbef6e60e1b</vt:lpwstr>
  </property>
</Properties>
</file>