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5000" w:type="pct"/>
        <w:tblLayout w:type="fixed"/>
        <w:tblLook w:val="0000" w:firstRow="0" w:lastRow="0" w:firstColumn="0" w:lastColumn="0" w:noHBand="0" w:noVBand="0"/>
      </w:tblPr>
      <w:tblGrid>
        <w:gridCol w:w="1534"/>
        <w:gridCol w:w="1130"/>
        <w:gridCol w:w="1130"/>
        <w:gridCol w:w="1130"/>
        <w:gridCol w:w="1130"/>
        <w:gridCol w:w="1130"/>
        <w:gridCol w:w="725"/>
        <w:gridCol w:w="1803"/>
      </w:tblGrid>
      <w:tr w:rsidR="008A6A43" w:rsidRPr="009A55B3" w:rsidTr="008A6A43">
        <w:trPr>
          <w:cantSplit/>
          <w:trHeight w:val="1079"/>
        </w:trPr>
        <w:tc>
          <w:tcPr>
            <w:tcW w:w="1534" w:type="dxa"/>
          </w:tcPr>
          <w:p w:rsidR="008A6A43" w:rsidRPr="008A6A43" w:rsidRDefault="008A6A43" w:rsidP="008A6A43">
            <w:pPr>
              <w:spacing w:line="480" w:lineRule="exact"/>
              <w:jc w:val="both"/>
              <w:rPr>
                <w:rFonts w:cs="Traditional Arabic"/>
                <w:b/>
                <w:bCs/>
                <w:sz w:val="48"/>
                <w:szCs w:val="48"/>
              </w:rPr>
            </w:pPr>
            <w:bookmarkStart w:id="0" w:name="_GoBack"/>
            <w:bookmarkEnd w:id="0"/>
            <w:r w:rsidRPr="008A6A43">
              <w:rPr>
                <w:rFonts w:cs="Traditional Arabic" w:hint="cs"/>
                <w:b/>
                <w:bCs/>
                <w:sz w:val="48"/>
                <w:szCs w:val="48"/>
                <w:rtl/>
              </w:rPr>
              <w:t>الأمم المتحدة</w:t>
            </w:r>
          </w:p>
        </w:tc>
        <w:tc>
          <w:tcPr>
            <w:tcW w:w="1130" w:type="dxa"/>
            <w:tcBorders>
              <w:left w:val="nil"/>
            </w:tcBorders>
            <w:vAlign w:val="center"/>
          </w:tcPr>
          <w:p w:rsidR="008A6A43" w:rsidRPr="009A55B3" w:rsidRDefault="007453FE" w:rsidP="00FB4F87">
            <w:pPr>
              <w:jc w:val="center"/>
              <w:rPr>
                <w:sz w:val="6"/>
                <w:szCs w:val="6"/>
              </w:rPr>
            </w:pPr>
            <w:r>
              <w:rPr>
                <w:noProof/>
              </w:rPr>
              <w:drawing>
                <wp:inline distT="0" distB="0" distL="0" distR="0">
                  <wp:extent cx="520103" cy="488054"/>
                  <wp:effectExtent l="0" t="0" r="0" b="7620"/>
                  <wp:docPr id="1" name="Picture 1"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628" cy="491362"/>
                          </a:xfrm>
                          <a:prstGeom prst="rect">
                            <a:avLst/>
                          </a:prstGeom>
                          <a:noFill/>
                          <a:ln>
                            <a:noFill/>
                          </a:ln>
                        </pic:spPr>
                      </pic:pic>
                    </a:graphicData>
                  </a:graphic>
                </wp:inline>
              </w:drawing>
            </w:r>
          </w:p>
        </w:tc>
        <w:tc>
          <w:tcPr>
            <w:tcW w:w="1130" w:type="dxa"/>
            <w:tcBorders>
              <w:left w:val="nil"/>
            </w:tcBorders>
            <w:vAlign w:val="center"/>
          </w:tcPr>
          <w:p w:rsidR="008A6A43" w:rsidRPr="009A55B3" w:rsidRDefault="00F97424" w:rsidP="00FB4F87">
            <w:pPr>
              <w:jc w:val="center"/>
              <w:rPr>
                <w:sz w:val="6"/>
                <w:szCs w:val="6"/>
              </w:rPr>
            </w:pPr>
            <w:r>
              <w:rPr>
                <w:noProof/>
              </w:rPr>
              <w:drawing>
                <wp:inline distT="0" distB="0" distL="0" distR="0" wp14:anchorId="05871225" wp14:editId="29CFB97C">
                  <wp:extent cx="502285" cy="502285"/>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285" cy="502285"/>
                          </a:xfrm>
                          <a:prstGeom prst="rect">
                            <a:avLst/>
                          </a:prstGeom>
                          <a:noFill/>
                          <a:ln>
                            <a:noFill/>
                          </a:ln>
                        </pic:spPr>
                      </pic:pic>
                    </a:graphicData>
                  </a:graphic>
                </wp:inline>
              </w:drawing>
            </w:r>
          </w:p>
        </w:tc>
        <w:tc>
          <w:tcPr>
            <w:tcW w:w="1130" w:type="dxa"/>
            <w:tcBorders>
              <w:left w:val="nil"/>
            </w:tcBorders>
            <w:vAlign w:val="center"/>
          </w:tcPr>
          <w:p w:rsidR="008A6A43" w:rsidRPr="00A13843" w:rsidRDefault="007453FE" w:rsidP="00FB4F87">
            <w:pPr>
              <w:jc w:val="center"/>
            </w:pPr>
            <w:r>
              <w:rPr>
                <w:noProof/>
              </w:rPr>
              <w:drawing>
                <wp:inline distT="0" distB="0" distL="0" distR="0">
                  <wp:extent cx="590831" cy="454395"/>
                  <wp:effectExtent l="0" t="0" r="0" b="3175"/>
                  <wp:docPr id="3" name="Picture 59" descr="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E:\Logos\UNESC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1936" cy="455245"/>
                          </a:xfrm>
                          <a:prstGeom prst="rect">
                            <a:avLst/>
                          </a:prstGeom>
                          <a:noFill/>
                          <a:ln>
                            <a:noFill/>
                          </a:ln>
                        </pic:spPr>
                      </pic:pic>
                    </a:graphicData>
                  </a:graphic>
                </wp:inline>
              </w:drawing>
            </w:r>
          </w:p>
        </w:tc>
        <w:tc>
          <w:tcPr>
            <w:tcW w:w="1130" w:type="dxa"/>
            <w:tcBorders>
              <w:left w:val="nil"/>
            </w:tcBorders>
            <w:vAlign w:val="center"/>
          </w:tcPr>
          <w:p w:rsidR="008A6A43" w:rsidRPr="009A55B3" w:rsidRDefault="007453FE" w:rsidP="00617CEF">
            <w:pPr>
              <w:rPr>
                <w:sz w:val="6"/>
                <w:szCs w:val="6"/>
              </w:rPr>
            </w:pPr>
            <w:r>
              <w:rPr>
                <w:noProof/>
              </w:rPr>
              <w:drawing>
                <wp:inline distT="0" distB="0" distL="0" distR="0">
                  <wp:extent cx="538959" cy="538542"/>
                  <wp:effectExtent l="0" t="0" r="0" b="0"/>
                  <wp:docPr id="4" name="Picture 3" descr="Description: 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OLEGE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7157" cy="546734"/>
                          </a:xfrm>
                          <a:prstGeom prst="rect">
                            <a:avLst/>
                          </a:prstGeom>
                          <a:noFill/>
                          <a:ln>
                            <a:noFill/>
                          </a:ln>
                        </pic:spPr>
                      </pic:pic>
                    </a:graphicData>
                  </a:graphic>
                </wp:inline>
              </w:drawing>
            </w:r>
          </w:p>
        </w:tc>
        <w:tc>
          <w:tcPr>
            <w:tcW w:w="1130" w:type="dxa"/>
            <w:tcBorders>
              <w:left w:val="nil"/>
            </w:tcBorders>
            <w:vAlign w:val="center"/>
          </w:tcPr>
          <w:p w:rsidR="008A6A43" w:rsidRPr="009A55B3" w:rsidRDefault="008A6A43" w:rsidP="00224248">
            <w:pPr>
              <w:jc w:val="right"/>
              <w:rPr>
                <w:sz w:val="6"/>
                <w:szCs w:val="6"/>
              </w:rPr>
            </w:pPr>
          </w:p>
        </w:tc>
        <w:tc>
          <w:tcPr>
            <w:tcW w:w="725" w:type="dxa"/>
            <w:tcBorders>
              <w:left w:val="nil"/>
            </w:tcBorders>
            <w:vAlign w:val="center"/>
          </w:tcPr>
          <w:p w:rsidR="008A6A43" w:rsidRPr="009A55B3" w:rsidRDefault="00224248" w:rsidP="00FB4F87">
            <w:pPr>
              <w:jc w:val="center"/>
              <w:rPr>
                <w:sz w:val="6"/>
                <w:szCs w:val="6"/>
              </w:rPr>
            </w:pPr>
            <w:r>
              <w:rPr>
                <w:noProof/>
                <w:sz w:val="6"/>
                <w:szCs w:val="6"/>
              </w:rPr>
              <mc:AlternateContent>
                <mc:Choice Requires="wps">
                  <w:drawing>
                    <wp:anchor distT="0" distB="0" distL="114300" distR="114300" simplePos="0" relativeHeight="251659264" behindDoc="0" locked="0" layoutInCell="1" allowOverlap="1" wp14:anchorId="630113EC" wp14:editId="3B663B46">
                      <wp:simplePos x="0" y="0"/>
                      <wp:positionH relativeFrom="column">
                        <wp:posOffset>349885</wp:posOffset>
                      </wp:positionH>
                      <wp:positionV relativeFrom="paragraph">
                        <wp:posOffset>121285</wp:posOffset>
                      </wp:positionV>
                      <wp:extent cx="857885" cy="437515"/>
                      <wp:effectExtent l="0" t="0" r="18415" b="19685"/>
                      <wp:wrapNone/>
                      <wp:docPr id="7" name="Text Box 7"/>
                      <wp:cNvGraphicFramePr/>
                      <a:graphic xmlns:a="http://schemas.openxmlformats.org/drawingml/2006/main">
                        <a:graphicData uri="http://schemas.microsoft.com/office/word/2010/wordprocessingShape">
                          <wps:wsp>
                            <wps:cNvSpPr txBox="1"/>
                            <wps:spPr>
                              <a:xfrm>
                                <a:off x="0" y="0"/>
                                <a:ext cx="857885" cy="4375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24248" w:rsidRPr="009C65C7" w:rsidRDefault="00224248" w:rsidP="00224248">
                                  <w:pPr>
                                    <w:spacing w:line="180" w:lineRule="exact"/>
                                    <w:rPr>
                                      <w:rFonts w:ascii="Traditional Arabic" w:hAnsi="Traditional Arabic" w:cs="Traditional Arabic"/>
                                      <w:b/>
                                      <w:bCs/>
                                      <w:w w:val="103"/>
                                      <w:sz w:val="24"/>
                                      <w:szCs w:val="24"/>
                                      <w:rtl/>
                                    </w:rPr>
                                  </w:pPr>
                                  <w:r w:rsidRPr="009C65C7">
                                    <w:rPr>
                                      <w:rFonts w:ascii="Traditional Arabic" w:hAnsi="Traditional Arabic" w:cs="Traditional Arabic" w:hint="cs"/>
                                      <w:b/>
                                      <w:bCs/>
                                      <w:w w:val="103"/>
                                      <w:sz w:val="24"/>
                                      <w:szCs w:val="24"/>
                                      <w:rtl/>
                                    </w:rPr>
                                    <w:t>منظمة</w:t>
                                  </w:r>
                                </w:p>
                                <w:p w:rsidR="00224248" w:rsidRPr="009C65C7" w:rsidRDefault="00224248" w:rsidP="00224248">
                                  <w:pPr>
                                    <w:spacing w:line="180" w:lineRule="exact"/>
                                    <w:rPr>
                                      <w:w w:val="103"/>
                                      <w:sz w:val="24"/>
                                      <w:szCs w:val="24"/>
                                    </w:rPr>
                                  </w:pPr>
                                  <w:r w:rsidRPr="009C65C7">
                                    <w:rPr>
                                      <w:rFonts w:ascii="Traditional Arabic" w:hAnsi="Traditional Arabic" w:cs="Traditional Arabic" w:hint="cs"/>
                                      <w:b/>
                                      <w:bCs/>
                                      <w:w w:val="103"/>
                                      <w:sz w:val="24"/>
                                      <w:szCs w:val="24"/>
                                      <w:rtl/>
                                    </w:rPr>
                                    <w:t>الأغذية والزراعة للأمم المتحدة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0113EC" id="_x0000_t202" coordsize="21600,21600" o:spt="202" path="m,l,21600r21600,l21600,xe">
                      <v:stroke joinstyle="miter"/>
                      <v:path gradientshapeok="t" o:connecttype="rect"/>
                    </v:shapetype>
                    <v:shape id="Text Box 7" o:spid="_x0000_s1026" type="#_x0000_t202" style="position:absolute;left:0;text-align:left;margin-left:27.55pt;margin-top:9.55pt;width:67.55pt;height:3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" fillcolor="white [3201]" strokecolor="white [3212]" strokeweight=".5pt">
                      <v:textbox>
                        <w:txbxContent>
                          <w:p w:rsidR="00224248" w:rsidRPr="009C65C7" w:rsidRDefault="00224248" w:rsidP="00224248">
                            <w:pPr>
                              <w:spacing w:line="180" w:lineRule="exact"/>
                              <w:rPr>
                                <w:rFonts w:ascii="Traditional Arabic" w:hAnsi="Traditional Arabic" w:cs="Traditional Arabic"/>
                                <w:b/>
                                <w:bCs/>
                                <w:w w:val="103"/>
                                <w:sz w:val="24"/>
                                <w:szCs w:val="24"/>
                                <w:rtl/>
                              </w:rPr>
                            </w:pPr>
                            <w:r w:rsidRPr="009C65C7">
                              <w:rPr>
                                <w:rFonts w:ascii="Traditional Arabic" w:hAnsi="Traditional Arabic" w:cs="Traditional Arabic" w:hint="cs"/>
                                <w:b/>
                                <w:bCs/>
                                <w:w w:val="103"/>
                                <w:sz w:val="24"/>
                                <w:szCs w:val="24"/>
                                <w:rtl/>
                              </w:rPr>
                              <w:t>منظمة</w:t>
                            </w:r>
                          </w:p>
                          <w:p w:rsidR="00224248" w:rsidRPr="009C65C7" w:rsidRDefault="00224248" w:rsidP="00224248">
                            <w:pPr>
                              <w:spacing w:line="180" w:lineRule="exact"/>
                              <w:rPr>
                                <w:w w:val="103"/>
                                <w:sz w:val="24"/>
                                <w:szCs w:val="24"/>
                              </w:rPr>
                            </w:pPr>
                            <w:r w:rsidRPr="009C65C7">
                              <w:rPr>
                                <w:rFonts w:ascii="Traditional Arabic" w:hAnsi="Traditional Arabic" w:cs="Traditional Arabic" w:hint="cs"/>
                                <w:b/>
                                <w:bCs/>
                                <w:w w:val="103"/>
                                <w:sz w:val="24"/>
                                <w:szCs w:val="24"/>
                                <w:rtl/>
                              </w:rPr>
                              <w:t>الأغذية والزراعة للأمم المتحدة</w:t>
                            </w:r>
                          </w:p>
                        </w:txbxContent>
                      </v:textbox>
                    </v:shape>
                  </w:pict>
                </mc:Fallback>
              </mc:AlternateContent>
            </w:r>
            <w:r>
              <w:rPr>
                <w:noProof/>
              </w:rPr>
              <w:drawing>
                <wp:inline distT="0" distB="0" distL="0" distR="0" wp14:anchorId="3430E8C1" wp14:editId="535E0F26">
                  <wp:extent cx="327025" cy="640715"/>
                  <wp:effectExtent l="0" t="0" r="0" b="6985"/>
                  <wp:docPr id="5" name="Picture 63"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7025" cy="640715"/>
                          </a:xfrm>
                          <a:prstGeom prst="rect">
                            <a:avLst/>
                          </a:prstGeom>
                          <a:noFill/>
                          <a:ln>
                            <a:noFill/>
                          </a:ln>
                        </pic:spPr>
                      </pic:pic>
                    </a:graphicData>
                  </a:graphic>
                </wp:inline>
              </w:drawing>
            </w:r>
          </w:p>
        </w:tc>
        <w:tc>
          <w:tcPr>
            <w:tcW w:w="1803" w:type="dxa"/>
          </w:tcPr>
          <w:p w:rsidR="008A6A43" w:rsidRPr="009A55B3" w:rsidRDefault="008A6A43" w:rsidP="009A55B3">
            <w:pPr>
              <w:pStyle w:val="Heading2"/>
              <w:bidi w:val="0"/>
              <w:spacing w:before="0" w:after="0" w:line="240" w:lineRule="auto"/>
              <w:jc w:val="both"/>
              <w:rPr>
                <w:rFonts w:ascii="Arial" w:hAnsi="Arial" w:cs="Arial"/>
                <w:b/>
                <w:bCs/>
                <w:sz w:val="10"/>
                <w:szCs w:val="10"/>
                <w:u w:val="none"/>
              </w:rPr>
            </w:pPr>
            <w:r w:rsidRPr="008A6A43">
              <w:rPr>
                <w:rFonts w:ascii="Arial" w:hAnsi="Arial" w:cs="Arial"/>
                <w:b/>
                <w:bCs/>
                <w:sz w:val="64"/>
                <w:szCs w:val="64"/>
                <w:u w:val="none"/>
              </w:rPr>
              <w:t>BES</w:t>
            </w:r>
          </w:p>
        </w:tc>
      </w:tr>
    </w:tbl>
    <w:p w:rsidR="00F45D78" w:rsidRDefault="00F45D78" w:rsidP="00FB4F87">
      <w:pPr>
        <w:rPr>
          <w:noProof/>
          <w:sz w:val="6"/>
          <w:szCs w:val="6"/>
          <w:rtl/>
        </w:rPr>
        <w:sectPr w:rsidR="00F45D78" w:rsidSect="005A0DCF">
          <w:headerReference w:type="even" r:id="rId13"/>
          <w:headerReference w:type="default" r:id="rId14"/>
          <w:footerReference w:type="even" r:id="rId15"/>
          <w:footerReference w:type="default" r:id="rId16"/>
          <w:headerReference w:type="first" r:id="rId17"/>
          <w:footerReference w:type="first" r:id="rId18"/>
          <w:endnotePr>
            <w:numFmt w:val="lowerLetter"/>
          </w:endnotePr>
          <w:type w:val="continuous"/>
          <w:pgSz w:w="11906" w:h="16838" w:code="9"/>
          <w:pgMar w:top="907" w:right="1418" w:bottom="1418" w:left="992" w:header="539" w:footer="975" w:gutter="0"/>
          <w:cols w:space="720"/>
          <w:titlePg/>
          <w:bidi/>
          <w:rtlGutter/>
          <w:docGrid w:linePitch="299"/>
        </w:sectPr>
      </w:pPr>
    </w:p>
    <w:tbl>
      <w:tblPr>
        <w:bidiVisual/>
        <w:tblW w:w="5000" w:type="pct"/>
        <w:tblLayout w:type="fixed"/>
        <w:tblLook w:val="0000" w:firstRow="0" w:lastRow="0" w:firstColumn="0" w:lastColumn="0" w:noHBand="0" w:noVBand="0"/>
      </w:tblPr>
      <w:tblGrid>
        <w:gridCol w:w="1534"/>
        <w:gridCol w:w="839"/>
        <w:gridCol w:w="4824"/>
        <w:gridCol w:w="2515"/>
      </w:tblGrid>
      <w:tr w:rsidR="008A6A43" w:rsidRPr="009A55B3" w:rsidTr="008A6A43">
        <w:trPr>
          <w:cantSplit/>
          <w:trHeight w:val="282"/>
        </w:trPr>
        <w:tc>
          <w:tcPr>
            <w:tcW w:w="1534" w:type="dxa"/>
            <w:tcBorders>
              <w:bottom w:val="single" w:sz="2" w:space="0" w:color="auto"/>
            </w:tcBorders>
          </w:tcPr>
          <w:p w:rsidR="008A6A43" w:rsidRPr="009A55B3" w:rsidRDefault="008A6A43" w:rsidP="00F45D78">
            <w:pPr>
              <w:jc w:val="both"/>
              <w:rPr>
                <w:noProof/>
                <w:sz w:val="6"/>
                <w:szCs w:val="6"/>
              </w:rPr>
            </w:pPr>
          </w:p>
        </w:tc>
        <w:tc>
          <w:tcPr>
            <w:tcW w:w="5663" w:type="dxa"/>
            <w:gridSpan w:val="2"/>
            <w:tcBorders>
              <w:bottom w:val="single" w:sz="2" w:space="0" w:color="auto"/>
            </w:tcBorders>
          </w:tcPr>
          <w:p w:rsidR="008A6A43" w:rsidRPr="009A55B3" w:rsidRDefault="008A6A43" w:rsidP="00FB4F87">
            <w:pPr>
              <w:rPr>
                <w:rFonts w:ascii="Univers" w:hAnsi="Univers"/>
                <w:b/>
                <w:sz w:val="6"/>
                <w:szCs w:val="6"/>
              </w:rPr>
            </w:pPr>
          </w:p>
        </w:tc>
        <w:tc>
          <w:tcPr>
            <w:tcW w:w="2515" w:type="dxa"/>
            <w:tcBorders>
              <w:bottom w:val="single" w:sz="2" w:space="0" w:color="auto"/>
            </w:tcBorders>
          </w:tcPr>
          <w:p w:rsidR="008A6A43" w:rsidRPr="00A13843" w:rsidRDefault="008A6A43" w:rsidP="00B02F72">
            <w:pPr>
              <w:bidi w:val="0"/>
              <w:jc w:val="both"/>
              <w:rPr>
                <w:b/>
                <w:sz w:val="24"/>
                <w:szCs w:val="24"/>
              </w:rPr>
            </w:pPr>
            <w:r w:rsidRPr="007E3856">
              <w:rPr>
                <w:b/>
                <w:sz w:val="24"/>
                <w:szCs w:val="24"/>
              </w:rPr>
              <w:t>IPBES</w:t>
            </w:r>
            <w:r w:rsidRPr="007226C6">
              <w:rPr>
                <w:sz w:val="20"/>
                <w:szCs w:val="20"/>
              </w:rPr>
              <w:t>/</w:t>
            </w:r>
            <w:r w:rsidR="002D12BC">
              <w:rPr>
                <w:sz w:val="20"/>
                <w:szCs w:val="20"/>
              </w:rPr>
              <w:t>5</w:t>
            </w:r>
            <w:r w:rsidRPr="008B1BBE">
              <w:rPr>
                <w:rFonts w:cs="Times New Roman"/>
                <w:sz w:val="20"/>
                <w:szCs w:val="20"/>
              </w:rPr>
              <w:t>/</w:t>
            </w:r>
            <w:r w:rsidR="00B02F72">
              <w:rPr>
                <w:rFonts w:cs="Times New Roman"/>
                <w:sz w:val="20"/>
                <w:szCs w:val="20"/>
              </w:rPr>
              <w:t>8</w:t>
            </w:r>
          </w:p>
        </w:tc>
      </w:tr>
      <w:tr w:rsidR="008A6A43" w:rsidRPr="009A55B3" w:rsidTr="00386CAA">
        <w:trPr>
          <w:cantSplit/>
          <w:trHeight w:val="1433"/>
        </w:trPr>
        <w:tc>
          <w:tcPr>
            <w:tcW w:w="2373" w:type="dxa"/>
            <w:gridSpan w:val="2"/>
            <w:tcBorders>
              <w:top w:val="single" w:sz="2" w:space="0" w:color="auto"/>
              <w:bottom w:val="single" w:sz="24" w:space="0" w:color="auto"/>
            </w:tcBorders>
            <w:vAlign w:val="center"/>
          </w:tcPr>
          <w:p w:rsidR="008A6A43" w:rsidRPr="009A55B3" w:rsidRDefault="00386CAA" w:rsidP="00386CAA">
            <w:pPr>
              <w:bidi w:val="0"/>
              <w:spacing w:before="240" w:after="240"/>
              <w:jc w:val="right"/>
              <w:rPr>
                <w:rFonts w:ascii="Arial" w:hAnsi="Arial" w:cs="Arial"/>
                <w:b/>
                <w:sz w:val="10"/>
                <w:szCs w:val="10"/>
              </w:rPr>
            </w:pPr>
            <w:r>
              <w:rPr>
                <w:rFonts w:ascii="Arial" w:hAnsi="Arial" w:cs="Arial"/>
                <w:b/>
                <w:noProof/>
                <w:sz w:val="28"/>
              </w:rPr>
              <w:drawing>
                <wp:inline distT="0" distB="0" distL="0" distR="0" wp14:anchorId="423D2561" wp14:editId="3ECFCE76">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4824" w:type="dxa"/>
            <w:tcBorders>
              <w:top w:val="single" w:sz="2" w:space="0" w:color="auto"/>
              <w:bottom w:val="single" w:sz="24" w:space="0" w:color="auto"/>
            </w:tcBorders>
          </w:tcPr>
          <w:p w:rsidR="008A6A43" w:rsidRPr="008A6A43" w:rsidRDefault="00F3310C" w:rsidP="002857FA">
            <w:pPr>
              <w:spacing w:before="360" w:after="60" w:line="400" w:lineRule="exact"/>
              <w:ind w:right="459"/>
              <w:rPr>
                <w:rFonts w:ascii="Arial" w:hAnsi="Arial" w:cs="Arial"/>
                <w:b/>
                <w:bCs/>
                <w:sz w:val="36"/>
                <w:szCs w:val="36"/>
                <w:rtl/>
              </w:rPr>
            </w:pPr>
            <w:r>
              <w:rPr>
                <w:rFonts w:ascii="Times New Roman Bold" w:hAnsi="Times New Roman Bold" w:cs="Traditional Arabic" w:hint="cs"/>
                <w:b/>
                <w:bCs/>
                <w:w w:val="97"/>
                <w:sz w:val="36"/>
                <w:szCs w:val="36"/>
                <w:rtl/>
              </w:rPr>
              <w:t>ا</w:t>
            </w:r>
            <w:r w:rsidR="008A6A43" w:rsidRPr="008A6A43">
              <w:rPr>
                <w:rFonts w:ascii="Times New Roman Bold" w:hAnsi="Times New Roman Bold" w:cs="Traditional Arabic" w:hint="cs"/>
                <w:b/>
                <w:bCs/>
                <w:w w:val="97"/>
                <w:sz w:val="36"/>
                <w:szCs w:val="36"/>
                <w:rtl/>
              </w:rPr>
              <w:t>لمنبر الحكومي الدولي للعلوم والسياسات في مجال التنوع البيولوجي وخدمات النظم الإيكولوجية</w:t>
            </w:r>
          </w:p>
        </w:tc>
        <w:tc>
          <w:tcPr>
            <w:tcW w:w="2515" w:type="dxa"/>
            <w:tcBorders>
              <w:top w:val="single" w:sz="2" w:space="0" w:color="auto"/>
              <w:bottom w:val="single" w:sz="24" w:space="0" w:color="auto"/>
            </w:tcBorders>
          </w:tcPr>
          <w:p w:rsidR="008A6A43" w:rsidRPr="007226C6" w:rsidRDefault="008A6A43" w:rsidP="00147D7B">
            <w:pPr>
              <w:bidi w:val="0"/>
              <w:spacing w:before="120"/>
              <w:rPr>
                <w:sz w:val="20"/>
                <w:szCs w:val="20"/>
              </w:rPr>
            </w:pPr>
            <w:r w:rsidRPr="007226C6">
              <w:rPr>
                <w:sz w:val="20"/>
                <w:szCs w:val="20"/>
              </w:rPr>
              <w:t xml:space="preserve">Distr.: </w:t>
            </w:r>
            <w:r w:rsidR="00147D7B">
              <w:rPr>
                <w:sz w:val="20"/>
                <w:szCs w:val="20"/>
              </w:rPr>
              <w:t>General</w:t>
            </w:r>
          </w:p>
          <w:p w:rsidR="008A6A43" w:rsidRPr="007226C6" w:rsidRDefault="00FB6E2C" w:rsidP="002D12BC">
            <w:pPr>
              <w:bidi w:val="0"/>
              <w:spacing w:after="120"/>
              <w:rPr>
                <w:sz w:val="20"/>
                <w:szCs w:val="20"/>
              </w:rPr>
            </w:pPr>
            <w:r>
              <w:rPr>
                <w:sz w:val="20"/>
                <w:szCs w:val="20"/>
              </w:rPr>
              <w:t>20 December</w:t>
            </w:r>
            <w:r w:rsidR="002D12BC" w:rsidRPr="007226C6">
              <w:rPr>
                <w:sz w:val="20"/>
                <w:szCs w:val="20"/>
              </w:rPr>
              <w:t xml:space="preserve"> 201</w:t>
            </w:r>
            <w:r w:rsidR="002D12BC">
              <w:rPr>
                <w:sz w:val="20"/>
                <w:szCs w:val="20"/>
              </w:rPr>
              <w:t>6</w:t>
            </w:r>
          </w:p>
          <w:p w:rsidR="00E31210" w:rsidRPr="007226C6" w:rsidRDefault="00E31210" w:rsidP="00474286">
            <w:pPr>
              <w:bidi w:val="0"/>
              <w:spacing w:before="120"/>
              <w:rPr>
                <w:sz w:val="20"/>
                <w:szCs w:val="20"/>
              </w:rPr>
            </w:pPr>
            <w:r w:rsidRPr="007226C6">
              <w:rPr>
                <w:sz w:val="20"/>
                <w:szCs w:val="20"/>
              </w:rPr>
              <w:t>Arabic</w:t>
            </w:r>
          </w:p>
          <w:p w:rsidR="008A6A43" w:rsidRPr="00A13843" w:rsidRDefault="008A6A43" w:rsidP="00474286">
            <w:pPr>
              <w:bidi w:val="0"/>
              <w:spacing w:after="120"/>
            </w:pPr>
            <w:r w:rsidRPr="007226C6">
              <w:rPr>
                <w:sz w:val="20"/>
                <w:szCs w:val="20"/>
              </w:rPr>
              <w:t>Original: English</w:t>
            </w:r>
          </w:p>
        </w:tc>
      </w:tr>
    </w:tbl>
    <w:p w:rsidR="008A6A43" w:rsidRPr="00B86C1A" w:rsidRDefault="008A6A43" w:rsidP="006A5C3F">
      <w:pPr>
        <w:spacing w:before="40" w:line="340" w:lineRule="exact"/>
        <w:ind w:left="140" w:right="5812"/>
        <w:jc w:val="both"/>
        <w:rPr>
          <w:rFonts w:ascii="Times New Roman Bold" w:hAnsi="Times New Roman Bold" w:cs="Traditional Arabic"/>
          <w:b/>
          <w:bCs/>
          <w:w w:val="97"/>
          <w:sz w:val="28"/>
          <w:rtl/>
        </w:rPr>
      </w:pPr>
      <w:r w:rsidRPr="00B86C1A">
        <w:rPr>
          <w:rFonts w:ascii="Times New Roman Bold" w:hAnsi="Times New Roman Bold" w:cs="Traditional Arabic" w:hint="cs"/>
          <w:b/>
          <w:bCs/>
          <w:w w:val="97"/>
          <w:sz w:val="28"/>
          <w:rtl/>
        </w:rPr>
        <w:t>الاجتماع العام للمنبر الحكومي الدولي للعلوم والسياسات في مجال التنوع البيولوجي وخدمات النظم الإيكولوجية</w:t>
      </w:r>
    </w:p>
    <w:p w:rsidR="008A6A43" w:rsidRPr="00B86C1A" w:rsidRDefault="008A6A43" w:rsidP="002D12BC">
      <w:pPr>
        <w:spacing w:line="340" w:lineRule="exact"/>
        <w:ind w:left="140"/>
        <w:jc w:val="both"/>
        <w:rPr>
          <w:rFonts w:ascii="Times New Roman Bold" w:hAnsi="Times New Roman Bold" w:cs="Traditional Arabic"/>
          <w:w w:val="97"/>
          <w:sz w:val="28"/>
          <w:rtl/>
        </w:rPr>
      </w:pPr>
      <w:r w:rsidRPr="00B86C1A">
        <w:rPr>
          <w:rFonts w:ascii="Times New Roman Bold" w:hAnsi="Times New Roman Bold" w:cs="Traditional Arabic" w:hint="cs"/>
          <w:b/>
          <w:bCs/>
          <w:w w:val="97"/>
          <w:sz w:val="28"/>
          <w:rtl/>
        </w:rPr>
        <w:t xml:space="preserve">الدورة </w:t>
      </w:r>
      <w:r w:rsidR="002D12BC">
        <w:rPr>
          <w:rFonts w:ascii="Times New Roman Bold" w:hAnsi="Times New Roman Bold" w:cs="Traditional Arabic" w:hint="cs"/>
          <w:b/>
          <w:bCs/>
          <w:w w:val="97"/>
          <w:sz w:val="28"/>
          <w:rtl/>
        </w:rPr>
        <w:t>الخامسة</w:t>
      </w:r>
    </w:p>
    <w:p w:rsidR="00516B35" w:rsidRDefault="002D12BC" w:rsidP="00FA2101">
      <w:pPr>
        <w:spacing w:line="340" w:lineRule="exact"/>
        <w:ind w:left="142"/>
        <w:jc w:val="both"/>
        <w:rPr>
          <w:rFonts w:cs="Traditional Arabic"/>
          <w:sz w:val="28"/>
          <w:rtl/>
        </w:rPr>
      </w:pPr>
      <w:r>
        <w:rPr>
          <w:rFonts w:cs="Traditional Arabic" w:hint="cs"/>
          <w:sz w:val="28"/>
          <w:rtl/>
        </w:rPr>
        <w:t>بون</w:t>
      </w:r>
      <w:r w:rsidR="008A6A43" w:rsidRPr="00B86C1A">
        <w:rPr>
          <w:rFonts w:cs="Traditional Arabic" w:hint="cs"/>
          <w:sz w:val="28"/>
          <w:rtl/>
        </w:rPr>
        <w:t xml:space="preserve">، </w:t>
      </w:r>
      <w:r>
        <w:rPr>
          <w:rFonts w:cs="Traditional Arabic" w:hint="cs"/>
          <w:sz w:val="28"/>
          <w:rtl/>
        </w:rPr>
        <w:t>ألمانيا</w:t>
      </w:r>
      <w:r w:rsidR="00EE5C27">
        <w:rPr>
          <w:rFonts w:cs="Traditional Arabic" w:hint="cs"/>
          <w:sz w:val="28"/>
          <w:rtl/>
        </w:rPr>
        <w:t>،</w:t>
      </w:r>
      <w:r>
        <w:rPr>
          <w:rFonts w:cs="Traditional Arabic" w:hint="cs"/>
          <w:sz w:val="28"/>
          <w:rtl/>
        </w:rPr>
        <w:t xml:space="preserve"> </w:t>
      </w:r>
      <w:r w:rsidR="00FA2101">
        <w:rPr>
          <w:rFonts w:cs="Traditional Arabic" w:hint="cs"/>
          <w:sz w:val="28"/>
          <w:rtl/>
        </w:rPr>
        <w:t>7</w:t>
      </w:r>
      <w:r w:rsidR="008A6A43" w:rsidRPr="00B86C1A">
        <w:rPr>
          <w:rFonts w:cs="Traditional Arabic" w:hint="cs"/>
          <w:sz w:val="28"/>
          <w:rtl/>
        </w:rPr>
        <w:t>-</w:t>
      </w:r>
      <w:r>
        <w:rPr>
          <w:rFonts w:cs="Traditional Arabic" w:hint="cs"/>
          <w:sz w:val="28"/>
          <w:rtl/>
        </w:rPr>
        <w:t>10</w:t>
      </w:r>
      <w:r w:rsidRPr="00B86C1A">
        <w:rPr>
          <w:rFonts w:cs="Traditional Arabic" w:hint="cs"/>
          <w:sz w:val="28"/>
          <w:rtl/>
        </w:rPr>
        <w:t xml:space="preserve"> </w:t>
      </w:r>
      <w:r>
        <w:rPr>
          <w:rFonts w:cs="Traditional Arabic" w:hint="cs"/>
          <w:sz w:val="28"/>
          <w:rtl/>
        </w:rPr>
        <w:t>آذار</w:t>
      </w:r>
      <w:r w:rsidR="008A6A43" w:rsidRPr="00B86C1A">
        <w:rPr>
          <w:rFonts w:cs="Traditional Arabic" w:hint="cs"/>
          <w:sz w:val="28"/>
          <w:rtl/>
        </w:rPr>
        <w:t>/</w:t>
      </w:r>
      <w:r>
        <w:rPr>
          <w:rFonts w:cs="Traditional Arabic" w:hint="cs"/>
          <w:sz w:val="28"/>
          <w:rtl/>
        </w:rPr>
        <w:t>مارس 2017</w:t>
      </w:r>
    </w:p>
    <w:p w:rsidR="002A7552" w:rsidRPr="00516B35" w:rsidRDefault="002A7552" w:rsidP="00F30691">
      <w:pPr>
        <w:spacing w:line="340" w:lineRule="exact"/>
        <w:ind w:left="142"/>
        <w:jc w:val="both"/>
        <w:rPr>
          <w:rFonts w:ascii="Times New Roman Bold" w:hAnsi="Times New Roman Bold" w:cs="Traditional Arabic"/>
          <w:sz w:val="28"/>
          <w:rtl/>
        </w:rPr>
      </w:pPr>
      <w:r>
        <w:rPr>
          <w:rFonts w:cs="Traditional Arabic" w:hint="cs"/>
          <w:sz w:val="28"/>
          <w:rtl/>
        </w:rPr>
        <w:t xml:space="preserve">البند </w:t>
      </w:r>
      <w:r w:rsidR="00F30691">
        <w:rPr>
          <w:rFonts w:cs="Traditional Arabic" w:hint="cs"/>
          <w:sz w:val="28"/>
          <w:rtl/>
        </w:rPr>
        <w:t xml:space="preserve">6 (ز) </w:t>
      </w:r>
      <w:r>
        <w:rPr>
          <w:rFonts w:cs="Traditional Arabic" w:hint="cs"/>
          <w:sz w:val="28"/>
          <w:rtl/>
        </w:rPr>
        <w:t>من جدول الأعمال المؤقت</w:t>
      </w:r>
      <w:r w:rsidR="007C5E16">
        <w:rPr>
          <w:rStyle w:val="FootnoteReference"/>
          <w:rFonts w:ascii="Times New Roman Bold" w:hAnsi="Times New Roman Bold" w:cs="Traditional Arabic"/>
          <w:sz w:val="28"/>
          <w:rtl/>
        </w:rPr>
        <w:footnoteReference w:customMarkFollows="1" w:id="1"/>
        <w:t>*</w:t>
      </w:r>
    </w:p>
    <w:p w:rsidR="002A7552" w:rsidRPr="007C5E16" w:rsidRDefault="007C5E16" w:rsidP="007C5E16">
      <w:pPr>
        <w:spacing w:before="120" w:line="360" w:lineRule="exact"/>
        <w:ind w:left="142" w:right="6379"/>
        <w:jc w:val="both"/>
        <w:rPr>
          <w:rFonts w:cs="Traditional Arabic"/>
          <w:b/>
          <w:bCs/>
          <w:sz w:val="28"/>
          <w:rtl/>
        </w:rPr>
      </w:pPr>
      <w:r w:rsidRPr="007C5E16">
        <w:rPr>
          <w:rFonts w:cs="Traditional Arabic" w:hint="cs"/>
          <w:b/>
          <w:bCs/>
          <w:sz w:val="28"/>
          <w:rtl/>
        </w:rPr>
        <w:t>برنامج عمل المنبر: أدوات ومنهجيات الدعم السياساتي</w:t>
      </w:r>
    </w:p>
    <w:p w:rsidR="00871FE5" w:rsidRPr="007C5E16" w:rsidRDefault="00871FE5" w:rsidP="007C5E16">
      <w:pPr>
        <w:spacing w:before="360" w:after="240" w:line="400" w:lineRule="exact"/>
        <w:ind w:left="1134"/>
        <w:jc w:val="both"/>
        <w:rPr>
          <w:rFonts w:cs="Traditional Arabic"/>
          <w:b/>
          <w:bCs/>
          <w:sz w:val="34"/>
          <w:szCs w:val="34"/>
          <w:rtl/>
          <w:lang w:eastAsia="zh-TW"/>
        </w:rPr>
      </w:pPr>
      <w:r w:rsidRPr="007C5E16">
        <w:rPr>
          <w:rFonts w:cs="Traditional Arabic"/>
          <w:b/>
          <w:bCs/>
          <w:sz w:val="34"/>
          <w:szCs w:val="34"/>
          <w:rtl/>
          <w:lang w:eastAsia="zh-TW"/>
        </w:rPr>
        <w:t>العمل بشأن أدوات ومنهجيات دعم السياسات (الناتج 4 (ج))</w:t>
      </w:r>
    </w:p>
    <w:p w:rsidR="00871FE5" w:rsidRPr="007C5E16" w:rsidRDefault="00871FE5" w:rsidP="007C5E16">
      <w:pPr>
        <w:spacing w:after="240" w:line="400" w:lineRule="exact"/>
        <w:ind w:left="1134"/>
        <w:jc w:val="both"/>
        <w:rPr>
          <w:rFonts w:cs="Traditional Arabic"/>
          <w:b/>
          <w:bCs/>
          <w:sz w:val="32"/>
          <w:szCs w:val="32"/>
          <w:rtl/>
          <w:lang w:eastAsia="zh-TW"/>
        </w:rPr>
      </w:pPr>
      <w:r w:rsidRPr="007C5E16">
        <w:rPr>
          <w:rFonts w:cs="Traditional Arabic"/>
          <w:b/>
          <w:bCs/>
          <w:sz w:val="32"/>
          <w:szCs w:val="32"/>
          <w:rtl/>
          <w:lang w:eastAsia="zh-TW"/>
        </w:rPr>
        <w:t>مذكرة من الأمانة</w:t>
      </w:r>
    </w:p>
    <w:p w:rsidR="00871FE5" w:rsidRPr="007C5E16" w:rsidRDefault="00871FE5" w:rsidP="007C5E16">
      <w:pPr>
        <w:spacing w:after="360" w:line="400" w:lineRule="exact"/>
        <w:ind w:left="1134"/>
        <w:jc w:val="both"/>
        <w:rPr>
          <w:rFonts w:cs="Traditional Arabic"/>
          <w:b/>
          <w:bCs/>
          <w:sz w:val="32"/>
          <w:szCs w:val="32"/>
          <w:rtl/>
          <w:lang w:eastAsia="zh-TW"/>
        </w:rPr>
      </w:pPr>
      <w:r w:rsidRPr="007C5E16">
        <w:rPr>
          <w:rFonts w:cs="Traditional Arabic"/>
          <w:b/>
          <w:bCs/>
          <w:sz w:val="32"/>
          <w:szCs w:val="32"/>
          <w:rtl/>
          <w:lang w:eastAsia="zh-TW"/>
        </w:rPr>
        <w:t>مقدمة</w:t>
      </w:r>
    </w:p>
    <w:p w:rsidR="00871FE5" w:rsidRPr="007C5E16" w:rsidRDefault="00871FE5" w:rsidP="007C5E16">
      <w:pPr>
        <w:pStyle w:val="ListParagraph"/>
        <w:numPr>
          <w:ilvl w:val="0"/>
          <w:numId w:val="8"/>
        </w:numPr>
        <w:spacing w:after="120" w:line="400" w:lineRule="exact"/>
        <w:ind w:left="1134" w:firstLine="0"/>
        <w:contextualSpacing w:val="0"/>
        <w:jc w:val="both"/>
        <w:rPr>
          <w:rFonts w:cs="Traditional Arabic"/>
          <w:sz w:val="20"/>
          <w:szCs w:val="30"/>
          <w:rtl/>
          <w:lang w:eastAsia="zh-TW"/>
        </w:rPr>
      </w:pPr>
      <w:r w:rsidRPr="007C5E16">
        <w:rPr>
          <w:rFonts w:cs="Traditional Arabic"/>
          <w:sz w:val="20"/>
          <w:szCs w:val="30"/>
          <w:rtl/>
          <w:lang w:eastAsia="zh-TW"/>
        </w:rPr>
        <w:t xml:space="preserve">أحاط الاجتماع العام للمنبر الحكومي الدولي للعلوم والسياسات في مجال التنوع البيولوجي وخدمات النظم الإيكولوجية </w:t>
      </w:r>
      <w:r w:rsidRPr="007C5E16">
        <w:rPr>
          <w:rFonts w:cs="Traditional Arabic" w:hint="cs"/>
          <w:sz w:val="20"/>
          <w:szCs w:val="30"/>
          <w:rtl/>
          <w:lang w:eastAsia="zh-TW"/>
        </w:rPr>
        <w:t>علما</w:t>
      </w:r>
      <w:r w:rsidR="001C19D0">
        <w:rPr>
          <w:rFonts w:cs="Traditional Arabic" w:hint="cs"/>
          <w:sz w:val="20"/>
          <w:szCs w:val="30"/>
          <w:rtl/>
          <w:lang w:eastAsia="zh-TW"/>
        </w:rPr>
        <w:t>ً</w:t>
      </w:r>
      <w:r w:rsidRPr="007C5E16">
        <w:rPr>
          <w:rFonts w:cs="Traditional Arabic" w:hint="cs"/>
          <w:sz w:val="20"/>
          <w:szCs w:val="30"/>
          <w:rtl/>
          <w:lang w:eastAsia="zh-TW"/>
        </w:rPr>
        <w:t>،</w:t>
      </w:r>
      <w:r w:rsidRPr="007C5E16">
        <w:rPr>
          <w:rFonts w:cs="Traditional Arabic"/>
          <w:sz w:val="20"/>
          <w:szCs w:val="30"/>
          <w:rtl/>
          <w:lang w:eastAsia="zh-TW"/>
        </w:rPr>
        <w:t xml:space="preserve"> في مقرره 4/1 المتعلق ببرنامج العمل، بالتوجيهات </w:t>
      </w:r>
      <w:r w:rsidRPr="007C5E16">
        <w:rPr>
          <w:rFonts w:cs="Traditional Arabic" w:hint="cs"/>
          <w:sz w:val="20"/>
          <w:szCs w:val="30"/>
          <w:rtl/>
          <w:lang w:eastAsia="zh-TW"/>
        </w:rPr>
        <w:t>المتعلقة ب</w:t>
      </w:r>
      <w:r w:rsidRPr="007C5E16">
        <w:rPr>
          <w:rFonts w:cs="Traditional Arabic"/>
          <w:sz w:val="20"/>
          <w:szCs w:val="30"/>
          <w:rtl/>
          <w:lang w:eastAsia="zh-TW"/>
        </w:rPr>
        <w:t xml:space="preserve">مواصلة العمل بشأن أدوات ومنهجيات دعم السياسات (الوثيقة </w:t>
      </w:r>
      <w:r w:rsidRPr="007C5E16">
        <w:rPr>
          <w:rFonts w:cs="Traditional Arabic"/>
          <w:sz w:val="20"/>
          <w:szCs w:val="30"/>
          <w:lang w:eastAsia="zh-TW"/>
        </w:rPr>
        <w:t>IPBES/4/12</w:t>
      </w:r>
      <w:r w:rsidRPr="007C5E16">
        <w:rPr>
          <w:rFonts w:cs="Traditional Arabic"/>
          <w:sz w:val="20"/>
          <w:szCs w:val="30"/>
          <w:rtl/>
          <w:lang w:eastAsia="zh-TW"/>
        </w:rPr>
        <w:t xml:space="preserve">، الفرع الثاني)؛ وشجع </w:t>
      </w:r>
      <w:r w:rsidRPr="007C5E16">
        <w:rPr>
          <w:rFonts w:cs="Traditional Arabic" w:hint="cs"/>
          <w:sz w:val="20"/>
          <w:szCs w:val="30"/>
          <w:rtl/>
          <w:lang w:eastAsia="zh-TW"/>
        </w:rPr>
        <w:t xml:space="preserve">على </w:t>
      </w:r>
      <w:r w:rsidRPr="007C5E16">
        <w:rPr>
          <w:rFonts w:cs="Traditional Arabic"/>
          <w:sz w:val="20"/>
          <w:szCs w:val="30"/>
          <w:rtl/>
          <w:lang w:eastAsia="zh-TW"/>
        </w:rPr>
        <w:t xml:space="preserve">تحقيق قدر أكبر من تكامل العمل بشأن أدوات </w:t>
      </w:r>
      <w:r w:rsidRPr="007C5E16">
        <w:rPr>
          <w:rFonts w:cs="Traditional Arabic" w:hint="cs"/>
          <w:sz w:val="20"/>
          <w:szCs w:val="30"/>
          <w:rtl/>
          <w:lang w:eastAsia="zh-TW"/>
        </w:rPr>
        <w:t xml:space="preserve">ومنهجيات </w:t>
      </w:r>
      <w:r w:rsidRPr="007C5E16">
        <w:rPr>
          <w:rFonts w:cs="Traditional Arabic"/>
          <w:sz w:val="20"/>
          <w:szCs w:val="30"/>
          <w:rtl/>
          <w:lang w:eastAsia="zh-TW"/>
        </w:rPr>
        <w:t>دعم السياسات في جميع النواتج ذات الصلة من برنامج العمل؛ ودعا الخبراء والحكومات وأصحاب المصلحة إلى تقديم أدوات ومنهجيات دعم السياسات ذات الصلة من أجل إدراجها في فهرس أدوات ومنهجيات دعم السياسات (</w:t>
      </w:r>
      <w:r w:rsidRPr="007C5E16">
        <w:rPr>
          <w:rFonts w:cs="Traditional Arabic"/>
          <w:sz w:val="20"/>
          <w:szCs w:val="30"/>
          <w:lang w:eastAsia="zh-TW"/>
        </w:rPr>
        <w:t>IPBES/4/INF/14</w:t>
      </w:r>
      <w:r w:rsidRPr="007C5E16">
        <w:rPr>
          <w:rFonts w:cs="Traditional Arabic"/>
          <w:sz w:val="20"/>
          <w:szCs w:val="30"/>
          <w:rtl/>
          <w:lang w:eastAsia="zh-TW"/>
        </w:rPr>
        <w:t xml:space="preserve">). </w:t>
      </w:r>
    </w:p>
    <w:p w:rsidR="00871FE5" w:rsidRPr="007C5E16" w:rsidRDefault="00871FE5" w:rsidP="001C19D0">
      <w:pPr>
        <w:pStyle w:val="ListParagraph"/>
        <w:numPr>
          <w:ilvl w:val="0"/>
          <w:numId w:val="8"/>
        </w:numPr>
        <w:spacing w:after="120" w:line="400" w:lineRule="exact"/>
        <w:ind w:left="1134" w:firstLine="0"/>
        <w:contextualSpacing w:val="0"/>
        <w:jc w:val="both"/>
        <w:rPr>
          <w:rFonts w:cs="Traditional Arabic"/>
          <w:sz w:val="20"/>
          <w:szCs w:val="30"/>
          <w:rtl/>
          <w:lang w:eastAsia="zh-TW"/>
        </w:rPr>
      </w:pPr>
      <w:r w:rsidRPr="007C5E16">
        <w:rPr>
          <w:rFonts w:cs="Traditional Arabic"/>
          <w:sz w:val="20"/>
          <w:szCs w:val="30"/>
          <w:rtl/>
          <w:lang w:eastAsia="zh-TW"/>
        </w:rPr>
        <w:t xml:space="preserve">وفي المقرر نفسه، طلب الاجتماع العام إلى فريق الخبراء المتعدد التخصصات، بدعم من فريق الخبراء المعني بأدوات </w:t>
      </w:r>
      <w:r w:rsidR="001C19D0" w:rsidRPr="007C5E16">
        <w:rPr>
          <w:rFonts w:cs="Traditional Arabic" w:hint="cs"/>
          <w:sz w:val="20"/>
          <w:szCs w:val="30"/>
          <w:rtl/>
          <w:lang w:eastAsia="zh-TW"/>
        </w:rPr>
        <w:t>ومنهجيات</w:t>
      </w:r>
      <w:r w:rsidRPr="007C5E16">
        <w:rPr>
          <w:rFonts w:cs="Traditional Arabic" w:hint="cs"/>
          <w:sz w:val="20"/>
          <w:szCs w:val="30"/>
          <w:rtl/>
          <w:lang w:eastAsia="zh-TW"/>
        </w:rPr>
        <w:t xml:space="preserve"> </w:t>
      </w:r>
      <w:r w:rsidRPr="007C5E16">
        <w:rPr>
          <w:rFonts w:cs="Traditional Arabic"/>
          <w:sz w:val="20"/>
          <w:szCs w:val="30"/>
          <w:rtl/>
          <w:lang w:eastAsia="zh-TW"/>
        </w:rPr>
        <w:t xml:space="preserve">دعم السياسات، مواصلة وضع الفهرس الإلكتروني لأدوات ومنهجيات دعم السياسات وإتاحة نموذج أولي </w:t>
      </w:r>
      <w:r w:rsidRPr="007C5E16">
        <w:rPr>
          <w:rFonts w:cs="Traditional Arabic" w:hint="cs"/>
          <w:sz w:val="20"/>
          <w:szCs w:val="30"/>
          <w:rtl/>
          <w:lang w:eastAsia="zh-TW"/>
        </w:rPr>
        <w:t>ل</w:t>
      </w:r>
      <w:r w:rsidRPr="007C5E16">
        <w:rPr>
          <w:rFonts w:cs="Traditional Arabic"/>
          <w:sz w:val="20"/>
          <w:szCs w:val="30"/>
          <w:rtl/>
          <w:lang w:eastAsia="zh-TW"/>
        </w:rPr>
        <w:t xml:space="preserve">لفهرس الإلكتروني للحكومات وأصحاب المصلحة لاختباره واستعراضه قبل انعقاد الدورة الخامسة للاجتماع العام؛ وتحديد مختلف احتياجات المستخدمين </w:t>
      </w:r>
      <w:r w:rsidRPr="007C5E16">
        <w:rPr>
          <w:rFonts w:cs="Traditional Arabic" w:hint="cs"/>
          <w:sz w:val="20"/>
          <w:szCs w:val="30"/>
          <w:rtl/>
          <w:lang w:eastAsia="zh-TW"/>
        </w:rPr>
        <w:t>فيما يتعلق ب</w:t>
      </w:r>
      <w:r w:rsidRPr="007C5E16">
        <w:rPr>
          <w:rFonts w:cs="Traditional Arabic"/>
          <w:sz w:val="20"/>
          <w:szCs w:val="30"/>
          <w:rtl/>
          <w:lang w:eastAsia="zh-TW"/>
        </w:rPr>
        <w:t xml:space="preserve">أدوات دعم السياسات </w:t>
      </w:r>
      <w:r w:rsidRPr="007C5E16">
        <w:rPr>
          <w:rFonts w:cs="Traditional Arabic" w:hint="cs"/>
          <w:sz w:val="20"/>
          <w:szCs w:val="30"/>
          <w:rtl/>
          <w:lang w:eastAsia="zh-TW"/>
        </w:rPr>
        <w:t>في مجالات ا</w:t>
      </w:r>
      <w:r w:rsidRPr="007C5E16">
        <w:rPr>
          <w:rFonts w:cs="Traditional Arabic"/>
          <w:sz w:val="20"/>
          <w:szCs w:val="30"/>
          <w:rtl/>
          <w:lang w:eastAsia="zh-TW"/>
        </w:rPr>
        <w:t>لنواتج ذات الصلة من برنامج العمل وت</w:t>
      </w:r>
      <w:r w:rsidRPr="007C5E16">
        <w:rPr>
          <w:rFonts w:cs="Traditional Arabic" w:hint="cs"/>
          <w:sz w:val="20"/>
          <w:szCs w:val="30"/>
          <w:rtl/>
          <w:lang w:eastAsia="zh-TW"/>
        </w:rPr>
        <w:t>يسير</w:t>
      </w:r>
      <w:r w:rsidRPr="007C5E16">
        <w:rPr>
          <w:rFonts w:cs="Traditional Arabic"/>
          <w:sz w:val="20"/>
          <w:szCs w:val="30"/>
          <w:rtl/>
          <w:lang w:eastAsia="zh-TW"/>
        </w:rPr>
        <w:t xml:space="preserve"> </w:t>
      </w:r>
      <w:r w:rsidRPr="007C5E16">
        <w:rPr>
          <w:rFonts w:cs="Traditional Arabic" w:hint="cs"/>
          <w:sz w:val="20"/>
          <w:szCs w:val="30"/>
          <w:rtl/>
          <w:lang w:eastAsia="zh-TW"/>
        </w:rPr>
        <w:t>إعداد تلك الأدوات</w:t>
      </w:r>
      <w:r w:rsidRPr="007C5E16">
        <w:rPr>
          <w:rFonts w:cs="Traditional Arabic"/>
          <w:sz w:val="20"/>
          <w:szCs w:val="30"/>
          <w:rtl/>
          <w:lang w:eastAsia="zh-TW"/>
        </w:rPr>
        <w:t xml:space="preserve"> حسب الاقتضاء؛ وإجراء تقييم لاستخدام الفهرس الإلكتروني وفعالي</w:t>
      </w:r>
      <w:r w:rsidRPr="007C5E16">
        <w:rPr>
          <w:rFonts w:cs="Traditional Arabic" w:hint="cs"/>
          <w:sz w:val="20"/>
          <w:szCs w:val="30"/>
          <w:rtl/>
          <w:lang w:eastAsia="zh-TW"/>
        </w:rPr>
        <w:t>ته</w:t>
      </w:r>
      <w:r w:rsidR="001C19D0">
        <w:rPr>
          <w:rFonts w:cs="Traditional Arabic" w:hint="cs"/>
          <w:sz w:val="20"/>
          <w:szCs w:val="30"/>
          <w:rtl/>
          <w:lang w:eastAsia="zh-TW"/>
        </w:rPr>
        <w:t>.</w:t>
      </w:r>
      <w:r w:rsidRPr="007C5E16">
        <w:rPr>
          <w:rFonts w:cs="Traditional Arabic"/>
          <w:sz w:val="20"/>
          <w:szCs w:val="30"/>
          <w:rtl/>
          <w:lang w:eastAsia="zh-TW"/>
        </w:rPr>
        <w:t xml:space="preserve"> </w:t>
      </w:r>
    </w:p>
    <w:p w:rsidR="00871FE5" w:rsidRPr="007C5E16" w:rsidRDefault="00871FE5" w:rsidP="007C5E16">
      <w:pPr>
        <w:pStyle w:val="ListParagraph"/>
        <w:numPr>
          <w:ilvl w:val="0"/>
          <w:numId w:val="8"/>
        </w:numPr>
        <w:spacing w:after="120" w:line="400" w:lineRule="exact"/>
        <w:ind w:left="1134" w:firstLine="0"/>
        <w:contextualSpacing w:val="0"/>
        <w:jc w:val="both"/>
        <w:rPr>
          <w:rFonts w:cs="Traditional Arabic"/>
          <w:sz w:val="20"/>
          <w:szCs w:val="30"/>
          <w:rtl/>
          <w:lang w:eastAsia="zh-TW"/>
        </w:rPr>
      </w:pPr>
      <w:r w:rsidRPr="007C5E16">
        <w:rPr>
          <w:rFonts w:cs="Traditional Arabic"/>
          <w:sz w:val="20"/>
          <w:szCs w:val="30"/>
          <w:rtl/>
          <w:lang w:eastAsia="zh-TW"/>
        </w:rPr>
        <w:lastRenderedPageBreak/>
        <w:t>وطلب الاجتماع العام أيضا</w:t>
      </w:r>
      <w:r w:rsidR="0088327C">
        <w:rPr>
          <w:rFonts w:cs="Traditional Arabic" w:hint="cs"/>
          <w:sz w:val="20"/>
          <w:szCs w:val="30"/>
          <w:rtl/>
          <w:lang w:eastAsia="zh-TW"/>
        </w:rPr>
        <w:t>ً</w:t>
      </w:r>
      <w:r w:rsidRPr="007C5E16">
        <w:rPr>
          <w:rFonts w:cs="Traditional Arabic"/>
          <w:sz w:val="20"/>
          <w:szCs w:val="30"/>
          <w:rtl/>
          <w:lang w:eastAsia="zh-TW"/>
        </w:rPr>
        <w:t xml:space="preserve"> إلى فريق الخبراء </w:t>
      </w:r>
      <w:r w:rsidRPr="007C5E16">
        <w:rPr>
          <w:rFonts w:cs="Traditional Arabic" w:hint="cs"/>
          <w:sz w:val="20"/>
          <w:szCs w:val="30"/>
          <w:rtl/>
          <w:lang w:eastAsia="zh-TW"/>
        </w:rPr>
        <w:t>ال</w:t>
      </w:r>
      <w:r w:rsidRPr="007C5E16">
        <w:rPr>
          <w:rFonts w:cs="Traditional Arabic"/>
          <w:sz w:val="20"/>
          <w:szCs w:val="30"/>
          <w:rtl/>
          <w:lang w:eastAsia="zh-TW"/>
        </w:rPr>
        <w:t>متعدد التخصصات الإشراف على محتوى الفهرس الإلكتروني، ومواصلة تطوير إدارة الفهرس بالتشاور مع المكتب، بما في ذلك من خلال وضع المعايير و</w:t>
      </w:r>
      <w:r w:rsidRPr="007C5E16">
        <w:rPr>
          <w:rFonts w:cs="Traditional Arabic" w:hint="cs"/>
          <w:sz w:val="20"/>
          <w:szCs w:val="30"/>
          <w:rtl/>
          <w:lang w:eastAsia="zh-TW"/>
        </w:rPr>
        <w:t xml:space="preserve">اعتماد </w:t>
      </w:r>
      <w:r w:rsidRPr="007C5E16">
        <w:rPr>
          <w:rFonts w:cs="Traditional Arabic"/>
          <w:sz w:val="20"/>
          <w:szCs w:val="30"/>
          <w:rtl/>
          <w:lang w:eastAsia="zh-TW"/>
        </w:rPr>
        <w:t xml:space="preserve">عملية شفافة </w:t>
      </w:r>
      <w:r w:rsidRPr="007C5E16">
        <w:rPr>
          <w:rFonts w:cs="Traditional Arabic" w:hint="cs"/>
          <w:sz w:val="20"/>
          <w:szCs w:val="30"/>
          <w:rtl/>
          <w:lang w:eastAsia="zh-TW"/>
        </w:rPr>
        <w:t>و</w:t>
      </w:r>
      <w:r w:rsidRPr="007C5E16">
        <w:rPr>
          <w:rFonts w:cs="Traditional Arabic"/>
          <w:sz w:val="20"/>
          <w:szCs w:val="30"/>
          <w:rtl/>
          <w:lang w:eastAsia="zh-TW"/>
        </w:rPr>
        <w:t xml:space="preserve">مفتوحة لإدراج أدوات </w:t>
      </w:r>
      <w:r w:rsidRPr="007C5E16">
        <w:rPr>
          <w:rFonts w:cs="Traditional Arabic" w:hint="cs"/>
          <w:sz w:val="20"/>
          <w:szCs w:val="30"/>
          <w:rtl/>
          <w:lang w:eastAsia="zh-TW"/>
        </w:rPr>
        <w:t xml:space="preserve">ومنهجيات </w:t>
      </w:r>
      <w:r w:rsidRPr="007C5E16">
        <w:rPr>
          <w:rFonts w:cs="Traditional Arabic"/>
          <w:sz w:val="20"/>
          <w:szCs w:val="30"/>
          <w:rtl/>
          <w:lang w:eastAsia="zh-TW"/>
        </w:rPr>
        <w:t>دعم السياسات التي يقدمها ال</w:t>
      </w:r>
      <w:r w:rsidR="001C19D0">
        <w:rPr>
          <w:rFonts w:cs="Traditional Arabic"/>
          <w:sz w:val="20"/>
          <w:szCs w:val="30"/>
          <w:rtl/>
          <w:lang w:eastAsia="zh-TW"/>
        </w:rPr>
        <w:t>خبراء والحكومات وأصحاب المصلحة</w:t>
      </w:r>
      <w:r w:rsidR="001C19D0">
        <w:rPr>
          <w:rFonts w:cs="Traditional Arabic" w:hint="cs"/>
          <w:sz w:val="20"/>
          <w:szCs w:val="30"/>
          <w:rtl/>
          <w:lang w:eastAsia="zh-TW"/>
        </w:rPr>
        <w:t>.</w:t>
      </w:r>
    </w:p>
    <w:p w:rsidR="00871FE5" w:rsidRPr="007C5E16" w:rsidRDefault="00871FE5" w:rsidP="007C5E16">
      <w:pPr>
        <w:pStyle w:val="ListParagraph"/>
        <w:numPr>
          <w:ilvl w:val="0"/>
          <w:numId w:val="8"/>
        </w:numPr>
        <w:spacing w:after="120" w:line="400" w:lineRule="exact"/>
        <w:ind w:left="1134" w:firstLine="0"/>
        <w:contextualSpacing w:val="0"/>
        <w:jc w:val="both"/>
        <w:rPr>
          <w:rFonts w:cs="Traditional Arabic"/>
          <w:sz w:val="20"/>
          <w:szCs w:val="30"/>
          <w:rtl/>
          <w:lang w:eastAsia="zh-TW"/>
        </w:rPr>
      </w:pPr>
      <w:r w:rsidRPr="007C5E16">
        <w:rPr>
          <w:rFonts w:cs="Traditional Arabic"/>
          <w:sz w:val="20"/>
          <w:szCs w:val="30"/>
          <w:rtl/>
          <w:lang w:eastAsia="zh-TW"/>
        </w:rPr>
        <w:t>وختاما</w:t>
      </w:r>
      <w:r w:rsidR="0088327C">
        <w:rPr>
          <w:rFonts w:cs="Traditional Arabic" w:hint="cs"/>
          <w:sz w:val="20"/>
          <w:szCs w:val="30"/>
          <w:rtl/>
          <w:lang w:eastAsia="zh-TW"/>
        </w:rPr>
        <w:t>ً</w:t>
      </w:r>
      <w:r w:rsidRPr="007C5E16">
        <w:rPr>
          <w:rFonts w:cs="Traditional Arabic"/>
          <w:sz w:val="20"/>
          <w:szCs w:val="30"/>
          <w:rtl/>
          <w:lang w:eastAsia="zh-TW"/>
        </w:rPr>
        <w:t>، وافق الاجتماع العام، ريثما ينظر في هذه المسألة في دورته الخامسة، على تمديد ولاية فريق الخبراء المعني بأدوات ومنهجيات دعم السياسات لكي يواصل عمله في وضع الفهرس الإلكتروني لأدوات ومنهجيات دعم السياسات التي يمكن وفقاً لتقدير الرؤساء، وبعد التشاور مع المكتب، أن يدعمهما أيضاً عدد محدود من الشخصيات البارزة وممثلي الشركاء الاستراتيجيين تبعاً لتوفر الموارد.</w:t>
      </w:r>
    </w:p>
    <w:p w:rsidR="00871FE5" w:rsidRPr="001C19D0" w:rsidRDefault="00871FE5" w:rsidP="001C19D0">
      <w:pPr>
        <w:spacing w:before="120" w:after="120" w:line="400" w:lineRule="exact"/>
        <w:ind w:left="1134" w:hanging="710"/>
        <w:jc w:val="both"/>
        <w:rPr>
          <w:rFonts w:ascii="Traditional Arabic" w:hAnsi="Traditional Arabic" w:cs="Traditional Arabic"/>
          <w:b/>
          <w:bCs/>
          <w:sz w:val="32"/>
          <w:szCs w:val="32"/>
          <w:rtl/>
          <w:lang w:eastAsia="zh-TW"/>
        </w:rPr>
      </w:pPr>
      <w:r w:rsidRPr="001C19D0">
        <w:rPr>
          <w:rFonts w:ascii="Traditional Arabic" w:hAnsi="Traditional Arabic" w:cs="Traditional Arabic"/>
          <w:b/>
          <w:bCs/>
          <w:sz w:val="32"/>
          <w:szCs w:val="32"/>
          <w:rtl/>
          <w:lang w:eastAsia="zh-TW"/>
        </w:rPr>
        <w:t>أولا</w:t>
      </w:r>
      <w:r w:rsidR="001C19D0">
        <w:rPr>
          <w:rFonts w:ascii="Traditional Arabic" w:hAnsi="Traditional Arabic" w:cs="Traditional Arabic" w:hint="cs"/>
          <w:b/>
          <w:bCs/>
          <w:sz w:val="32"/>
          <w:szCs w:val="32"/>
          <w:rtl/>
          <w:lang w:eastAsia="zh-TW"/>
        </w:rPr>
        <w:t>ً</w:t>
      </w:r>
      <w:r w:rsidRPr="001C19D0">
        <w:rPr>
          <w:rFonts w:ascii="Traditional Arabic" w:hAnsi="Traditional Arabic" w:cs="Traditional Arabic"/>
          <w:b/>
          <w:bCs/>
          <w:sz w:val="32"/>
          <w:szCs w:val="32"/>
          <w:rtl/>
          <w:lang w:eastAsia="zh-TW"/>
        </w:rPr>
        <w:t xml:space="preserve"> -</w:t>
      </w:r>
      <w:r w:rsidR="001C19D0" w:rsidRPr="001C19D0">
        <w:rPr>
          <w:rFonts w:ascii="Traditional Arabic" w:hAnsi="Traditional Arabic" w:cs="Traditional Arabic"/>
          <w:b/>
          <w:bCs/>
          <w:sz w:val="32"/>
          <w:szCs w:val="32"/>
          <w:rtl/>
          <w:lang w:eastAsia="zh-TW"/>
        </w:rPr>
        <w:tab/>
      </w:r>
      <w:dir w:val="rtl">
        <w:r w:rsidRPr="001C19D0">
          <w:rPr>
            <w:rFonts w:ascii="Traditional Arabic" w:hAnsi="Traditional Arabic" w:cs="Traditional Arabic"/>
            <w:b/>
            <w:bCs/>
            <w:sz w:val="32"/>
            <w:szCs w:val="32"/>
            <w:rtl/>
            <w:lang w:eastAsia="zh-TW"/>
          </w:rPr>
          <w:t>فهرس أدوات ومنهجيات دعم السياسات</w:t>
        </w:r>
        <w:r w:rsidRPr="001C19D0">
          <w:rPr>
            <w:rFonts w:cs="Times New Roman" w:hint="cs"/>
            <w:b/>
            <w:bCs/>
            <w:sz w:val="32"/>
            <w:szCs w:val="32"/>
            <w:rtl/>
            <w:lang w:eastAsia="zh-TW"/>
          </w:rPr>
          <w:t>‬</w:t>
        </w:r>
        <w:r w:rsidRPr="001C19D0">
          <w:rPr>
            <w:rFonts w:cs="Times New Roman"/>
            <w:b/>
            <w:bCs/>
            <w:sz w:val="32"/>
            <w:szCs w:val="32"/>
          </w:rPr>
          <w:t>‬</w:t>
        </w:r>
        <w:r w:rsidRPr="001C19D0">
          <w:rPr>
            <w:rFonts w:cs="Times New Roman"/>
            <w:b/>
            <w:bCs/>
            <w:sz w:val="32"/>
            <w:szCs w:val="32"/>
          </w:rPr>
          <w:t>‬</w:t>
        </w:r>
        <w:r w:rsidR="00FB6E2C">
          <w:t>‬</w:t>
        </w:r>
        <w:r w:rsidR="00C03FCA">
          <w:t>‬</w:t>
        </w:r>
        <w:r w:rsidR="00F97424">
          <w:t>‬</w:t>
        </w:r>
        <w:r w:rsidR="009C65C7">
          <w:t>‬</w:t>
        </w:r>
        <w:r w:rsidR="002857FA">
          <w:t>‬</w:t>
        </w:r>
        <w:r w:rsidR="00A12C62">
          <w:t>‬</w:t>
        </w:r>
      </w:dir>
    </w:p>
    <w:p w:rsidR="00871FE5" w:rsidRPr="007C5E16" w:rsidRDefault="00871FE5" w:rsidP="0088327C">
      <w:pPr>
        <w:pStyle w:val="ListParagraph"/>
        <w:numPr>
          <w:ilvl w:val="0"/>
          <w:numId w:val="8"/>
        </w:numPr>
        <w:spacing w:after="120" w:line="400" w:lineRule="exact"/>
        <w:ind w:left="1134" w:firstLine="0"/>
        <w:contextualSpacing w:val="0"/>
        <w:jc w:val="both"/>
        <w:rPr>
          <w:rFonts w:cs="Traditional Arabic"/>
          <w:sz w:val="20"/>
          <w:szCs w:val="30"/>
          <w:rtl/>
          <w:lang w:eastAsia="zh-TW"/>
        </w:rPr>
      </w:pPr>
      <w:r w:rsidRPr="007C5E16">
        <w:rPr>
          <w:rFonts w:cs="Traditional Arabic"/>
          <w:sz w:val="20"/>
          <w:szCs w:val="30"/>
          <w:rtl/>
          <w:lang w:eastAsia="zh-TW"/>
        </w:rPr>
        <w:t>تلقى المنبر الحكومي الدولي في عام 2016 عرضا</w:t>
      </w:r>
      <w:r w:rsidR="0088327C">
        <w:rPr>
          <w:rFonts w:cs="Traditional Arabic" w:hint="cs"/>
          <w:sz w:val="20"/>
          <w:szCs w:val="30"/>
          <w:rtl/>
          <w:lang w:eastAsia="zh-TW"/>
        </w:rPr>
        <w:t>ً</w:t>
      </w:r>
      <w:r w:rsidRPr="007C5E16">
        <w:rPr>
          <w:rFonts w:cs="Traditional Arabic"/>
          <w:sz w:val="20"/>
          <w:szCs w:val="30"/>
          <w:rtl/>
          <w:lang w:eastAsia="zh-TW"/>
        </w:rPr>
        <w:t xml:space="preserve"> لاعتماد هيكل شبكي قائم وجاهز لاستخدامه في تفعيل فهرس المنبر الخاص بأدوات ومنهجيات دعم السياسات. وقبِل المكتب هذا العرض استنادا إلى تحليل دقيق أجراه فريق الخبراء المتعدد التخصصات والأمانة وخبراء آخرون تابعون للمنبر الحكومي الدولي. وقد قامت بتطوير هذا الهيكل الشبكي المسمى ’’أوبلا </w:t>
      </w:r>
      <w:r w:rsidRPr="007C5E16">
        <w:rPr>
          <w:rFonts w:cs="Traditional Arabic"/>
          <w:sz w:val="20"/>
          <w:szCs w:val="30"/>
          <w:lang w:eastAsia="zh-TW"/>
        </w:rPr>
        <w:t>(Oppla)</w:t>
      </w:r>
      <w:r w:rsidRPr="007C5E16">
        <w:rPr>
          <w:rFonts w:cs="Traditional Arabic"/>
          <w:sz w:val="20"/>
          <w:szCs w:val="30"/>
          <w:rtl/>
          <w:lang w:eastAsia="zh-TW"/>
        </w:rPr>
        <w:t>‘‘ وتقديمه إلى المنبر الحكومي الدولي شراكة بين مشروع الإمكانات التشغيلية لتطبيقات بحوث النظم الإيكولوجية (أوبيراس)، ومشروع تفعيل رأس المال الطبيعي وخدمات النُظم الإيكولوجية، في سياق المشاريع التي يمولها الاتحاد الأوروبي وتجم</w:t>
      </w:r>
      <w:r w:rsidRPr="007C5E16">
        <w:rPr>
          <w:rFonts w:cs="Traditional Arabic" w:hint="cs"/>
          <w:sz w:val="20"/>
          <w:szCs w:val="30"/>
          <w:rtl/>
          <w:lang w:eastAsia="zh-TW"/>
        </w:rPr>
        <w:t>ُّ</w:t>
      </w:r>
      <w:r w:rsidRPr="007C5E16">
        <w:rPr>
          <w:rFonts w:cs="Traditional Arabic"/>
          <w:sz w:val="20"/>
          <w:szCs w:val="30"/>
          <w:rtl/>
          <w:lang w:eastAsia="zh-TW"/>
        </w:rPr>
        <w:t xml:space="preserve">ع أوبلا الاقتصادي الأوروبي. </w:t>
      </w:r>
    </w:p>
    <w:p w:rsidR="00871FE5" w:rsidRPr="007C5E16" w:rsidRDefault="00871FE5" w:rsidP="007C5E16">
      <w:pPr>
        <w:pStyle w:val="ListParagraph"/>
        <w:numPr>
          <w:ilvl w:val="0"/>
          <w:numId w:val="8"/>
        </w:numPr>
        <w:spacing w:after="120" w:line="400" w:lineRule="exact"/>
        <w:ind w:left="1134" w:firstLine="0"/>
        <w:contextualSpacing w:val="0"/>
        <w:jc w:val="both"/>
        <w:rPr>
          <w:rFonts w:cs="Traditional Arabic"/>
          <w:sz w:val="20"/>
          <w:szCs w:val="30"/>
          <w:rtl/>
          <w:lang w:eastAsia="zh-TW"/>
        </w:rPr>
      </w:pPr>
      <w:r w:rsidRPr="007C5E16">
        <w:rPr>
          <w:rFonts w:cs="Traditional Arabic"/>
          <w:sz w:val="20"/>
          <w:szCs w:val="30"/>
          <w:rtl/>
          <w:lang w:eastAsia="zh-TW"/>
        </w:rPr>
        <w:t xml:space="preserve">ونظام أوبلا عبارة عن منبر مفتوح لتبادل أدوات دعم السياسات ودراسات الحالات الإفرادية المتعلقة بالتنوع البيولوجي وخدمات النظم الإيكولوجية، ويلبي من عدة نواح احتياجات الفهرس المتوخى لأدوات ومنهجيات دعم السياسات. وقد التزم فريق أوبلا بتطوير نموذج عامل للهيكل الشبكي لأغراض فهرس المنبر الحكومي الدولي، وإعطاء المنبر التحكم الكامل في الفهرس والسماح له بالاستفادة من التحسينات المستقبلية ذات الصلة للنظام بصورة مجانية. ويمكن الاطلاع على مزيد من المعلومات عن نظام أوبلا في المرفق الأول للوثيقة </w:t>
      </w:r>
      <w:r w:rsidRPr="007C5E16">
        <w:rPr>
          <w:rFonts w:cs="Traditional Arabic"/>
          <w:sz w:val="20"/>
          <w:szCs w:val="30"/>
          <w:lang w:eastAsia="zh-TW"/>
        </w:rPr>
        <w:t>IPBES/5/INF/14</w:t>
      </w:r>
      <w:r w:rsidRPr="007C5E16">
        <w:rPr>
          <w:rFonts w:cs="Traditional Arabic"/>
          <w:sz w:val="20"/>
          <w:szCs w:val="30"/>
          <w:rtl/>
          <w:lang w:eastAsia="zh-TW"/>
        </w:rPr>
        <w:t>.</w:t>
      </w:r>
    </w:p>
    <w:p w:rsidR="00871FE5" w:rsidRPr="007C5E16" w:rsidRDefault="00871FE5" w:rsidP="007C5E16">
      <w:pPr>
        <w:pStyle w:val="ListParagraph"/>
        <w:numPr>
          <w:ilvl w:val="0"/>
          <w:numId w:val="8"/>
        </w:numPr>
        <w:spacing w:after="120" w:line="400" w:lineRule="exact"/>
        <w:ind w:left="1134" w:firstLine="0"/>
        <w:contextualSpacing w:val="0"/>
        <w:jc w:val="both"/>
        <w:rPr>
          <w:rFonts w:cs="Traditional Arabic"/>
          <w:sz w:val="20"/>
          <w:szCs w:val="30"/>
          <w:rtl/>
          <w:lang w:eastAsia="zh-TW"/>
        </w:rPr>
      </w:pPr>
      <w:r w:rsidRPr="007C5E16">
        <w:rPr>
          <w:rFonts w:cs="Traditional Arabic"/>
          <w:sz w:val="20"/>
          <w:szCs w:val="30"/>
          <w:rtl/>
          <w:lang w:eastAsia="zh-TW"/>
        </w:rPr>
        <w:t>وعقب قبول العرض في تشرين الأول/أكتوبر 2016، بدأت الأمانة بدعم من وحدة الدعم التقني المعنية بالناتج 4 (ج) المنشأة حديثا</w:t>
      </w:r>
      <w:r w:rsidR="0088327C">
        <w:rPr>
          <w:rFonts w:cs="Traditional Arabic" w:hint="cs"/>
          <w:sz w:val="20"/>
          <w:szCs w:val="30"/>
          <w:rtl/>
          <w:lang w:eastAsia="zh-TW"/>
        </w:rPr>
        <w:t>ً</w:t>
      </w:r>
      <w:r w:rsidRPr="007C5E16">
        <w:rPr>
          <w:rFonts w:cs="Traditional Arabic"/>
          <w:sz w:val="20"/>
          <w:szCs w:val="30"/>
          <w:rtl/>
          <w:lang w:eastAsia="zh-TW"/>
        </w:rPr>
        <w:t xml:space="preserve"> في المركز العالمي لرصد حفظ الطبيعة التابع لبرنامج الأمم المتحدة للبيئة، وبالتعاون مع فريق الخبراء المعني بأدوات ومنهجيات دعم السياسات، تنفيذ الأنشطة التالية المتصلة بالفهرس: </w:t>
      </w:r>
    </w:p>
    <w:p w:rsidR="00871FE5" w:rsidRPr="007C5E16" w:rsidRDefault="00871FE5" w:rsidP="001C19D0">
      <w:pPr>
        <w:spacing w:after="120" w:line="400" w:lineRule="exact"/>
        <w:ind w:left="1132" w:firstLine="709"/>
        <w:jc w:val="both"/>
        <w:rPr>
          <w:rFonts w:cs="Traditional Arabic"/>
          <w:sz w:val="20"/>
          <w:szCs w:val="30"/>
          <w:rtl/>
          <w:lang w:eastAsia="zh-TW"/>
        </w:rPr>
      </w:pPr>
      <w:r w:rsidRPr="007C5E16">
        <w:rPr>
          <w:rFonts w:cs="Traditional Arabic"/>
          <w:sz w:val="20"/>
          <w:szCs w:val="30"/>
          <w:rtl/>
        </w:rPr>
        <w:t>(أ)</w:t>
      </w:r>
      <w:r w:rsidRPr="007C5E16">
        <w:rPr>
          <w:rFonts w:cs="Traditional Arabic"/>
          <w:sz w:val="20"/>
          <w:szCs w:val="30"/>
          <w:rtl/>
        </w:rPr>
        <w:tab/>
      </w:r>
      <w:r w:rsidRPr="007C5E16">
        <w:rPr>
          <w:rFonts w:cs="Traditional Arabic"/>
          <w:sz w:val="20"/>
          <w:szCs w:val="30"/>
          <w:rtl/>
          <w:lang w:eastAsia="zh-TW"/>
        </w:rPr>
        <w:t>العمل مع فريق أوبلا لإعداد نموذج للفهرس؛</w:t>
      </w:r>
    </w:p>
    <w:p w:rsidR="00871FE5" w:rsidRPr="007C5E16" w:rsidRDefault="00871FE5" w:rsidP="001C19D0">
      <w:pPr>
        <w:spacing w:after="120" w:line="400" w:lineRule="exact"/>
        <w:ind w:left="1132" w:firstLine="709"/>
        <w:jc w:val="both"/>
        <w:rPr>
          <w:rFonts w:cs="Traditional Arabic"/>
          <w:sz w:val="20"/>
          <w:szCs w:val="30"/>
          <w:rtl/>
          <w:lang w:eastAsia="zh-TW"/>
        </w:rPr>
      </w:pPr>
      <w:r w:rsidRPr="007C5E16">
        <w:rPr>
          <w:rFonts w:cs="Traditional Arabic"/>
          <w:sz w:val="20"/>
          <w:szCs w:val="30"/>
          <w:rtl/>
        </w:rPr>
        <w:t>(ب)</w:t>
      </w:r>
      <w:r w:rsidRPr="007C5E16">
        <w:rPr>
          <w:rFonts w:cs="Traditional Arabic"/>
          <w:sz w:val="20"/>
          <w:szCs w:val="30"/>
          <w:rtl/>
        </w:rPr>
        <w:tab/>
      </w:r>
      <w:r w:rsidRPr="007C5E16">
        <w:rPr>
          <w:rFonts w:cs="Traditional Arabic"/>
          <w:sz w:val="20"/>
          <w:szCs w:val="30"/>
          <w:rtl/>
          <w:lang w:eastAsia="zh-TW"/>
        </w:rPr>
        <w:t xml:space="preserve">العمل مع الجهات المشاركة في التقييم المواضيعي للملقحات والتلقيح والإنتاج الغذائي لمعالجة أدوات دعم السياسات التي تم تحديدها في التقييم كأساس لتعبئة النموذج الأولي للفهرس؛ </w:t>
      </w:r>
    </w:p>
    <w:p w:rsidR="00871FE5" w:rsidRPr="007C5E16" w:rsidRDefault="00871FE5" w:rsidP="001C19D0">
      <w:pPr>
        <w:spacing w:after="120" w:line="400" w:lineRule="exact"/>
        <w:ind w:left="1132" w:firstLine="709"/>
        <w:jc w:val="both"/>
        <w:rPr>
          <w:rFonts w:cs="Traditional Arabic"/>
          <w:sz w:val="20"/>
          <w:szCs w:val="30"/>
          <w:rtl/>
          <w:lang w:eastAsia="zh-TW"/>
        </w:rPr>
      </w:pPr>
      <w:r w:rsidRPr="007C5E16">
        <w:rPr>
          <w:rFonts w:cs="Traditional Arabic"/>
          <w:sz w:val="20"/>
          <w:szCs w:val="30"/>
          <w:rtl/>
        </w:rPr>
        <w:t>(ج)</w:t>
      </w:r>
      <w:r w:rsidRPr="007C5E16">
        <w:rPr>
          <w:rFonts w:cs="Traditional Arabic"/>
          <w:sz w:val="20"/>
          <w:szCs w:val="30"/>
          <w:rtl/>
        </w:rPr>
        <w:tab/>
      </w:r>
      <w:r w:rsidRPr="007C5E16">
        <w:rPr>
          <w:rFonts w:cs="Traditional Arabic"/>
          <w:sz w:val="20"/>
          <w:szCs w:val="30"/>
          <w:rtl/>
          <w:lang w:eastAsia="zh-TW"/>
        </w:rPr>
        <w:t xml:space="preserve">العمل مع فريق الخبراء من أجل تحليل السيناريوهات ووضع النماذج فيما يتعلق بدليل شبكي دائم التطور بشأن استخدام السيناريوهات والنماذج في التقييم ودعم القرارات، وبشأن التقييم المنهجي للسيناريوهات والنماذج؛ </w:t>
      </w:r>
    </w:p>
    <w:p w:rsidR="00871FE5" w:rsidRPr="007C5E16" w:rsidRDefault="00871FE5" w:rsidP="001C19D0">
      <w:pPr>
        <w:spacing w:after="120" w:line="400" w:lineRule="exact"/>
        <w:ind w:left="1132" w:firstLine="709"/>
        <w:jc w:val="both"/>
        <w:rPr>
          <w:rFonts w:cs="Traditional Arabic"/>
          <w:sz w:val="20"/>
          <w:szCs w:val="30"/>
          <w:rtl/>
          <w:lang w:eastAsia="zh-TW"/>
        </w:rPr>
      </w:pPr>
      <w:r w:rsidRPr="007C5E16">
        <w:rPr>
          <w:rFonts w:cs="Traditional Arabic"/>
          <w:sz w:val="20"/>
          <w:szCs w:val="30"/>
          <w:rtl/>
        </w:rPr>
        <w:t>(د)</w:t>
      </w:r>
      <w:r w:rsidRPr="007C5E16">
        <w:rPr>
          <w:rFonts w:cs="Traditional Arabic"/>
          <w:sz w:val="20"/>
          <w:szCs w:val="30"/>
          <w:rtl/>
        </w:rPr>
        <w:tab/>
      </w:r>
      <w:r w:rsidRPr="007C5E16">
        <w:rPr>
          <w:rFonts w:cs="Traditional Arabic"/>
          <w:sz w:val="20"/>
          <w:szCs w:val="30"/>
          <w:rtl/>
          <w:lang w:eastAsia="zh-TW"/>
        </w:rPr>
        <w:t xml:space="preserve">العمل مع فريق الخبراء المعني بالقيم لوضع دليل شبكي بشأن النموذج الأولى المتعلق بالقيم المتعددة؛ </w:t>
      </w:r>
    </w:p>
    <w:p w:rsidR="00871FE5" w:rsidRPr="007C5E16" w:rsidRDefault="00871FE5" w:rsidP="001C19D0">
      <w:pPr>
        <w:spacing w:after="120" w:line="400" w:lineRule="exact"/>
        <w:ind w:left="1132" w:firstLine="709"/>
        <w:jc w:val="both"/>
        <w:rPr>
          <w:rFonts w:cs="Traditional Arabic"/>
          <w:sz w:val="20"/>
          <w:szCs w:val="30"/>
          <w:rtl/>
          <w:lang w:eastAsia="zh-TW"/>
        </w:rPr>
      </w:pPr>
      <w:r w:rsidRPr="007C5E16">
        <w:rPr>
          <w:rFonts w:cs="Traditional Arabic"/>
          <w:sz w:val="20"/>
          <w:szCs w:val="30"/>
          <w:rtl/>
        </w:rPr>
        <w:t>(هـ)</w:t>
      </w:r>
      <w:r w:rsidRPr="007C5E16">
        <w:rPr>
          <w:rFonts w:cs="Traditional Arabic"/>
          <w:sz w:val="20"/>
          <w:szCs w:val="30"/>
          <w:rtl/>
        </w:rPr>
        <w:tab/>
      </w:r>
      <w:r w:rsidRPr="007C5E16">
        <w:rPr>
          <w:rFonts w:cs="Traditional Arabic"/>
          <w:sz w:val="20"/>
          <w:szCs w:val="30"/>
          <w:rtl/>
          <w:lang w:eastAsia="zh-TW"/>
        </w:rPr>
        <w:t>استعراض فهرس التقييمات ووضع نهج لإدماجه في نفس البنية الشبكية بقدر الإمكان؛</w:t>
      </w:r>
    </w:p>
    <w:p w:rsidR="00871FE5" w:rsidRPr="007C5E16" w:rsidRDefault="00871FE5" w:rsidP="001C19D0">
      <w:pPr>
        <w:spacing w:after="120" w:line="400" w:lineRule="exact"/>
        <w:ind w:left="1132" w:firstLine="709"/>
        <w:jc w:val="both"/>
        <w:rPr>
          <w:rFonts w:cs="Traditional Arabic"/>
          <w:sz w:val="20"/>
          <w:szCs w:val="30"/>
          <w:rtl/>
          <w:lang w:eastAsia="zh-TW"/>
        </w:rPr>
      </w:pPr>
      <w:r w:rsidRPr="007C5E16">
        <w:rPr>
          <w:rFonts w:cs="Traditional Arabic"/>
          <w:sz w:val="20"/>
          <w:szCs w:val="30"/>
          <w:rtl/>
        </w:rPr>
        <w:lastRenderedPageBreak/>
        <w:t>(و)</w:t>
      </w:r>
      <w:r w:rsidRPr="007C5E16">
        <w:rPr>
          <w:rFonts w:cs="Traditional Arabic"/>
          <w:sz w:val="20"/>
          <w:szCs w:val="30"/>
          <w:rtl/>
        </w:rPr>
        <w:tab/>
      </w:r>
      <w:r w:rsidRPr="007C5E16">
        <w:rPr>
          <w:rFonts w:cs="Traditional Arabic"/>
          <w:sz w:val="20"/>
          <w:szCs w:val="30"/>
          <w:rtl/>
          <w:lang w:eastAsia="zh-TW"/>
        </w:rPr>
        <w:t>وضع خيارات لإدارة الفهرس، بما في ذلك اقتراح بشأن إضافة المحتو</w:t>
      </w:r>
      <w:r w:rsidRPr="007C5E16">
        <w:rPr>
          <w:rFonts w:cs="Traditional Arabic" w:hint="cs"/>
          <w:sz w:val="20"/>
          <w:szCs w:val="30"/>
          <w:rtl/>
          <w:lang w:eastAsia="zh-TW"/>
        </w:rPr>
        <w:t>يات</w:t>
      </w:r>
      <w:r w:rsidRPr="007C5E16">
        <w:rPr>
          <w:rFonts w:cs="Traditional Arabic"/>
          <w:sz w:val="20"/>
          <w:szCs w:val="30"/>
          <w:rtl/>
          <w:lang w:eastAsia="zh-TW"/>
        </w:rPr>
        <w:t xml:space="preserve"> إلى الفهرس و</w:t>
      </w:r>
      <w:r w:rsidRPr="007C5E16">
        <w:rPr>
          <w:rFonts w:cs="Traditional Arabic" w:hint="cs"/>
          <w:sz w:val="20"/>
          <w:szCs w:val="30"/>
          <w:rtl/>
          <w:lang w:eastAsia="zh-TW"/>
        </w:rPr>
        <w:t>ضمان</w:t>
      </w:r>
      <w:r w:rsidRPr="007C5E16">
        <w:rPr>
          <w:rFonts w:cs="Traditional Arabic"/>
          <w:sz w:val="20"/>
          <w:szCs w:val="30"/>
          <w:rtl/>
          <w:lang w:eastAsia="zh-TW"/>
        </w:rPr>
        <w:t xml:space="preserve"> جودة المواد المضافة؛ </w:t>
      </w:r>
    </w:p>
    <w:p w:rsidR="00871FE5" w:rsidRPr="007C5E16" w:rsidRDefault="00871FE5" w:rsidP="001C19D0">
      <w:pPr>
        <w:spacing w:after="120" w:line="400" w:lineRule="exact"/>
        <w:ind w:left="1132" w:firstLine="709"/>
        <w:jc w:val="both"/>
        <w:rPr>
          <w:rFonts w:cs="Traditional Arabic"/>
          <w:sz w:val="20"/>
          <w:szCs w:val="30"/>
          <w:rtl/>
          <w:lang w:eastAsia="zh-TW"/>
        </w:rPr>
      </w:pPr>
      <w:r w:rsidRPr="007C5E16">
        <w:rPr>
          <w:rFonts w:cs="Traditional Arabic"/>
          <w:sz w:val="20"/>
          <w:szCs w:val="30"/>
          <w:rtl/>
        </w:rPr>
        <w:t>(ز)</w:t>
      </w:r>
      <w:r w:rsidRPr="007C5E16">
        <w:rPr>
          <w:rFonts w:cs="Traditional Arabic"/>
          <w:sz w:val="20"/>
          <w:szCs w:val="30"/>
          <w:rtl/>
        </w:rPr>
        <w:tab/>
      </w:r>
      <w:r w:rsidRPr="007C5E16">
        <w:rPr>
          <w:rFonts w:cs="Traditional Arabic"/>
          <w:sz w:val="20"/>
          <w:szCs w:val="30"/>
          <w:rtl/>
          <w:lang w:eastAsia="zh-TW"/>
        </w:rPr>
        <w:t>وضع مشروع صيغة لإدراج المعلومات المتعلقة بأدوات ومنهجيات دعم السياسات المشار إليها في تقييمات المنبر الحكومي الدولي في الفهرس؛</w:t>
      </w:r>
    </w:p>
    <w:p w:rsidR="00871FE5" w:rsidRPr="007C5E16" w:rsidRDefault="00871FE5" w:rsidP="001C19D0">
      <w:pPr>
        <w:spacing w:after="120" w:line="400" w:lineRule="exact"/>
        <w:ind w:left="1132" w:firstLine="709"/>
        <w:jc w:val="both"/>
        <w:rPr>
          <w:rFonts w:cs="Traditional Arabic"/>
          <w:sz w:val="20"/>
          <w:szCs w:val="30"/>
          <w:rtl/>
          <w:lang w:eastAsia="zh-TW"/>
        </w:rPr>
      </w:pPr>
      <w:r w:rsidRPr="007C5E16">
        <w:rPr>
          <w:rFonts w:cs="Traditional Arabic"/>
          <w:sz w:val="20"/>
          <w:szCs w:val="30"/>
          <w:rtl/>
        </w:rPr>
        <w:t>(ح)</w:t>
      </w:r>
      <w:r w:rsidRPr="007C5E16">
        <w:rPr>
          <w:rFonts w:cs="Traditional Arabic"/>
          <w:sz w:val="20"/>
          <w:szCs w:val="30"/>
          <w:rtl/>
        </w:rPr>
        <w:tab/>
      </w:r>
      <w:r w:rsidRPr="007C5E16">
        <w:rPr>
          <w:rFonts w:cs="Traditional Arabic"/>
          <w:sz w:val="20"/>
          <w:szCs w:val="30"/>
          <w:rtl/>
          <w:lang w:eastAsia="zh-TW"/>
        </w:rPr>
        <w:t>وضع خطط أكثر تفصيلا</w:t>
      </w:r>
      <w:r w:rsidR="0088327C">
        <w:rPr>
          <w:rFonts w:cs="Traditional Arabic" w:hint="cs"/>
          <w:sz w:val="20"/>
          <w:szCs w:val="30"/>
          <w:rtl/>
          <w:lang w:eastAsia="zh-TW"/>
        </w:rPr>
        <w:t>ً</w:t>
      </w:r>
      <w:r w:rsidRPr="007C5E16">
        <w:rPr>
          <w:rFonts w:cs="Traditional Arabic"/>
          <w:sz w:val="20"/>
          <w:szCs w:val="30"/>
          <w:rtl/>
          <w:lang w:eastAsia="zh-TW"/>
        </w:rPr>
        <w:t xml:space="preserve"> لمواصلة تطوير الفهرس واختباره وتنفيذه عقب الدورة الخامسة للاجتماع العام؛ </w:t>
      </w:r>
    </w:p>
    <w:p w:rsidR="00871FE5" w:rsidRPr="007C5E16" w:rsidRDefault="00871FE5" w:rsidP="001C19D0">
      <w:pPr>
        <w:spacing w:after="120" w:line="400" w:lineRule="exact"/>
        <w:ind w:left="1132" w:firstLine="709"/>
        <w:jc w:val="both"/>
        <w:rPr>
          <w:rFonts w:cs="Traditional Arabic"/>
          <w:sz w:val="20"/>
          <w:szCs w:val="30"/>
          <w:rtl/>
          <w:lang w:eastAsia="zh-TW"/>
        </w:rPr>
      </w:pPr>
      <w:r w:rsidRPr="007C5E16">
        <w:rPr>
          <w:rFonts w:cs="Traditional Arabic"/>
          <w:sz w:val="20"/>
          <w:szCs w:val="30"/>
          <w:rtl/>
        </w:rPr>
        <w:t>(ط)</w:t>
      </w:r>
      <w:r w:rsidRPr="007C5E16">
        <w:rPr>
          <w:rFonts w:cs="Traditional Arabic"/>
          <w:sz w:val="20"/>
          <w:szCs w:val="30"/>
          <w:rtl/>
        </w:rPr>
        <w:tab/>
      </w:r>
      <w:r w:rsidRPr="007C5E16">
        <w:rPr>
          <w:rFonts w:cs="Traditional Arabic"/>
          <w:sz w:val="20"/>
          <w:szCs w:val="30"/>
          <w:rtl/>
          <w:lang w:eastAsia="zh-TW"/>
        </w:rPr>
        <w:t>التخطيط لتقييم استخدام النموذج الشبكي الأولي للفهرس وفعاليته، في سياق عملية الاستعراض التي يقوم بها المنبر الحكومي الدولي (الناتج 4 (ه)).</w:t>
      </w:r>
    </w:p>
    <w:p w:rsidR="00871FE5" w:rsidRPr="007C5E16" w:rsidRDefault="00871FE5" w:rsidP="007C5E16">
      <w:pPr>
        <w:pStyle w:val="ListParagraph"/>
        <w:numPr>
          <w:ilvl w:val="0"/>
          <w:numId w:val="8"/>
        </w:numPr>
        <w:spacing w:after="120" w:line="400" w:lineRule="exact"/>
        <w:ind w:left="1134" w:firstLine="0"/>
        <w:contextualSpacing w:val="0"/>
        <w:jc w:val="both"/>
        <w:rPr>
          <w:rFonts w:cs="Traditional Arabic"/>
          <w:sz w:val="20"/>
          <w:szCs w:val="30"/>
          <w:rtl/>
          <w:lang w:eastAsia="zh-TW"/>
        </w:rPr>
      </w:pPr>
      <w:r w:rsidRPr="007C5E16">
        <w:rPr>
          <w:rFonts w:cs="Traditional Arabic"/>
          <w:sz w:val="20"/>
          <w:szCs w:val="30"/>
          <w:rtl/>
          <w:lang w:eastAsia="zh-TW"/>
        </w:rPr>
        <w:t>وسيكون النموذج الأول للفهرس الإلكتروني لأدوات ومنهجيات دعم السياسات متاحا</w:t>
      </w:r>
      <w:r w:rsidR="0088327C">
        <w:rPr>
          <w:rFonts w:cs="Traditional Arabic" w:hint="cs"/>
          <w:sz w:val="20"/>
          <w:szCs w:val="30"/>
          <w:rtl/>
          <w:lang w:eastAsia="zh-TW"/>
        </w:rPr>
        <w:t>ً</w:t>
      </w:r>
      <w:r w:rsidRPr="007C5E16">
        <w:rPr>
          <w:rFonts w:cs="Traditional Arabic"/>
          <w:sz w:val="20"/>
          <w:szCs w:val="30"/>
          <w:rtl/>
          <w:lang w:eastAsia="zh-TW"/>
        </w:rPr>
        <w:t xml:space="preserve"> على الرابط </w:t>
      </w:r>
      <w:r w:rsidRPr="007C5E16">
        <w:rPr>
          <w:rFonts w:cs="Traditional Arabic"/>
          <w:sz w:val="20"/>
          <w:szCs w:val="30"/>
        </w:rPr>
        <w:t>http://oppla-ipbes.pantheonsite.io/</w:t>
      </w:r>
      <w:r w:rsidR="0088327C">
        <w:rPr>
          <w:rFonts w:cs="Traditional Arabic" w:hint="cs"/>
          <w:sz w:val="20"/>
          <w:szCs w:val="30"/>
          <w:rtl/>
          <w:lang w:eastAsia="zh-TW"/>
        </w:rPr>
        <w:t>.</w:t>
      </w:r>
      <w:r w:rsidRPr="007C5E16">
        <w:rPr>
          <w:rFonts w:cs="Traditional Arabic"/>
          <w:sz w:val="20"/>
          <w:szCs w:val="30"/>
          <w:rtl/>
          <w:lang w:eastAsia="zh-TW"/>
        </w:rPr>
        <w:t xml:space="preserve"> وسيشمل النموذج أمثلة </w:t>
      </w:r>
      <w:r w:rsidRPr="007C5E16">
        <w:rPr>
          <w:rFonts w:cs="Traditional Arabic" w:hint="cs"/>
          <w:sz w:val="20"/>
          <w:szCs w:val="30"/>
          <w:rtl/>
          <w:lang w:eastAsia="zh-TW"/>
        </w:rPr>
        <w:t>من</w:t>
      </w:r>
      <w:r w:rsidRPr="007C5E16">
        <w:rPr>
          <w:rFonts w:cs="Traditional Arabic"/>
          <w:sz w:val="20"/>
          <w:szCs w:val="30"/>
          <w:rtl/>
          <w:lang w:eastAsia="zh-TW"/>
        </w:rPr>
        <w:t xml:space="preserve"> أدوات ونهج دعم السياسات المشار إليها في التقييم المواضيعي للملقحات والتلقيح والإنتاج الغذائي، والتقييم المنهجي بشأن السيناريوهات ووضع النماذج والتوجيهات الأولية بشأن القيم. وسيتضمن النموذج أيضا</w:t>
      </w:r>
      <w:r w:rsidR="0088327C">
        <w:rPr>
          <w:rFonts w:cs="Traditional Arabic" w:hint="cs"/>
          <w:sz w:val="20"/>
          <w:szCs w:val="30"/>
          <w:rtl/>
          <w:lang w:eastAsia="zh-TW"/>
        </w:rPr>
        <w:t>ً</w:t>
      </w:r>
      <w:r w:rsidRPr="007C5E16">
        <w:rPr>
          <w:rFonts w:cs="Traditional Arabic"/>
          <w:sz w:val="20"/>
          <w:szCs w:val="30"/>
          <w:rtl/>
          <w:lang w:eastAsia="zh-TW"/>
        </w:rPr>
        <w:t xml:space="preserve"> أدوات مختارة لوضع السيناريوهات والنماذج مستقاة من قاعدة بيانات أوبلا الأوسع نطاقا</w:t>
      </w:r>
      <w:r w:rsidR="0088327C">
        <w:rPr>
          <w:rFonts w:cs="Traditional Arabic" w:hint="cs"/>
          <w:sz w:val="20"/>
          <w:szCs w:val="30"/>
          <w:rtl/>
          <w:lang w:eastAsia="zh-TW"/>
        </w:rPr>
        <w:t>ً</w:t>
      </w:r>
      <w:r w:rsidRPr="007C5E16">
        <w:rPr>
          <w:rFonts w:cs="Traditional Arabic"/>
          <w:sz w:val="20"/>
          <w:szCs w:val="30"/>
          <w:rtl/>
          <w:lang w:eastAsia="zh-TW"/>
        </w:rPr>
        <w:t>، وذلك بغرض إظهار تنوع الأدوات المتاحة. والاجتماع العام مدعو للاطلاع على النموذج واختباره و</w:t>
      </w:r>
      <w:r w:rsidRPr="007C5E16">
        <w:rPr>
          <w:rFonts w:cs="Traditional Arabic" w:hint="cs"/>
          <w:sz w:val="20"/>
          <w:szCs w:val="30"/>
          <w:rtl/>
          <w:lang w:eastAsia="zh-TW"/>
        </w:rPr>
        <w:t>إفادة الأمانة بتعليقاته عليه</w:t>
      </w:r>
      <w:r w:rsidRPr="007C5E16">
        <w:rPr>
          <w:rFonts w:cs="Traditional Arabic"/>
          <w:sz w:val="20"/>
          <w:szCs w:val="30"/>
          <w:rtl/>
          <w:lang w:eastAsia="zh-TW"/>
        </w:rPr>
        <w:t>، لا سيما فيما يتعلق بسهولة استخدامه وفعاليته المطلوبة. ومن المقرر إكمال الفهرس بحلول الدورة السادسة للاجتماع العام، استنادا</w:t>
      </w:r>
      <w:r w:rsidR="0088327C">
        <w:rPr>
          <w:rFonts w:cs="Traditional Arabic" w:hint="cs"/>
          <w:sz w:val="20"/>
          <w:szCs w:val="30"/>
          <w:rtl/>
          <w:lang w:eastAsia="zh-TW"/>
        </w:rPr>
        <w:t>ً</w:t>
      </w:r>
      <w:r w:rsidRPr="007C5E16">
        <w:rPr>
          <w:rFonts w:cs="Traditional Arabic"/>
          <w:sz w:val="20"/>
          <w:szCs w:val="30"/>
          <w:rtl/>
          <w:lang w:eastAsia="zh-TW"/>
        </w:rPr>
        <w:t xml:space="preserve"> إلى التعليقات الواردة. </w:t>
      </w:r>
    </w:p>
    <w:p w:rsidR="00871FE5" w:rsidRPr="007C5E16" w:rsidRDefault="00871FE5" w:rsidP="007C5E16">
      <w:pPr>
        <w:pStyle w:val="ListParagraph"/>
        <w:numPr>
          <w:ilvl w:val="0"/>
          <w:numId w:val="8"/>
        </w:numPr>
        <w:spacing w:after="120" w:line="400" w:lineRule="exact"/>
        <w:ind w:left="1134" w:firstLine="0"/>
        <w:contextualSpacing w:val="0"/>
        <w:jc w:val="both"/>
        <w:rPr>
          <w:rFonts w:cs="Traditional Arabic"/>
          <w:sz w:val="20"/>
          <w:szCs w:val="30"/>
          <w:rtl/>
          <w:lang w:eastAsia="zh-TW"/>
        </w:rPr>
      </w:pPr>
      <w:r w:rsidRPr="007C5E16">
        <w:rPr>
          <w:rFonts w:cs="Traditional Arabic"/>
          <w:sz w:val="20"/>
          <w:szCs w:val="30"/>
          <w:rtl/>
          <w:lang w:eastAsia="zh-TW"/>
        </w:rPr>
        <w:t>ويقترح أن تُستخدم في إعداد محتوى الفهرس المصادر وعمليات ضمان الجودة التالية، التي يشرف عليها فريق الخبراء المتعدد التخصصات:</w:t>
      </w:r>
    </w:p>
    <w:p w:rsidR="00871FE5" w:rsidRPr="007C5E16" w:rsidRDefault="00871FE5" w:rsidP="001C19D0">
      <w:pPr>
        <w:spacing w:after="120" w:line="400" w:lineRule="exact"/>
        <w:ind w:left="1132" w:firstLine="709"/>
        <w:jc w:val="both"/>
        <w:rPr>
          <w:rFonts w:cs="Traditional Arabic"/>
          <w:sz w:val="20"/>
          <w:szCs w:val="30"/>
          <w:rtl/>
          <w:lang w:eastAsia="zh-TW"/>
        </w:rPr>
      </w:pPr>
      <w:r w:rsidRPr="007C5E16">
        <w:rPr>
          <w:rFonts w:cs="Traditional Arabic"/>
          <w:sz w:val="20"/>
          <w:szCs w:val="30"/>
          <w:rtl/>
          <w:lang w:eastAsia="zh-TW"/>
        </w:rPr>
        <w:t>(أ)</w:t>
      </w:r>
      <w:r w:rsidRPr="007C5E16">
        <w:rPr>
          <w:rFonts w:cs="Traditional Arabic"/>
          <w:sz w:val="20"/>
          <w:szCs w:val="30"/>
          <w:rtl/>
          <w:lang w:eastAsia="zh-TW"/>
        </w:rPr>
        <w:tab/>
        <w:t>أدوات ومنهجيات دعم السياسات التي جرى تحليلها ضمن التقييمات النهائية للمنبر الحكومي الدولي. وستوضع صيغ لاستخلاص المعلومات من التقييمات وتُقدم إرشادات لإدراجها في الفهرس. وست</w:t>
      </w:r>
      <w:r w:rsidRPr="007C5E16">
        <w:rPr>
          <w:rFonts w:cs="Traditional Arabic" w:hint="cs"/>
          <w:sz w:val="20"/>
          <w:szCs w:val="30"/>
          <w:rtl/>
          <w:lang w:eastAsia="zh-TW"/>
        </w:rPr>
        <w:t>ُضمن</w:t>
      </w:r>
      <w:r w:rsidRPr="007C5E16">
        <w:rPr>
          <w:rFonts w:cs="Traditional Arabic"/>
          <w:sz w:val="20"/>
          <w:szCs w:val="30"/>
          <w:rtl/>
          <w:lang w:eastAsia="zh-TW"/>
        </w:rPr>
        <w:t xml:space="preserve"> الجودة من خلال عملية استعراض تقارير التقييم؛</w:t>
      </w:r>
    </w:p>
    <w:p w:rsidR="00871FE5" w:rsidRPr="007C5E16" w:rsidRDefault="00871FE5" w:rsidP="001C19D0">
      <w:pPr>
        <w:spacing w:after="120" w:line="400" w:lineRule="exact"/>
        <w:ind w:left="1132" w:firstLine="709"/>
        <w:jc w:val="both"/>
        <w:rPr>
          <w:rFonts w:cs="Traditional Arabic"/>
          <w:sz w:val="20"/>
          <w:szCs w:val="30"/>
          <w:rtl/>
          <w:lang w:eastAsia="zh-TW"/>
        </w:rPr>
      </w:pPr>
      <w:r w:rsidRPr="007C5E16">
        <w:rPr>
          <w:rFonts w:cs="Traditional Arabic"/>
          <w:sz w:val="20"/>
          <w:szCs w:val="30"/>
          <w:rtl/>
          <w:lang w:eastAsia="zh-TW"/>
        </w:rPr>
        <w:t>(ب)</w:t>
      </w:r>
      <w:r w:rsidRPr="007C5E16">
        <w:rPr>
          <w:rFonts w:cs="Traditional Arabic"/>
          <w:sz w:val="20"/>
          <w:szCs w:val="30"/>
          <w:rtl/>
          <w:lang w:eastAsia="zh-TW"/>
        </w:rPr>
        <w:tab/>
        <w:t>أدوات ومنهجيات دعم السياسات الناشئة عن عمل فرق العمل وأفرقة الخبراء الأخرى التابعة للمنبر. وستوضع صيغ لاستخلاص المعلومات المقرر إدراجها في الفهرس. وستوضع توجيهات لضمان الجودة حيث لا تتوافر توج</w:t>
      </w:r>
      <w:r w:rsidR="001C19D0">
        <w:rPr>
          <w:rFonts w:cs="Traditional Arabic" w:hint="cs"/>
          <w:sz w:val="20"/>
          <w:szCs w:val="30"/>
          <w:rtl/>
          <w:lang w:eastAsia="zh-TW"/>
        </w:rPr>
        <w:t>ي</w:t>
      </w:r>
      <w:r w:rsidRPr="007C5E16">
        <w:rPr>
          <w:rFonts w:cs="Traditional Arabic"/>
          <w:sz w:val="20"/>
          <w:szCs w:val="30"/>
          <w:rtl/>
          <w:lang w:eastAsia="zh-TW"/>
        </w:rPr>
        <w:t>هيات من هذا القبيل كجزء من عملية المنبر الحكومي الدولي؛</w:t>
      </w:r>
    </w:p>
    <w:p w:rsidR="00871FE5" w:rsidRPr="007C5E16" w:rsidRDefault="00871FE5" w:rsidP="001C19D0">
      <w:pPr>
        <w:spacing w:after="120" w:line="400" w:lineRule="exact"/>
        <w:ind w:left="1132" w:firstLine="709"/>
        <w:jc w:val="both"/>
        <w:rPr>
          <w:rFonts w:cs="Traditional Arabic"/>
          <w:sz w:val="20"/>
          <w:szCs w:val="30"/>
          <w:rtl/>
          <w:lang w:eastAsia="zh-TW"/>
        </w:rPr>
      </w:pPr>
      <w:r w:rsidRPr="007C5E16">
        <w:rPr>
          <w:rFonts w:cs="Traditional Arabic"/>
          <w:sz w:val="20"/>
          <w:szCs w:val="30"/>
          <w:rtl/>
          <w:lang w:eastAsia="zh-TW"/>
        </w:rPr>
        <w:t>(ج)</w:t>
      </w:r>
      <w:r w:rsidRPr="007C5E16">
        <w:rPr>
          <w:rFonts w:cs="Traditional Arabic"/>
          <w:sz w:val="20"/>
          <w:szCs w:val="30"/>
          <w:rtl/>
          <w:lang w:eastAsia="zh-TW"/>
        </w:rPr>
        <w:tab/>
        <w:t>وستوجه إلى الخبراء والحكومات والجهات صاحبة المصلحة دعوات رسمية منتظمة لتقديم أدوات ومنهجيات دعم السياسات إلى أمانة المنبر. وستوضع صيغ لاستخلاص المعلومات المقرر إدراجها في الفهرس، وكذلك توجيهات لضمان الجودة؛</w:t>
      </w:r>
    </w:p>
    <w:p w:rsidR="00871FE5" w:rsidRPr="007C5E16" w:rsidRDefault="00871FE5" w:rsidP="001C19D0">
      <w:pPr>
        <w:spacing w:after="120" w:line="400" w:lineRule="exact"/>
        <w:ind w:left="1132" w:firstLine="709"/>
        <w:jc w:val="both"/>
        <w:rPr>
          <w:rFonts w:cs="Traditional Arabic"/>
          <w:sz w:val="20"/>
          <w:szCs w:val="30"/>
          <w:rtl/>
          <w:lang w:eastAsia="zh-TW"/>
        </w:rPr>
      </w:pPr>
      <w:r w:rsidRPr="007C5E16">
        <w:rPr>
          <w:rFonts w:cs="Traditional Arabic"/>
          <w:sz w:val="20"/>
          <w:szCs w:val="30"/>
          <w:rtl/>
          <w:lang w:eastAsia="zh-TW"/>
        </w:rPr>
        <w:t>(د)</w:t>
      </w:r>
      <w:r w:rsidRPr="007C5E16">
        <w:rPr>
          <w:rFonts w:cs="Traditional Arabic"/>
          <w:sz w:val="20"/>
          <w:szCs w:val="30"/>
          <w:rtl/>
          <w:lang w:eastAsia="zh-TW"/>
        </w:rPr>
        <w:tab/>
        <w:t xml:space="preserve">ويمكن مواصلة تحسين محتويات الفهرس عن طريق إدماجه في الأدوات والمنهجيات الموجودة في الموقع الأصلي لأوبلا أو ربطه بها، على أن يُبين بوضوح أن تلك الأدوات والمنهجيات منتجات غير تابعة للمنبر الحكومي الدولي. ويستند ضمان الجودة في إطار نظام أوبلا إلى المعلومات التي قدمتها الجهة التي طورت الأداة مثل المنشورات ودراسات الحالات الإفرادية وتفاصيل نظم ضمان الجودة المعترف بها (مثل منظمة المعايير الدولية). </w:t>
      </w:r>
    </w:p>
    <w:p w:rsidR="00871FE5" w:rsidRPr="007C5E16" w:rsidRDefault="00871FE5" w:rsidP="007C5E16">
      <w:pPr>
        <w:pStyle w:val="ListParagraph"/>
        <w:numPr>
          <w:ilvl w:val="0"/>
          <w:numId w:val="8"/>
        </w:numPr>
        <w:spacing w:after="120" w:line="400" w:lineRule="exact"/>
        <w:ind w:left="1134" w:firstLine="0"/>
        <w:contextualSpacing w:val="0"/>
        <w:jc w:val="both"/>
        <w:rPr>
          <w:rFonts w:cs="Traditional Arabic"/>
          <w:sz w:val="20"/>
          <w:szCs w:val="30"/>
          <w:rtl/>
          <w:lang w:eastAsia="zh-TW"/>
        </w:rPr>
      </w:pPr>
      <w:r w:rsidRPr="007C5E16">
        <w:rPr>
          <w:rFonts w:cs="Traditional Arabic"/>
          <w:sz w:val="20"/>
          <w:szCs w:val="30"/>
          <w:rtl/>
          <w:lang w:eastAsia="zh-TW"/>
        </w:rPr>
        <w:lastRenderedPageBreak/>
        <w:t>وسيضع فريق الخبراء المتعدد التخصصات، بالتشاور مع المكتب، التوجيهات اللازمة بشأن تقديم محتويات الفهرس الإلكتروني وضمان جودتها وإدارتها. وسي</w:t>
      </w:r>
      <w:r w:rsidRPr="007C5E16">
        <w:rPr>
          <w:rFonts w:cs="Traditional Arabic" w:hint="cs"/>
          <w:sz w:val="20"/>
          <w:szCs w:val="30"/>
          <w:rtl/>
          <w:lang w:eastAsia="zh-TW"/>
        </w:rPr>
        <w:t>وفر</w:t>
      </w:r>
      <w:r w:rsidRPr="007C5E16">
        <w:rPr>
          <w:rFonts w:cs="Traditional Arabic"/>
          <w:sz w:val="20"/>
          <w:szCs w:val="30"/>
          <w:rtl/>
          <w:lang w:eastAsia="zh-TW"/>
        </w:rPr>
        <w:t xml:space="preserve"> الفريق أيضا</w:t>
      </w:r>
      <w:r w:rsidR="0088327C">
        <w:rPr>
          <w:rFonts w:cs="Traditional Arabic" w:hint="cs"/>
          <w:sz w:val="20"/>
          <w:szCs w:val="30"/>
          <w:rtl/>
          <w:lang w:eastAsia="zh-TW"/>
        </w:rPr>
        <w:t>ً</w:t>
      </w:r>
      <w:r w:rsidRPr="007C5E16">
        <w:rPr>
          <w:rFonts w:cs="Traditional Arabic"/>
          <w:sz w:val="20"/>
          <w:szCs w:val="30"/>
          <w:rtl/>
          <w:lang w:eastAsia="zh-TW"/>
        </w:rPr>
        <w:t xml:space="preserve"> وسيلة لبيان مصادر مختلف الأدوات والمنهجيات بالنسبة لجميع المصادر المشار إليها في الفقرة 9 أعلاه. </w:t>
      </w:r>
    </w:p>
    <w:p w:rsidR="00871FE5" w:rsidRPr="007C5E16" w:rsidRDefault="00871FE5" w:rsidP="007C5E16">
      <w:pPr>
        <w:pStyle w:val="ListParagraph"/>
        <w:numPr>
          <w:ilvl w:val="0"/>
          <w:numId w:val="8"/>
        </w:numPr>
        <w:spacing w:after="120" w:line="400" w:lineRule="exact"/>
        <w:ind w:left="1134" w:firstLine="0"/>
        <w:contextualSpacing w:val="0"/>
        <w:jc w:val="both"/>
        <w:rPr>
          <w:rFonts w:cs="Traditional Arabic"/>
          <w:sz w:val="20"/>
          <w:szCs w:val="30"/>
          <w:rtl/>
          <w:lang w:eastAsia="zh-TW"/>
        </w:rPr>
      </w:pPr>
      <w:r w:rsidRPr="007C5E16">
        <w:rPr>
          <w:rFonts w:cs="Traditional Arabic"/>
          <w:sz w:val="20"/>
          <w:szCs w:val="30"/>
          <w:rtl/>
          <w:lang w:eastAsia="zh-TW"/>
        </w:rPr>
        <w:t xml:space="preserve">وتتضمن الوثيقة </w:t>
      </w:r>
      <w:r w:rsidRPr="007C5E16">
        <w:rPr>
          <w:rFonts w:cs="Traditional Arabic"/>
          <w:sz w:val="20"/>
          <w:szCs w:val="30"/>
          <w:lang w:eastAsia="zh-TW"/>
        </w:rPr>
        <w:t>IPBES/5/INF/14</w:t>
      </w:r>
      <w:r w:rsidRPr="007C5E16">
        <w:rPr>
          <w:rFonts w:cs="Traditional Arabic"/>
          <w:sz w:val="20"/>
          <w:szCs w:val="30"/>
          <w:rtl/>
          <w:lang w:eastAsia="zh-TW"/>
        </w:rPr>
        <w:t xml:space="preserve"> معلومات موجهة للمستخدمين عن خيارات تقديم المحتويات لإدراجها في الفهرس. ويُدعى الاجتماع العام إلى النظر في نهج تطوير المحتوى المبين في الفقرة 10 أعلاه والموافقة عليه، وإفادة الأمانة بتعليقاته بشأن طريقة عرض المحتوي على النحو المبين في الوثيقة </w:t>
      </w:r>
      <w:r w:rsidRPr="007C5E16">
        <w:rPr>
          <w:rFonts w:cs="Traditional Arabic"/>
          <w:sz w:val="20"/>
          <w:szCs w:val="30"/>
          <w:lang w:eastAsia="zh-TW"/>
        </w:rPr>
        <w:t>IPBES/5/INF/14</w:t>
      </w:r>
      <w:r w:rsidRPr="007C5E16">
        <w:rPr>
          <w:rFonts w:cs="Traditional Arabic"/>
          <w:sz w:val="20"/>
          <w:szCs w:val="30"/>
          <w:rtl/>
          <w:lang w:eastAsia="zh-TW"/>
        </w:rPr>
        <w:t xml:space="preserve">. </w:t>
      </w:r>
    </w:p>
    <w:p w:rsidR="00871FE5" w:rsidRPr="001C19D0" w:rsidRDefault="00871FE5" w:rsidP="001C19D0">
      <w:pPr>
        <w:spacing w:before="120" w:after="120" w:line="400" w:lineRule="exact"/>
        <w:ind w:left="1134" w:hanging="710"/>
        <w:jc w:val="both"/>
        <w:rPr>
          <w:rFonts w:ascii="Traditional Arabic" w:hAnsi="Traditional Arabic" w:cs="Traditional Arabic"/>
          <w:b/>
          <w:bCs/>
          <w:sz w:val="32"/>
          <w:szCs w:val="32"/>
          <w:rtl/>
          <w:lang w:eastAsia="zh-TW"/>
        </w:rPr>
      </w:pPr>
      <w:r w:rsidRPr="001C19D0">
        <w:rPr>
          <w:rFonts w:ascii="Traditional Arabic" w:hAnsi="Traditional Arabic" w:cs="Traditional Arabic"/>
          <w:b/>
          <w:bCs/>
          <w:sz w:val="32"/>
          <w:szCs w:val="32"/>
          <w:rtl/>
          <w:lang w:eastAsia="zh-TW"/>
        </w:rPr>
        <w:t>ثانياً -</w:t>
      </w:r>
      <w:r w:rsidR="001C19D0">
        <w:rPr>
          <w:rFonts w:ascii="Traditional Arabic" w:hAnsi="Traditional Arabic" w:cs="Traditional Arabic" w:hint="cs"/>
          <w:b/>
          <w:bCs/>
          <w:sz w:val="32"/>
          <w:szCs w:val="32"/>
          <w:rtl/>
          <w:lang w:eastAsia="zh-TW"/>
        </w:rPr>
        <w:tab/>
      </w:r>
      <w:r w:rsidRPr="001C19D0">
        <w:rPr>
          <w:rFonts w:ascii="Traditional Arabic" w:hAnsi="Traditional Arabic" w:cs="Traditional Arabic"/>
          <w:b/>
          <w:bCs/>
          <w:sz w:val="32"/>
          <w:szCs w:val="32"/>
          <w:rtl/>
          <w:lang w:eastAsia="zh-TW"/>
        </w:rPr>
        <w:t>التوجيهات المنهجية لدعم عمليات التقييم</w:t>
      </w:r>
    </w:p>
    <w:p w:rsidR="00871FE5" w:rsidRPr="007C5E16" w:rsidRDefault="00871FE5" w:rsidP="00952458">
      <w:pPr>
        <w:pStyle w:val="ListParagraph"/>
        <w:numPr>
          <w:ilvl w:val="0"/>
          <w:numId w:val="8"/>
        </w:numPr>
        <w:spacing w:after="120" w:line="400" w:lineRule="exact"/>
        <w:ind w:left="1134" w:firstLine="0"/>
        <w:contextualSpacing w:val="0"/>
        <w:jc w:val="both"/>
        <w:rPr>
          <w:rFonts w:cs="Traditional Arabic"/>
          <w:sz w:val="20"/>
          <w:szCs w:val="30"/>
          <w:rtl/>
          <w:lang w:eastAsia="zh-TW"/>
        </w:rPr>
      </w:pPr>
      <w:r w:rsidRPr="007C5E16">
        <w:rPr>
          <w:rFonts w:cs="Traditional Arabic"/>
          <w:sz w:val="20"/>
          <w:szCs w:val="30"/>
          <w:rtl/>
          <w:lang w:eastAsia="zh-TW"/>
        </w:rPr>
        <w:t>استجابة لطلب الاجتماع العام، شرع فريق الخبراء المعني بأدوات ومنهجيات دعم السياسات، بمساندة الأمانة، في وضع توجيهات لكفالة إدماج العمل المتعلق بأدوات ومنهجيات دعم السياسات في جميع النواتج ذات الصلة من برنامج عمل المنبر الحكومي الدولي. وعلى وجه التحديد، استجابة لحاجة تم تحديدها في سياق الاجتماع الثاني المشترك لمؤلفي التقييم الإقليمي للتنوع البيولوجي وخدمات النظم الإيكولوجية، وتقييم تدهور الأراضي واستصلاحها، يخطط فريق الخبراء لتقديم إطار منهجي ودعم لمؤلفي التقييمات المشاركين في إعداد الفصول التي تتناول الاستجابات السياساتية (الفصل 6 من التقييمات الإقليمية، والفصلان 6 و8 من تقييم تدهور الأراضي واستصلاحها، والفصل 6 من التقييم العالمي). وسيُسهل هذا الإطار المقارنة بين التقييمات الإقليمية ويسمح للتقييم العالمي بالاستفادة من تحليلات متسقة عبر مختلف المناطق. ويم</w:t>
      </w:r>
      <w:r w:rsidR="0088327C">
        <w:rPr>
          <w:rFonts w:cs="Traditional Arabic" w:hint="cs"/>
          <w:sz w:val="20"/>
          <w:szCs w:val="30"/>
          <w:rtl/>
          <w:lang w:eastAsia="zh-TW"/>
        </w:rPr>
        <w:t>ك</w:t>
      </w:r>
      <w:r w:rsidRPr="007C5E16">
        <w:rPr>
          <w:rFonts w:cs="Traditional Arabic"/>
          <w:sz w:val="20"/>
          <w:szCs w:val="30"/>
          <w:rtl/>
          <w:lang w:eastAsia="zh-TW"/>
        </w:rPr>
        <w:t xml:space="preserve">ن الاطلاع على موجز للتوجيهات في الوثيقة </w:t>
      </w:r>
      <w:r w:rsidRPr="007C5E16">
        <w:rPr>
          <w:rFonts w:cs="Traditional Arabic"/>
          <w:sz w:val="20"/>
          <w:szCs w:val="30"/>
          <w:lang w:eastAsia="zh-TW"/>
        </w:rPr>
        <w:t>IPBES/5/INF/14</w:t>
      </w:r>
      <w:r w:rsidRPr="007C5E16">
        <w:rPr>
          <w:rFonts w:cs="Traditional Arabic"/>
          <w:sz w:val="20"/>
          <w:szCs w:val="30"/>
          <w:rtl/>
          <w:lang w:eastAsia="zh-TW"/>
        </w:rPr>
        <w:t>.</w:t>
      </w:r>
    </w:p>
    <w:p w:rsidR="00871FE5" w:rsidRPr="007C5E16" w:rsidRDefault="00871FE5" w:rsidP="007C5E16">
      <w:pPr>
        <w:pStyle w:val="ListParagraph"/>
        <w:numPr>
          <w:ilvl w:val="0"/>
          <w:numId w:val="8"/>
        </w:numPr>
        <w:spacing w:after="120" w:line="400" w:lineRule="exact"/>
        <w:ind w:left="1134" w:firstLine="0"/>
        <w:contextualSpacing w:val="0"/>
        <w:jc w:val="both"/>
        <w:rPr>
          <w:rFonts w:cs="Traditional Arabic"/>
          <w:sz w:val="20"/>
          <w:szCs w:val="30"/>
          <w:rtl/>
          <w:lang w:eastAsia="zh-TW"/>
        </w:rPr>
      </w:pPr>
      <w:r w:rsidRPr="007C5E16">
        <w:rPr>
          <w:rFonts w:cs="Traditional Arabic"/>
          <w:sz w:val="20"/>
          <w:szCs w:val="30"/>
          <w:rtl/>
          <w:lang w:eastAsia="zh-TW"/>
        </w:rPr>
        <w:t xml:space="preserve">ويُقترح اعتماد العملية التالية لإعداد التوجيهات والإطار المنهجي: </w:t>
      </w:r>
    </w:p>
    <w:p w:rsidR="00871FE5" w:rsidRPr="007C5E16" w:rsidRDefault="00871FE5" w:rsidP="001C19D0">
      <w:pPr>
        <w:spacing w:after="120" w:line="400" w:lineRule="exact"/>
        <w:ind w:left="1132" w:firstLine="709"/>
        <w:jc w:val="both"/>
        <w:rPr>
          <w:rFonts w:cs="Traditional Arabic"/>
          <w:sz w:val="20"/>
          <w:szCs w:val="30"/>
          <w:rtl/>
          <w:lang w:eastAsia="zh-TW"/>
        </w:rPr>
      </w:pPr>
      <w:r w:rsidRPr="007C5E16">
        <w:rPr>
          <w:rFonts w:cs="Traditional Arabic"/>
          <w:sz w:val="20"/>
          <w:szCs w:val="30"/>
          <w:rtl/>
          <w:lang w:eastAsia="zh-TW"/>
        </w:rPr>
        <w:t>(أ)</w:t>
      </w:r>
      <w:r w:rsidRPr="007C5E16">
        <w:rPr>
          <w:rFonts w:cs="Traditional Arabic"/>
          <w:sz w:val="20"/>
          <w:szCs w:val="30"/>
          <w:rtl/>
          <w:lang w:eastAsia="zh-TW"/>
        </w:rPr>
        <w:tab/>
        <w:t>سيتولى فريق الخبراء المعني بأدوات ومنهجيات دعم السياسات إعداد التوجيهات بالاشتراك مع الخبراء القائمين على التقييمات؛</w:t>
      </w:r>
    </w:p>
    <w:p w:rsidR="00871FE5" w:rsidRPr="007C5E16" w:rsidRDefault="00871FE5" w:rsidP="001C19D0">
      <w:pPr>
        <w:spacing w:after="120" w:line="400" w:lineRule="exact"/>
        <w:ind w:left="1132" w:firstLine="709"/>
        <w:jc w:val="both"/>
        <w:rPr>
          <w:rFonts w:cs="Traditional Arabic"/>
          <w:sz w:val="20"/>
          <w:szCs w:val="30"/>
          <w:rtl/>
          <w:lang w:eastAsia="zh-TW"/>
        </w:rPr>
      </w:pPr>
      <w:r w:rsidRPr="007C5E16">
        <w:rPr>
          <w:rFonts w:cs="Traditional Arabic"/>
          <w:sz w:val="20"/>
          <w:szCs w:val="30"/>
          <w:rtl/>
          <w:lang w:eastAsia="zh-TW"/>
        </w:rPr>
        <w:t>(ب)</w:t>
      </w:r>
      <w:r w:rsidRPr="007C5E16">
        <w:rPr>
          <w:rFonts w:cs="Traditional Arabic"/>
          <w:sz w:val="20"/>
          <w:szCs w:val="30"/>
          <w:rtl/>
          <w:lang w:eastAsia="zh-TW"/>
        </w:rPr>
        <w:tab/>
        <w:t>وسيواصل فريق الخبراء إعداد التوجيهات بشأن تقييم فعالية الأدوات والنهج في سياق المنبر الحكومي الدولي، بناء على الصيغ السابقة للنموذج المتعلق بأدوات دعم السياسات الذي أُعد لإدراجه في دليل التقييمات (الناتج 2 (أ))، مع الاعتماد على المؤلفات العلمية ذات الصلة، فضلا</w:t>
      </w:r>
      <w:r w:rsidR="0088327C">
        <w:rPr>
          <w:rFonts w:cs="Traditional Arabic" w:hint="cs"/>
          <w:sz w:val="20"/>
          <w:szCs w:val="30"/>
          <w:rtl/>
          <w:lang w:eastAsia="zh-TW"/>
        </w:rPr>
        <w:t>ً</w:t>
      </w:r>
      <w:r w:rsidRPr="007C5E16">
        <w:rPr>
          <w:rFonts w:cs="Traditional Arabic"/>
          <w:sz w:val="20"/>
          <w:szCs w:val="30"/>
          <w:rtl/>
          <w:lang w:eastAsia="zh-TW"/>
        </w:rPr>
        <w:t xml:space="preserve"> عن تجارب الخبراء في فرقة العمل؛ </w:t>
      </w:r>
    </w:p>
    <w:p w:rsidR="00871FE5" w:rsidRPr="007C5E16" w:rsidRDefault="00871FE5" w:rsidP="001C19D0">
      <w:pPr>
        <w:spacing w:after="120" w:line="400" w:lineRule="exact"/>
        <w:ind w:left="1132" w:firstLine="709"/>
        <w:jc w:val="both"/>
        <w:rPr>
          <w:rFonts w:cs="Traditional Arabic"/>
          <w:sz w:val="20"/>
          <w:szCs w:val="30"/>
          <w:rtl/>
          <w:lang w:eastAsia="zh-TW"/>
        </w:rPr>
      </w:pPr>
      <w:r w:rsidRPr="007C5E16">
        <w:rPr>
          <w:rFonts w:cs="Traditional Arabic"/>
          <w:sz w:val="20"/>
          <w:szCs w:val="30"/>
          <w:rtl/>
          <w:lang w:eastAsia="zh-TW"/>
        </w:rPr>
        <w:t>(ج)</w:t>
      </w:r>
      <w:r w:rsidRPr="007C5E16">
        <w:rPr>
          <w:rFonts w:cs="Traditional Arabic"/>
          <w:sz w:val="20"/>
          <w:szCs w:val="30"/>
          <w:rtl/>
          <w:lang w:eastAsia="zh-TW"/>
        </w:rPr>
        <w:tab/>
        <w:t>وستُستعرض التوجيهات كي يوافق عليها فريق الخبراء المتعدد التخصصات</w:t>
      </w:r>
      <w:r w:rsidR="001C19D0">
        <w:rPr>
          <w:rFonts w:cs="Traditional Arabic" w:hint="cs"/>
          <w:sz w:val="20"/>
          <w:szCs w:val="30"/>
          <w:rtl/>
          <w:lang w:eastAsia="zh-TW"/>
        </w:rPr>
        <w:t>؛</w:t>
      </w:r>
    </w:p>
    <w:p w:rsidR="00871FE5" w:rsidRPr="007C5E16" w:rsidRDefault="00871FE5" w:rsidP="001C19D0">
      <w:pPr>
        <w:spacing w:after="120" w:line="400" w:lineRule="exact"/>
        <w:ind w:left="1132" w:firstLine="709"/>
        <w:jc w:val="both"/>
        <w:rPr>
          <w:rFonts w:cs="Traditional Arabic"/>
          <w:sz w:val="20"/>
          <w:szCs w:val="30"/>
          <w:rtl/>
          <w:lang w:eastAsia="zh-TW"/>
        </w:rPr>
      </w:pPr>
      <w:r w:rsidRPr="007C5E16">
        <w:rPr>
          <w:rFonts w:cs="Traditional Arabic"/>
          <w:sz w:val="20"/>
          <w:szCs w:val="30"/>
          <w:rtl/>
          <w:lang w:eastAsia="zh-TW"/>
        </w:rPr>
        <w:t>(د)</w:t>
      </w:r>
      <w:r w:rsidRPr="007C5E16">
        <w:rPr>
          <w:rFonts w:cs="Traditional Arabic"/>
          <w:sz w:val="20"/>
          <w:szCs w:val="30"/>
          <w:rtl/>
          <w:lang w:eastAsia="zh-TW"/>
        </w:rPr>
        <w:tab/>
        <w:t xml:space="preserve">وستُدرج التوجيهات في الدليل لكي تُقيِّمها وحدة الدعم التقني في مجال أدوات ومنهجيات دعم السياسات وتستخدمها كأساس لتنفيذ أنشطة بناء القدرات. </w:t>
      </w:r>
    </w:p>
    <w:p w:rsidR="00871FE5" w:rsidRPr="001C19D0" w:rsidRDefault="00871FE5" w:rsidP="001C19D0">
      <w:pPr>
        <w:spacing w:before="120" w:after="120" w:line="400" w:lineRule="exact"/>
        <w:ind w:left="1134" w:hanging="710"/>
        <w:jc w:val="both"/>
        <w:rPr>
          <w:rFonts w:ascii="Traditional Arabic" w:hAnsi="Traditional Arabic" w:cs="Traditional Arabic"/>
          <w:b/>
          <w:bCs/>
          <w:sz w:val="32"/>
          <w:szCs w:val="32"/>
          <w:rtl/>
          <w:lang w:eastAsia="zh-TW"/>
        </w:rPr>
      </w:pPr>
      <w:r w:rsidRPr="001C19D0">
        <w:rPr>
          <w:rFonts w:ascii="Traditional Arabic" w:hAnsi="Traditional Arabic" w:cs="Traditional Arabic"/>
          <w:b/>
          <w:bCs/>
          <w:sz w:val="32"/>
          <w:szCs w:val="32"/>
          <w:rtl/>
          <w:lang w:eastAsia="zh-TW"/>
        </w:rPr>
        <w:t>ثالثاً -</w:t>
      </w:r>
      <w:r w:rsidR="001C19D0">
        <w:rPr>
          <w:rFonts w:ascii="Traditional Arabic" w:hAnsi="Traditional Arabic" w:cs="Traditional Arabic" w:hint="cs"/>
          <w:b/>
          <w:bCs/>
          <w:sz w:val="32"/>
          <w:szCs w:val="32"/>
          <w:rtl/>
          <w:lang w:eastAsia="zh-TW"/>
        </w:rPr>
        <w:tab/>
      </w:r>
      <w:r w:rsidRPr="001C19D0">
        <w:rPr>
          <w:rFonts w:ascii="Traditional Arabic" w:hAnsi="Traditional Arabic" w:cs="Traditional Arabic"/>
          <w:b/>
          <w:bCs/>
          <w:sz w:val="32"/>
          <w:szCs w:val="32"/>
          <w:rtl/>
          <w:lang w:eastAsia="zh-TW"/>
        </w:rPr>
        <w:t>بناء القدرات فيما يتعلق بالتوجيهات المنهجية والفهرس</w:t>
      </w:r>
    </w:p>
    <w:p w:rsidR="00871FE5" w:rsidRPr="007C5E16" w:rsidRDefault="00871FE5" w:rsidP="007C5E16">
      <w:pPr>
        <w:pStyle w:val="ListParagraph"/>
        <w:numPr>
          <w:ilvl w:val="0"/>
          <w:numId w:val="8"/>
        </w:numPr>
        <w:spacing w:after="120" w:line="400" w:lineRule="exact"/>
        <w:ind w:left="1134" w:firstLine="0"/>
        <w:contextualSpacing w:val="0"/>
        <w:jc w:val="both"/>
        <w:rPr>
          <w:rFonts w:cs="Traditional Arabic"/>
          <w:sz w:val="20"/>
          <w:szCs w:val="30"/>
          <w:rtl/>
          <w:lang w:eastAsia="zh-TW"/>
        </w:rPr>
      </w:pPr>
      <w:r w:rsidRPr="007C5E16">
        <w:rPr>
          <w:rFonts w:cs="Traditional Arabic"/>
          <w:sz w:val="20"/>
          <w:szCs w:val="30"/>
          <w:rtl/>
          <w:lang w:eastAsia="zh-TW"/>
        </w:rPr>
        <w:t xml:space="preserve">الغرض الرئيسي من فهرس أدوات ومنهجيات دعم السياسات هو تيسير الاطلاع على أدوات ومنهجيات دعم السياسات المتاحة، والمعلومات عن فعاليتها في مختلف السياقات، والمعلومات العلمية والتقنية ذات الصلة، والتوجيهات والمواد الأخرى اللازمة لاستخدامها بطريقة مناسبة وفعالة. والغرض الرئيسي من التوجيهات المنهجية بشأن أدوات ومنهجيات دعم السياسات هو مساعدة خبراء التقييم على تحديد الأدوات والمنهجيات ذات الصلة وتشخيص فعاليتها في تقييمات المنبر الحكومي الدولي، وإرشاد صانعي السياسات في </w:t>
      </w:r>
      <w:r w:rsidRPr="007C5E16">
        <w:rPr>
          <w:rFonts w:cs="Traditional Arabic"/>
          <w:sz w:val="20"/>
          <w:szCs w:val="30"/>
          <w:rtl/>
          <w:lang w:eastAsia="zh-TW"/>
        </w:rPr>
        <w:lastRenderedPageBreak/>
        <w:t xml:space="preserve">اختيار الأدوات والنهج المحددة في التقييمات واستخدامها بطريقة مناسبة، أو دعم تنفيذ الاستنتاجات الرئيسية للتقييمات وكفالة تطوير أدوات ومنهجيات جديدة. </w:t>
      </w:r>
    </w:p>
    <w:p w:rsidR="00871FE5" w:rsidRPr="007C5E16" w:rsidRDefault="00E92B23" w:rsidP="007C5E16">
      <w:pPr>
        <w:pStyle w:val="ListParagraph"/>
        <w:numPr>
          <w:ilvl w:val="0"/>
          <w:numId w:val="8"/>
        </w:numPr>
        <w:spacing w:after="120" w:line="400" w:lineRule="exact"/>
        <w:ind w:left="1134" w:firstLine="0"/>
        <w:contextualSpacing w:val="0"/>
        <w:jc w:val="both"/>
        <w:rPr>
          <w:rFonts w:cs="Traditional Arabic"/>
          <w:sz w:val="20"/>
          <w:szCs w:val="30"/>
          <w:rtl/>
          <w:lang w:eastAsia="zh-TW"/>
        </w:rPr>
      </w:pPr>
      <w:r w:rsidRPr="007C5E16">
        <w:rPr>
          <w:rFonts w:cs="Traditional Arabic" w:hint="cs"/>
          <w:sz w:val="20"/>
          <w:szCs w:val="30"/>
          <w:rtl/>
          <w:lang w:eastAsia="zh-TW"/>
        </w:rPr>
        <w:t>وتشيما</w:t>
      </w:r>
      <w:r>
        <w:rPr>
          <w:rFonts w:cs="Traditional Arabic" w:hint="cs"/>
          <w:sz w:val="20"/>
          <w:szCs w:val="30"/>
          <w:rtl/>
          <w:lang w:eastAsia="zh-TW"/>
        </w:rPr>
        <w:t>ً</w:t>
      </w:r>
      <w:r w:rsidR="00871FE5" w:rsidRPr="007C5E16">
        <w:rPr>
          <w:rFonts w:cs="Traditional Arabic"/>
          <w:sz w:val="20"/>
          <w:szCs w:val="30"/>
          <w:rtl/>
          <w:lang w:eastAsia="zh-TW"/>
        </w:rPr>
        <w:t xml:space="preserve"> مع تطوير الفهرس والتوجيهات المنهجية، ستُجري الأمانة العامة ووحدة الدعم التقني اتصالات مع المسؤولين عن النواتج الأخرى لبرنامج العمل من أجل تحديد المجالات التي تدعو الحاجة فيها إلى بناء القدرات، ثم تتعاونان مع فرقة العمل المعنية ببناء القدرات ووحدة الدعم التقني التابعة لها من أجل التخطيط لأنشطة بناء القدرات، بما في ذلك من خلال العمل مع المنظمات الشريكة. </w:t>
      </w:r>
    </w:p>
    <w:p w:rsidR="00871FE5" w:rsidRPr="001C19D0" w:rsidRDefault="00871FE5" w:rsidP="001C19D0">
      <w:pPr>
        <w:spacing w:before="120" w:after="120" w:line="400" w:lineRule="exact"/>
        <w:ind w:left="1134" w:hanging="710"/>
        <w:jc w:val="both"/>
        <w:rPr>
          <w:rFonts w:ascii="Traditional Arabic" w:hAnsi="Traditional Arabic" w:cs="Traditional Arabic"/>
          <w:b/>
          <w:bCs/>
          <w:sz w:val="32"/>
          <w:szCs w:val="32"/>
          <w:rtl/>
          <w:lang w:eastAsia="zh-TW"/>
        </w:rPr>
      </w:pPr>
      <w:r w:rsidRPr="001C19D0">
        <w:rPr>
          <w:rFonts w:ascii="Traditional Arabic" w:hAnsi="Traditional Arabic" w:cs="Traditional Arabic"/>
          <w:b/>
          <w:bCs/>
          <w:sz w:val="32"/>
          <w:szCs w:val="32"/>
          <w:rtl/>
          <w:lang w:eastAsia="zh-TW"/>
        </w:rPr>
        <w:t>رابعاً -</w:t>
      </w:r>
      <w:r w:rsidR="001C19D0">
        <w:rPr>
          <w:rFonts w:ascii="Traditional Arabic" w:hAnsi="Traditional Arabic" w:cs="Traditional Arabic" w:hint="cs"/>
          <w:b/>
          <w:bCs/>
          <w:sz w:val="32"/>
          <w:szCs w:val="32"/>
          <w:rtl/>
          <w:lang w:eastAsia="zh-TW"/>
        </w:rPr>
        <w:tab/>
      </w:r>
      <w:r w:rsidRPr="001C19D0">
        <w:rPr>
          <w:rFonts w:ascii="Traditional Arabic" w:hAnsi="Traditional Arabic" w:cs="Traditional Arabic"/>
          <w:b/>
          <w:bCs/>
          <w:sz w:val="32"/>
          <w:szCs w:val="32"/>
          <w:rtl/>
          <w:lang w:eastAsia="zh-TW"/>
        </w:rPr>
        <w:t xml:space="preserve">مهام فريق الخبراء </w:t>
      </w:r>
    </w:p>
    <w:p w:rsidR="00871FE5" w:rsidRPr="007C5E16" w:rsidRDefault="00871FE5" w:rsidP="007C5E16">
      <w:pPr>
        <w:pStyle w:val="ListParagraph"/>
        <w:numPr>
          <w:ilvl w:val="0"/>
          <w:numId w:val="8"/>
        </w:numPr>
        <w:spacing w:after="120" w:line="400" w:lineRule="exact"/>
        <w:ind w:left="1134" w:firstLine="0"/>
        <w:contextualSpacing w:val="0"/>
        <w:jc w:val="both"/>
        <w:rPr>
          <w:rFonts w:cs="Traditional Arabic"/>
          <w:sz w:val="20"/>
          <w:szCs w:val="30"/>
          <w:rtl/>
          <w:lang w:eastAsia="zh-TW"/>
        </w:rPr>
      </w:pPr>
      <w:r w:rsidRPr="007C5E16">
        <w:rPr>
          <w:rFonts w:cs="Traditional Arabic"/>
          <w:sz w:val="20"/>
          <w:szCs w:val="30"/>
          <w:rtl/>
          <w:lang w:eastAsia="zh-TW"/>
        </w:rPr>
        <w:t>يُتوقع أن يقوم فريق الخبراء بما يلي قبل حلول موعد الدورة السادسة للاجتماع العام:</w:t>
      </w:r>
    </w:p>
    <w:p w:rsidR="00871FE5" w:rsidRPr="007C5E16" w:rsidRDefault="00871FE5" w:rsidP="001C19D0">
      <w:pPr>
        <w:spacing w:after="120" w:line="400" w:lineRule="exact"/>
        <w:ind w:left="1132" w:firstLine="709"/>
        <w:jc w:val="both"/>
        <w:rPr>
          <w:rFonts w:cs="Traditional Arabic"/>
          <w:sz w:val="20"/>
          <w:szCs w:val="30"/>
          <w:rtl/>
          <w:lang w:eastAsia="zh-TW"/>
        </w:rPr>
      </w:pPr>
      <w:r w:rsidRPr="007C5E16">
        <w:rPr>
          <w:rFonts w:cs="Traditional Arabic"/>
          <w:sz w:val="20"/>
          <w:szCs w:val="30"/>
          <w:rtl/>
        </w:rPr>
        <w:t>(أ)</w:t>
      </w:r>
      <w:r w:rsidRPr="007C5E16">
        <w:rPr>
          <w:rFonts w:cs="Traditional Arabic"/>
          <w:sz w:val="20"/>
          <w:szCs w:val="30"/>
          <w:rtl/>
        </w:rPr>
        <w:tab/>
      </w:r>
      <w:r w:rsidRPr="007C5E16">
        <w:rPr>
          <w:rFonts w:cs="Traditional Arabic"/>
          <w:sz w:val="20"/>
          <w:szCs w:val="30"/>
          <w:rtl/>
          <w:lang w:eastAsia="zh-TW"/>
        </w:rPr>
        <w:t>دعم مواصلة تطوير واختبار وتنفيذ الفهرس الإلكتروني لأدوات ومنهجيات دعم السياسات، بسبل منها إدماج فهرس التقييمات في الفهرس الإلكتروني؛</w:t>
      </w:r>
    </w:p>
    <w:p w:rsidR="00871FE5" w:rsidRPr="007C5E16" w:rsidRDefault="00871FE5" w:rsidP="001C19D0">
      <w:pPr>
        <w:spacing w:after="120" w:line="400" w:lineRule="exact"/>
        <w:ind w:left="1132" w:firstLine="709"/>
        <w:jc w:val="both"/>
        <w:rPr>
          <w:rFonts w:cs="Traditional Arabic"/>
          <w:sz w:val="20"/>
          <w:szCs w:val="30"/>
          <w:rtl/>
          <w:lang w:eastAsia="zh-TW"/>
        </w:rPr>
      </w:pPr>
      <w:r w:rsidRPr="007C5E16">
        <w:rPr>
          <w:rFonts w:cs="Traditional Arabic"/>
          <w:sz w:val="20"/>
          <w:szCs w:val="30"/>
          <w:rtl/>
        </w:rPr>
        <w:t>(ب)</w:t>
      </w:r>
      <w:r w:rsidRPr="007C5E16">
        <w:rPr>
          <w:rFonts w:cs="Traditional Arabic"/>
          <w:sz w:val="20"/>
          <w:szCs w:val="30"/>
          <w:rtl/>
        </w:rPr>
        <w:tab/>
      </w:r>
      <w:r w:rsidRPr="007C5E16">
        <w:rPr>
          <w:rFonts w:cs="Traditional Arabic"/>
          <w:sz w:val="20"/>
          <w:szCs w:val="30"/>
          <w:rtl/>
          <w:lang w:eastAsia="zh-TW"/>
        </w:rPr>
        <w:t>مساعدة فريق الخبراء المتعدد التخصصات على وضع التوجيهات بشأن ضمان الجودة والإدارة، المنصوص عليها في الفقرة 10 أعلاه، وعلى إعداد محتوى الفهرس وفقا</w:t>
      </w:r>
      <w:r w:rsidR="00E92B23">
        <w:rPr>
          <w:rFonts w:cs="Traditional Arabic" w:hint="cs"/>
          <w:sz w:val="20"/>
          <w:szCs w:val="30"/>
          <w:rtl/>
          <w:lang w:eastAsia="zh-TW"/>
        </w:rPr>
        <w:t>ً</w:t>
      </w:r>
      <w:r w:rsidRPr="007C5E16">
        <w:rPr>
          <w:rFonts w:cs="Traditional Arabic"/>
          <w:sz w:val="20"/>
          <w:szCs w:val="30"/>
          <w:rtl/>
          <w:lang w:eastAsia="zh-TW"/>
        </w:rPr>
        <w:t xml:space="preserve"> للنهج المبين في هذه الفقرة؛</w:t>
      </w:r>
    </w:p>
    <w:p w:rsidR="00871FE5" w:rsidRPr="007C5E16" w:rsidRDefault="00871FE5" w:rsidP="001C19D0">
      <w:pPr>
        <w:spacing w:after="120" w:line="400" w:lineRule="exact"/>
        <w:ind w:left="1132" w:firstLine="709"/>
        <w:jc w:val="both"/>
        <w:rPr>
          <w:rFonts w:cs="Traditional Arabic"/>
          <w:sz w:val="20"/>
          <w:szCs w:val="30"/>
          <w:rtl/>
          <w:lang w:eastAsia="zh-TW"/>
        </w:rPr>
      </w:pPr>
      <w:r w:rsidRPr="007C5E16">
        <w:rPr>
          <w:rFonts w:cs="Traditional Arabic"/>
          <w:sz w:val="20"/>
          <w:szCs w:val="30"/>
          <w:rtl/>
        </w:rPr>
        <w:t>(ج)</w:t>
      </w:r>
      <w:r w:rsidRPr="007C5E16">
        <w:rPr>
          <w:rFonts w:cs="Traditional Arabic"/>
          <w:sz w:val="20"/>
          <w:szCs w:val="30"/>
          <w:rtl/>
        </w:rPr>
        <w:tab/>
      </w:r>
      <w:r w:rsidRPr="007C5E16">
        <w:rPr>
          <w:rFonts w:cs="Traditional Arabic"/>
          <w:sz w:val="20"/>
          <w:szCs w:val="30"/>
          <w:rtl/>
          <w:lang w:eastAsia="zh-TW"/>
        </w:rPr>
        <w:t xml:space="preserve">دعم وضع توجيهات منهجية، ومواصلة العمل في ذلك السياق مع التقييمات الحالية والأنشطة الأخرى ذات الصلة فيما يتعلق بتنفيذ التوجيهات المنهجية؛ </w:t>
      </w:r>
    </w:p>
    <w:p w:rsidR="00871FE5" w:rsidRPr="007C5E16" w:rsidRDefault="00871FE5" w:rsidP="001C19D0">
      <w:pPr>
        <w:spacing w:after="120" w:line="400" w:lineRule="exact"/>
        <w:ind w:left="1132" w:firstLine="709"/>
        <w:jc w:val="both"/>
        <w:rPr>
          <w:rFonts w:cs="Traditional Arabic"/>
          <w:sz w:val="20"/>
          <w:szCs w:val="30"/>
          <w:rtl/>
          <w:lang w:eastAsia="zh-TW"/>
        </w:rPr>
      </w:pPr>
      <w:r w:rsidRPr="007C5E16">
        <w:rPr>
          <w:rFonts w:cs="Traditional Arabic"/>
          <w:sz w:val="20"/>
          <w:szCs w:val="30"/>
          <w:rtl/>
        </w:rPr>
        <w:t>(د)</w:t>
      </w:r>
      <w:r w:rsidRPr="007C5E16">
        <w:rPr>
          <w:rFonts w:cs="Traditional Arabic"/>
          <w:sz w:val="20"/>
          <w:szCs w:val="30"/>
          <w:rtl/>
        </w:rPr>
        <w:tab/>
      </w:r>
      <w:r w:rsidRPr="007C5E16">
        <w:rPr>
          <w:rFonts w:cs="Traditional Arabic"/>
          <w:sz w:val="20"/>
          <w:szCs w:val="30"/>
          <w:rtl/>
          <w:lang w:eastAsia="zh-TW"/>
        </w:rPr>
        <w:t>العمل مع فرقة العمل المعنية ببناء القدرات على تحديد سبل بناء القدرات من أجل زيادة فعالية التقييم، وتطوير واستخدام أدوات ومنهجيات دعم السياسات؛</w:t>
      </w:r>
    </w:p>
    <w:p w:rsidR="00871FE5" w:rsidRPr="007C5E16" w:rsidRDefault="00871FE5" w:rsidP="001C19D0">
      <w:pPr>
        <w:spacing w:after="120" w:line="400" w:lineRule="exact"/>
        <w:ind w:left="1132" w:firstLine="709"/>
        <w:jc w:val="both"/>
        <w:rPr>
          <w:rFonts w:cs="Traditional Arabic"/>
          <w:sz w:val="20"/>
          <w:szCs w:val="30"/>
          <w:rtl/>
          <w:lang w:eastAsia="zh-TW"/>
        </w:rPr>
      </w:pPr>
      <w:r w:rsidRPr="007C5E16">
        <w:rPr>
          <w:rFonts w:cs="Traditional Arabic"/>
          <w:sz w:val="20"/>
          <w:szCs w:val="30"/>
          <w:rtl/>
        </w:rPr>
        <w:t>(هـ)</w:t>
      </w:r>
      <w:r w:rsidRPr="007C5E16">
        <w:rPr>
          <w:rFonts w:cs="Traditional Arabic"/>
          <w:sz w:val="20"/>
          <w:szCs w:val="30"/>
          <w:rtl/>
        </w:rPr>
        <w:tab/>
      </w:r>
      <w:r w:rsidRPr="007C5E16">
        <w:rPr>
          <w:rFonts w:cs="Traditional Arabic"/>
          <w:sz w:val="20"/>
          <w:szCs w:val="30"/>
          <w:rtl/>
          <w:lang w:eastAsia="zh-TW"/>
        </w:rPr>
        <w:t>القيام عند الاقتضاء بدعم التقييم الذي يُجريه فريق الخبراء المتعدد التخصصات لاستخدام النموذج الأولي للفهرس الإلكتروني وفعاليته في سياق عملية استعراض المنبر الحكومي الدولي (الناتج 4 (ه)).</w:t>
      </w:r>
    </w:p>
    <w:p w:rsidR="00871FE5" w:rsidRPr="007C5E16" w:rsidRDefault="00871FE5" w:rsidP="007C5E16">
      <w:pPr>
        <w:pStyle w:val="ListParagraph"/>
        <w:numPr>
          <w:ilvl w:val="0"/>
          <w:numId w:val="8"/>
        </w:numPr>
        <w:spacing w:after="120" w:line="400" w:lineRule="exact"/>
        <w:ind w:left="1134" w:firstLine="0"/>
        <w:contextualSpacing w:val="0"/>
        <w:jc w:val="both"/>
        <w:rPr>
          <w:rFonts w:cs="Traditional Arabic"/>
          <w:sz w:val="20"/>
          <w:szCs w:val="30"/>
          <w:rtl/>
          <w:lang w:eastAsia="zh-TW"/>
        </w:rPr>
      </w:pPr>
      <w:r w:rsidRPr="007C5E16">
        <w:rPr>
          <w:rFonts w:cs="Traditional Arabic"/>
          <w:sz w:val="20"/>
          <w:szCs w:val="30"/>
          <w:rtl/>
          <w:lang w:eastAsia="zh-TW"/>
        </w:rPr>
        <w:t xml:space="preserve">ويقترح تمديد ولاية فريق الخبراء المعني بأدوات ومنهجيات دعم السياسات حتى الدورة السابعة للاجتماع العام للمنبر، لتمكين الفريق من تحقيق التقدم في تنفيذ الفهرس الإلكتروني عن طريق الاضطلاع بالأعمال المبينة في الفقرة السابقة، وذلك من أجل تعزيز العمل </w:t>
      </w:r>
      <w:r w:rsidRPr="007C5E16">
        <w:rPr>
          <w:rFonts w:cs="Traditional Arabic" w:hint="cs"/>
          <w:sz w:val="20"/>
          <w:szCs w:val="30"/>
          <w:rtl/>
          <w:lang w:eastAsia="zh-TW"/>
        </w:rPr>
        <w:t xml:space="preserve">بشأن </w:t>
      </w:r>
      <w:r w:rsidRPr="007C5E16">
        <w:rPr>
          <w:rFonts w:cs="Traditional Arabic"/>
          <w:sz w:val="20"/>
          <w:szCs w:val="30"/>
          <w:rtl/>
          <w:lang w:eastAsia="zh-TW"/>
        </w:rPr>
        <w:t>أدوات ومنهجيات دعم السياسات لمختلف التقييمات، ولا سيما التقييم العالمي، وغير ذلك من النواتج.</w:t>
      </w:r>
    </w:p>
    <w:p w:rsidR="00871FE5" w:rsidRPr="007C5E16" w:rsidRDefault="00871FE5" w:rsidP="00E92B23">
      <w:pPr>
        <w:pStyle w:val="ListParagraph"/>
        <w:numPr>
          <w:ilvl w:val="0"/>
          <w:numId w:val="8"/>
        </w:numPr>
        <w:spacing w:after="120" w:line="400" w:lineRule="exact"/>
        <w:ind w:left="1134" w:firstLine="0"/>
        <w:contextualSpacing w:val="0"/>
        <w:jc w:val="both"/>
        <w:rPr>
          <w:rFonts w:cs="Traditional Arabic"/>
          <w:sz w:val="20"/>
          <w:szCs w:val="30"/>
          <w:rtl/>
          <w:lang w:eastAsia="zh-TW"/>
        </w:rPr>
      </w:pPr>
      <w:r w:rsidRPr="007C5E16">
        <w:rPr>
          <w:rFonts w:cs="Traditional Arabic"/>
          <w:sz w:val="20"/>
          <w:szCs w:val="30"/>
          <w:rtl/>
          <w:lang w:eastAsia="zh-TW"/>
        </w:rPr>
        <w:t>و</w:t>
      </w:r>
      <w:r w:rsidRPr="007C5E16">
        <w:rPr>
          <w:rFonts w:cs="Traditional Arabic" w:hint="cs"/>
          <w:sz w:val="20"/>
          <w:szCs w:val="30"/>
          <w:rtl/>
          <w:lang w:eastAsia="zh-TW"/>
        </w:rPr>
        <w:t>سعيا</w:t>
      </w:r>
      <w:r w:rsidR="00E92B23">
        <w:rPr>
          <w:rFonts w:cs="Traditional Arabic" w:hint="cs"/>
          <w:sz w:val="20"/>
          <w:szCs w:val="30"/>
          <w:rtl/>
          <w:lang w:eastAsia="zh-TW"/>
        </w:rPr>
        <w:t>ً</w:t>
      </w:r>
      <w:r w:rsidRPr="007C5E16">
        <w:rPr>
          <w:rFonts w:cs="Traditional Arabic" w:hint="cs"/>
          <w:sz w:val="20"/>
          <w:szCs w:val="30"/>
          <w:rtl/>
          <w:lang w:eastAsia="zh-TW"/>
        </w:rPr>
        <w:t xml:space="preserve"> ل</w:t>
      </w:r>
      <w:r w:rsidRPr="007C5E16">
        <w:rPr>
          <w:rFonts w:cs="Traditional Arabic"/>
          <w:sz w:val="20"/>
          <w:szCs w:val="30"/>
          <w:rtl/>
          <w:lang w:eastAsia="zh-TW"/>
        </w:rPr>
        <w:t xml:space="preserve">إنجاز هذا العمل، يقترح عقد اجتماع واحد لفريق الخبراء كل عام. وستترتب على الاجتماع المقرر عقده في عام 2017 تكاليف إضافية قدرها 000 50 دولار، وهي مدرجة في التعديلات المقترحة على الميزانية المعتمدة لعام 2017، </w:t>
      </w:r>
      <w:r w:rsidRPr="007C5E16">
        <w:rPr>
          <w:rFonts w:cs="Traditional Arabic" w:hint="cs"/>
          <w:sz w:val="20"/>
          <w:szCs w:val="30"/>
          <w:rtl/>
          <w:lang w:eastAsia="zh-TW"/>
        </w:rPr>
        <w:t>ضمن</w:t>
      </w:r>
      <w:r w:rsidRPr="007C5E16">
        <w:rPr>
          <w:rFonts w:cs="Traditional Arabic"/>
          <w:sz w:val="20"/>
          <w:szCs w:val="30"/>
          <w:rtl/>
          <w:lang w:eastAsia="zh-TW"/>
        </w:rPr>
        <w:t xml:space="preserve"> الوثيقة </w:t>
      </w:r>
      <w:r w:rsidRPr="007C5E16">
        <w:rPr>
          <w:rFonts w:cs="Traditional Arabic"/>
          <w:sz w:val="20"/>
          <w:szCs w:val="30"/>
          <w:lang w:eastAsia="zh-TW"/>
        </w:rPr>
        <w:t>IPBES/5/10</w:t>
      </w:r>
      <w:r w:rsidRPr="007C5E16">
        <w:rPr>
          <w:rFonts w:cs="Traditional Arabic"/>
          <w:sz w:val="20"/>
          <w:szCs w:val="30"/>
          <w:rtl/>
          <w:lang w:eastAsia="zh-TW"/>
        </w:rPr>
        <w:t>. وينبغ</w:t>
      </w:r>
      <w:r w:rsidR="00E92B23">
        <w:rPr>
          <w:rFonts w:cs="Traditional Arabic" w:hint="cs"/>
          <w:sz w:val="20"/>
          <w:szCs w:val="30"/>
          <w:rtl/>
          <w:lang w:eastAsia="zh-TW"/>
        </w:rPr>
        <w:t>ي</w:t>
      </w:r>
      <w:r w:rsidRPr="007C5E16">
        <w:rPr>
          <w:rFonts w:cs="Traditional Arabic"/>
          <w:sz w:val="20"/>
          <w:szCs w:val="30"/>
          <w:rtl/>
          <w:lang w:eastAsia="zh-TW"/>
        </w:rPr>
        <w:t xml:space="preserve"> أن يستعرض الاجتماع العام خلال دورته السادسة الحاجة إلى عقد اجتماع آخر في عام 2018، استنادا</w:t>
      </w:r>
      <w:r w:rsidR="00E92B23">
        <w:rPr>
          <w:rFonts w:cs="Traditional Arabic" w:hint="cs"/>
          <w:sz w:val="20"/>
          <w:szCs w:val="30"/>
          <w:rtl/>
          <w:lang w:eastAsia="zh-TW"/>
        </w:rPr>
        <w:t>ً</w:t>
      </w:r>
      <w:r w:rsidRPr="007C5E16">
        <w:rPr>
          <w:rFonts w:cs="Traditional Arabic"/>
          <w:sz w:val="20"/>
          <w:szCs w:val="30"/>
          <w:rtl/>
          <w:lang w:eastAsia="zh-TW"/>
        </w:rPr>
        <w:t xml:space="preserve"> إلى التقدم المحرز خلال فترة ما بين الدورات المقبلة وإلى الاحتياجات المحددة بوضوح.</w:t>
      </w:r>
    </w:p>
    <w:p w:rsidR="00FB6E2C" w:rsidRDefault="00FB6E2C">
      <w:pPr>
        <w:bidi w:val="0"/>
        <w:rPr>
          <w:rFonts w:ascii="Traditional Arabic" w:hAnsi="Traditional Arabic" w:cs="Traditional Arabic"/>
          <w:b/>
          <w:bCs/>
          <w:sz w:val="32"/>
          <w:szCs w:val="32"/>
          <w:rtl/>
          <w:lang w:eastAsia="zh-TW"/>
        </w:rPr>
      </w:pPr>
      <w:r>
        <w:rPr>
          <w:rFonts w:ascii="Traditional Arabic" w:hAnsi="Traditional Arabic" w:cs="Traditional Arabic"/>
          <w:b/>
          <w:bCs/>
          <w:sz w:val="32"/>
          <w:szCs w:val="32"/>
          <w:rtl/>
          <w:lang w:eastAsia="zh-TW"/>
        </w:rPr>
        <w:br w:type="page"/>
      </w:r>
    </w:p>
    <w:p w:rsidR="00871FE5" w:rsidRPr="001C19D0" w:rsidRDefault="00871FE5" w:rsidP="001C19D0">
      <w:pPr>
        <w:spacing w:before="120" w:after="120" w:line="400" w:lineRule="exact"/>
        <w:ind w:left="1134" w:hanging="852"/>
        <w:jc w:val="both"/>
        <w:rPr>
          <w:rFonts w:ascii="Traditional Arabic" w:hAnsi="Traditional Arabic" w:cs="Traditional Arabic"/>
          <w:b/>
          <w:bCs/>
          <w:sz w:val="32"/>
          <w:szCs w:val="32"/>
          <w:rtl/>
          <w:lang w:eastAsia="zh-TW"/>
        </w:rPr>
      </w:pPr>
      <w:r w:rsidRPr="001C19D0">
        <w:rPr>
          <w:rFonts w:ascii="Traditional Arabic" w:hAnsi="Traditional Arabic" w:cs="Traditional Arabic"/>
          <w:b/>
          <w:bCs/>
          <w:sz w:val="32"/>
          <w:szCs w:val="32"/>
          <w:rtl/>
          <w:lang w:eastAsia="zh-TW"/>
        </w:rPr>
        <w:lastRenderedPageBreak/>
        <w:t>خامسا</w:t>
      </w:r>
      <w:r w:rsidR="001C19D0">
        <w:rPr>
          <w:rFonts w:ascii="Traditional Arabic" w:hAnsi="Traditional Arabic" w:cs="Traditional Arabic" w:hint="cs"/>
          <w:b/>
          <w:bCs/>
          <w:sz w:val="32"/>
          <w:szCs w:val="32"/>
          <w:rtl/>
          <w:lang w:eastAsia="zh-TW"/>
        </w:rPr>
        <w:t xml:space="preserve">ً </w:t>
      </w:r>
      <w:r w:rsidRPr="001C19D0">
        <w:rPr>
          <w:rFonts w:ascii="Traditional Arabic" w:hAnsi="Traditional Arabic" w:cs="Traditional Arabic"/>
          <w:b/>
          <w:bCs/>
          <w:sz w:val="32"/>
          <w:szCs w:val="32"/>
          <w:rtl/>
          <w:lang w:eastAsia="zh-TW"/>
        </w:rPr>
        <w:t>-</w:t>
      </w:r>
      <w:r w:rsidR="001C19D0">
        <w:rPr>
          <w:rFonts w:ascii="Traditional Arabic" w:hAnsi="Traditional Arabic" w:cs="Traditional Arabic" w:hint="cs"/>
          <w:b/>
          <w:bCs/>
          <w:sz w:val="32"/>
          <w:szCs w:val="32"/>
          <w:rtl/>
          <w:lang w:eastAsia="zh-TW"/>
        </w:rPr>
        <w:tab/>
      </w:r>
      <w:r w:rsidRPr="001C19D0">
        <w:rPr>
          <w:rFonts w:ascii="Traditional Arabic" w:hAnsi="Traditional Arabic" w:cs="Traditional Arabic"/>
          <w:b/>
          <w:bCs/>
          <w:sz w:val="32"/>
          <w:szCs w:val="32"/>
          <w:rtl/>
          <w:lang w:eastAsia="zh-TW"/>
        </w:rPr>
        <w:t>الإجراءات التي يُقترح على الاجتماع العام اتخاذها</w:t>
      </w:r>
    </w:p>
    <w:p w:rsidR="00871FE5" w:rsidRPr="007C5E16" w:rsidRDefault="00871FE5" w:rsidP="007C5E16">
      <w:pPr>
        <w:pStyle w:val="ListParagraph"/>
        <w:numPr>
          <w:ilvl w:val="0"/>
          <w:numId w:val="8"/>
        </w:numPr>
        <w:spacing w:after="120" w:line="400" w:lineRule="exact"/>
        <w:ind w:left="1134" w:firstLine="0"/>
        <w:contextualSpacing w:val="0"/>
        <w:jc w:val="both"/>
        <w:rPr>
          <w:rFonts w:cs="Traditional Arabic"/>
          <w:sz w:val="20"/>
          <w:szCs w:val="30"/>
          <w:rtl/>
          <w:lang w:eastAsia="zh-TW"/>
        </w:rPr>
      </w:pPr>
      <w:r w:rsidRPr="007C5E16">
        <w:rPr>
          <w:rFonts w:cs="Traditional Arabic"/>
          <w:sz w:val="20"/>
          <w:szCs w:val="30"/>
          <w:rtl/>
          <w:lang w:eastAsia="zh-TW"/>
        </w:rPr>
        <w:t>قد يود الاجتماع العام أن:</w:t>
      </w:r>
    </w:p>
    <w:p w:rsidR="00871FE5" w:rsidRPr="007C5E16" w:rsidRDefault="00871FE5" w:rsidP="007C5E16">
      <w:pPr>
        <w:spacing w:after="120" w:line="400" w:lineRule="exact"/>
        <w:ind w:left="1132" w:firstLine="709"/>
        <w:jc w:val="both"/>
        <w:rPr>
          <w:rFonts w:cs="Traditional Arabic"/>
          <w:sz w:val="20"/>
          <w:szCs w:val="30"/>
          <w:rtl/>
          <w:lang w:eastAsia="zh-TW"/>
        </w:rPr>
      </w:pPr>
      <w:r w:rsidRPr="007C5E16">
        <w:rPr>
          <w:rFonts w:cs="Traditional Arabic"/>
          <w:sz w:val="20"/>
          <w:szCs w:val="30"/>
          <w:rtl/>
        </w:rPr>
        <w:t>(أ)</w:t>
      </w:r>
      <w:r w:rsidRPr="007C5E16">
        <w:rPr>
          <w:rFonts w:cs="Traditional Arabic"/>
          <w:sz w:val="20"/>
          <w:szCs w:val="30"/>
          <w:rtl/>
        </w:rPr>
        <w:tab/>
      </w:r>
      <w:r w:rsidRPr="00E92B23">
        <w:rPr>
          <w:rFonts w:cs="Traditional Arabic"/>
          <w:i/>
          <w:iCs/>
          <w:sz w:val="20"/>
          <w:szCs w:val="30"/>
          <w:rtl/>
          <w:lang w:eastAsia="zh-TW"/>
        </w:rPr>
        <w:t>يرحب</w:t>
      </w:r>
      <w:r w:rsidRPr="007C5E16">
        <w:rPr>
          <w:rFonts w:cs="Traditional Arabic"/>
          <w:sz w:val="20"/>
          <w:szCs w:val="30"/>
          <w:rtl/>
          <w:lang w:eastAsia="zh-TW"/>
        </w:rPr>
        <w:t xml:space="preserve"> بالتقدم المحرز والخطوات المقبلة المقررة ضمن عمل فريق الخبراء المعني بأدوات ومنهجيات دعم السياسات فيما يتعلق بوضع الفهرس الإلكتروني لأدوات ومنهجيات دعم السياسات وتقديم الدعم للتقييمات الجارية للمنبر الحكومي الدولي</w:t>
      </w:r>
      <w:r w:rsidRPr="007C5E16">
        <w:rPr>
          <w:rFonts w:cs="Traditional Arabic"/>
          <w:sz w:val="20"/>
          <w:szCs w:val="30"/>
          <w:vertAlign w:val="superscript"/>
          <w:rtl/>
          <w:lang w:eastAsia="zh-TW"/>
        </w:rPr>
        <w:t>(</w:t>
      </w:r>
      <w:r w:rsidRPr="007C5E16">
        <w:rPr>
          <w:rStyle w:val="FootnoteReference"/>
          <w:rFonts w:cs="Traditional Arabic"/>
          <w:sz w:val="20"/>
          <w:szCs w:val="30"/>
          <w:rtl/>
          <w:lang w:eastAsia="zh-TW"/>
        </w:rPr>
        <w:footnoteReference w:id="2"/>
      </w:r>
      <w:r w:rsidRPr="007C5E16">
        <w:rPr>
          <w:rFonts w:cs="Traditional Arabic"/>
          <w:sz w:val="20"/>
          <w:szCs w:val="30"/>
          <w:vertAlign w:val="superscript"/>
          <w:rtl/>
          <w:lang w:eastAsia="zh-TW"/>
        </w:rPr>
        <w:t>)</w:t>
      </w:r>
      <w:r w:rsidRPr="007C5E16">
        <w:rPr>
          <w:rFonts w:cs="Traditional Arabic"/>
          <w:sz w:val="20"/>
          <w:szCs w:val="30"/>
          <w:rtl/>
          <w:lang w:eastAsia="zh-TW"/>
        </w:rPr>
        <w:t>؛</w:t>
      </w:r>
    </w:p>
    <w:p w:rsidR="00871FE5" w:rsidRPr="007C5E16" w:rsidRDefault="00871FE5" w:rsidP="00A20EA6">
      <w:pPr>
        <w:spacing w:after="120" w:line="400" w:lineRule="exact"/>
        <w:ind w:left="1132" w:firstLine="709"/>
        <w:jc w:val="both"/>
        <w:rPr>
          <w:rFonts w:cs="Traditional Arabic"/>
          <w:sz w:val="20"/>
          <w:szCs w:val="30"/>
          <w:rtl/>
          <w:lang w:eastAsia="zh-TW"/>
        </w:rPr>
      </w:pPr>
      <w:r w:rsidRPr="007C5E16">
        <w:rPr>
          <w:rFonts w:cs="Traditional Arabic"/>
          <w:sz w:val="20"/>
          <w:szCs w:val="30"/>
          <w:rtl/>
        </w:rPr>
        <w:t>(ب)</w:t>
      </w:r>
      <w:r w:rsidRPr="007C5E16">
        <w:rPr>
          <w:rFonts w:cs="Traditional Arabic"/>
          <w:sz w:val="20"/>
          <w:szCs w:val="30"/>
          <w:rtl/>
        </w:rPr>
        <w:tab/>
      </w:r>
      <w:r w:rsidRPr="00E92B23">
        <w:rPr>
          <w:rFonts w:cs="Traditional Arabic"/>
          <w:i/>
          <w:iCs/>
          <w:sz w:val="20"/>
          <w:szCs w:val="30"/>
          <w:rtl/>
          <w:lang w:eastAsia="zh-TW"/>
        </w:rPr>
        <w:t>يوافق</w:t>
      </w:r>
      <w:r w:rsidRPr="007C5E16">
        <w:rPr>
          <w:rFonts w:cs="Traditional Arabic"/>
          <w:sz w:val="20"/>
          <w:szCs w:val="30"/>
          <w:rtl/>
          <w:lang w:eastAsia="zh-TW"/>
        </w:rPr>
        <w:t xml:space="preserve"> على نهج إعداد محتوى الفهرس المبين في المرفق [--]</w:t>
      </w:r>
      <w:r w:rsidRPr="007C5E16">
        <w:rPr>
          <w:rFonts w:cs="Traditional Arabic"/>
          <w:sz w:val="20"/>
          <w:szCs w:val="30"/>
          <w:vertAlign w:val="superscript"/>
          <w:rtl/>
          <w:lang w:eastAsia="zh-TW"/>
        </w:rPr>
        <w:t>(</w:t>
      </w:r>
      <w:r w:rsidRPr="007C5E16">
        <w:rPr>
          <w:rStyle w:val="FootnoteReference"/>
          <w:rFonts w:cs="Traditional Arabic"/>
          <w:sz w:val="20"/>
          <w:szCs w:val="30"/>
          <w:rtl/>
          <w:lang w:eastAsia="zh-TW"/>
        </w:rPr>
        <w:footnoteReference w:id="3"/>
      </w:r>
      <w:r w:rsidRPr="007C5E16">
        <w:rPr>
          <w:rFonts w:cs="Traditional Arabic"/>
          <w:sz w:val="20"/>
          <w:szCs w:val="30"/>
          <w:vertAlign w:val="superscript"/>
          <w:rtl/>
          <w:lang w:eastAsia="zh-TW"/>
        </w:rPr>
        <w:t>)</w:t>
      </w:r>
      <w:r w:rsidRPr="007C5E16">
        <w:rPr>
          <w:rFonts w:cs="Traditional Arabic"/>
          <w:sz w:val="20"/>
          <w:szCs w:val="30"/>
          <w:rtl/>
          <w:lang w:eastAsia="zh-TW"/>
        </w:rPr>
        <w:t xml:space="preserve">؛ ويطلب إلى فريق الخبراء المتعدد التخصصات، بدعم من فريق الخبراء المعني بأدوات </w:t>
      </w:r>
      <w:r w:rsidRPr="007C5E16">
        <w:rPr>
          <w:rFonts w:cs="Traditional Arabic" w:hint="cs"/>
          <w:sz w:val="20"/>
          <w:szCs w:val="30"/>
          <w:rtl/>
          <w:lang w:eastAsia="zh-TW"/>
        </w:rPr>
        <w:t xml:space="preserve">ومنهجيات </w:t>
      </w:r>
      <w:r w:rsidR="00A20EA6">
        <w:rPr>
          <w:rFonts w:cs="Traditional Arabic"/>
          <w:sz w:val="20"/>
          <w:szCs w:val="30"/>
          <w:rtl/>
          <w:lang w:eastAsia="zh-TW"/>
        </w:rPr>
        <w:t>دعم السياسات</w:t>
      </w:r>
      <w:r w:rsidR="00A20EA6">
        <w:rPr>
          <w:rFonts w:cs="Traditional Arabic" w:hint="cs"/>
          <w:sz w:val="20"/>
          <w:szCs w:val="30"/>
          <w:rtl/>
          <w:lang w:eastAsia="zh-TW"/>
        </w:rPr>
        <w:t xml:space="preserve"> </w:t>
      </w:r>
      <w:r w:rsidRPr="007C5E16">
        <w:rPr>
          <w:rFonts w:cs="Traditional Arabic"/>
          <w:sz w:val="20"/>
          <w:szCs w:val="30"/>
          <w:rtl/>
          <w:lang w:eastAsia="zh-TW"/>
        </w:rPr>
        <w:t xml:space="preserve">ومع الأمانة، أن يقوم بما يلي: </w:t>
      </w:r>
    </w:p>
    <w:p w:rsidR="00871FE5" w:rsidRPr="007C5E16" w:rsidRDefault="00871FE5" w:rsidP="00C03FCA">
      <w:pPr>
        <w:spacing w:after="120" w:line="400" w:lineRule="exact"/>
        <w:ind w:left="3117" w:hanging="567"/>
        <w:jc w:val="both"/>
        <w:rPr>
          <w:rFonts w:cs="Traditional Arabic"/>
          <w:sz w:val="20"/>
          <w:szCs w:val="30"/>
          <w:rtl/>
          <w:lang w:eastAsia="zh-TW"/>
        </w:rPr>
      </w:pPr>
      <w:r w:rsidRPr="007C5E16">
        <w:rPr>
          <w:rFonts w:cs="Traditional Arabic" w:hint="cs"/>
          <w:sz w:val="20"/>
          <w:szCs w:val="30"/>
          <w:rtl/>
          <w:lang w:eastAsia="zh-TW"/>
        </w:rPr>
        <w:t>’1‘</w:t>
      </w:r>
      <w:r w:rsidR="001C19D0">
        <w:rPr>
          <w:rFonts w:cs="Traditional Arabic" w:hint="cs"/>
          <w:sz w:val="20"/>
          <w:szCs w:val="30"/>
          <w:rtl/>
          <w:lang w:eastAsia="zh-TW"/>
        </w:rPr>
        <w:tab/>
      </w:r>
      <w:r w:rsidRPr="007C5E16">
        <w:rPr>
          <w:rFonts w:cs="Traditional Arabic"/>
          <w:sz w:val="20"/>
          <w:szCs w:val="30"/>
          <w:rtl/>
          <w:lang w:eastAsia="zh-TW"/>
        </w:rPr>
        <w:t xml:space="preserve">مواصلة إعداد التوجيهات بخصوص تقديم محتويات الفهرس الإلكتروني واستعراضها، بما في ذلك ضمان </w:t>
      </w:r>
      <w:r w:rsidR="00C03FCA">
        <w:rPr>
          <w:rFonts w:cs="Traditional Arabic" w:hint="cs"/>
          <w:sz w:val="20"/>
          <w:szCs w:val="30"/>
          <w:rtl/>
          <w:lang w:eastAsia="zh-TW"/>
        </w:rPr>
        <w:t>جودتها</w:t>
      </w:r>
      <w:r w:rsidRPr="007C5E16">
        <w:rPr>
          <w:rFonts w:cs="Traditional Arabic"/>
          <w:sz w:val="20"/>
          <w:szCs w:val="30"/>
          <w:rtl/>
          <w:lang w:eastAsia="zh-TW"/>
        </w:rPr>
        <w:t xml:space="preserve">، وإدارتها؛ </w:t>
      </w:r>
    </w:p>
    <w:p w:rsidR="00871FE5" w:rsidRPr="007C5E16" w:rsidRDefault="00871FE5" w:rsidP="001C19D0">
      <w:pPr>
        <w:spacing w:after="120" w:line="400" w:lineRule="exact"/>
        <w:ind w:left="3117" w:hanging="567"/>
        <w:jc w:val="both"/>
        <w:rPr>
          <w:rFonts w:cs="Traditional Arabic"/>
          <w:sz w:val="20"/>
          <w:szCs w:val="30"/>
          <w:rtl/>
          <w:lang w:eastAsia="zh-TW"/>
        </w:rPr>
      </w:pPr>
      <w:r w:rsidRPr="007C5E16">
        <w:rPr>
          <w:rFonts w:cs="Traditional Arabic" w:hint="cs"/>
          <w:sz w:val="20"/>
          <w:szCs w:val="30"/>
          <w:rtl/>
          <w:lang w:eastAsia="zh-TW"/>
        </w:rPr>
        <w:t>’2‘</w:t>
      </w:r>
      <w:r w:rsidR="001C19D0">
        <w:rPr>
          <w:rFonts w:cs="Traditional Arabic" w:hint="cs"/>
          <w:sz w:val="20"/>
          <w:szCs w:val="30"/>
          <w:rtl/>
          <w:lang w:eastAsia="zh-TW"/>
        </w:rPr>
        <w:tab/>
      </w:r>
      <w:r w:rsidRPr="007C5E16">
        <w:rPr>
          <w:rFonts w:cs="Traditional Arabic"/>
          <w:sz w:val="20"/>
          <w:szCs w:val="30"/>
          <w:rtl/>
          <w:lang w:eastAsia="zh-TW"/>
        </w:rPr>
        <w:t>دعوة الخبراء والحكومات وأصحاب المصلحة إلى تقديم أدوات ومنهجيات دعم السياسات ذات الصلة من أجل إدراجها في الفهرس، وإلى الإشراف على إعداد الفهرس؛</w:t>
      </w:r>
    </w:p>
    <w:p w:rsidR="00871FE5" w:rsidRPr="007C5E16" w:rsidRDefault="00871FE5" w:rsidP="00E92B23">
      <w:pPr>
        <w:spacing w:after="120" w:line="400" w:lineRule="exact"/>
        <w:ind w:left="3117" w:hanging="567"/>
        <w:jc w:val="both"/>
        <w:rPr>
          <w:rFonts w:cs="Traditional Arabic"/>
          <w:sz w:val="20"/>
          <w:szCs w:val="30"/>
          <w:rtl/>
          <w:lang w:eastAsia="zh-TW"/>
        </w:rPr>
      </w:pPr>
      <w:r w:rsidRPr="007C5E16">
        <w:rPr>
          <w:rFonts w:cs="Traditional Arabic" w:hint="cs"/>
          <w:sz w:val="20"/>
          <w:szCs w:val="30"/>
          <w:rtl/>
          <w:lang w:eastAsia="zh-TW"/>
        </w:rPr>
        <w:t>’3‘</w:t>
      </w:r>
      <w:r w:rsidR="001C19D0">
        <w:rPr>
          <w:rFonts w:cs="Traditional Arabic" w:hint="cs"/>
          <w:sz w:val="20"/>
          <w:szCs w:val="30"/>
          <w:rtl/>
          <w:lang w:eastAsia="zh-TW"/>
        </w:rPr>
        <w:tab/>
      </w:r>
      <w:r w:rsidRPr="007C5E16">
        <w:rPr>
          <w:rFonts w:cs="Traditional Arabic"/>
          <w:sz w:val="20"/>
          <w:szCs w:val="30"/>
          <w:rtl/>
          <w:lang w:eastAsia="zh-TW"/>
        </w:rPr>
        <w:t>إجراء تقييم لاستخدام النموذج الشبكي الأولي للفهرس وفعاليته، في سياق عمليات الاستعراض الرامية إلى إرشاد التطور المستقبلي لهذه المنصة (الناتج 4 (ه))</w:t>
      </w:r>
      <w:r w:rsidR="00E92B23">
        <w:rPr>
          <w:rFonts w:cs="Traditional Arabic" w:hint="cs"/>
          <w:sz w:val="20"/>
          <w:szCs w:val="30"/>
          <w:rtl/>
          <w:lang w:eastAsia="zh-TW"/>
        </w:rPr>
        <w:t>؛</w:t>
      </w:r>
    </w:p>
    <w:p w:rsidR="00871FE5" w:rsidRPr="007C5E16" w:rsidRDefault="00871FE5" w:rsidP="001C19D0">
      <w:pPr>
        <w:spacing w:after="120" w:line="400" w:lineRule="exact"/>
        <w:ind w:left="1132" w:firstLine="709"/>
        <w:jc w:val="both"/>
        <w:rPr>
          <w:rFonts w:cs="Traditional Arabic"/>
          <w:sz w:val="20"/>
          <w:szCs w:val="30"/>
        </w:rPr>
      </w:pPr>
      <w:r w:rsidRPr="007C5E16">
        <w:rPr>
          <w:rFonts w:cs="Traditional Arabic"/>
          <w:sz w:val="20"/>
          <w:szCs w:val="30"/>
          <w:rtl/>
        </w:rPr>
        <w:t>(ج)</w:t>
      </w:r>
      <w:r w:rsidRPr="007C5E16">
        <w:rPr>
          <w:rFonts w:cs="Traditional Arabic"/>
          <w:sz w:val="20"/>
          <w:szCs w:val="30"/>
          <w:rtl/>
        </w:rPr>
        <w:tab/>
      </w:r>
      <w:r w:rsidRPr="00E92B23">
        <w:rPr>
          <w:rFonts w:cs="Traditional Arabic"/>
          <w:i/>
          <w:iCs/>
          <w:sz w:val="20"/>
          <w:szCs w:val="30"/>
          <w:rtl/>
          <w:lang w:eastAsia="zh-TW"/>
        </w:rPr>
        <w:t>تمديد</w:t>
      </w:r>
      <w:r w:rsidRPr="007C5E16">
        <w:rPr>
          <w:rFonts w:cs="Traditional Arabic"/>
          <w:sz w:val="20"/>
          <w:szCs w:val="30"/>
          <w:rtl/>
          <w:lang w:eastAsia="zh-TW"/>
        </w:rPr>
        <w:t xml:space="preserve"> ولاية فريق الخبراء المعني بأدوات ومنهجيات دعم السياسات حتى الدورة السابعة للاجتماع العام، والإيعاز إلى الفريق بتقديم تقرير خلال الدورتين السادسة والسابعة للاجتماع العام عن التقدم المحرز</w:t>
      </w:r>
      <w:r w:rsidRPr="007C5E16">
        <w:rPr>
          <w:rFonts w:cs="Traditional Arabic"/>
          <w:sz w:val="20"/>
          <w:szCs w:val="30"/>
          <w:lang w:eastAsia="zh-TW"/>
        </w:rPr>
        <w:t>.</w:t>
      </w:r>
    </w:p>
    <w:p w:rsidR="008A6A43" w:rsidRPr="00317B52" w:rsidRDefault="00516B35" w:rsidP="000346C2">
      <w:pPr>
        <w:spacing w:after="120" w:line="400" w:lineRule="exact"/>
        <w:ind w:left="1134"/>
        <w:jc w:val="center"/>
        <w:rPr>
          <w:rFonts w:ascii="Traditional Arabic" w:hAnsi="Traditional Arabic" w:cs="Traditional Arabic"/>
          <w:szCs w:val="30"/>
          <w:rtl/>
        </w:rPr>
      </w:pPr>
      <w:r w:rsidRPr="00317B52">
        <w:rPr>
          <w:rFonts w:ascii="Traditional Arabic" w:hAnsi="Traditional Arabic" w:cs="Traditional Arabic"/>
          <w:sz w:val="30"/>
          <w:szCs w:val="30"/>
        </w:rPr>
        <w:t>____________</w:t>
      </w:r>
    </w:p>
    <w:sectPr w:rsidR="008A6A43" w:rsidRPr="00317B52" w:rsidSect="00993DB6">
      <w:endnotePr>
        <w:numFmt w:val="lowerLetter"/>
      </w:endnotePr>
      <w:type w:val="continuous"/>
      <w:pgSz w:w="11906" w:h="16838" w:code="9"/>
      <w:pgMar w:top="907" w:right="1418" w:bottom="1418" w:left="992" w:header="539" w:footer="975"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C62" w:rsidRDefault="00A12C62">
      <w:r>
        <w:separator/>
      </w:r>
    </w:p>
  </w:endnote>
  <w:endnote w:type="continuationSeparator" w:id="0">
    <w:p w:rsidR="00A12C62" w:rsidRDefault="00A12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gency FB">
    <w:panose1 w:val="020B0503020202020204"/>
    <w:charset w:val="00"/>
    <w:family w:val="swiss"/>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Times">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D7F" w:rsidRPr="00B86C1A" w:rsidRDefault="00F40D7F" w:rsidP="00B86C1A">
    <w:pPr>
      <w:pStyle w:val="Footer"/>
      <w:tabs>
        <w:tab w:val="clear" w:pos="4153"/>
        <w:tab w:val="clear" w:pos="8306"/>
      </w:tabs>
      <w:bidi w:val="0"/>
      <w:spacing w:before="20" w:after="40" w:line="240" w:lineRule="exact"/>
      <w:rPr>
        <w:rFonts w:ascii="Times New Roman" w:hAnsi="Times New Roman" w:cs="Times New Roman"/>
        <w:sz w:val="18"/>
        <w:szCs w:val="18"/>
        <w:rtl/>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sidR="00F90CC6">
      <w:rPr>
        <w:rStyle w:val="PageNumber"/>
        <w:rFonts w:ascii="Times New Roman" w:hAnsi="Times New Roman" w:cs="Times New Roman"/>
        <w:sz w:val="18"/>
        <w:szCs w:val="18"/>
      </w:rPr>
      <w:t>2</w:t>
    </w:r>
    <w:r w:rsidRPr="00B86C1A">
      <w:rPr>
        <w:rStyle w:val="PageNumber"/>
        <w:rFonts w:ascii="Times New Roman" w:hAnsi="Times New Roman" w:cs="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D7F" w:rsidRPr="00B86C1A" w:rsidRDefault="00F40D7F" w:rsidP="00B86C1A">
    <w:pPr>
      <w:pStyle w:val="Footer"/>
      <w:tabs>
        <w:tab w:val="clear" w:pos="4153"/>
        <w:tab w:val="clear" w:pos="8306"/>
      </w:tabs>
      <w:bidi w:val="0"/>
      <w:spacing w:before="20" w:after="40" w:line="240" w:lineRule="exact"/>
      <w:jc w:val="left"/>
      <w:rPr>
        <w:rStyle w:val="PageNumber"/>
        <w:sz w:val="18"/>
        <w:szCs w:val="18"/>
        <w:rtl/>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sidR="00F90CC6">
      <w:rPr>
        <w:rStyle w:val="PageNumber"/>
        <w:rFonts w:ascii="Times New Roman" w:hAnsi="Times New Roman" w:cs="Times New Roman"/>
        <w:sz w:val="18"/>
        <w:szCs w:val="18"/>
      </w:rPr>
      <w:t>5</w:t>
    </w:r>
    <w:r w:rsidRPr="00B86C1A">
      <w:rPr>
        <w:rStyle w:val="PageNumber"/>
        <w:rFonts w:ascii="Times New Roman" w:hAnsi="Times New Roman" w:cs="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D7F" w:rsidRPr="00F45D78" w:rsidRDefault="00F40D7F" w:rsidP="00993DB6">
    <w:pPr>
      <w:rPr>
        <w:sz w:val="20"/>
        <w:szCs w:val="20"/>
        <w:rtl/>
      </w:rPr>
    </w:pPr>
    <w:r w:rsidRPr="00F45D78">
      <w:rPr>
        <w:rFonts w:cs="Times New Roman"/>
        <w:sz w:val="20"/>
        <w:szCs w:val="20"/>
        <w:lang w:val="en-GB"/>
      </w:rPr>
      <w:t>K1</w:t>
    </w:r>
    <w:r>
      <w:rPr>
        <w:rFonts w:cs="Times New Roman"/>
        <w:sz w:val="20"/>
        <w:szCs w:val="20"/>
        <w:lang w:val="en-GB"/>
      </w:rPr>
      <w:t>6</w:t>
    </w:r>
    <w:r w:rsidR="001C19D0">
      <w:rPr>
        <w:rFonts w:cs="Times New Roman"/>
        <w:sz w:val="20"/>
        <w:szCs w:val="20"/>
        <w:lang w:val="en-GB"/>
      </w:rPr>
      <w:t>12454</w:t>
    </w:r>
    <w:r w:rsidRPr="00F45D78">
      <w:rPr>
        <w:rFonts w:cs="Times New Roman" w:hint="cs"/>
        <w:sz w:val="20"/>
        <w:szCs w:val="20"/>
        <w:rtl/>
        <w:lang w:val="en-GB"/>
      </w:rPr>
      <w:tab/>
    </w:r>
    <w:r w:rsidR="00993DB6">
      <w:rPr>
        <w:rFonts w:cs="Times New Roman"/>
        <w:sz w:val="20"/>
        <w:szCs w:val="20"/>
        <w:lang w:val="en-GB"/>
      </w:rPr>
      <w:t>19</w:t>
    </w:r>
    <w:r w:rsidR="00FB6E2C">
      <w:rPr>
        <w:rFonts w:cs="Times New Roman"/>
        <w:sz w:val="20"/>
        <w:szCs w:val="20"/>
        <w:lang w:val="en-GB"/>
      </w:rPr>
      <w:t>01</w:t>
    </w:r>
    <w:r w:rsidRPr="00F45D78">
      <w:rPr>
        <w:rFonts w:cs="Times New Roman"/>
        <w:sz w:val="20"/>
        <w:szCs w:val="20"/>
        <w:lang w:val="en-GB"/>
      </w:rPr>
      <w:t>1</w:t>
    </w:r>
    <w:r w:rsidR="00FB6E2C">
      <w:rPr>
        <w:rFonts w:cs="Times New Roman"/>
        <w:sz w:val="20"/>
        <w:szCs w:val="20"/>
        <w:lang w:val="en-GB"/>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C62" w:rsidRDefault="00A12C62" w:rsidP="00684243">
      <w:pPr>
        <w:ind w:left="720"/>
      </w:pPr>
      <w:r>
        <w:separator/>
      </w:r>
    </w:p>
  </w:footnote>
  <w:footnote w:type="continuationSeparator" w:id="0">
    <w:p w:rsidR="00A12C62" w:rsidRDefault="00A12C62">
      <w:r>
        <w:continuationSeparator/>
      </w:r>
    </w:p>
  </w:footnote>
  <w:footnote w:id="1">
    <w:p w:rsidR="007C5E16" w:rsidRPr="001C19D0" w:rsidRDefault="007C5E16" w:rsidP="00F97424">
      <w:pPr>
        <w:pStyle w:val="FootnoteText"/>
        <w:ind w:left="1132"/>
        <w:jc w:val="both"/>
        <w:rPr>
          <w:rFonts w:asciiTheme="majorBidi" w:hAnsiTheme="majorBidi" w:cstheme="majorBidi"/>
          <w:rtl/>
        </w:rPr>
      </w:pPr>
      <w:r w:rsidRPr="001C19D0">
        <w:rPr>
          <w:rStyle w:val="FootnoteReference"/>
          <w:rFonts w:asciiTheme="majorBidi" w:hAnsiTheme="majorBidi" w:cstheme="majorBidi"/>
          <w:vertAlign w:val="baseline"/>
          <w:rtl/>
        </w:rPr>
        <w:t>*</w:t>
      </w:r>
      <w:r w:rsidRPr="001C19D0">
        <w:rPr>
          <w:rFonts w:asciiTheme="majorBidi" w:hAnsiTheme="majorBidi" w:cstheme="majorBidi"/>
          <w:rtl/>
        </w:rPr>
        <w:t xml:space="preserve"> </w:t>
      </w:r>
      <w:r w:rsidRPr="001C19D0">
        <w:rPr>
          <w:rFonts w:asciiTheme="majorBidi" w:hAnsiTheme="majorBidi" w:cstheme="majorBidi" w:hint="cs"/>
          <w:rtl/>
        </w:rPr>
        <w:t xml:space="preserve"> </w:t>
      </w:r>
      <w:r w:rsidRPr="001C19D0">
        <w:rPr>
          <w:rFonts w:asciiTheme="majorBidi" w:hAnsiTheme="majorBidi" w:cstheme="majorBidi"/>
        </w:rPr>
        <w:t>IPBES/5/</w:t>
      </w:r>
      <w:r w:rsidR="00F97424">
        <w:rPr>
          <w:rFonts w:asciiTheme="majorBidi" w:hAnsiTheme="majorBidi" w:cstheme="majorBidi"/>
        </w:rPr>
        <w:t>1/Rev.1</w:t>
      </w:r>
      <w:r w:rsidRPr="001C19D0">
        <w:rPr>
          <w:rFonts w:asciiTheme="majorBidi" w:hAnsiTheme="majorBidi" w:cstheme="majorBidi" w:hint="cs"/>
          <w:rtl/>
        </w:rPr>
        <w:t>.</w:t>
      </w:r>
    </w:p>
  </w:footnote>
  <w:footnote w:id="2">
    <w:p w:rsidR="00871FE5" w:rsidRPr="001C19D0" w:rsidRDefault="001C19D0" w:rsidP="001C19D0">
      <w:pPr>
        <w:pStyle w:val="FootnoteText"/>
        <w:tabs>
          <w:tab w:val="left" w:pos="624"/>
        </w:tabs>
        <w:ind w:left="1132"/>
        <w:jc w:val="both"/>
        <w:textDirection w:val="tbRlV"/>
        <w:rPr>
          <w:rFonts w:ascii="Times New Roman" w:hAnsi="Times New Roman" w:cs="Traditional Arabic"/>
          <w:sz w:val="18"/>
          <w:szCs w:val="26"/>
          <w:rtl/>
          <w:lang w:val="en-GB" w:eastAsia="zh-TW"/>
        </w:rPr>
      </w:pPr>
      <w:r>
        <w:rPr>
          <w:rFonts w:ascii="Times New Roman" w:hAnsi="Times New Roman" w:cs="Traditional Arabic" w:hint="cs"/>
          <w:sz w:val="18"/>
          <w:szCs w:val="26"/>
          <w:rtl/>
          <w:lang w:val="en-GB" w:eastAsia="zh-TW"/>
        </w:rPr>
        <w:t>(</w:t>
      </w:r>
      <w:r w:rsidR="00871FE5" w:rsidRPr="001C19D0">
        <w:rPr>
          <w:rStyle w:val="FootnoteReference"/>
          <w:rFonts w:ascii="Times New Roman" w:hAnsi="Times New Roman" w:cs="Traditional Arabic"/>
          <w:sz w:val="18"/>
          <w:szCs w:val="26"/>
          <w:vertAlign w:val="baseline"/>
          <w:rtl/>
          <w:lang w:val="en-GB" w:eastAsia="zh-TW"/>
        </w:rPr>
        <w:footnoteRef/>
      </w:r>
      <w:r>
        <w:rPr>
          <w:rFonts w:ascii="Times New Roman" w:hAnsi="Times New Roman" w:cs="Traditional Arabic" w:hint="cs"/>
          <w:sz w:val="18"/>
          <w:szCs w:val="26"/>
          <w:rtl/>
          <w:lang w:val="en-GB" w:eastAsia="zh-TW"/>
        </w:rPr>
        <w:t xml:space="preserve">) </w:t>
      </w:r>
      <w:r w:rsidR="00871FE5" w:rsidRPr="001C19D0">
        <w:rPr>
          <w:rFonts w:ascii="Times New Roman" w:hAnsi="Times New Roman" w:cs="Traditional Arabic"/>
          <w:sz w:val="18"/>
          <w:szCs w:val="26"/>
          <w:rtl/>
          <w:lang w:val="en-GB" w:eastAsia="zh-TW"/>
        </w:rPr>
        <w:t xml:space="preserve"> </w:t>
      </w:r>
      <w:r w:rsidR="00871FE5" w:rsidRPr="001C19D0">
        <w:rPr>
          <w:rFonts w:ascii="Times New Roman" w:hAnsi="Times New Roman" w:cs="Traditional Arabic"/>
          <w:sz w:val="18"/>
          <w:szCs w:val="26"/>
          <w:lang w:val="en-GB" w:eastAsia="zh-TW"/>
        </w:rPr>
        <w:t>IPBES/5/8</w:t>
      </w:r>
      <w:r w:rsidR="00871FE5" w:rsidRPr="001C19D0">
        <w:rPr>
          <w:rFonts w:ascii="Times New Roman" w:hAnsi="Times New Roman" w:cs="Traditional Arabic" w:hint="cs"/>
          <w:sz w:val="18"/>
          <w:szCs w:val="26"/>
          <w:rtl/>
          <w:lang w:val="en-GB" w:eastAsia="zh-TW"/>
        </w:rPr>
        <w:t>.</w:t>
      </w:r>
    </w:p>
  </w:footnote>
  <w:footnote w:id="3">
    <w:p w:rsidR="00871FE5" w:rsidRPr="001C19D0" w:rsidRDefault="001C19D0" w:rsidP="00952458">
      <w:pPr>
        <w:pStyle w:val="FootnoteText"/>
        <w:tabs>
          <w:tab w:val="left" w:pos="624"/>
        </w:tabs>
        <w:ind w:left="1132"/>
        <w:jc w:val="both"/>
        <w:textDirection w:val="tbRlV"/>
        <w:rPr>
          <w:rFonts w:ascii="Times New Roman" w:hAnsi="Times New Roman"/>
          <w:sz w:val="18"/>
          <w:szCs w:val="30"/>
          <w:rtl/>
          <w:lang w:val="en-GB" w:eastAsia="zh-TW"/>
        </w:rPr>
      </w:pPr>
      <w:r>
        <w:rPr>
          <w:rFonts w:ascii="Times New Roman" w:hAnsi="Times New Roman" w:cs="Traditional Arabic" w:hint="cs"/>
          <w:sz w:val="18"/>
          <w:szCs w:val="26"/>
          <w:rtl/>
          <w:lang w:val="en-GB" w:eastAsia="zh-TW"/>
        </w:rPr>
        <w:t>(</w:t>
      </w:r>
      <w:r w:rsidR="00871FE5" w:rsidRPr="001C19D0">
        <w:rPr>
          <w:rStyle w:val="FootnoteReference"/>
          <w:rFonts w:ascii="Times New Roman" w:hAnsi="Times New Roman" w:cs="Traditional Arabic"/>
          <w:sz w:val="18"/>
          <w:szCs w:val="26"/>
          <w:vertAlign w:val="baseline"/>
          <w:rtl/>
          <w:lang w:val="en-GB" w:eastAsia="zh-TW"/>
        </w:rPr>
        <w:footnoteRef/>
      </w:r>
      <w:r>
        <w:rPr>
          <w:rFonts w:ascii="Times New Roman" w:hAnsi="Times New Roman" w:cs="Traditional Arabic" w:hint="cs"/>
          <w:sz w:val="18"/>
          <w:szCs w:val="26"/>
          <w:rtl/>
          <w:lang w:val="en-GB" w:eastAsia="zh-TW"/>
        </w:rPr>
        <w:t xml:space="preserve">) </w:t>
      </w:r>
      <w:r w:rsidR="00871FE5" w:rsidRPr="001C19D0">
        <w:rPr>
          <w:rFonts w:ascii="Times New Roman" w:hAnsi="Times New Roman" w:cs="Traditional Arabic"/>
          <w:sz w:val="18"/>
          <w:szCs w:val="26"/>
          <w:rtl/>
          <w:lang w:val="en-GB" w:eastAsia="zh-TW"/>
        </w:rPr>
        <w:t xml:space="preserve"> يرد مشروع النهج في الفقرتين 9 و10.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D7F" w:rsidRPr="0073400D" w:rsidRDefault="00F40D7F" w:rsidP="001C19D0">
    <w:pPr>
      <w:pBdr>
        <w:bottom w:val="single" w:sz="4" w:space="0" w:color="auto"/>
      </w:pBdr>
      <w:spacing w:before="20" w:after="40"/>
      <w:rPr>
        <w:b/>
        <w:bCs/>
        <w:sz w:val="17"/>
        <w:szCs w:val="17"/>
        <w:rtl/>
        <w:lang w:val="fr-FR"/>
      </w:rPr>
    </w:pPr>
    <w:r w:rsidRPr="0073400D">
      <w:rPr>
        <w:rStyle w:val="PageNumber"/>
        <w:rFonts w:cs="Times New Roman"/>
        <w:b/>
        <w:bCs/>
        <w:sz w:val="17"/>
        <w:szCs w:val="17"/>
        <w:lang w:val="fr-FR"/>
      </w:rPr>
      <w:t>IPBES/</w:t>
    </w:r>
    <w:r>
      <w:rPr>
        <w:rStyle w:val="PageNumber"/>
        <w:rFonts w:cs="Times New Roman"/>
        <w:b/>
        <w:bCs/>
        <w:sz w:val="17"/>
        <w:szCs w:val="17"/>
        <w:lang w:val="fr-FR"/>
      </w:rPr>
      <w:t>5</w:t>
    </w:r>
    <w:r w:rsidRPr="0073400D">
      <w:rPr>
        <w:rStyle w:val="PageNumber"/>
        <w:rFonts w:cs="Times New Roman"/>
        <w:b/>
        <w:bCs/>
        <w:sz w:val="17"/>
        <w:szCs w:val="17"/>
        <w:lang w:val="fr-FR"/>
      </w:rPr>
      <w:t>/</w:t>
    </w:r>
    <w:r w:rsidR="001C19D0">
      <w:rPr>
        <w:rStyle w:val="PageNumber"/>
        <w:rFonts w:cs="Times New Roman"/>
        <w:b/>
        <w:bCs/>
        <w:sz w:val="17"/>
        <w:szCs w:val="17"/>
        <w:lang w:val="fr-FR"/>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D7F" w:rsidRDefault="00F40D7F" w:rsidP="001C19D0">
    <w:pPr>
      <w:pBdr>
        <w:bottom w:val="single" w:sz="4" w:space="1" w:color="auto"/>
      </w:pBdr>
      <w:bidi w:val="0"/>
      <w:rPr>
        <w:rStyle w:val="PageNumber"/>
        <w:rFonts w:cs="Times New Roman"/>
        <w:b/>
        <w:bCs/>
        <w:sz w:val="17"/>
        <w:szCs w:val="17"/>
        <w:lang w:val="fr-FR"/>
      </w:rPr>
    </w:pPr>
    <w:r w:rsidRPr="0073400D">
      <w:rPr>
        <w:rStyle w:val="PageNumber"/>
        <w:rFonts w:cs="Times New Roman"/>
        <w:b/>
        <w:bCs/>
        <w:sz w:val="17"/>
        <w:szCs w:val="17"/>
        <w:lang w:val="fr-FR"/>
      </w:rPr>
      <w:t>IPBES/</w:t>
    </w:r>
    <w:r w:rsidR="002A7552">
      <w:rPr>
        <w:rStyle w:val="PageNumber"/>
        <w:rFonts w:cs="Times New Roman"/>
        <w:b/>
        <w:bCs/>
        <w:sz w:val="17"/>
        <w:szCs w:val="17"/>
        <w:lang w:val="fr-FR"/>
      </w:rPr>
      <w:t>5</w:t>
    </w:r>
    <w:r w:rsidRPr="0073400D">
      <w:rPr>
        <w:rStyle w:val="PageNumber"/>
        <w:rFonts w:cs="Times New Roman"/>
        <w:b/>
        <w:bCs/>
        <w:sz w:val="17"/>
        <w:szCs w:val="17"/>
        <w:lang w:val="fr-FR"/>
      </w:rPr>
      <w:t>/</w:t>
    </w:r>
    <w:r w:rsidR="001C19D0">
      <w:rPr>
        <w:rStyle w:val="PageNumber"/>
        <w:rFonts w:cs="Times New Roman"/>
        <w:b/>
        <w:bCs/>
        <w:sz w:val="17"/>
        <w:szCs w:val="17"/>
        <w:lang w:val="fr-FR"/>
      </w:rP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D7F" w:rsidRDefault="00F40D7F" w:rsidP="00955980">
    <w:pPr>
      <w:pStyle w:val="Header"/>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113A7"/>
    <w:multiLevelType w:val="multilevel"/>
    <w:tmpl w:val="48241D10"/>
    <w:numStyleLink w:val="Normallist"/>
  </w:abstractNum>
  <w:abstractNum w:abstractNumId="1" w15:restartNumberingAfterBreak="0">
    <w:nsid w:val="19FD37BB"/>
    <w:multiLevelType w:val="hybridMultilevel"/>
    <w:tmpl w:val="F334DD8C"/>
    <w:lvl w:ilvl="0" w:tplc="08090003">
      <w:start w:val="1"/>
      <w:numFmt w:val="bullet"/>
      <w:lvlText w:val="o"/>
      <w:lvlJc w:val="left"/>
      <w:pPr>
        <w:ind w:left="720" w:hanging="360"/>
      </w:pPr>
      <w:rPr>
        <w:rFonts w:ascii="Courier New" w:hAnsi="Courier New" w:hint="default"/>
      </w:rPr>
    </w:lvl>
    <w:lvl w:ilvl="1" w:tplc="1D20D234">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 w15:restartNumberingAfterBreak="0">
    <w:nsid w:val="6AA50DB1"/>
    <w:multiLevelType w:val="singleLevel"/>
    <w:tmpl w:val="0C00B568"/>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4" w15:restartNumberingAfterBreak="0">
    <w:nsid w:val="712B4EA4"/>
    <w:multiLevelType w:val="hybridMultilevel"/>
    <w:tmpl w:val="AC74672A"/>
    <w:lvl w:ilvl="0" w:tplc="49C44DE2">
      <w:start w:val="1"/>
      <w:numFmt w:val="bullet"/>
      <w:lvlText w:val=""/>
      <w:lvlJc w:val="left"/>
      <w:pPr>
        <w:tabs>
          <w:tab w:val="num" w:pos="394"/>
        </w:tabs>
        <w:ind w:left="394" w:hanging="360"/>
      </w:pPr>
      <w:rPr>
        <w:rFonts w:ascii="Symbol" w:hAnsi="Symbol" w:cs="Traditional Arabic" w:hint="default"/>
        <w:sz w:val="24"/>
        <w:szCs w:val="24"/>
      </w:rPr>
    </w:lvl>
    <w:lvl w:ilvl="1" w:tplc="08090003">
      <w:start w:val="1"/>
      <w:numFmt w:val="bullet"/>
      <w:lvlText w:val="o"/>
      <w:lvlJc w:val="left"/>
      <w:pPr>
        <w:tabs>
          <w:tab w:val="num" w:pos="754"/>
        </w:tabs>
        <w:ind w:left="754" w:hanging="360"/>
      </w:pPr>
      <w:rPr>
        <w:rFonts w:ascii="Courier New" w:hAnsi="Courier New" w:cs="Courier New" w:hint="default"/>
      </w:rPr>
    </w:lvl>
    <w:lvl w:ilvl="2" w:tplc="08090005" w:tentative="1">
      <w:start w:val="1"/>
      <w:numFmt w:val="bullet"/>
      <w:lvlText w:val=""/>
      <w:lvlJc w:val="left"/>
      <w:pPr>
        <w:tabs>
          <w:tab w:val="num" w:pos="1474"/>
        </w:tabs>
        <w:ind w:left="1474" w:hanging="360"/>
      </w:pPr>
      <w:rPr>
        <w:rFonts w:ascii="Wingdings" w:hAnsi="Wingdings" w:hint="default"/>
      </w:rPr>
    </w:lvl>
    <w:lvl w:ilvl="3" w:tplc="08090001" w:tentative="1">
      <w:start w:val="1"/>
      <w:numFmt w:val="bullet"/>
      <w:lvlText w:val=""/>
      <w:lvlJc w:val="left"/>
      <w:pPr>
        <w:tabs>
          <w:tab w:val="num" w:pos="2194"/>
        </w:tabs>
        <w:ind w:left="2194" w:hanging="360"/>
      </w:pPr>
      <w:rPr>
        <w:rFonts w:ascii="Symbol" w:hAnsi="Symbol" w:hint="default"/>
      </w:rPr>
    </w:lvl>
    <w:lvl w:ilvl="4" w:tplc="08090003" w:tentative="1">
      <w:start w:val="1"/>
      <w:numFmt w:val="bullet"/>
      <w:lvlText w:val="o"/>
      <w:lvlJc w:val="left"/>
      <w:pPr>
        <w:tabs>
          <w:tab w:val="num" w:pos="2914"/>
        </w:tabs>
        <w:ind w:left="2914" w:hanging="360"/>
      </w:pPr>
      <w:rPr>
        <w:rFonts w:ascii="Courier New" w:hAnsi="Courier New" w:cs="Courier New" w:hint="default"/>
      </w:rPr>
    </w:lvl>
    <w:lvl w:ilvl="5" w:tplc="08090005" w:tentative="1">
      <w:start w:val="1"/>
      <w:numFmt w:val="bullet"/>
      <w:lvlText w:val=""/>
      <w:lvlJc w:val="left"/>
      <w:pPr>
        <w:tabs>
          <w:tab w:val="num" w:pos="3634"/>
        </w:tabs>
        <w:ind w:left="3634" w:hanging="360"/>
      </w:pPr>
      <w:rPr>
        <w:rFonts w:ascii="Wingdings" w:hAnsi="Wingdings" w:hint="default"/>
      </w:rPr>
    </w:lvl>
    <w:lvl w:ilvl="6" w:tplc="08090001" w:tentative="1">
      <w:start w:val="1"/>
      <w:numFmt w:val="bullet"/>
      <w:lvlText w:val=""/>
      <w:lvlJc w:val="left"/>
      <w:pPr>
        <w:tabs>
          <w:tab w:val="num" w:pos="4354"/>
        </w:tabs>
        <w:ind w:left="4354" w:hanging="360"/>
      </w:pPr>
      <w:rPr>
        <w:rFonts w:ascii="Symbol" w:hAnsi="Symbol" w:hint="default"/>
      </w:rPr>
    </w:lvl>
    <w:lvl w:ilvl="7" w:tplc="08090003" w:tentative="1">
      <w:start w:val="1"/>
      <w:numFmt w:val="bullet"/>
      <w:lvlText w:val="o"/>
      <w:lvlJc w:val="left"/>
      <w:pPr>
        <w:tabs>
          <w:tab w:val="num" w:pos="5074"/>
        </w:tabs>
        <w:ind w:left="5074" w:hanging="360"/>
      </w:pPr>
      <w:rPr>
        <w:rFonts w:ascii="Courier New" w:hAnsi="Courier New" w:cs="Courier New" w:hint="default"/>
      </w:rPr>
    </w:lvl>
    <w:lvl w:ilvl="8" w:tplc="08090005" w:tentative="1">
      <w:start w:val="1"/>
      <w:numFmt w:val="bullet"/>
      <w:lvlText w:val=""/>
      <w:lvlJc w:val="left"/>
      <w:pPr>
        <w:tabs>
          <w:tab w:val="num" w:pos="5794"/>
        </w:tabs>
        <w:ind w:left="5794" w:hanging="360"/>
      </w:pPr>
      <w:rPr>
        <w:rFonts w:ascii="Wingdings" w:hAnsi="Wingdings" w:hint="default"/>
      </w:rPr>
    </w:lvl>
  </w:abstractNum>
  <w:abstractNum w:abstractNumId="5" w15:restartNumberingAfterBreak="0">
    <w:nsid w:val="77D44E1D"/>
    <w:multiLevelType w:val="hybridMultilevel"/>
    <w:tmpl w:val="A8B4B3C2"/>
    <w:lvl w:ilvl="0" w:tplc="77E2A06A">
      <w:start w:val="1"/>
      <w:numFmt w:val="decimal"/>
      <w:lvlText w:val="%1-"/>
      <w:lvlJc w:val="left"/>
      <w:pPr>
        <w:ind w:left="1852" w:hanging="360"/>
      </w:pPr>
      <w:rPr>
        <w:rFonts w:hint="default"/>
      </w:rPr>
    </w:lvl>
    <w:lvl w:ilvl="1" w:tplc="04090019" w:tentative="1">
      <w:start w:val="1"/>
      <w:numFmt w:val="lowerLetter"/>
      <w:lvlText w:val="%2."/>
      <w:lvlJc w:val="left"/>
      <w:pPr>
        <w:ind w:left="2572" w:hanging="360"/>
      </w:pPr>
    </w:lvl>
    <w:lvl w:ilvl="2" w:tplc="0409001B" w:tentative="1">
      <w:start w:val="1"/>
      <w:numFmt w:val="lowerRoman"/>
      <w:lvlText w:val="%3."/>
      <w:lvlJc w:val="right"/>
      <w:pPr>
        <w:ind w:left="3292" w:hanging="180"/>
      </w:pPr>
    </w:lvl>
    <w:lvl w:ilvl="3" w:tplc="0409000F" w:tentative="1">
      <w:start w:val="1"/>
      <w:numFmt w:val="decimal"/>
      <w:lvlText w:val="%4."/>
      <w:lvlJc w:val="left"/>
      <w:pPr>
        <w:ind w:left="4012" w:hanging="360"/>
      </w:pPr>
    </w:lvl>
    <w:lvl w:ilvl="4" w:tplc="04090019" w:tentative="1">
      <w:start w:val="1"/>
      <w:numFmt w:val="lowerLetter"/>
      <w:lvlText w:val="%5."/>
      <w:lvlJc w:val="left"/>
      <w:pPr>
        <w:ind w:left="4732" w:hanging="360"/>
      </w:pPr>
    </w:lvl>
    <w:lvl w:ilvl="5" w:tplc="0409001B" w:tentative="1">
      <w:start w:val="1"/>
      <w:numFmt w:val="lowerRoman"/>
      <w:lvlText w:val="%6."/>
      <w:lvlJc w:val="right"/>
      <w:pPr>
        <w:ind w:left="5452" w:hanging="180"/>
      </w:pPr>
    </w:lvl>
    <w:lvl w:ilvl="6" w:tplc="0409000F" w:tentative="1">
      <w:start w:val="1"/>
      <w:numFmt w:val="decimal"/>
      <w:lvlText w:val="%7."/>
      <w:lvlJc w:val="left"/>
      <w:pPr>
        <w:ind w:left="6172" w:hanging="360"/>
      </w:pPr>
    </w:lvl>
    <w:lvl w:ilvl="7" w:tplc="04090019" w:tentative="1">
      <w:start w:val="1"/>
      <w:numFmt w:val="lowerLetter"/>
      <w:lvlText w:val="%8."/>
      <w:lvlJc w:val="left"/>
      <w:pPr>
        <w:ind w:left="6892" w:hanging="360"/>
      </w:pPr>
    </w:lvl>
    <w:lvl w:ilvl="8" w:tplc="0409001B" w:tentative="1">
      <w:start w:val="1"/>
      <w:numFmt w:val="lowerRoman"/>
      <w:lvlText w:val="%9."/>
      <w:lvlJc w:val="right"/>
      <w:pPr>
        <w:ind w:left="7612" w:hanging="180"/>
      </w:pPr>
    </w:lvl>
  </w:abstractNum>
  <w:abstractNum w:abstractNumId="6" w15:restartNumberingAfterBreak="0">
    <w:nsid w:val="7EF71EF0"/>
    <w:multiLevelType w:val="hybridMultilevel"/>
    <w:tmpl w:val="3D381B26"/>
    <w:lvl w:ilvl="0" w:tplc="8F260EEE">
      <w:start w:val="1"/>
      <w:numFmt w:val="bullet"/>
      <w:lvlText w:val="-"/>
      <w:lvlJc w:val="left"/>
      <w:pPr>
        <w:tabs>
          <w:tab w:val="num" w:pos="1080"/>
        </w:tabs>
        <w:ind w:left="1080" w:hanging="360"/>
      </w:pPr>
      <w:rPr>
        <w:rFonts w:ascii="Agency FB" w:hAnsi="Agency FB"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6"/>
  </w:num>
  <w:num w:numId="4">
    <w:abstractNumId w:val="4"/>
  </w:num>
  <w:num w:numId="5">
    <w:abstractNumId w:val="2"/>
  </w:num>
  <w:num w:numId="6">
    <w:abstractNumId w:val="0"/>
    <w:lvlOverride w:ilvl="0">
      <w:lvl w:ilvl="0">
        <w:start w:val="1"/>
        <w:numFmt w:val="decimal"/>
        <w:pStyle w:val="Normalnumber"/>
        <w:lvlText w:val="%1."/>
        <w:lvlJc w:val="left"/>
        <w:pPr>
          <w:tabs>
            <w:tab w:val="num" w:pos="567"/>
          </w:tabs>
          <w:ind w:left="1247" w:firstLine="0"/>
        </w:pPr>
        <w:rPr>
          <w:rFonts w:hint="default"/>
          <w:b w:val="0"/>
        </w:rPr>
      </w:lvl>
    </w:lvlOverride>
  </w:num>
  <w:num w:numId="7">
    <w:abstractNumId w:val="0"/>
    <w:lvlOverride w:ilvl="0">
      <w:lvl w:ilvl="0">
        <w:start w:val="1"/>
        <w:numFmt w:val="decimal"/>
        <w:pStyle w:val="Normalnumber"/>
        <w:lvlText w:val="%1-"/>
        <w:lvlJc w:val="left"/>
        <w:pPr>
          <w:ind w:left="1607" w:hanging="36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evenAndOddHeaders/>
  <w:drawingGridHorizontalSpacing w:val="171"/>
  <w:drawingGridVerticalSpacing w:val="233"/>
  <w:displayHorizontalDrawingGridEvery w:val="0"/>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2B"/>
    <w:rsid w:val="00016B71"/>
    <w:rsid w:val="00016F9B"/>
    <w:rsid w:val="000242CB"/>
    <w:rsid w:val="0003131F"/>
    <w:rsid w:val="00033595"/>
    <w:rsid w:val="00033A5C"/>
    <w:rsid w:val="000346C2"/>
    <w:rsid w:val="00047ED2"/>
    <w:rsid w:val="0006021A"/>
    <w:rsid w:val="0008088A"/>
    <w:rsid w:val="000844F9"/>
    <w:rsid w:val="000B6B96"/>
    <w:rsid w:val="000C6AF1"/>
    <w:rsid w:val="000C72D5"/>
    <w:rsid w:val="000F083C"/>
    <w:rsid w:val="000F39C0"/>
    <w:rsid w:val="000F712A"/>
    <w:rsid w:val="001017F6"/>
    <w:rsid w:val="00102A11"/>
    <w:rsid w:val="00111DDA"/>
    <w:rsid w:val="0012040B"/>
    <w:rsid w:val="001223A2"/>
    <w:rsid w:val="00124CC4"/>
    <w:rsid w:val="00131CE1"/>
    <w:rsid w:val="001367EA"/>
    <w:rsid w:val="001368B8"/>
    <w:rsid w:val="0014278C"/>
    <w:rsid w:val="00147D7B"/>
    <w:rsid w:val="00153644"/>
    <w:rsid w:val="00154CC2"/>
    <w:rsid w:val="00155F84"/>
    <w:rsid w:val="0016168E"/>
    <w:rsid w:val="00165BE3"/>
    <w:rsid w:val="0017427B"/>
    <w:rsid w:val="00177C0C"/>
    <w:rsid w:val="001841AD"/>
    <w:rsid w:val="001844E3"/>
    <w:rsid w:val="00186DE2"/>
    <w:rsid w:val="001A0F83"/>
    <w:rsid w:val="001B03D9"/>
    <w:rsid w:val="001C19D0"/>
    <w:rsid w:val="001C1F65"/>
    <w:rsid w:val="001D3A25"/>
    <w:rsid w:val="001D6F72"/>
    <w:rsid w:val="001E4795"/>
    <w:rsid w:val="001E6E8E"/>
    <w:rsid w:val="001F0C9C"/>
    <w:rsid w:val="001F171C"/>
    <w:rsid w:val="001F390D"/>
    <w:rsid w:val="002079F8"/>
    <w:rsid w:val="0021634D"/>
    <w:rsid w:val="0022063C"/>
    <w:rsid w:val="00224248"/>
    <w:rsid w:val="0023160B"/>
    <w:rsid w:val="002323CD"/>
    <w:rsid w:val="00251749"/>
    <w:rsid w:val="00260C3B"/>
    <w:rsid w:val="00261451"/>
    <w:rsid w:val="00267DA8"/>
    <w:rsid w:val="002857FA"/>
    <w:rsid w:val="002A7552"/>
    <w:rsid w:val="002B14DB"/>
    <w:rsid w:val="002C60AD"/>
    <w:rsid w:val="002D12BC"/>
    <w:rsid w:val="002D7BBF"/>
    <w:rsid w:val="002E7390"/>
    <w:rsid w:val="002F11C2"/>
    <w:rsid w:val="002F5CF3"/>
    <w:rsid w:val="002F623B"/>
    <w:rsid w:val="002F74A0"/>
    <w:rsid w:val="00302E29"/>
    <w:rsid w:val="00302EAD"/>
    <w:rsid w:val="00313B61"/>
    <w:rsid w:val="00317B52"/>
    <w:rsid w:val="00317E61"/>
    <w:rsid w:val="00326342"/>
    <w:rsid w:val="003501E1"/>
    <w:rsid w:val="003553DB"/>
    <w:rsid w:val="0038322E"/>
    <w:rsid w:val="003843ED"/>
    <w:rsid w:val="00386BD3"/>
    <w:rsid w:val="00386CAA"/>
    <w:rsid w:val="00390CD8"/>
    <w:rsid w:val="003923ED"/>
    <w:rsid w:val="00392BF1"/>
    <w:rsid w:val="00397363"/>
    <w:rsid w:val="003B507C"/>
    <w:rsid w:val="003B68FE"/>
    <w:rsid w:val="003D355A"/>
    <w:rsid w:val="003E4E41"/>
    <w:rsid w:val="003F77FF"/>
    <w:rsid w:val="0040218B"/>
    <w:rsid w:val="00402A03"/>
    <w:rsid w:val="00405211"/>
    <w:rsid w:val="00451081"/>
    <w:rsid w:val="00451ABD"/>
    <w:rsid w:val="004606CA"/>
    <w:rsid w:val="00472C66"/>
    <w:rsid w:val="00474286"/>
    <w:rsid w:val="00483FE5"/>
    <w:rsid w:val="004845CD"/>
    <w:rsid w:val="00485260"/>
    <w:rsid w:val="004916B5"/>
    <w:rsid w:val="0049182D"/>
    <w:rsid w:val="00495361"/>
    <w:rsid w:val="004A0852"/>
    <w:rsid w:val="004B0A17"/>
    <w:rsid w:val="004C764A"/>
    <w:rsid w:val="004D2B12"/>
    <w:rsid w:val="004E001B"/>
    <w:rsid w:val="004E1EDE"/>
    <w:rsid w:val="004E3260"/>
    <w:rsid w:val="004E46E6"/>
    <w:rsid w:val="004E5370"/>
    <w:rsid w:val="004E63A5"/>
    <w:rsid w:val="004E7B30"/>
    <w:rsid w:val="00505537"/>
    <w:rsid w:val="00516B35"/>
    <w:rsid w:val="00522932"/>
    <w:rsid w:val="005234DB"/>
    <w:rsid w:val="00530F46"/>
    <w:rsid w:val="005325D6"/>
    <w:rsid w:val="00540949"/>
    <w:rsid w:val="0056457C"/>
    <w:rsid w:val="005668AB"/>
    <w:rsid w:val="00566DD6"/>
    <w:rsid w:val="00591519"/>
    <w:rsid w:val="00591B8E"/>
    <w:rsid w:val="005945AA"/>
    <w:rsid w:val="005A0DCF"/>
    <w:rsid w:val="005A2781"/>
    <w:rsid w:val="005A6A53"/>
    <w:rsid w:val="005B198D"/>
    <w:rsid w:val="005B25B0"/>
    <w:rsid w:val="005C55FF"/>
    <w:rsid w:val="005E06C5"/>
    <w:rsid w:val="005E2737"/>
    <w:rsid w:val="005F3809"/>
    <w:rsid w:val="005F4603"/>
    <w:rsid w:val="005F5925"/>
    <w:rsid w:val="00604B89"/>
    <w:rsid w:val="0060772E"/>
    <w:rsid w:val="00615461"/>
    <w:rsid w:val="006160A4"/>
    <w:rsid w:val="00617CEF"/>
    <w:rsid w:val="006227F4"/>
    <w:rsid w:val="0063685D"/>
    <w:rsid w:val="006559BA"/>
    <w:rsid w:val="00671875"/>
    <w:rsid w:val="00684243"/>
    <w:rsid w:val="0069086F"/>
    <w:rsid w:val="00696059"/>
    <w:rsid w:val="006A5C3F"/>
    <w:rsid w:val="006A7E4F"/>
    <w:rsid w:val="006B54B1"/>
    <w:rsid w:val="006C560D"/>
    <w:rsid w:val="006D3972"/>
    <w:rsid w:val="006E4BE0"/>
    <w:rsid w:val="006F036C"/>
    <w:rsid w:val="00706852"/>
    <w:rsid w:val="00712158"/>
    <w:rsid w:val="007226C6"/>
    <w:rsid w:val="0073400D"/>
    <w:rsid w:val="007453FE"/>
    <w:rsid w:val="0075378C"/>
    <w:rsid w:val="00767A09"/>
    <w:rsid w:val="00775957"/>
    <w:rsid w:val="00783165"/>
    <w:rsid w:val="007A671B"/>
    <w:rsid w:val="007A6D2A"/>
    <w:rsid w:val="007A7A0C"/>
    <w:rsid w:val="007B173A"/>
    <w:rsid w:val="007B5F59"/>
    <w:rsid w:val="007B7061"/>
    <w:rsid w:val="007C5E16"/>
    <w:rsid w:val="007C62EE"/>
    <w:rsid w:val="007E0C9A"/>
    <w:rsid w:val="007E3856"/>
    <w:rsid w:val="007F304D"/>
    <w:rsid w:val="00802B63"/>
    <w:rsid w:val="00805014"/>
    <w:rsid w:val="008148D5"/>
    <w:rsid w:val="00822614"/>
    <w:rsid w:val="008500FB"/>
    <w:rsid w:val="00852F12"/>
    <w:rsid w:val="00871FE5"/>
    <w:rsid w:val="00873A40"/>
    <w:rsid w:val="0088327C"/>
    <w:rsid w:val="00887CE8"/>
    <w:rsid w:val="0089216B"/>
    <w:rsid w:val="00892A8F"/>
    <w:rsid w:val="0089620E"/>
    <w:rsid w:val="008A5EBB"/>
    <w:rsid w:val="008A6A43"/>
    <w:rsid w:val="008B1BBE"/>
    <w:rsid w:val="0090002B"/>
    <w:rsid w:val="0092217B"/>
    <w:rsid w:val="0092522D"/>
    <w:rsid w:val="00926C1F"/>
    <w:rsid w:val="00931CC7"/>
    <w:rsid w:val="00932FA5"/>
    <w:rsid w:val="00934EBC"/>
    <w:rsid w:val="00937E85"/>
    <w:rsid w:val="009413F4"/>
    <w:rsid w:val="00952458"/>
    <w:rsid w:val="00955980"/>
    <w:rsid w:val="00980B82"/>
    <w:rsid w:val="009819E2"/>
    <w:rsid w:val="0098293D"/>
    <w:rsid w:val="00993DB6"/>
    <w:rsid w:val="009A052E"/>
    <w:rsid w:val="009A1FDF"/>
    <w:rsid w:val="009A55B3"/>
    <w:rsid w:val="009B2A75"/>
    <w:rsid w:val="009C5B87"/>
    <w:rsid w:val="009C65C7"/>
    <w:rsid w:val="009D58E8"/>
    <w:rsid w:val="009E0DC7"/>
    <w:rsid w:val="009E2CE5"/>
    <w:rsid w:val="009E46DF"/>
    <w:rsid w:val="009E6EAB"/>
    <w:rsid w:val="009F1164"/>
    <w:rsid w:val="009F528D"/>
    <w:rsid w:val="00A0029B"/>
    <w:rsid w:val="00A108BD"/>
    <w:rsid w:val="00A12C62"/>
    <w:rsid w:val="00A16767"/>
    <w:rsid w:val="00A20EA6"/>
    <w:rsid w:val="00A26E11"/>
    <w:rsid w:val="00A34C1A"/>
    <w:rsid w:val="00A50563"/>
    <w:rsid w:val="00A579D1"/>
    <w:rsid w:val="00A72550"/>
    <w:rsid w:val="00A76B59"/>
    <w:rsid w:val="00A80B37"/>
    <w:rsid w:val="00A85E58"/>
    <w:rsid w:val="00A87A85"/>
    <w:rsid w:val="00A969A0"/>
    <w:rsid w:val="00AA683A"/>
    <w:rsid w:val="00AB1E5D"/>
    <w:rsid w:val="00AB4A4E"/>
    <w:rsid w:val="00AB7674"/>
    <w:rsid w:val="00AD6BA5"/>
    <w:rsid w:val="00AE4729"/>
    <w:rsid w:val="00AF0DF6"/>
    <w:rsid w:val="00B00CA0"/>
    <w:rsid w:val="00B02F72"/>
    <w:rsid w:val="00B161CD"/>
    <w:rsid w:val="00B179A4"/>
    <w:rsid w:val="00B316C1"/>
    <w:rsid w:val="00B602AD"/>
    <w:rsid w:val="00B77EDA"/>
    <w:rsid w:val="00B83776"/>
    <w:rsid w:val="00B85578"/>
    <w:rsid w:val="00B86C1A"/>
    <w:rsid w:val="00B87B65"/>
    <w:rsid w:val="00B97A52"/>
    <w:rsid w:val="00BA25F3"/>
    <w:rsid w:val="00BA66F1"/>
    <w:rsid w:val="00BA6ED1"/>
    <w:rsid w:val="00BB0629"/>
    <w:rsid w:val="00BC0846"/>
    <w:rsid w:val="00BC149F"/>
    <w:rsid w:val="00BC5AF4"/>
    <w:rsid w:val="00BD1906"/>
    <w:rsid w:val="00BD4A65"/>
    <w:rsid w:val="00BE69D7"/>
    <w:rsid w:val="00BF64C6"/>
    <w:rsid w:val="00BF7F42"/>
    <w:rsid w:val="00C03FCA"/>
    <w:rsid w:val="00C0594F"/>
    <w:rsid w:val="00C10C18"/>
    <w:rsid w:val="00C1200F"/>
    <w:rsid w:val="00C227E2"/>
    <w:rsid w:val="00C3352A"/>
    <w:rsid w:val="00C34FDE"/>
    <w:rsid w:val="00C56205"/>
    <w:rsid w:val="00C712BF"/>
    <w:rsid w:val="00C85728"/>
    <w:rsid w:val="00C86BDC"/>
    <w:rsid w:val="00CA4F8C"/>
    <w:rsid w:val="00CB79F1"/>
    <w:rsid w:val="00CC55AD"/>
    <w:rsid w:val="00CD16B3"/>
    <w:rsid w:val="00CD248F"/>
    <w:rsid w:val="00CD25C4"/>
    <w:rsid w:val="00CD399B"/>
    <w:rsid w:val="00CE446D"/>
    <w:rsid w:val="00CF5671"/>
    <w:rsid w:val="00CF57B4"/>
    <w:rsid w:val="00CF77D5"/>
    <w:rsid w:val="00D12FDA"/>
    <w:rsid w:val="00D30A9A"/>
    <w:rsid w:val="00D444E7"/>
    <w:rsid w:val="00D44CE3"/>
    <w:rsid w:val="00D578BF"/>
    <w:rsid w:val="00D611B6"/>
    <w:rsid w:val="00D63263"/>
    <w:rsid w:val="00D66C66"/>
    <w:rsid w:val="00D70490"/>
    <w:rsid w:val="00D71822"/>
    <w:rsid w:val="00D9173E"/>
    <w:rsid w:val="00D91942"/>
    <w:rsid w:val="00D958DE"/>
    <w:rsid w:val="00DA1588"/>
    <w:rsid w:val="00DA494E"/>
    <w:rsid w:val="00DB6958"/>
    <w:rsid w:val="00DC590D"/>
    <w:rsid w:val="00DE4F98"/>
    <w:rsid w:val="00DE796A"/>
    <w:rsid w:val="00DF05BB"/>
    <w:rsid w:val="00E015AC"/>
    <w:rsid w:val="00E14F28"/>
    <w:rsid w:val="00E24E25"/>
    <w:rsid w:val="00E31210"/>
    <w:rsid w:val="00E369DB"/>
    <w:rsid w:val="00E36EB2"/>
    <w:rsid w:val="00E43707"/>
    <w:rsid w:val="00E63CFD"/>
    <w:rsid w:val="00E760C7"/>
    <w:rsid w:val="00E857F4"/>
    <w:rsid w:val="00E90558"/>
    <w:rsid w:val="00E92B23"/>
    <w:rsid w:val="00E96DEF"/>
    <w:rsid w:val="00EA0788"/>
    <w:rsid w:val="00EB0EB2"/>
    <w:rsid w:val="00EC3A5F"/>
    <w:rsid w:val="00ED2918"/>
    <w:rsid w:val="00ED77A3"/>
    <w:rsid w:val="00EE026C"/>
    <w:rsid w:val="00EE5C27"/>
    <w:rsid w:val="00EF711C"/>
    <w:rsid w:val="00EF7575"/>
    <w:rsid w:val="00F12DD6"/>
    <w:rsid w:val="00F240DC"/>
    <w:rsid w:val="00F30691"/>
    <w:rsid w:val="00F3310C"/>
    <w:rsid w:val="00F40D7F"/>
    <w:rsid w:val="00F45D78"/>
    <w:rsid w:val="00F47390"/>
    <w:rsid w:val="00F50135"/>
    <w:rsid w:val="00F61AB5"/>
    <w:rsid w:val="00F64BB3"/>
    <w:rsid w:val="00F7639B"/>
    <w:rsid w:val="00F87E04"/>
    <w:rsid w:val="00F90CC6"/>
    <w:rsid w:val="00F932A0"/>
    <w:rsid w:val="00F97424"/>
    <w:rsid w:val="00FA2101"/>
    <w:rsid w:val="00FB4F87"/>
    <w:rsid w:val="00FB6E2C"/>
    <w:rsid w:val="00FE21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5478EF-A550-4B07-AA11-F502257E7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pPr>
      <w:bidi/>
    </w:pPr>
    <w:rPr>
      <w:rFonts w:cs="Simplified Arabic"/>
      <w:sz w:val="22"/>
      <w:szCs w:val="28"/>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link w:val="Heading2Char"/>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qFormat/>
    <w:pPr>
      <w:keepNext/>
      <w:jc w:val="right"/>
      <w:outlineLvl w:val="4"/>
    </w:pPr>
    <w:rPr>
      <w:rFonts w:ascii="Times" w:hAnsi="Times" w:cs="Arabic Transparent"/>
      <w:b/>
      <w:bCs/>
      <w:noProof/>
      <w:sz w:val="20"/>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qFormat/>
    <w:pPr>
      <w:keepNext/>
      <w:jc w:val="center"/>
      <w:outlineLvl w:val="6"/>
    </w:pPr>
    <w:rPr>
      <w:rFonts w:ascii="Times" w:hAnsi="Times"/>
      <w:b/>
      <w:bCs/>
      <w:noProof/>
      <w:sz w:val="20"/>
    </w:rPr>
  </w:style>
  <w:style w:type="paragraph" w:styleId="Heading8">
    <w:name w:val="heading 8"/>
    <w:basedOn w:val="Normal"/>
    <w:next w:val="Normal"/>
    <w:qFormat/>
    <w:pPr>
      <w:keepNext/>
      <w:jc w:val="center"/>
      <w:outlineLvl w:val="7"/>
    </w:pPr>
    <w:rPr>
      <w:b/>
      <w:bCs/>
      <w:sz w:val="30"/>
      <w:szCs w:val="30"/>
    </w:rPr>
  </w:style>
  <w:style w:type="paragraph" w:styleId="Heading9">
    <w:name w:val="heading 9"/>
    <w:basedOn w:val="Normal"/>
    <w:next w:val="Normal"/>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thylHeader"/>
    <w:basedOn w:val="Normal"/>
    <w:link w:val="HeaderChar"/>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aliases w:val=" Char"/>
    <w:basedOn w:val="Normal"/>
    <w:link w:val="FooterChar"/>
    <w:pPr>
      <w:tabs>
        <w:tab w:val="center" w:pos="4153"/>
        <w:tab w:val="right" w:pos="8306"/>
      </w:tabs>
      <w:jc w:val="right"/>
    </w:pPr>
    <w:rPr>
      <w:rFonts w:ascii="Times" w:hAnsi="Times"/>
      <w:noProof/>
      <w:sz w:val="20"/>
      <w:szCs w:val="24"/>
    </w:rPr>
  </w:style>
  <w:style w:type="paragraph" w:styleId="FootnoteText">
    <w:name w:val="footnote text"/>
    <w:aliases w:val="DNV-FT,Geneva 9,Font: Geneva 9,Boston 10,f,Footnote01,-E Fußnotentext,ft,Fußnote,Fußnotentext Ursprung,fn,footnote text,Footnotes,Footnote ak,fn cafc,Footnotes Char Char,Footnote Text Char Char,fn Char Char,footnote text Char Char Char Ch"/>
    <w:basedOn w:val="Normal"/>
    <w:link w:val="FootnoteTextChar"/>
    <w:pPr>
      <w:jc w:val="right"/>
    </w:pPr>
    <w:rPr>
      <w:rFonts w:ascii="Times" w:hAnsi="Times"/>
      <w:noProof/>
      <w:sz w:val="20"/>
      <w:szCs w:val="20"/>
    </w:rPr>
  </w:style>
  <w:style w:type="character" w:styleId="FootnoteReference">
    <w:name w:val="footnote reference"/>
    <w:aliases w:val="16 Point,Superscript 6 Point,number,SUPERS,Footnote Reference Superscript"/>
    <w:rPr>
      <w:vertAlign w:val="superscript"/>
    </w:rPr>
  </w:style>
  <w:style w:type="paragraph" w:customStyle="1" w:styleId="Level1">
    <w:name w:val="Level1"/>
    <w:basedOn w:val="Normal"/>
    <w:pPr>
      <w:tabs>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pPr>
      <w:bidi w:val="0"/>
    </w:pPr>
    <w:rPr>
      <w:rFonts w:ascii="Times" w:hAnsi="Times"/>
      <w:sz w:val="20"/>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qFormat/>
    <w:rsid w:val="00317E61"/>
    <w:pPr>
      <w:tabs>
        <w:tab w:val="left" w:pos="1247"/>
        <w:tab w:val="left" w:pos="1814"/>
        <w:tab w:val="left" w:pos="2381"/>
        <w:tab w:val="left" w:pos="2948"/>
        <w:tab w:val="left" w:pos="3515"/>
      </w:tabs>
    </w:pPr>
    <w:rPr>
      <w:rFonts w:cs="Times New Roman"/>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 w:type="paragraph" w:customStyle="1" w:styleId="CH1">
    <w:name w:val="CH1"/>
    <w:basedOn w:val="Normal-pool"/>
    <w:next w:val="CH2"/>
    <w:rsid w:val="008A6A43"/>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8A6A43"/>
    <w:pPr>
      <w:keepNext/>
      <w:keepLines/>
      <w:tabs>
        <w:tab w:val="right" w:pos="624"/>
        <w:tab w:val="right" w:pos="851"/>
      </w:tabs>
      <w:suppressAutoHyphens/>
      <w:spacing w:before="120" w:after="120"/>
      <w:ind w:left="1871" w:right="284" w:hanging="1247"/>
    </w:pPr>
    <w:rPr>
      <w:b/>
      <w:sz w:val="24"/>
      <w:szCs w:val="24"/>
    </w:rPr>
  </w:style>
  <w:style w:type="character" w:customStyle="1" w:styleId="NormalnumberChar">
    <w:name w:val="Normal_number Char"/>
    <w:link w:val="Normalnumber"/>
    <w:rsid w:val="008A6A43"/>
  </w:style>
  <w:style w:type="character" w:customStyle="1" w:styleId="Heading2Char">
    <w:name w:val="Heading 2 Char"/>
    <w:link w:val="Heading2"/>
    <w:locked/>
    <w:rsid w:val="008A6A43"/>
    <w:rPr>
      <w:rFonts w:cs="Simplified Arabic"/>
      <w:sz w:val="22"/>
      <w:szCs w:val="28"/>
      <w:u w:val="single"/>
    </w:rPr>
  </w:style>
  <w:style w:type="character" w:customStyle="1" w:styleId="CH2Char">
    <w:name w:val="CH2 Char"/>
    <w:link w:val="CH2"/>
    <w:rsid w:val="008A6A43"/>
    <w:rPr>
      <w:rFonts w:cs="Times New Roman"/>
      <w:b/>
      <w:sz w:val="24"/>
      <w:szCs w:val="24"/>
      <w:lang w:val="en-GB"/>
    </w:rPr>
  </w:style>
  <w:style w:type="character" w:customStyle="1" w:styleId="HeaderChar">
    <w:name w:val="Header Char"/>
    <w:aliases w:val="EthylHeader Char"/>
    <w:link w:val="Header"/>
    <w:uiPriority w:val="99"/>
    <w:rsid w:val="008A6A43"/>
    <w:rPr>
      <w:rFonts w:ascii="Times" w:hAnsi="Times" w:cs="Simplified Arabic"/>
      <w:noProof/>
      <w:szCs w:val="24"/>
    </w:rPr>
  </w:style>
  <w:style w:type="character" w:customStyle="1" w:styleId="FooterChar">
    <w:name w:val="Footer Char"/>
    <w:aliases w:val=" Char Char"/>
    <w:link w:val="Footer"/>
    <w:rsid w:val="008A6A43"/>
    <w:rPr>
      <w:rFonts w:ascii="Times" w:hAnsi="Times" w:cs="Simplified Arabic"/>
      <w:noProof/>
      <w:szCs w:val="24"/>
    </w:rPr>
  </w:style>
  <w:style w:type="character" w:customStyle="1" w:styleId="FootnoteTextChar">
    <w:name w:val="Footnote Text Char"/>
    <w:aliases w:val="DNV-FT Char,Geneva 9 Char,Font: Geneva 9 Char,Boston 10 Char,f Char,Footnote01 Char,-E Fußnotentext Char,ft Char,Fußnote Char,Fußnotentext Ursprung Char,fn Char,footnote text Char,Footnotes Char,Footnote ak Char,fn cafc Char"/>
    <w:link w:val="FootnoteText"/>
    <w:rsid w:val="008A6A43"/>
    <w:rPr>
      <w:rFonts w:ascii="Times" w:hAnsi="Times" w:cs="Simplified Arabic"/>
      <w:noProof/>
    </w:rPr>
  </w:style>
  <w:style w:type="paragraph" w:customStyle="1" w:styleId="AATitle">
    <w:name w:val="AA_Title"/>
    <w:basedOn w:val="Normal-pool"/>
    <w:rsid w:val="008A6A43"/>
    <w:pPr>
      <w:keepNext/>
      <w:keepLines/>
      <w:suppressAutoHyphens/>
      <w:ind w:right="3402"/>
    </w:pPr>
    <w:rPr>
      <w:b/>
    </w:rPr>
  </w:style>
  <w:style w:type="paragraph" w:customStyle="1" w:styleId="AATitle2">
    <w:name w:val="AA_Title2"/>
    <w:basedOn w:val="AATitle"/>
    <w:rsid w:val="008A6A43"/>
    <w:pPr>
      <w:spacing w:before="120" w:after="120"/>
      <w:ind w:right="1701"/>
    </w:pPr>
  </w:style>
  <w:style w:type="paragraph" w:customStyle="1" w:styleId="BBTitle">
    <w:name w:val="BB_Title"/>
    <w:basedOn w:val="Normal-pool"/>
    <w:rsid w:val="008A6A43"/>
    <w:pPr>
      <w:keepNext/>
      <w:keepLines/>
      <w:suppressAutoHyphens/>
      <w:spacing w:before="320" w:after="240"/>
      <w:ind w:left="1247" w:right="567"/>
    </w:pPr>
    <w:rPr>
      <w:b/>
      <w:sz w:val="28"/>
      <w:szCs w:val="28"/>
    </w:rPr>
  </w:style>
  <w:style w:type="numbering" w:customStyle="1" w:styleId="Normallist">
    <w:name w:val="Normal_list"/>
    <w:basedOn w:val="NoList"/>
    <w:rsid w:val="008A6A43"/>
    <w:pPr>
      <w:numPr>
        <w:numId w:val="5"/>
      </w:numPr>
    </w:pPr>
  </w:style>
  <w:style w:type="paragraph" w:customStyle="1" w:styleId="NormalNonumber">
    <w:name w:val="Normal_No_number"/>
    <w:basedOn w:val="Normal-pool"/>
    <w:rsid w:val="008A6A43"/>
    <w:pPr>
      <w:spacing w:after="120"/>
      <w:ind w:left="1247"/>
    </w:pPr>
  </w:style>
  <w:style w:type="paragraph" w:customStyle="1" w:styleId="Normalnumber">
    <w:name w:val="Normal_number"/>
    <w:basedOn w:val="Normal-pool"/>
    <w:link w:val="NormalnumberChar"/>
    <w:qFormat/>
    <w:rsid w:val="008A6A43"/>
    <w:pPr>
      <w:numPr>
        <w:numId w:val="6"/>
      </w:numPr>
      <w:spacing w:after="120"/>
    </w:pPr>
    <w:rPr>
      <w:rFonts w:cs="Traditional Arabic"/>
      <w:lang w:val="en-US"/>
    </w:rPr>
  </w:style>
  <w:style w:type="paragraph" w:customStyle="1" w:styleId="ZZAnxtitle">
    <w:name w:val="ZZ_Anx_title"/>
    <w:basedOn w:val="Normal-pool"/>
    <w:rsid w:val="008A6A43"/>
    <w:pPr>
      <w:spacing w:before="360" w:after="120"/>
      <w:ind w:left="1247"/>
    </w:pPr>
    <w:rPr>
      <w:b/>
      <w:bCs/>
      <w:sz w:val="28"/>
      <w:szCs w:val="26"/>
    </w:rPr>
  </w:style>
  <w:style w:type="paragraph" w:customStyle="1" w:styleId="HCh">
    <w:name w:val="_ H _Ch"/>
    <w:basedOn w:val="Normal"/>
    <w:next w:val="SingleTxt"/>
    <w:rsid w:val="00516B35"/>
    <w:pPr>
      <w:keepNext/>
      <w:keepLines/>
      <w:suppressAutoHyphens/>
      <w:spacing w:line="450" w:lineRule="exact"/>
      <w:jc w:val="lowKashida"/>
      <w:outlineLvl w:val="0"/>
    </w:pPr>
    <w:rPr>
      <w:rFonts w:cs="Traditional Arabic"/>
      <w:b/>
      <w:bCs/>
      <w:spacing w:val="-2"/>
      <w:w w:val="103"/>
      <w:kern w:val="14"/>
      <w:sz w:val="28"/>
      <w:szCs w:val="38"/>
    </w:rPr>
  </w:style>
  <w:style w:type="paragraph" w:styleId="BalloonText">
    <w:name w:val="Balloon Text"/>
    <w:basedOn w:val="Normal"/>
    <w:link w:val="BalloonTextChar"/>
    <w:rsid w:val="004E3260"/>
    <w:rPr>
      <w:rFonts w:ascii="Tahoma" w:hAnsi="Tahoma" w:cs="Tahoma"/>
      <w:sz w:val="16"/>
      <w:szCs w:val="16"/>
    </w:rPr>
  </w:style>
  <w:style w:type="character" w:customStyle="1" w:styleId="BalloonTextChar">
    <w:name w:val="Balloon Text Char"/>
    <w:link w:val="BalloonText"/>
    <w:rsid w:val="004E3260"/>
    <w:rPr>
      <w:rFonts w:ascii="Tahoma" w:hAnsi="Tahoma" w:cs="Tahoma"/>
      <w:sz w:val="16"/>
      <w:szCs w:val="16"/>
    </w:rPr>
  </w:style>
  <w:style w:type="paragraph" w:styleId="Revision">
    <w:name w:val="Revision"/>
    <w:hidden/>
    <w:uiPriority w:val="99"/>
    <w:semiHidden/>
    <w:rsid w:val="00AB7674"/>
    <w:rPr>
      <w:rFonts w:cs="Simplified Arabic"/>
      <w:sz w:val="22"/>
      <w:szCs w:val="28"/>
    </w:rPr>
  </w:style>
  <w:style w:type="table" w:styleId="TableGrid">
    <w:name w:val="Table Grid"/>
    <w:basedOn w:val="TableNormal"/>
    <w:rsid w:val="00871FE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5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5F546-BAC6-47E3-A105-F26667373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1874</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12531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Sarah Banda-Genchev</cp:lastModifiedBy>
  <cp:revision>2</cp:revision>
  <cp:lastPrinted>2017-01-19T13:35:00Z</cp:lastPrinted>
  <dcterms:created xsi:type="dcterms:W3CDTF">2017-01-23T07:27:00Z</dcterms:created>
  <dcterms:modified xsi:type="dcterms:W3CDTF">2017-01-23T07:27:00Z</dcterms:modified>
</cp:coreProperties>
</file>