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8034CE" w:rsidRPr="0081483A" w14:paraId="1416CDC4" w14:textId="77777777" w:rsidTr="009527C6">
        <w:trPr>
          <w:cantSplit/>
          <w:trHeight w:val="1079"/>
          <w:jc w:val="right"/>
        </w:trPr>
        <w:tc>
          <w:tcPr>
            <w:tcW w:w="1526" w:type="dxa"/>
          </w:tcPr>
          <w:p w14:paraId="4D030969" w14:textId="77777777" w:rsidR="008034CE" w:rsidRPr="0081483A"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088CCEC6"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65B23B4E" wp14:editId="019A1F78">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1CE53C4D"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10B5E2F0" wp14:editId="2CCFC856">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21471C8F" w14:textId="77777777" w:rsidR="008034CE" w:rsidRPr="0081483A" w:rsidRDefault="008034CE" w:rsidP="008034CE">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3A456498" wp14:editId="1330F925">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401F5179" w14:textId="77777777" w:rsidR="008034CE" w:rsidRPr="0081483A" w:rsidRDefault="008034CE" w:rsidP="00985ADF">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58D2BB09" wp14:editId="275E23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0C85594A" w14:textId="77777777" w:rsidR="008034CE" w:rsidRPr="0081483A" w:rsidRDefault="008034CE" w:rsidP="00D62DAC">
            <w:pPr>
              <w:spacing w:after="0" w:line="240" w:lineRule="auto"/>
              <w:jc w:val="center"/>
              <w:rPr>
                <w:rFonts w:ascii="Times New Roman" w:hAnsi="Times New Roman"/>
                <w:sz w:val="20"/>
                <w:szCs w:val="20"/>
                <w:lang w:val="en-GB"/>
              </w:rPr>
            </w:pPr>
            <w:r>
              <w:rPr>
                <w:noProof/>
              </w:rPr>
              <w:drawing>
                <wp:inline distT="0" distB="0" distL="0" distR="0" wp14:anchorId="618E9AFF" wp14:editId="36DD1A74">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72BF268D" w14:textId="77777777" w:rsidR="008034CE" w:rsidRPr="0081483A" w:rsidRDefault="008034CE" w:rsidP="00D62DAC">
            <w:pPr>
              <w:spacing w:after="0" w:line="240" w:lineRule="auto"/>
              <w:jc w:val="center"/>
              <w:rPr>
                <w:rFonts w:ascii="Times New Roman" w:hAnsi="Times New Roman"/>
                <w:sz w:val="20"/>
                <w:szCs w:val="20"/>
                <w:lang w:val="en-GB"/>
              </w:rPr>
            </w:pPr>
          </w:p>
        </w:tc>
        <w:tc>
          <w:tcPr>
            <w:tcW w:w="1666" w:type="dxa"/>
          </w:tcPr>
          <w:p w14:paraId="2A36D1AE" w14:textId="77777777" w:rsidR="008034CE" w:rsidRPr="003F1D30" w:rsidRDefault="008034CE" w:rsidP="00D62DAC">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8034CE" w:rsidRPr="0081483A" w14:paraId="79CD95CB" w14:textId="77777777" w:rsidTr="009527C6">
        <w:trPr>
          <w:cantSplit/>
          <w:trHeight w:val="282"/>
          <w:jc w:val="right"/>
        </w:trPr>
        <w:tc>
          <w:tcPr>
            <w:tcW w:w="1526" w:type="dxa"/>
            <w:tcBorders>
              <w:bottom w:val="single" w:sz="2" w:space="0" w:color="auto"/>
            </w:tcBorders>
          </w:tcPr>
          <w:p w14:paraId="49E08B9B" w14:textId="77777777" w:rsidR="008034CE" w:rsidRPr="0081483A"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46588403" w14:textId="77777777" w:rsidR="008034CE" w:rsidRPr="00EA5E72"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4CCD449A" w14:textId="77777777" w:rsidR="008034CE" w:rsidRPr="00EA5E72" w:rsidRDefault="008034CE" w:rsidP="00D62DAC">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2E2C2B">
              <w:rPr>
                <w:rFonts w:ascii="Times New Roman" w:eastAsia="Times New Roman" w:hAnsi="Times New Roman"/>
                <w:sz w:val="20"/>
                <w:szCs w:val="20"/>
                <w:lang w:val="en-GB"/>
              </w:rPr>
              <w:t>/5/5</w:t>
            </w:r>
          </w:p>
        </w:tc>
      </w:tr>
      <w:tr w:rsidR="008034CE" w:rsidRPr="0081483A" w14:paraId="69DCE733" w14:textId="77777777" w:rsidTr="009527C6">
        <w:trPr>
          <w:cantSplit/>
          <w:trHeight w:val="1433"/>
          <w:jc w:val="right"/>
        </w:trPr>
        <w:tc>
          <w:tcPr>
            <w:tcW w:w="2009" w:type="dxa"/>
            <w:gridSpan w:val="2"/>
            <w:tcBorders>
              <w:top w:val="single" w:sz="2" w:space="0" w:color="auto"/>
              <w:bottom w:val="single" w:sz="24" w:space="0" w:color="auto"/>
            </w:tcBorders>
          </w:tcPr>
          <w:p w14:paraId="5EF88262" w14:textId="77777777" w:rsidR="008034CE" w:rsidRPr="0081483A" w:rsidRDefault="008034CE" w:rsidP="00D62DAC">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5B4CAA9B" wp14:editId="2739EDAD">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7EAECA55" w14:textId="24B406B2" w:rsidR="008034CE" w:rsidRPr="00EA5E72" w:rsidRDefault="00DD0B9F" w:rsidP="009C721A">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12950BD4" w14:textId="77777777"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2E2C2B">
              <w:rPr>
                <w:rFonts w:ascii="Times New Roman" w:eastAsia="Times New Roman" w:hAnsi="Times New Roman"/>
                <w:sz w:val="20"/>
                <w:szCs w:val="20"/>
                <w:lang w:val="en-GB"/>
              </w:rPr>
              <w:t>15 December</w:t>
            </w:r>
            <w:r>
              <w:rPr>
                <w:rFonts w:ascii="Times New Roman" w:eastAsia="Times New Roman" w:hAnsi="Times New Roman"/>
                <w:sz w:val="20"/>
                <w:szCs w:val="20"/>
                <w:lang w:val="en-GB"/>
              </w:rPr>
              <w:t xml:space="preserve"> 2016</w:t>
            </w:r>
          </w:p>
          <w:p w14:paraId="7AF37BAF" w14:textId="77777777" w:rsidR="008034CE" w:rsidRPr="009E78C3"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Original: English</w:t>
            </w:r>
          </w:p>
        </w:tc>
      </w:tr>
    </w:tbl>
    <w:p w14:paraId="5A9E8ED4" w14:textId="77777777" w:rsidR="007F3540" w:rsidRPr="00EA5E72" w:rsidRDefault="007F3540" w:rsidP="00EA5E72">
      <w:pPr>
        <w:pStyle w:val="AATitle"/>
        <w:keepNext w:val="0"/>
        <w:keepLines w:val="0"/>
        <w:tabs>
          <w:tab w:val="clear" w:pos="4082"/>
        </w:tabs>
        <w:ind w:right="3402"/>
      </w:pPr>
      <w:r>
        <w:t>Plenary of the Intergovernmental Science-Policy</w:t>
      </w:r>
    </w:p>
    <w:p w14:paraId="0FDA4C29" w14:textId="77777777" w:rsidR="007F3540" w:rsidRPr="00EA5E72" w:rsidRDefault="007F3540" w:rsidP="00EA5E72">
      <w:pPr>
        <w:pStyle w:val="AATitle"/>
        <w:keepNext w:val="0"/>
        <w:keepLines w:val="0"/>
        <w:tabs>
          <w:tab w:val="clear" w:pos="4082"/>
        </w:tabs>
        <w:ind w:right="3402"/>
      </w:pPr>
      <w:r w:rsidRPr="0081483A">
        <w:t>Platform on Biodiversity and Ecosystem Services</w:t>
      </w:r>
    </w:p>
    <w:p w14:paraId="44A87F03" w14:textId="77777777" w:rsidR="007F3540" w:rsidRPr="00EA5E72" w:rsidRDefault="007F3540" w:rsidP="00EA5E72">
      <w:pPr>
        <w:pStyle w:val="AATitle"/>
        <w:keepNext w:val="0"/>
        <w:keepLines w:val="0"/>
        <w:tabs>
          <w:tab w:val="clear" w:pos="4082"/>
        </w:tabs>
        <w:ind w:right="3402"/>
      </w:pPr>
      <w:r w:rsidRPr="0081483A">
        <w:t>F</w:t>
      </w:r>
      <w:r>
        <w:t>ifth</w:t>
      </w:r>
      <w:r w:rsidRPr="0081483A">
        <w:t xml:space="preserve"> session</w:t>
      </w:r>
    </w:p>
    <w:p w14:paraId="0F1D5FD3" w14:textId="77777777" w:rsidR="007F3540" w:rsidRDefault="007F3540" w:rsidP="00EA5E72">
      <w:pPr>
        <w:pStyle w:val="AATitle"/>
        <w:keepNext w:val="0"/>
        <w:keepLines w:val="0"/>
        <w:tabs>
          <w:tab w:val="clear" w:pos="4082"/>
        </w:tabs>
        <w:ind w:right="3402"/>
        <w:rPr>
          <w:b w:val="0"/>
          <w:lang w:eastAsia="ja-JP"/>
        </w:rPr>
      </w:pPr>
      <w:r w:rsidRPr="00EA5E72">
        <w:rPr>
          <w:b w:val="0"/>
          <w:lang w:eastAsia="ja-JP"/>
        </w:rPr>
        <w:t xml:space="preserve">Bonn, Germany, </w:t>
      </w:r>
      <w:r w:rsidR="00984A20">
        <w:rPr>
          <w:b w:val="0"/>
          <w:lang w:eastAsia="ja-JP"/>
        </w:rPr>
        <w:t>7</w:t>
      </w:r>
      <w:r w:rsidR="009E78C3" w:rsidRPr="00EA5E72">
        <w:rPr>
          <w:b w:val="0"/>
          <w:lang w:eastAsia="ja-JP"/>
        </w:rPr>
        <w:t>–</w:t>
      </w:r>
      <w:r w:rsidRPr="00EA5E72">
        <w:rPr>
          <w:b w:val="0"/>
          <w:lang w:eastAsia="ja-JP"/>
        </w:rPr>
        <w:t>10 March 2017</w:t>
      </w:r>
    </w:p>
    <w:p w14:paraId="37BA7DD4" w14:textId="09AD2D7C" w:rsidR="006A6895" w:rsidRDefault="009441A9" w:rsidP="009441A9">
      <w:pPr>
        <w:pStyle w:val="AgendaItemTitle"/>
        <w:rPr>
          <w:b w:val="0"/>
        </w:rPr>
      </w:pPr>
      <w:r w:rsidRPr="00CB35E1">
        <w:rPr>
          <w:b w:val="0"/>
        </w:rPr>
        <w:t xml:space="preserve">Item </w:t>
      </w:r>
      <w:r>
        <w:rPr>
          <w:b w:val="0"/>
        </w:rPr>
        <w:t>6</w:t>
      </w:r>
      <w:r w:rsidRPr="00CB35E1">
        <w:rPr>
          <w:b w:val="0"/>
        </w:rPr>
        <w:t xml:space="preserve"> (c) of</w:t>
      </w:r>
      <w:r w:rsidRPr="00F9521B">
        <w:rPr>
          <w:b w:val="0"/>
        </w:rPr>
        <w:t xml:space="preserve"> the provisional agenda</w:t>
      </w:r>
      <w:r w:rsidR="006A6895" w:rsidRPr="009441A9">
        <w:rPr>
          <w:rStyle w:val="FootnoteReference"/>
          <w:b w:val="0"/>
          <w:vertAlign w:val="baseline"/>
        </w:rPr>
        <w:footnoteReference w:id="1"/>
      </w:r>
    </w:p>
    <w:p w14:paraId="7B03363F" w14:textId="6C9FD4EF" w:rsidR="009441A9" w:rsidRPr="00DD0B9F" w:rsidRDefault="009441A9" w:rsidP="00DD0B9F">
      <w:pPr>
        <w:pStyle w:val="AATitle2"/>
        <w:spacing w:before="60" w:after="60"/>
      </w:pPr>
      <w:r w:rsidRPr="00DD0B9F">
        <w:t xml:space="preserve">Work programme of the Platform: </w:t>
      </w:r>
      <w:r w:rsidR="005E5607" w:rsidRPr="00DD0B9F">
        <w:t>k</w:t>
      </w:r>
      <w:r w:rsidRPr="00DD0B9F">
        <w:t xml:space="preserve">nowledge and data </w:t>
      </w:r>
    </w:p>
    <w:p w14:paraId="4544FFCE" w14:textId="77777777" w:rsidR="009441A9" w:rsidRPr="009441A9" w:rsidRDefault="009441A9" w:rsidP="009441A9">
      <w:pPr>
        <w:pStyle w:val="BBTitle"/>
      </w:pPr>
      <w:r w:rsidRPr="009441A9">
        <w:t>Work on knowledge and data (deliverables 1 (d) and 4 (b))</w:t>
      </w:r>
    </w:p>
    <w:p w14:paraId="0316517D" w14:textId="77777777" w:rsidR="009441A9" w:rsidRPr="009441A9" w:rsidRDefault="009441A9" w:rsidP="009441A9">
      <w:pPr>
        <w:pStyle w:val="CH2"/>
      </w:pPr>
      <w:r>
        <w:tab/>
      </w:r>
      <w:r>
        <w:tab/>
      </w:r>
      <w:r w:rsidRPr="009441A9">
        <w:t>Note by the secretariat</w:t>
      </w:r>
    </w:p>
    <w:p w14:paraId="0A40DF1D" w14:textId="2B8A107D" w:rsidR="009441A9" w:rsidRPr="00C90FDD" w:rsidRDefault="009441A9" w:rsidP="009441A9">
      <w:pPr>
        <w:pStyle w:val="CH1"/>
      </w:pPr>
      <w:r>
        <w:tab/>
      </w:r>
      <w:r w:rsidR="00D64770">
        <w:tab/>
      </w:r>
      <w:r>
        <w:t>Introduction</w:t>
      </w:r>
    </w:p>
    <w:p w14:paraId="75BBFF93" w14:textId="32687F7C" w:rsidR="009441A9" w:rsidRPr="00C16505" w:rsidRDefault="009441A9" w:rsidP="009441A9">
      <w:pPr>
        <w:pStyle w:val="Normalnumber"/>
      </w:pPr>
      <w:r w:rsidRPr="009441A9">
        <w:t>In section II of decision IPBES-2/5, the Plenary</w:t>
      </w:r>
      <w:r w:rsidR="005E5607" w:rsidRPr="005E5607">
        <w:t xml:space="preserve"> </w:t>
      </w:r>
      <w:r w:rsidR="005E5607" w:rsidRPr="009441A9">
        <w:t xml:space="preserve">of the Intergovernmental Science-Policy Platform on </w:t>
      </w:r>
      <w:r w:rsidR="005E5607" w:rsidRPr="00C16505">
        <w:t>Biodiversity and Ecosystem Services (IPBES)</w:t>
      </w:r>
      <w:r w:rsidRPr="00C16505">
        <w:t xml:space="preserve"> established a task force on knowledge and data for the period 2014–2018. The terms of reference for the task force are set out in annex III to the decision. The primary purpose of the task force is the implementation of deliverables 1 (d) and 4 (b) of the first work programme. </w:t>
      </w:r>
    </w:p>
    <w:p w14:paraId="4848A965" w14:textId="37B68B28" w:rsidR="009441A9" w:rsidRPr="009441A9" w:rsidRDefault="009441A9" w:rsidP="004063D7">
      <w:pPr>
        <w:pStyle w:val="Normalnumber"/>
        <w:tabs>
          <w:tab w:val="num" w:pos="1134"/>
          <w:tab w:val="left" w:pos="1247"/>
          <w:tab w:val="left" w:pos="1814"/>
          <w:tab w:val="left" w:pos="2381"/>
          <w:tab w:val="left" w:pos="2948"/>
          <w:tab w:val="left" w:pos="3515"/>
          <w:tab w:val="left" w:pos="4082"/>
        </w:tabs>
      </w:pPr>
      <w:r w:rsidRPr="009441A9">
        <w:t xml:space="preserve">In its decision IPBES-3/1, the Plenary approved the data and information management </w:t>
      </w:r>
      <w:r w:rsidRPr="0064005E">
        <w:t xml:space="preserve">plan for 2015 prepared by the </w:t>
      </w:r>
      <w:r w:rsidR="000C6DA0" w:rsidRPr="000C6DA0">
        <w:t xml:space="preserve">secretariat, working with the Bureau and the </w:t>
      </w:r>
      <w:r w:rsidRPr="000C6DA0">
        <w:t xml:space="preserve">task force, </w:t>
      </w:r>
      <w:r w:rsidR="0076341E">
        <w:t xml:space="preserve">which is </w:t>
      </w:r>
      <w:r w:rsidRPr="000C6DA0">
        <w:t>set out in annex II to the decision, and requested the secretariat to submit to the Plenary, for information, data and information</w:t>
      </w:r>
      <w:r w:rsidRPr="009441A9">
        <w:t xml:space="preserve"> management plans for each ongoing assessment and to develop data and information management plans in the context of any scoping process or report. Activities to be undertaken under the data and information management plan in 2016 </w:t>
      </w:r>
      <w:r w:rsidR="009411D8">
        <w:t>were set out in appendix II to the note by the secretariat on an update on the work of the task force on knowledge and data submitted</w:t>
      </w:r>
      <w:r w:rsidR="009411D8" w:rsidRPr="009441A9">
        <w:t xml:space="preserve"> </w:t>
      </w:r>
      <w:r w:rsidRPr="009441A9">
        <w:t xml:space="preserve">to the Plenary at its fourth session (IPBES/4/INF/7). </w:t>
      </w:r>
    </w:p>
    <w:p w14:paraId="2697741D" w14:textId="75B8BABB" w:rsidR="009441A9" w:rsidRPr="00C16505" w:rsidRDefault="009441A9" w:rsidP="009441A9">
      <w:pPr>
        <w:pStyle w:val="Normalnumber"/>
      </w:pPr>
      <w:r w:rsidRPr="009441A9">
        <w:t xml:space="preserve">In order to implement the data and information management plan in 2016 and to more effectively </w:t>
      </w:r>
      <w:r w:rsidR="008C722B">
        <w:t>fulfil</w:t>
      </w:r>
      <w:r w:rsidRPr="009441A9">
        <w:t xml:space="preserve"> its mandate, the task force on knowledge and data established three task </w:t>
      </w:r>
      <w:r w:rsidR="001C7526">
        <w:br/>
      </w:r>
      <w:r w:rsidRPr="009441A9">
        <w:t xml:space="preserve">groups </w:t>
      </w:r>
      <w:r w:rsidR="009411D8">
        <w:t xml:space="preserve">– </w:t>
      </w:r>
      <w:r w:rsidRPr="009441A9">
        <w:t>subgroups of the task force consisting of members of the task force and resource persons</w:t>
      </w:r>
      <w:r w:rsidR="009411D8">
        <w:t xml:space="preserve"> –</w:t>
      </w:r>
      <w:r w:rsidRPr="009441A9">
        <w:t xml:space="preserve"> on </w:t>
      </w:r>
      <w:r w:rsidR="009411D8">
        <w:t>(a</w:t>
      </w:r>
      <w:r w:rsidRPr="009441A9">
        <w:t>) indicators and data for IPBES assessments</w:t>
      </w:r>
      <w:r w:rsidR="008C722B">
        <w:t>,</w:t>
      </w:r>
      <w:r w:rsidRPr="009441A9">
        <w:t xml:space="preserve"> </w:t>
      </w:r>
      <w:r w:rsidR="009411D8">
        <w:t>(b</w:t>
      </w:r>
      <w:r w:rsidRPr="009441A9">
        <w:t>) web-based infrastructure in support of data and information management needs</w:t>
      </w:r>
      <w:r w:rsidR="008C722B">
        <w:t>,</w:t>
      </w:r>
      <w:r w:rsidRPr="009441A9">
        <w:t xml:space="preserve"> and </w:t>
      </w:r>
      <w:r w:rsidR="009411D8">
        <w:t>(c</w:t>
      </w:r>
      <w:r w:rsidRPr="009441A9">
        <w:t xml:space="preserve">) </w:t>
      </w:r>
      <w:r w:rsidRPr="00BF2A88">
        <w:t xml:space="preserve">knowledge generation catalysis. The task force held its third meeting in Bonn, Germany, from 13 to 16 June 2016, and </w:t>
      </w:r>
      <w:r w:rsidR="008C722B" w:rsidRPr="00C16505">
        <w:t xml:space="preserve">also </w:t>
      </w:r>
      <w:r w:rsidRPr="00C16505">
        <w:t xml:space="preserve">worked intersessionally, mainly through </w:t>
      </w:r>
      <w:r w:rsidR="00FF5DD8" w:rsidRPr="00C16505">
        <w:t>the</w:t>
      </w:r>
      <w:r w:rsidRPr="00C16505">
        <w:t xml:space="preserve"> three task groups.</w:t>
      </w:r>
    </w:p>
    <w:p w14:paraId="1B4E5002" w14:textId="3D405AB1" w:rsidR="009441A9" w:rsidRPr="00031A78" w:rsidRDefault="009441A9" w:rsidP="009441A9">
      <w:pPr>
        <w:pStyle w:val="Normalnumber"/>
      </w:pPr>
      <w:r w:rsidRPr="00C16505">
        <w:t>Section I</w:t>
      </w:r>
      <w:r w:rsidR="00FF5DD8" w:rsidRPr="00C16505">
        <w:t xml:space="preserve"> of the present note</w:t>
      </w:r>
      <w:r w:rsidRPr="00C16505">
        <w:t xml:space="preserve"> </w:t>
      </w:r>
      <w:r w:rsidR="00C16505" w:rsidRPr="00C16505">
        <w:t>describes</w:t>
      </w:r>
      <w:r w:rsidRPr="00C16505">
        <w:t xml:space="preserve"> progress made by the three task groups in their work</w:t>
      </w:r>
      <w:r w:rsidR="00FF5DD8" w:rsidRPr="00C16505">
        <w:t>, while section II outlines suggested action for the Plenary</w:t>
      </w:r>
      <w:r w:rsidR="00FF5DD8" w:rsidRPr="00BF2A88">
        <w:t>. The</w:t>
      </w:r>
      <w:r w:rsidRPr="00BF2A88">
        <w:t xml:space="preserve"> proposed workplan for 2017 and 2018 </w:t>
      </w:r>
      <w:r w:rsidR="00FF5DD8" w:rsidRPr="00BF2A88">
        <w:t xml:space="preserve">is set out in the </w:t>
      </w:r>
      <w:r w:rsidRPr="00BF2A88">
        <w:t>annex</w:t>
      </w:r>
      <w:r w:rsidR="00FF5DD8" w:rsidRPr="00BF2A88">
        <w:t xml:space="preserve"> to the present note</w:t>
      </w:r>
      <w:r w:rsidRPr="00BF2A88">
        <w:t xml:space="preserve">. </w:t>
      </w:r>
      <w:r w:rsidRPr="00C16505">
        <w:t>Further</w:t>
      </w:r>
      <w:r w:rsidRPr="0064005E">
        <w:t xml:space="preserve"> information</w:t>
      </w:r>
      <w:r w:rsidRPr="009441A9">
        <w:t xml:space="preserve"> on this work and on other activities undertaken since the fourth session of the Plenary is </w:t>
      </w:r>
      <w:r w:rsidRPr="00C16505">
        <w:t xml:space="preserve">contained in </w:t>
      </w:r>
      <w:r w:rsidR="00FF5DD8" w:rsidRPr="004063D7">
        <w:t xml:space="preserve">the </w:t>
      </w:r>
      <w:r w:rsidR="0070220C" w:rsidRPr="00C16505">
        <w:t xml:space="preserve">information </w:t>
      </w:r>
      <w:r w:rsidR="00FF5DD8" w:rsidRPr="004063D7">
        <w:t xml:space="preserve">note by the secretariat </w:t>
      </w:r>
      <w:r w:rsidR="00C16505" w:rsidRPr="004063D7">
        <w:t>providing</w:t>
      </w:r>
      <w:r w:rsidR="00FF5DD8" w:rsidRPr="004063D7">
        <w:t xml:space="preserve"> </w:t>
      </w:r>
      <w:r w:rsidR="0070220C" w:rsidRPr="004063D7">
        <w:t>an update on the</w:t>
      </w:r>
      <w:r w:rsidR="0070220C" w:rsidRPr="00C16505">
        <w:t xml:space="preserve"> work on knowledge and data (deliverables 1 (d) and 4 (b))</w:t>
      </w:r>
      <w:r w:rsidR="00FF5DD8" w:rsidRPr="00C16505">
        <w:t xml:space="preserve"> </w:t>
      </w:r>
      <w:r w:rsidR="00FF5DD8" w:rsidRPr="004063D7">
        <w:t>(</w:t>
      </w:r>
      <w:r w:rsidRPr="00C16505">
        <w:t>IPBES/5/INF/5</w:t>
      </w:r>
      <w:r w:rsidR="00FF5DD8" w:rsidRPr="00031A78">
        <w:t>)</w:t>
      </w:r>
      <w:r w:rsidRPr="00031A78">
        <w:t xml:space="preserve">. A draft decision on </w:t>
      </w:r>
      <w:r w:rsidR="00FF5DD8" w:rsidRPr="00031A78">
        <w:t>knowledge and data</w:t>
      </w:r>
      <w:r w:rsidR="00FF5DD8" w:rsidRPr="00CD30A2">
        <w:t xml:space="preserve"> </w:t>
      </w:r>
      <w:r w:rsidRPr="00CD30A2">
        <w:t xml:space="preserve">is </w:t>
      </w:r>
      <w:r w:rsidR="00FF5DD8" w:rsidRPr="00CD30A2">
        <w:t xml:space="preserve">set out </w:t>
      </w:r>
      <w:r w:rsidRPr="00CD30A2">
        <w:t xml:space="preserve">in </w:t>
      </w:r>
      <w:r w:rsidR="00BE57F9" w:rsidRPr="00CD30A2">
        <w:t xml:space="preserve">the </w:t>
      </w:r>
      <w:r w:rsidR="00BE57F9" w:rsidRPr="00BF2A88">
        <w:t>note by the secretariat on draft decisions for the fifth session of the Plenary (</w:t>
      </w:r>
      <w:r w:rsidRPr="00897AC0">
        <w:t>IPBES/5/1/Add.2</w:t>
      </w:r>
      <w:r w:rsidR="00BE57F9" w:rsidRPr="004063D7">
        <w:t>)</w:t>
      </w:r>
      <w:r w:rsidRPr="00C16505">
        <w:t>.</w:t>
      </w:r>
    </w:p>
    <w:p w14:paraId="26601D8B" w14:textId="5D3C584E" w:rsidR="009441A9" w:rsidRDefault="009F3D34" w:rsidP="009F3D34">
      <w:pPr>
        <w:pStyle w:val="CH1"/>
      </w:pPr>
      <w:r>
        <w:lastRenderedPageBreak/>
        <w:tab/>
        <w:t>I.</w:t>
      </w:r>
      <w:r>
        <w:tab/>
      </w:r>
      <w:r w:rsidR="009441A9">
        <w:t>Progress to date and proposed workplan for 2017 and 2018</w:t>
      </w:r>
    </w:p>
    <w:p w14:paraId="505A158B" w14:textId="77777777" w:rsidR="009441A9" w:rsidRDefault="009F3D34" w:rsidP="009F3D34">
      <w:pPr>
        <w:pStyle w:val="CH2"/>
      </w:pPr>
      <w:r>
        <w:tab/>
        <w:t>A.</w:t>
      </w:r>
      <w:r>
        <w:tab/>
      </w:r>
      <w:r w:rsidR="009441A9">
        <w:t>Indicators and data for IPBES assessments</w:t>
      </w:r>
    </w:p>
    <w:p w14:paraId="2AF94A3E" w14:textId="62C99797" w:rsidR="009441A9" w:rsidRPr="00CD30A2" w:rsidRDefault="009441A9" w:rsidP="009441A9">
      <w:pPr>
        <w:pStyle w:val="Normalnumber"/>
      </w:pPr>
      <w:r w:rsidRPr="009441A9">
        <w:t>In response to its mandate to advise on the indicators and metrics to be used in IPBES products and on the standards necessary for capturing and managing associated data, t</w:t>
      </w:r>
      <w:r>
        <w:t>he task force</w:t>
      </w:r>
      <w:r w:rsidR="0064005E">
        <w:t xml:space="preserve"> on knowledge and data</w:t>
      </w:r>
      <w:r>
        <w:t xml:space="preserve"> developed a list of core indicators, which assessment authors are urged to use as part of the r</w:t>
      </w:r>
      <w:r w:rsidRPr="005D4AC7">
        <w:t>egional</w:t>
      </w:r>
      <w:r>
        <w:t xml:space="preserve"> assessments</w:t>
      </w:r>
      <w:r w:rsidRPr="005D4AC7">
        <w:t xml:space="preserve"> and </w:t>
      </w:r>
      <w:r>
        <w:t>the global assessment on biodiversity and ecosystem services</w:t>
      </w:r>
      <w:r w:rsidRPr="005D4AC7">
        <w:t>.</w:t>
      </w:r>
      <w:r>
        <w:t xml:space="preserve"> The list of </w:t>
      </w:r>
      <w:r w:rsidR="002B02FE">
        <w:t xml:space="preserve">core </w:t>
      </w:r>
      <w:r>
        <w:t xml:space="preserve">indicators was developed using a strict set of criteria and </w:t>
      </w:r>
      <w:r w:rsidR="0064005E" w:rsidRPr="00CD30A2">
        <w:t>was</w:t>
      </w:r>
      <w:r w:rsidRPr="00BF2A88">
        <w:t xml:space="preserve"> approved by the Multidisciplinary Expert Panel at its </w:t>
      </w:r>
      <w:r w:rsidR="0064005E" w:rsidRPr="00CD30A2">
        <w:t xml:space="preserve">seventh </w:t>
      </w:r>
      <w:r w:rsidRPr="00CD30A2">
        <w:t>meeting</w:t>
      </w:r>
      <w:r w:rsidR="000B1598" w:rsidRPr="00CD30A2">
        <w:t>,</w:t>
      </w:r>
      <w:r w:rsidRPr="00CD30A2">
        <w:t xml:space="preserve"> </w:t>
      </w:r>
      <w:r w:rsidR="0064005E" w:rsidRPr="00CD30A2">
        <w:t xml:space="preserve">held in Bonn </w:t>
      </w:r>
      <w:r w:rsidRPr="00CD30A2">
        <w:t xml:space="preserve">in June 2016. Information on these criteria is </w:t>
      </w:r>
      <w:r w:rsidR="0064005E" w:rsidRPr="00CD30A2">
        <w:t xml:space="preserve">set out </w:t>
      </w:r>
      <w:r w:rsidRPr="00CD30A2">
        <w:t xml:space="preserve">in </w:t>
      </w:r>
      <w:r w:rsidR="0070220C" w:rsidRPr="00CD30A2">
        <w:t xml:space="preserve">information </w:t>
      </w:r>
      <w:r w:rsidR="0064005E" w:rsidRPr="00CD30A2">
        <w:t xml:space="preserve">note </w:t>
      </w:r>
      <w:r w:rsidRPr="00CD30A2">
        <w:t>IPBES/</w:t>
      </w:r>
      <w:r w:rsidR="0070220C" w:rsidRPr="00CD30A2">
        <w:t>5</w:t>
      </w:r>
      <w:r w:rsidRPr="00CD30A2">
        <w:t>/INF/5</w:t>
      </w:r>
      <w:r w:rsidR="0064005E" w:rsidRPr="00CD30A2">
        <w:t xml:space="preserve"> </w:t>
      </w:r>
      <w:r w:rsidRPr="00CD30A2">
        <w:t>together with the list of approved core indicators</w:t>
      </w:r>
      <w:r w:rsidRPr="000F25B2">
        <w:t xml:space="preserve">. </w:t>
      </w:r>
      <w:r w:rsidRPr="00CD30A2">
        <w:t>The use of these core indicators allow</w:t>
      </w:r>
      <w:r w:rsidRPr="00BF2A88">
        <w:t>s</w:t>
      </w:r>
      <w:r w:rsidRPr="00897AC0">
        <w:t xml:space="preserve"> </w:t>
      </w:r>
      <w:r w:rsidRPr="00D26ED8">
        <w:t xml:space="preserve">direct comparison among the four regional assessments and between the regional </w:t>
      </w:r>
      <w:r w:rsidRPr="00CD30A2">
        <w:t>assessments</w:t>
      </w:r>
      <w:r>
        <w:t xml:space="preserve"> </w:t>
      </w:r>
      <w:r w:rsidRPr="005D4AC7">
        <w:t xml:space="preserve">and </w:t>
      </w:r>
      <w:r>
        <w:t>the global assessment</w:t>
      </w:r>
      <w:r w:rsidRPr="005D4AC7">
        <w:t xml:space="preserve">, </w:t>
      </w:r>
      <w:r>
        <w:t xml:space="preserve">and </w:t>
      </w:r>
      <w:r w:rsidRPr="005D4AC7">
        <w:t>ensure</w:t>
      </w:r>
      <w:r>
        <w:t>s that</w:t>
      </w:r>
      <w:r w:rsidRPr="005D4AC7">
        <w:t xml:space="preserve"> </w:t>
      </w:r>
      <w:r>
        <w:t xml:space="preserve">the quantitative evidence </w:t>
      </w:r>
      <w:r w:rsidRPr="005D4AC7">
        <w:t xml:space="preserve">included </w:t>
      </w:r>
      <w:r>
        <w:t>in</w:t>
      </w:r>
      <w:r w:rsidR="00440ED3">
        <w:t xml:space="preserve"> the</w:t>
      </w:r>
      <w:r>
        <w:t xml:space="preserve"> IPBES assessments </w:t>
      </w:r>
      <w:r w:rsidRPr="005D4AC7">
        <w:t>has passed a ca</w:t>
      </w:r>
      <w:r>
        <w:t>reful review</w:t>
      </w:r>
      <w:r w:rsidRPr="005D4AC7">
        <w:t>.</w:t>
      </w:r>
      <w:r>
        <w:t xml:space="preserve"> In addition, a longer </w:t>
      </w:r>
      <w:r w:rsidRPr="00CD30A2">
        <w:t>list of highlighted indicators</w:t>
      </w:r>
      <w:r w:rsidR="0070220C" w:rsidRPr="00CD30A2">
        <w:t>, which are brought to</w:t>
      </w:r>
      <w:r w:rsidR="0070220C" w:rsidRPr="00BF2A88">
        <w:t xml:space="preserve"> the attention of</w:t>
      </w:r>
      <w:r w:rsidR="0070220C" w:rsidRPr="00897AC0">
        <w:t xml:space="preserve"> assessment authors,</w:t>
      </w:r>
      <w:r w:rsidRPr="00D26ED8">
        <w:t xml:space="preserve"> was provided to assessment authors as an</w:t>
      </w:r>
      <w:r w:rsidRPr="00CD30A2">
        <w:t xml:space="preserve"> overview of the wide range of indicators available. </w:t>
      </w:r>
    </w:p>
    <w:p w14:paraId="38A1F0B5" w14:textId="1CB20F54" w:rsidR="009441A9" w:rsidRPr="00CD30A2" w:rsidRDefault="009441A9" w:rsidP="009441A9">
      <w:pPr>
        <w:pStyle w:val="Normalnumber"/>
      </w:pPr>
      <w:r>
        <w:t>In 2016, the task group</w:t>
      </w:r>
      <w:r w:rsidR="00440ED3" w:rsidRPr="00440ED3">
        <w:t xml:space="preserve"> </w:t>
      </w:r>
      <w:r w:rsidR="00440ED3">
        <w:t xml:space="preserve">on </w:t>
      </w:r>
      <w:r w:rsidR="00440ED3" w:rsidRPr="009441A9">
        <w:t>indicators and data for IPBES assessments</w:t>
      </w:r>
      <w:r>
        <w:t xml:space="preserve">, supported by the technical support unit for </w:t>
      </w:r>
      <w:r w:rsidR="00485CAD">
        <w:t xml:space="preserve">the task force on </w:t>
      </w:r>
      <w:r>
        <w:t xml:space="preserve">knowledge and data, developed a website that provides assessment authors with resources such as factsheets, data, visuals and explanatory text for the core set of indicators, and in some cases for the highlighted set of </w:t>
      </w:r>
      <w:r w:rsidRPr="00031A78">
        <w:t xml:space="preserve">indicators. </w:t>
      </w:r>
      <w:r w:rsidRPr="00CD30A2">
        <w:t xml:space="preserve">This support </w:t>
      </w:r>
      <w:r w:rsidR="0070220C" w:rsidRPr="00CD30A2">
        <w:t xml:space="preserve">to authors </w:t>
      </w:r>
      <w:r w:rsidRPr="00CD30A2">
        <w:t xml:space="preserve">has been made possible by </w:t>
      </w:r>
      <w:r w:rsidRPr="00031A78">
        <w:t>in-kind contribution</w:t>
      </w:r>
      <w:r w:rsidR="00485CAD" w:rsidRPr="00031A78">
        <w:t>s</w:t>
      </w:r>
      <w:r w:rsidRPr="00031A78">
        <w:t xml:space="preserve"> by a number of organizations that have developed the indicators on the core and highlighted lists </w:t>
      </w:r>
      <w:r w:rsidR="00485CAD" w:rsidRPr="00031A78">
        <w:t xml:space="preserve">as described in the note by the secretariat on budget and expenditure for 2014–2018 </w:t>
      </w:r>
      <w:r w:rsidRPr="00031A78">
        <w:t>(</w:t>
      </w:r>
      <w:r w:rsidRPr="00CD30A2">
        <w:t xml:space="preserve">IPBES/5/10). Assessment authors were encouraged to contact the knowledge and data technical support unit for further specific support regarding the use of the core and highlighted indicators. </w:t>
      </w:r>
    </w:p>
    <w:p w14:paraId="379C34D5" w14:textId="74193666" w:rsidR="009441A9" w:rsidRPr="00F71103" w:rsidRDefault="009441A9" w:rsidP="009441A9">
      <w:pPr>
        <w:pStyle w:val="Normalnumber"/>
      </w:pPr>
      <w:r>
        <w:t>The assessment authors were also provided with a preliminary list of s</w:t>
      </w:r>
      <w:r w:rsidRPr="00F71103">
        <w:t>ocioeconomic indicators</w:t>
      </w:r>
      <w:r>
        <w:t xml:space="preserve"> for the three </w:t>
      </w:r>
      <w:r w:rsidRPr="00F71103">
        <w:t>elements of the IBPES conceptual framework</w:t>
      </w:r>
      <w:r w:rsidR="00485CAD">
        <w:t xml:space="preserve"> entitled</w:t>
      </w:r>
      <w:r>
        <w:t xml:space="preserve"> “Nature</w:t>
      </w:r>
      <w:r w:rsidR="00485CAD">
        <w:t>’</w:t>
      </w:r>
      <w:r>
        <w:t xml:space="preserve">s </w:t>
      </w:r>
      <w:r w:rsidR="00485CAD">
        <w:t>benefits</w:t>
      </w:r>
      <w:r w:rsidR="00485CAD" w:rsidRPr="00F71103">
        <w:t xml:space="preserve"> </w:t>
      </w:r>
      <w:r w:rsidRPr="00F71103">
        <w:t xml:space="preserve">to </w:t>
      </w:r>
      <w:r w:rsidR="00485CAD">
        <w:t>p</w:t>
      </w:r>
      <w:r w:rsidRPr="00F71103">
        <w:t>eople</w:t>
      </w:r>
      <w:r>
        <w:t>”</w:t>
      </w:r>
      <w:r w:rsidRPr="00F71103">
        <w:t xml:space="preserve">, </w:t>
      </w:r>
      <w:r>
        <w:t>“</w:t>
      </w:r>
      <w:r w:rsidRPr="00F71103">
        <w:t xml:space="preserve">Good </w:t>
      </w:r>
      <w:r w:rsidR="00485CAD">
        <w:t>q</w:t>
      </w:r>
      <w:r w:rsidRPr="00F71103">
        <w:t xml:space="preserve">uality of </w:t>
      </w:r>
      <w:r w:rsidR="00485CAD">
        <w:t>l</w:t>
      </w:r>
      <w:r w:rsidRPr="00F71103">
        <w:t>ife</w:t>
      </w:r>
      <w:r>
        <w:t>”</w:t>
      </w:r>
      <w:r w:rsidRPr="00F71103">
        <w:t xml:space="preserve"> and </w:t>
      </w:r>
      <w:r>
        <w:t>“</w:t>
      </w:r>
      <w:r w:rsidRPr="00F71103">
        <w:t>Institution</w:t>
      </w:r>
      <w:r w:rsidR="00485CAD">
        <w:t>s and governance systems and other indirect d</w:t>
      </w:r>
      <w:r w:rsidRPr="00F71103">
        <w:t>rivers</w:t>
      </w:r>
      <w:r>
        <w:t>”</w:t>
      </w:r>
      <w:r w:rsidRPr="00F71103">
        <w:t xml:space="preserve">. </w:t>
      </w:r>
      <w:r>
        <w:t xml:space="preserve">This </w:t>
      </w:r>
      <w:r w:rsidR="00485CAD">
        <w:t xml:space="preserve">preliminary </w:t>
      </w:r>
      <w:r>
        <w:t>list supplements the list of core indicators for the regional assessments.</w:t>
      </w:r>
    </w:p>
    <w:p w14:paraId="7EA3AA7D" w14:textId="700337E7" w:rsidR="009441A9" w:rsidRPr="00F71103" w:rsidRDefault="009441A9" w:rsidP="009441A9">
      <w:pPr>
        <w:pStyle w:val="Normalnumber"/>
      </w:pPr>
      <w:r>
        <w:t xml:space="preserve">The task group and </w:t>
      </w:r>
      <w:r w:rsidR="00485CAD">
        <w:t xml:space="preserve">the </w:t>
      </w:r>
      <w:r>
        <w:t xml:space="preserve">technical support unit plan to continue </w:t>
      </w:r>
      <w:r w:rsidR="00485CAD">
        <w:t xml:space="preserve">providing </w:t>
      </w:r>
      <w:r>
        <w:t xml:space="preserve">support to </w:t>
      </w:r>
      <w:r w:rsidR="00485CAD">
        <w:t xml:space="preserve">the </w:t>
      </w:r>
      <w:r>
        <w:t xml:space="preserve">authors of the regional assessments (2017), and to provide increasing support to the global assessment </w:t>
      </w:r>
      <w:r w:rsidR="006A6895">
        <w:br/>
      </w:r>
      <w:r>
        <w:t>(2017</w:t>
      </w:r>
      <w:r w:rsidR="00485CAD">
        <w:t>–</w:t>
      </w:r>
      <w:r>
        <w:t xml:space="preserve">2018). Furthermore, the task group and </w:t>
      </w:r>
      <w:r w:rsidR="00485CAD">
        <w:t xml:space="preserve">the </w:t>
      </w:r>
      <w:r>
        <w:t>technical support unit suggest continuing the work on the selection of appropriate additional socioeconomic indicators for use in the global assessment, the related development of storylines, and subsequently the provision of fact</w:t>
      </w:r>
      <w:r w:rsidR="000B1598">
        <w:t xml:space="preserve"> </w:t>
      </w:r>
      <w:r>
        <w:t>sheets, data and visual</w:t>
      </w:r>
      <w:r w:rsidR="00485CAD">
        <w:t xml:space="preserve"> materials</w:t>
      </w:r>
      <w:r>
        <w:t xml:space="preserve"> (2017</w:t>
      </w:r>
      <w:r w:rsidR="00485CAD">
        <w:t>–</w:t>
      </w:r>
      <w:r>
        <w:t xml:space="preserve">2018).  </w:t>
      </w:r>
    </w:p>
    <w:p w14:paraId="67D078D1" w14:textId="77777777" w:rsidR="009441A9" w:rsidRDefault="009F3D34" w:rsidP="009F3D34">
      <w:pPr>
        <w:pStyle w:val="CH2"/>
      </w:pPr>
      <w:r>
        <w:tab/>
        <w:t>B.</w:t>
      </w:r>
      <w:r>
        <w:tab/>
      </w:r>
      <w:r w:rsidR="009441A9">
        <w:t>W</w:t>
      </w:r>
      <w:r w:rsidR="009441A9" w:rsidRPr="00257605">
        <w:t xml:space="preserve">eb-based infrastructure in support of data and information management </w:t>
      </w:r>
    </w:p>
    <w:p w14:paraId="43B7CA0F" w14:textId="105F6025" w:rsidR="009441A9" w:rsidRDefault="009441A9" w:rsidP="009441A9">
      <w:pPr>
        <w:pStyle w:val="Normalnumber"/>
      </w:pPr>
      <w:r>
        <w:t>In response to its mandate t</w:t>
      </w:r>
      <w:r w:rsidRPr="003B3CC3">
        <w:t xml:space="preserve">o support the secretariat in overseeing the management of the data, information and knowledge used in developing </w:t>
      </w:r>
      <w:r>
        <w:t>IPBES</w:t>
      </w:r>
      <w:r w:rsidRPr="003B3CC3">
        <w:t xml:space="preserve"> products so as to ensure their long-term availabi</w:t>
      </w:r>
      <w:r>
        <w:t>lity and t</w:t>
      </w:r>
      <w:r w:rsidRPr="003B3CC3">
        <w:t>o identify opportunities for increasing access to existing data, information and knowledge so as to ensure their availability to s</w:t>
      </w:r>
      <w:r>
        <w:t>upport the work of IPBES</w:t>
      </w:r>
      <w:r w:rsidR="00485CAD">
        <w:t>,</w:t>
      </w:r>
      <w:r>
        <w:t xml:space="preserve"> the task force</w:t>
      </w:r>
      <w:r w:rsidR="002B6F40" w:rsidRPr="002B6F40">
        <w:t xml:space="preserve"> </w:t>
      </w:r>
      <w:r w:rsidR="002B6F40">
        <w:t xml:space="preserve">on </w:t>
      </w:r>
      <w:r w:rsidR="002B6F40" w:rsidRPr="009441A9">
        <w:t>web-based infrastructure in support of data and information management needs</w:t>
      </w:r>
      <w:r>
        <w:t xml:space="preserve">, since the fourth session of the Plenary, </w:t>
      </w:r>
      <w:r w:rsidR="00BE57F9">
        <w:t xml:space="preserve">has </w:t>
      </w:r>
      <w:r>
        <w:t>conceptualized and overs</w:t>
      </w:r>
      <w:r w:rsidR="00BE57F9">
        <w:t>een</w:t>
      </w:r>
      <w:r>
        <w:t xml:space="preserve"> the development of web-based </w:t>
      </w:r>
      <w:r w:rsidRPr="00CD30A2">
        <w:t>infrastructure as part of the</w:t>
      </w:r>
      <w:r>
        <w:t xml:space="preserve"> IPBES website. The infrastructure provides IPBES experts with key information </w:t>
      </w:r>
      <w:r w:rsidR="002B6F40">
        <w:t xml:space="preserve">pertaining </w:t>
      </w:r>
      <w:r>
        <w:t xml:space="preserve">to their work, including relevant official documentation, IPBES catalogues, finalized deliverables and other products, as well as the possibility of contacting relevant experts and stakeholders. </w:t>
      </w:r>
    </w:p>
    <w:p w14:paraId="7CCF7D02" w14:textId="4C3EE072" w:rsidR="009441A9" w:rsidRDefault="009441A9" w:rsidP="009441A9">
      <w:pPr>
        <w:pStyle w:val="Normalnumber"/>
      </w:pPr>
      <w:r>
        <w:t>It is</w:t>
      </w:r>
      <w:r w:rsidR="002B6F40">
        <w:t xml:space="preserve"> </w:t>
      </w:r>
      <w:r>
        <w:t xml:space="preserve">proposed </w:t>
      </w:r>
      <w:r w:rsidR="00BE57F9">
        <w:t xml:space="preserve">that </w:t>
      </w:r>
      <w:r>
        <w:t>a survey</w:t>
      </w:r>
      <w:r w:rsidR="00BE57F9">
        <w:t xml:space="preserve"> be conducted</w:t>
      </w:r>
      <w:r>
        <w:t xml:space="preserve"> among the users of the web-based infrastructure to </w:t>
      </w:r>
      <w:r w:rsidR="00BE57F9">
        <w:t xml:space="preserve">identify </w:t>
      </w:r>
      <w:r>
        <w:t>the</w:t>
      </w:r>
      <w:r w:rsidR="00BE57F9">
        <w:t>ir</w:t>
      </w:r>
      <w:r>
        <w:t xml:space="preserve"> needs, priorities and expectations, facilitating further refinement of the functionalities of the infrastructure </w:t>
      </w:r>
      <w:r w:rsidR="00BE57F9">
        <w:t xml:space="preserve">in </w:t>
      </w:r>
      <w:r>
        <w:t>2017. The infrastructure would be updated on a regular basis in order to allow for the inclusion of IPBES deliverables and other products</w:t>
      </w:r>
      <w:r w:rsidR="00BE57F9">
        <w:t xml:space="preserve"> as </w:t>
      </w:r>
      <w:r>
        <w:t xml:space="preserve">they become available. </w:t>
      </w:r>
      <w:r w:rsidR="000B1598">
        <w:t>T</w:t>
      </w:r>
      <w:r w:rsidR="00BE57F9">
        <w:t>he</w:t>
      </w:r>
      <w:r>
        <w:t xml:space="preserve"> infrastructure is to be developed </w:t>
      </w:r>
      <w:r w:rsidR="00BE57F9">
        <w:t xml:space="preserve">further </w:t>
      </w:r>
      <w:r>
        <w:t xml:space="preserve">as a repository of key information for completed IPBES assessments and other deliverables </w:t>
      </w:r>
      <w:r w:rsidR="00BE57F9">
        <w:t xml:space="preserve">during the period </w:t>
      </w:r>
      <w:r>
        <w:t>2017</w:t>
      </w:r>
      <w:r w:rsidR="00BE57F9">
        <w:t>–</w:t>
      </w:r>
      <w:r>
        <w:t xml:space="preserve">2018. </w:t>
      </w:r>
    </w:p>
    <w:p w14:paraId="3EFBB495" w14:textId="77777777" w:rsidR="009441A9" w:rsidRDefault="009F3D34" w:rsidP="009F3D34">
      <w:pPr>
        <w:pStyle w:val="CH2"/>
      </w:pPr>
      <w:r>
        <w:tab/>
        <w:t>C.</w:t>
      </w:r>
      <w:r>
        <w:tab/>
      </w:r>
      <w:r w:rsidR="009441A9">
        <w:t>K</w:t>
      </w:r>
      <w:r w:rsidR="009441A9" w:rsidRPr="00257605">
        <w:t>nowledge generation catalysis</w:t>
      </w:r>
    </w:p>
    <w:p w14:paraId="594B7F89" w14:textId="7E605666" w:rsidR="009441A9" w:rsidRPr="00B84516" w:rsidRDefault="009441A9" w:rsidP="009441A9">
      <w:pPr>
        <w:pStyle w:val="Normalnumber"/>
      </w:pPr>
      <w:r w:rsidRPr="009441A9">
        <w:t xml:space="preserve">In response to its mandates to support the Bureau and the Multidisciplinary Expert Panel in reviewing the knowledge needs and gaps identified through Platform scoping processes and assessments and to catalyse the generation of new knowledge and data and to support the Bureau and the Multidisciplinary Expert Panel in convening dialogues with scientific organizations, policymakers and funding organizations and in undertaking other activities to </w:t>
      </w:r>
      <w:r w:rsidRPr="003E1A32">
        <w:t>address those needs identified in the work programme</w:t>
      </w:r>
      <w:r w:rsidRPr="00B84516">
        <w:t>, and under the guidance of the Bureau and the Panel, the task force</w:t>
      </w:r>
      <w:r w:rsidR="00BE57F9" w:rsidRPr="00B84516">
        <w:t xml:space="preserve"> on</w:t>
      </w:r>
      <w:r w:rsidR="00BE57F9" w:rsidRPr="004063D7">
        <w:t xml:space="preserve"> knowledge </w:t>
      </w:r>
      <w:r w:rsidR="00BE57F9" w:rsidRPr="004063D7">
        <w:lastRenderedPageBreak/>
        <w:t>and data</w:t>
      </w:r>
      <w:r w:rsidR="000423C6">
        <w:t xml:space="preserve"> has</w:t>
      </w:r>
      <w:r w:rsidRPr="003E1A32">
        <w:t>, since the fourth session</w:t>
      </w:r>
      <w:r w:rsidRPr="00B84516">
        <w:t xml:space="preserve"> of the Plenary, developed a process for catalysing the generation of new knowledge. </w:t>
      </w:r>
    </w:p>
    <w:p w14:paraId="40688894" w14:textId="7790B1D5" w:rsidR="009441A9" w:rsidRDefault="009441A9" w:rsidP="009441A9">
      <w:pPr>
        <w:pStyle w:val="Normalnumber"/>
      </w:pPr>
      <w:r>
        <w:t xml:space="preserve">The following three-step process is proposed for catalysing the development of new knowledge: </w:t>
      </w:r>
      <w:r w:rsidR="00BE57F9">
        <w:t>(a</w:t>
      </w:r>
      <w:r>
        <w:t xml:space="preserve">) the identification of gaps in knowledge, information and data in the IPBES work programme, and in completed assessments; </w:t>
      </w:r>
      <w:r w:rsidR="00BE57F9">
        <w:t>(b</w:t>
      </w:r>
      <w:r>
        <w:t xml:space="preserve">) consultation on these gaps and the formulation of priority areas for knowledge generation with the scientific community; </w:t>
      </w:r>
      <w:r w:rsidR="00BE57F9">
        <w:t>(c</w:t>
      </w:r>
      <w:r>
        <w:t>) the tailoring of these priority research areas to potential research</w:t>
      </w:r>
      <w:r w:rsidR="00BE57F9">
        <w:t>-</w:t>
      </w:r>
      <w:r>
        <w:t xml:space="preserve">funding institutions and their communication to these funding organizations, mainly </w:t>
      </w:r>
      <w:r w:rsidR="00BE57F9">
        <w:t xml:space="preserve">by means of </w:t>
      </w:r>
      <w:r>
        <w:t xml:space="preserve">bilateral meetings. Knowledge gaps are </w:t>
      </w:r>
      <w:r w:rsidR="00BE57F9">
        <w:t>understood in this context</w:t>
      </w:r>
      <w:r>
        <w:t xml:space="preserve"> to include information and major data gaps </w:t>
      </w:r>
      <w:r w:rsidR="00BE57F9">
        <w:t>pertaining to</w:t>
      </w:r>
      <w:r>
        <w:t xml:space="preserve"> global biodiversity.</w:t>
      </w:r>
    </w:p>
    <w:p w14:paraId="054C7F7E" w14:textId="3AE72E5C" w:rsidR="009441A9" w:rsidRPr="00853595" w:rsidRDefault="000423C6" w:rsidP="009441A9">
      <w:pPr>
        <w:pStyle w:val="Normalnumber"/>
      </w:pPr>
      <w:r>
        <w:t>As part of</w:t>
      </w:r>
      <w:r w:rsidR="00BE57F9">
        <w:t xml:space="preserve"> the first </w:t>
      </w:r>
      <w:r w:rsidR="009441A9">
        <w:t xml:space="preserve">step, the task force developed an online questionnaire. In a first round of consultation, the </w:t>
      </w:r>
      <w:r w:rsidR="009441A9" w:rsidRPr="009441A9">
        <w:t>questionnaire was sent to the co-chairs and coordinating lead authors of completed and ongoing assessments on 10 October 2016. The questionnaire resulted in a set of suggestions for priority research areas based on the findings of the thematic assessment on pollinators, pollination and food production. The re</w:t>
      </w:r>
      <w:r w:rsidR="00D85E41">
        <w:t>plies</w:t>
      </w:r>
      <w:r w:rsidR="009441A9" w:rsidRPr="009441A9">
        <w:t xml:space="preserve"> received also indicated that it was still too early in the assessment process to </w:t>
      </w:r>
      <w:r w:rsidR="00BE57F9">
        <w:t xml:space="preserve">identify </w:t>
      </w:r>
      <w:r w:rsidR="009441A9" w:rsidRPr="009441A9">
        <w:t xml:space="preserve">priority research areas from the regional, land degradation and restoration and global assessments. </w:t>
      </w:r>
    </w:p>
    <w:p w14:paraId="62C3C390" w14:textId="3D7814B8" w:rsidR="009441A9" w:rsidRPr="00CD30A2" w:rsidRDefault="00BE57F9" w:rsidP="009441A9">
      <w:pPr>
        <w:pStyle w:val="Normalnumber"/>
      </w:pPr>
      <w:r>
        <w:t>The intention is therefore</w:t>
      </w:r>
      <w:r w:rsidR="009441A9" w:rsidRPr="009441A9">
        <w:t xml:space="preserve"> to </w:t>
      </w:r>
      <w:r>
        <w:t>send out</w:t>
      </w:r>
      <w:r w:rsidRPr="009441A9">
        <w:t xml:space="preserve"> </w:t>
      </w:r>
      <w:r w:rsidR="009441A9" w:rsidRPr="009441A9">
        <w:t>the questionnaire</w:t>
      </w:r>
      <w:r>
        <w:t xml:space="preserve"> again</w:t>
      </w:r>
      <w:r w:rsidR="009441A9" w:rsidRPr="009441A9">
        <w:t xml:space="preserve">, </w:t>
      </w:r>
      <w:r>
        <w:t xml:space="preserve">providing </w:t>
      </w:r>
      <w:r w:rsidR="009441A9" w:rsidRPr="009441A9">
        <w:t xml:space="preserve">further guidance from the Multidisciplinary Expert Panel and </w:t>
      </w:r>
      <w:r w:rsidR="00B84516">
        <w:t xml:space="preserve">with </w:t>
      </w:r>
      <w:r w:rsidR="009441A9" w:rsidRPr="009441A9">
        <w:t>technical support from the secretariat, in mid-2017, during the completion of the second</w:t>
      </w:r>
      <w:r w:rsidR="00D85E41">
        <w:t>-</w:t>
      </w:r>
      <w:r w:rsidR="009441A9" w:rsidRPr="009441A9">
        <w:t>order draft</w:t>
      </w:r>
      <w:r w:rsidR="00B84516">
        <w:t>s</w:t>
      </w:r>
      <w:r w:rsidR="009441A9" w:rsidRPr="009441A9">
        <w:t xml:space="preserve"> of the regional and land degradation and restoration assessments and the preparation of the first</w:t>
      </w:r>
      <w:r w:rsidR="00D85E41">
        <w:t>-</w:t>
      </w:r>
      <w:r w:rsidR="009441A9" w:rsidRPr="009441A9">
        <w:t xml:space="preserve">order draft of the global assessment. </w:t>
      </w:r>
      <w:r w:rsidR="00D85E41">
        <w:t>T</w:t>
      </w:r>
      <w:r w:rsidR="009441A9" w:rsidRPr="009441A9">
        <w:t xml:space="preserve">o ensure that suggested </w:t>
      </w:r>
      <w:r w:rsidR="009441A9" w:rsidRPr="00CD30A2">
        <w:t>priority research areas consider all relevant IPBES deliverables, experts</w:t>
      </w:r>
      <w:r w:rsidR="00D85E41" w:rsidRPr="00CD30A2">
        <w:t>,</w:t>
      </w:r>
      <w:r w:rsidR="009441A9" w:rsidRPr="00CD30A2">
        <w:t xml:space="preserve"> </w:t>
      </w:r>
      <w:r w:rsidR="00D85E41" w:rsidRPr="00CD30A2">
        <w:t xml:space="preserve">when </w:t>
      </w:r>
      <w:r w:rsidR="0070220C" w:rsidRPr="00CD30A2">
        <w:t>identifying gaps in knowledge, information and data</w:t>
      </w:r>
      <w:r w:rsidR="00D85E41" w:rsidRPr="00CD30A2">
        <w:t xml:space="preserve">, </w:t>
      </w:r>
      <w:r w:rsidR="009441A9" w:rsidRPr="00CD30A2">
        <w:t>will be reminded to consider the extent of the availability of relevant indigenous and local knowledge</w:t>
      </w:r>
      <w:r w:rsidR="00B84516" w:rsidRPr="00CD30A2">
        <w:t>;</w:t>
      </w:r>
      <w:r w:rsidR="009441A9" w:rsidRPr="00CD30A2">
        <w:t xml:space="preserve"> relevant methodologies on values and valuation, scenarios and models</w:t>
      </w:r>
      <w:r w:rsidR="00B84516" w:rsidRPr="00CD30A2">
        <w:t>;</w:t>
      </w:r>
      <w:r w:rsidR="009441A9" w:rsidRPr="00CD30A2">
        <w:t xml:space="preserve"> </w:t>
      </w:r>
      <w:r w:rsidR="00B84516" w:rsidRPr="00CD30A2">
        <w:t xml:space="preserve">and </w:t>
      </w:r>
      <w:r w:rsidR="009441A9" w:rsidRPr="00CD30A2">
        <w:t xml:space="preserve">policy support tools and methodologies for the evaluation of their effectiveness. For scenarios and models, the Plenary, </w:t>
      </w:r>
      <w:r w:rsidR="00B84516" w:rsidRPr="00CD30A2">
        <w:t xml:space="preserve">in </w:t>
      </w:r>
      <w:r w:rsidR="009441A9" w:rsidRPr="00CD30A2">
        <w:t xml:space="preserve">decision IPBES-4/1 </w:t>
      </w:r>
      <w:r w:rsidR="00B84516" w:rsidRPr="00CD30A2">
        <w:t>(</w:t>
      </w:r>
      <w:r w:rsidR="009441A9" w:rsidRPr="00CD30A2">
        <w:t>section V and annex V), mandated the expert group to catalyse the development of scenarios and associated models by the broader scientific community for the future work of IPBES</w:t>
      </w:r>
      <w:r w:rsidR="00B84516" w:rsidRPr="00CD30A2">
        <w:t>,</w:t>
      </w:r>
      <w:r w:rsidR="009441A9" w:rsidRPr="00CD30A2">
        <w:t xml:space="preserve"> and work on this is under way (see IPBES/5/INF/2). </w:t>
      </w:r>
    </w:p>
    <w:p w14:paraId="0B324D66" w14:textId="1BD5595E" w:rsidR="009441A9" w:rsidRPr="00DE4C41" w:rsidRDefault="009441A9" w:rsidP="009441A9">
      <w:pPr>
        <w:pStyle w:val="Normalnumber"/>
      </w:pPr>
      <w:r w:rsidRPr="00CD30A2">
        <w:t xml:space="preserve">It is </w:t>
      </w:r>
      <w:r w:rsidR="001A3283" w:rsidRPr="00CD30A2">
        <w:t xml:space="preserve">planned </w:t>
      </w:r>
      <w:r w:rsidRPr="00CD30A2">
        <w:t xml:space="preserve">to </w:t>
      </w:r>
      <w:r w:rsidR="00CD30A2" w:rsidRPr="00CD30A2">
        <w:t>solicit</w:t>
      </w:r>
      <w:r w:rsidRPr="00CD30A2">
        <w:t xml:space="preserve"> feedback from the scientific community on the suggested priority areas for knowledge generation </w:t>
      </w:r>
      <w:r w:rsidR="001A3283" w:rsidRPr="00CD30A2">
        <w:t>arising</w:t>
      </w:r>
      <w:r w:rsidR="001A3283">
        <w:t xml:space="preserve"> from the first two rounds of surveying </w:t>
      </w:r>
      <w:r w:rsidRPr="009441A9">
        <w:t xml:space="preserve">in the second half of 2017, before </w:t>
      </w:r>
      <w:r w:rsidR="00B06696">
        <w:t xml:space="preserve">targeted </w:t>
      </w:r>
      <w:r w:rsidRPr="009441A9">
        <w:t>engag</w:t>
      </w:r>
      <w:r w:rsidR="00B06696">
        <w:t>ement</w:t>
      </w:r>
      <w:r w:rsidRPr="009441A9">
        <w:t xml:space="preserve"> with specific potential research funding organizations</w:t>
      </w:r>
      <w:r w:rsidR="00B84516">
        <w:t>,</w:t>
      </w:r>
      <w:r w:rsidRPr="009441A9">
        <w:t xml:space="preserve"> such as the members of the Belmont Forum</w:t>
      </w:r>
      <w:r w:rsidR="00B84516">
        <w:t>,</w:t>
      </w:r>
      <w:r w:rsidRPr="009441A9">
        <w:t xml:space="preserve"> in </w:t>
      </w:r>
      <w:r w:rsidR="00B06696">
        <w:t xml:space="preserve">late </w:t>
      </w:r>
      <w:r w:rsidRPr="009441A9">
        <w:t xml:space="preserve">2017 and </w:t>
      </w:r>
      <w:r w:rsidR="00B84516">
        <w:t>early</w:t>
      </w:r>
      <w:r w:rsidRPr="009441A9">
        <w:t xml:space="preserve"> 2018. This first round of consultations will be used to pilot the process for catalysing the generation of new knowledge. </w:t>
      </w:r>
    </w:p>
    <w:p w14:paraId="23CFEC9E" w14:textId="361DE18F" w:rsidR="009441A9" w:rsidRPr="00B84516" w:rsidRDefault="009441A9" w:rsidP="009441A9">
      <w:pPr>
        <w:pStyle w:val="Normalnumber"/>
      </w:pPr>
      <w:r>
        <w:t xml:space="preserve">The process would be repeated </w:t>
      </w:r>
      <w:r w:rsidR="00B06696">
        <w:t>after</w:t>
      </w:r>
      <w:r>
        <w:t xml:space="preserve"> the finalization of the regional assessments and the land degradation and </w:t>
      </w:r>
      <w:r w:rsidRPr="003E1A32">
        <w:t>restoration assessment, during the preparation of the second</w:t>
      </w:r>
      <w:r w:rsidR="00B06696">
        <w:t>-</w:t>
      </w:r>
      <w:r w:rsidRPr="003E1A32">
        <w:t>order draft of the global assessment in 2018 and 2019.</w:t>
      </w:r>
    </w:p>
    <w:p w14:paraId="7AB52377" w14:textId="336301B8" w:rsidR="009441A9" w:rsidRPr="00B84516" w:rsidRDefault="009F3D34" w:rsidP="009F3D34">
      <w:pPr>
        <w:pStyle w:val="CH1"/>
      </w:pPr>
      <w:r w:rsidRPr="00B84516">
        <w:tab/>
        <w:t>II.</w:t>
      </w:r>
      <w:r w:rsidRPr="00B84516">
        <w:tab/>
      </w:r>
      <w:r w:rsidR="009441A9" w:rsidRPr="00B84516">
        <w:t>Suggested actions</w:t>
      </w:r>
    </w:p>
    <w:p w14:paraId="121E83AB" w14:textId="5DCCEE0E" w:rsidR="009F3D34" w:rsidRDefault="009441A9" w:rsidP="009441A9">
      <w:pPr>
        <w:pStyle w:val="Normalnumber"/>
        <w:rPr>
          <w:rFonts w:cstheme="minorHAnsi"/>
        </w:rPr>
      </w:pPr>
      <w:r w:rsidRPr="00B84516">
        <w:rPr>
          <w:rFonts w:cstheme="minorHAnsi"/>
        </w:rPr>
        <w:t>The Plenary may wish to consider, for approval, the proposed workplan for the task force on knowledge and data for 2017 and 2018 contained in the</w:t>
      </w:r>
      <w:r w:rsidR="00B06696">
        <w:rPr>
          <w:rFonts w:cstheme="minorHAnsi"/>
        </w:rPr>
        <w:t xml:space="preserve"> </w:t>
      </w:r>
      <w:r w:rsidRPr="00B84516">
        <w:rPr>
          <w:rFonts w:cstheme="minorHAnsi"/>
        </w:rPr>
        <w:t>annex</w:t>
      </w:r>
      <w:r w:rsidR="00B84516" w:rsidRPr="00B84516">
        <w:rPr>
          <w:rFonts w:cstheme="minorHAnsi"/>
        </w:rPr>
        <w:t>.</w:t>
      </w:r>
      <w:r w:rsidRPr="00B84516">
        <w:rPr>
          <w:rFonts w:cstheme="minorHAnsi"/>
        </w:rPr>
        <w:t xml:space="preserve"> The Plenary is also invited to provide </w:t>
      </w:r>
      <w:r w:rsidRPr="00B84516">
        <w:t>any</w:t>
      </w:r>
      <w:r w:rsidRPr="00B84516">
        <w:rPr>
          <w:rFonts w:cstheme="minorHAnsi"/>
        </w:rPr>
        <w:t xml:space="preserve"> comments and guidance on the implementation of th</w:t>
      </w:r>
      <w:r w:rsidR="00B84516" w:rsidRPr="00B84516">
        <w:rPr>
          <w:rFonts w:cstheme="minorHAnsi"/>
        </w:rPr>
        <w:t>e</w:t>
      </w:r>
      <w:r w:rsidRPr="00B84516">
        <w:rPr>
          <w:rFonts w:cstheme="minorHAnsi"/>
        </w:rPr>
        <w:t xml:space="preserve"> workplan and, in th</w:t>
      </w:r>
      <w:r w:rsidR="00B84516" w:rsidRPr="00B84516">
        <w:rPr>
          <w:rFonts w:cstheme="minorHAnsi"/>
        </w:rPr>
        <w:t>at</w:t>
      </w:r>
      <w:r>
        <w:rPr>
          <w:rFonts w:cstheme="minorHAnsi"/>
        </w:rPr>
        <w:t xml:space="preserve"> </w:t>
      </w:r>
      <w:r w:rsidR="00B84516">
        <w:rPr>
          <w:rFonts w:cstheme="minorHAnsi"/>
        </w:rPr>
        <w:t>regard</w:t>
      </w:r>
      <w:r>
        <w:rPr>
          <w:rFonts w:cstheme="minorHAnsi"/>
        </w:rPr>
        <w:t>, on the informatio</w:t>
      </w:r>
      <w:r w:rsidR="00BD24FF">
        <w:rPr>
          <w:rFonts w:cstheme="minorHAnsi"/>
        </w:rPr>
        <w:t>n contained in section I above.</w:t>
      </w:r>
    </w:p>
    <w:p w14:paraId="67B3CEDA" w14:textId="78136F7D" w:rsidR="00482357" w:rsidRDefault="006A6895">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br w:type="page"/>
      </w:r>
    </w:p>
    <w:p w14:paraId="37ADFF47" w14:textId="16A9D085" w:rsidR="009441A9" w:rsidRDefault="009441A9" w:rsidP="00EC7F01">
      <w:pPr>
        <w:pStyle w:val="ZZAnxheader"/>
        <w:rPr>
          <w:rFonts w:eastAsia="Calibri"/>
          <w:w w:val="103"/>
        </w:rPr>
      </w:pPr>
      <w:r w:rsidRPr="0058611F">
        <w:rPr>
          <w:rFonts w:eastAsia="Calibri"/>
          <w:w w:val="103"/>
        </w:rPr>
        <w:lastRenderedPageBreak/>
        <w:t>Annex</w:t>
      </w:r>
    </w:p>
    <w:p w14:paraId="29271D90" w14:textId="1CC5D555" w:rsidR="009441A9" w:rsidRPr="00EC7F01" w:rsidRDefault="009441A9" w:rsidP="00EC7F01">
      <w:pPr>
        <w:pStyle w:val="ZZAnxtitle"/>
      </w:pPr>
      <w:r w:rsidRPr="00EC7F01">
        <w:t>Proposed workplan for 2017 and 2018</w:t>
      </w:r>
    </w:p>
    <w:tbl>
      <w:tblPr>
        <w:tblW w:w="9498" w:type="dxa"/>
        <w:tblInd w:w="164" w:type="dxa"/>
        <w:tblLayout w:type="fixed"/>
        <w:tblLook w:val="04A0" w:firstRow="1" w:lastRow="0" w:firstColumn="1" w:lastColumn="0" w:noHBand="0" w:noVBand="1"/>
      </w:tblPr>
      <w:tblGrid>
        <w:gridCol w:w="2268"/>
        <w:gridCol w:w="993"/>
        <w:gridCol w:w="850"/>
        <w:gridCol w:w="992"/>
        <w:gridCol w:w="993"/>
        <w:gridCol w:w="850"/>
        <w:gridCol w:w="851"/>
        <w:gridCol w:w="850"/>
        <w:gridCol w:w="851"/>
      </w:tblGrid>
      <w:tr w:rsidR="00482357" w:rsidRPr="009F3D34" w14:paraId="4F410966" w14:textId="77777777" w:rsidTr="00EC7F01">
        <w:trPr>
          <w:tblHeader/>
        </w:trPr>
        <w:tc>
          <w:tcPr>
            <w:tcW w:w="2268" w:type="dxa"/>
            <w:tcBorders>
              <w:top w:val="single" w:sz="4" w:space="0" w:color="auto"/>
              <w:bottom w:val="single" w:sz="12" w:space="0" w:color="auto"/>
            </w:tcBorders>
            <w:vAlign w:val="center"/>
          </w:tcPr>
          <w:p w14:paraId="5CA5DDD3" w14:textId="77777777" w:rsidR="009441A9" w:rsidRPr="009F3D34" w:rsidRDefault="009441A9" w:rsidP="00EC7F01">
            <w:pPr>
              <w:pStyle w:val="Normal-pool"/>
              <w:spacing w:before="40" w:after="40"/>
              <w:jc w:val="center"/>
              <w:rPr>
                <w:rFonts w:eastAsia="SimSun"/>
                <w:i/>
                <w:sz w:val="18"/>
                <w:szCs w:val="18"/>
                <w:lang w:eastAsia="zh-CN"/>
              </w:rPr>
            </w:pPr>
            <w:r w:rsidRPr="009F3D34">
              <w:rPr>
                <w:rFonts w:eastAsia="SimSun"/>
                <w:i/>
                <w:sz w:val="18"/>
                <w:szCs w:val="18"/>
                <w:lang w:eastAsia="zh-CN"/>
              </w:rPr>
              <w:t>Activity</w:t>
            </w:r>
          </w:p>
        </w:tc>
        <w:tc>
          <w:tcPr>
            <w:tcW w:w="993" w:type="dxa"/>
            <w:tcBorders>
              <w:top w:val="single" w:sz="4" w:space="0" w:color="auto"/>
              <w:bottom w:val="single" w:sz="12" w:space="0" w:color="auto"/>
            </w:tcBorders>
            <w:vAlign w:val="bottom"/>
          </w:tcPr>
          <w:p w14:paraId="623BD08D" w14:textId="77777777" w:rsidR="009441A9" w:rsidRPr="00B06696" w:rsidRDefault="009441A9" w:rsidP="00EC7F01">
            <w:pPr>
              <w:pStyle w:val="Normal-pool"/>
              <w:spacing w:before="40" w:after="40"/>
              <w:jc w:val="center"/>
              <w:rPr>
                <w:rFonts w:eastAsia="SimSun"/>
                <w:i/>
                <w:sz w:val="18"/>
                <w:szCs w:val="18"/>
                <w:lang w:eastAsia="zh-CN"/>
              </w:rPr>
            </w:pPr>
            <w:r w:rsidRPr="00B06696">
              <w:rPr>
                <w:rFonts w:eastAsia="SimSun"/>
                <w:i/>
                <w:spacing w:val="4"/>
                <w:w w:val="103"/>
                <w:kern w:val="14"/>
                <w:sz w:val="18"/>
                <w:szCs w:val="18"/>
                <w:lang w:eastAsia="zh-CN"/>
              </w:rPr>
              <w:t>2</w:t>
            </w:r>
            <w:r w:rsidRPr="004063D7">
              <w:rPr>
                <w:rFonts w:eastAsia="SimSun"/>
                <w:i/>
                <w:spacing w:val="4"/>
                <w:w w:val="103"/>
                <w:kern w:val="14"/>
                <w:sz w:val="18"/>
                <w:szCs w:val="18"/>
                <w:lang w:eastAsia="zh-CN"/>
              </w:rPr>
              <w:t>nd</w:t>
            </w:r>
            <w:r w:rsidRPr="00B06696">
              <w:rPr>
                <w:rFonts w:eastAsia="SimSun"/>
                <w:i/>
                <w:spacing w:val="4"/>
                <w:w w:val="103"/>
                <w:kern w:val="14"/>
                <w:sz w:val="18"/>
                <w:szCs w:val="18"/>
                <w:lang w:eastAsia="zh-CN"/>
              </w:rPr>
              <w:t xml:space="preserve"> quarter 2017</w:t>
            </w:r>
          </w:p>
        </w:tc>
        <w:tc>
          <w:tcPr>
            <w:tcW w:w="850" w:type="dxa"/>
            <w:tcBorders>
              <w:top w:val="single" w:sz="4" w:space="0" w:color="auto"/>
              <w:bottom w:val="single" w:sz="12" w:space="0" w:color="auto"/>
            </w:tcBorders>
            <w:vAlign w:val="bottom"/>
          </w:tcPr>
          <w:p w14:paraId="2BBC9674" w14:textId="77777777" w:rsidR="009441A9" w:rsidRPr="00B06696" w:rsidRDefault="009441A9" w:rsidP="00EC7F01">
            <w:pPr>
              <w:pStyle w:val="Normal-pool"/>
              <w:spacing w:before="40" w:after="40"/>
              <w:jc w:val="center"/>
              <w:rPr>
                <w:rFonts w:eastAsia="SimSun"/>
                <w:i/>
                <w:sz w:val="18"/>
                <w:szCs w:val="18"/>
                <w:lang w:eastAsia="zh-CN"/>
              </w:rPr>
            </w:pPr>
            <w:r w:rsidRPr="00B06696">
              <w:rPr>
                <w:rFonts w:eastAsia="SimSun"/>
                <w:i/>
                <w:spacing w:val="4"/>
                <w:w w:val="103"/>
                <w:kern w:val="14"/>
                <w:sz w:val="18"/>
                <w:szCs w:val="18"/>
                <w:lang w:eastAsia="zh-CN"/>
              </w:rPr>
              <w:t>3rd quarter 2017</w:t>
            </w:r>
          </w:p>
        </w:tc>
        <w:tc>
          <w:tcPr>
            <w:tcW w:w="992" w:type="dxa"/>
            <w:tcBorders>
              <w:top w:val="single" w:sz="4" w:space="0" w:color="auto"/>
              <w:bottom w:val="single" w:sz="12" w:space="0" w:color="auto"/>
            </w:tcBorders>
            <w:vAlign w:val="bottom"/>
          </w:tcPr>
          <w:p w14:paraId="7CE4A2D3" w14:textId="77777777" w:rsidR="009441A9" w:rsidRPr="00B06696" w:rsidRDefault="009441A9" w:rsidP="00EC7F01">
            <w:pPr>
              <w:pStyle w:val="Normal-pool"/>
              <w:spacing w:before="40" w:after="40"/>
              <w:jc w:val="center"/>
              <w:rPr>
                <w:rFonts w:eastAsia="SimSun"/>
                <w:i/>
                <w:sz w:val="18"/>
                <w:szCs w:val="18"/>
                <w:lang w:eastAsia="zh-CN"/>
              </w:rPr>
            </w:pPr>
            <w:r w:rsidRPr="00B06696">
              <w:rPr>
                <w:rFonts w:eastAsia="SimSun"/>
                <w:i/>
                <w:spacing w:val="4"/>
                <w:w w:val="103"/>
                <w:kern w:val="14"/>
                <w:sz w:val="18"/>
                <w:szCs w:val="18"/>
                <w:lang w:eastAsia="zh-CN"/>
              </w:rPr>
              <w:t>4th quarter 2017</w:t>
            </w:r>
          </w:p>
        </w:tc>
        <w:tc>
          <w:tcPr>
            <w:tcW w:w="993" w:type="dxa"/>
            <w:tcBorders>
              <w:top w:val="single" w:sz="4" w:space="0" w:color="auto"/>
              <w:bottom w:val="single" w:sz="12" w:space="0" w:color="auto"/>
            </w:tcBorders>
            <w:vAlign w:val="bottom"/>
          </w:tcPr>
          <w:p w14:paraId="6A476BD1" w14:textId="77777777" w:rsidR="009441A9" w:rsidRPr="00B06696" w:rsidRDefault="009441A9" w:rsidP="00EC7F01">
            <w:pPr>
              <w:pStyle w:val="Normal-pool"/>
              <w:spacing w:before="40" w:after="40"/>
              <w:jc w:val="center"/>
              <w:rPr>
                <w:rFonts w:eastAsia="SimSun"/>
                <w:i/>
                <w:spacing w:val="4"/>
                <w:w w:val="103"/>
                <w:kern w:val="14"/>
                <w:sz w:val="18"/>
                <w:szCs w:val="18"/>
                <w:lang w:eastAsia="zh-CN"/>
              </w:rPr>
            </w:pPr>
            <w:r w:rsidRPr="00B06696">
              <w:rPr>
                <w:rFonts w:eastAsia="SimSun"/>
                <w:i/>
                <w:spacing w:val="4"/>
                <w:w w:val="103"/>
                <w:kern w:val="14"/>
                <w:sz w:val="18"/>
                <w:szCs w:val="18"/>
                <w:lang w:eastAsia="zh-CN"/>
              </w:rPr>
              <w:t>1st quarter 2018</w:t>
            </w:r>
          </w:p>
        </w:tc>
        <w:tc>
          <w:tcPr>
            <w:tcW w:w="850" w:type="dxa"/>
            <w:tcBorders>
              <w:top w:val="single" w:sz="4" w:space="0" w:color="auto"/>
              <w:bottom w:val="single" w:sz="12" w:space="0" w:color="auto"/>
            </w:tcBorders>
            <w:vAlign w:val="bottom"/>
          </w:tcPr>
          <w:p w14:paraId="510011CF" w14:textId="77777777" w:rsidR="009441A9" w:rsidRPr="00B06696" w:rsidRDefault="009441A9" w:rsidP="00EC7F01">
            <w:pPr>
              <w:pStyle w:val="Normal-pool"/>
              <w:spacing w:before="40" w:after="40"/>
              <w:jc w:val="center"/>
              <w:rPr>
                <w:rFonts w:eastAsia="SimSun"/>
                <w:i/>
                <w:spacing w:val="4"/>
                <w:w w:val="103"/>
                <w:kern w:val="14"/>
                <w:sz w:val="18"/>
                <w:szCs w:val="18"/>
                <w:lang w:eastAsia="zh-CN"/>
              </w:rPr>
            </w:pPr>
            <w:r w:rsidRPr="00B06696">
              <w:rPr>
                <w:rFonts w:eastAsia="SimSun"/>
                <w:i/>
                <w:spacing w:val="4"/>
                <w:w w:val="103"/>
                <w:kern w:val="14"/>
                <w:sz w:val="18"/>
                <w:szCs w:val="18"/>
                <w:lang w:eastAsia="zh-CN"/>
              </w:rPr>
              <w:t>2nd quarter 2018</w:t>
            </w:r>
          </w:p>
        </w:tc>
        <w:tc>
          <w:tcPr>
            <w:tcW w:w="851" w:type="dxa"/>
            <w:tcBorders>
              <w:top w:val="single" w:sz="4" w:space="0" w:color="auto"/>
              <w:bottom w:val="single" w:sz="12" w:space="0" w:color="auto"/>
            </w:tcBorders>
            <w:vAlign w:val="bottom"/>
          </w:tcPr>
          <w:p w14:paraId="0AB806B9" w14:textId="77777777" w:rsidR="009441A9" w:rsidRPr="00B06696" w:rsidRDefault="009441A9" w:rsidP="00EC7F01">
            <w:pPr>
              <w:pStyle w:val="Normal-pool"/>
              <w:spacing w:before="40" w:after="40"/>
              <w:jc w:val="center"/>
              <w:rPr>
                <w:rFonts w:eastAsia="SimSun"/>
                <w:i/>
                <w:spacing w:val="4"/>
                <w:w w:val="103"/>
                <w:kern w:val="14"/>
                <w:sz w:val="18"/>
                <w:szCs w:val="18"/>
                <w:lang w:eastAsia="zh-CN"/>
              </w:rPr>
            </w:pPr>
            <w:r w:rsidRPr="00B06696">
              <w:rPr>
                <w:rFonts w:eastAsia="SimSun"/>
                <w:i/>
                <w:spacing w:val="4"/>
                <w:w w:val="103"/>
                <w:kern w:val="14"/>
                <w:sz w:val="18"/>
                <w:szCs w:val="18"/>
                <w:lang w:eastAsia="zh-CN"/>
              </w:rPr>
              <w:t>3rd quarter 2018</w:t>
            </w:r>
          </w:p>
        </w:tc>
        <w:tc>
          <w:tcPr>
            <w:tcW w:w="850" w:type="dxa"/>
            <w:tcBorders>
              <w:top w:val="single" w:sz="4" w:space="0" w:color="auto"/>
              <w:bottom w:val="single" w:sz="12" w:space="0" w:color="auto"/>
            </w:tcBorders>
            <w:vAlign w:val="bottom"/>
          </w:tcPr>
          <w:p w14:paraId="50E6967C" w14:textId="77777777" w:rsidR="009441A9" w:rsidRPr="00B06696" w:rsidRDefault="009441A9" w:rsidP="00EC7F01">
            <w:pPr>
              <w:pStyle w:val="Normal-pool"/>
              <w:spacing w:before="40" w:after="40"/>
              <w:jc w:val="center"/>
              <w:rPr>
                <w:rFonts w:eastAsia="SimSun"/>
                <w:i/>
                <w:spacing w:val="4"/>
                <w:w w:val="103"/>
                <w:kern w:val="14"/>
                <w:sz w:val="18"/>
                <w:szCs w:val="18"/>
                <w:lang w:eastAsia="zh-CN"/>
              </w:rPr>
            </w:pPr>
            <w:r w:rsidRPr="00B06696">
              <w:rPr>
                <w:rFonts w:eastAsia="SimSun"/>
                <w:i/>
                <w:spacing w:val="4"/>
                <w:w w:val="103"/>
                <w:kern w:val="14"/>
                <w:sz w:val="18"/>
                <w:szCs w:val="18"/>
                <w:lang w:eastAsia="zh-CN"/>
              </w:rPr>
              <w:t>4th quarter 2018</w:t>
            </w:r>
          </w:p>
        </w:tc>
        <w:tc>
          <w:tcPr>
            <w:tcW w:w="851" w:type="dxa"/>
            <w:tcBorders>
              <w:top w:val="single" w:sz="4" w:space="0" w:color="auto"/>
              <w:bottom w:val="single" w:sz="12" w:space="0" w:color="auto"/>
            </w:tcBorders>
            <w:vAlign w:val="bottom"/>
          </w:tcPr>
          <w:p w14:paraId="3928047D" w14:textId="77777777" w:rsidR="009441A9" w:rsidRPr="00B06696" w:rsidRDefault="009441A9" w:rsidP="00EC7F01">
            <w:pPr>
              <w:pStyle w:val="Normal-pool"/>
              <w:spacing w:before="40" w:after="40"/>
              <w:jc w:val="center"/>
              <w:rPr>
                <w:rFonts w:eastAsia="SimSun"/>
                <w:i/>
                <w:spacing w:val="4"/>
                <w:w w:val="103"/>
                <w:kern w:val="14"/>
                <w:sz w:val="18"/>
                <w:szCs w:val="18"/>
                <w:lang w:eastAsia="zh-CN"/>
              </w:rPr>
            </w:pPr>
            <w:r w:rsidRPr="00B06696">
              <w:rPr>
                <w:rFonts w:eastAsia="SimSun"/>
                <w:i/>
                <w:spacing w:val="4"/>
                <w:w w:val="103"/>
                <w:kern w:val="14"/>
                <w:sz w:val="18"/>
                <w:szCs w:val="18"/>
                <w:lang w:eastAsia="zh-CN"/>
              </w:rPr>
              <w:t>1st quarter 2019</w:t>
            </w:r>
          </w:p>
        </w:tc>
      </w:tr>
      <w:tr w:rsidR="00EC7F01" w:rsidRPr="009F3D34" w14:paraId="267E881A" w14:textId="77777777" w:rsidTr="00EC7F01">
        <w:tc>
          <w:tcPr>
            <w:tcW w:w="2268" w:type="dxa"/>
            <w:tcBorders>
              <w:top w:val="single" w:sz="12" w:space="0" w:color="auto"/>
            </w:tcBorders>
            <w:vAlign w:val="center"/>
          </w:tcPr>
          <w:p w14:paraId="0D126DAB" w14:textId="277CDDCC" w:rsidR="009441A9" w:rsidRPr="009F3D34" w:rsidRDefault="009441A9" w:rsidP="00EC7F01">
            <w:pPr>
              <w:pStyle w:val="Normal-pool"/>
              <w:spacing w:before="40" w:after="40"/>
              <w:rPr>
                <w:rFonts w:eastAsia="SimSun"/>
                <w:sz w:val="18"/>
                <w:szCs w:val="18"/>
                <w:lang w:eastAsia="zh-CN"/>
              </w:rPr>
            </w:pPr>
            <w:r w:rsidRPr="009F3D34">
              <w:rPr>
                <w:rFonts w:eastAsia="SimSun"/>
                <w:sz w:val="18"/>
                <w:szCs w:val="18"/>
                <w:lang w:eastAsia="zh-CN"/>
              </w:rPr>
              <w:t xml:space="preserve">Support to experts </w:t>
            </w:r>
            <w:r w:rsidR="00B84516">
              <w:rPr>
                <w:rFonts w:eastAsia="SimSun"/>
                <w:sz w:val="18"/>
                <w:szCs w:val="18"/>
                <w:lang w:eastAsia="zh-CN"/>
              </w:rPr>
              <w:t>working on</w:t>
            </w:r>
            <w:r w:rsidR="00B84516" w:rsidRPr="009F3D34">
              <w:rPr>
                <w:rFonts w:eastAsia="SimSun"/>
                <w:sz w:val="18"/>
                <w:szCs w:val="18"/>
                <w:lang w:eastAsia="zh-CN"/>
              </w:rPr>
              <w:t xml:space="preserve"> </w:t>
            </w:r>
            <w:r w:rsidRPr="009F3D34">
              <w:rPr>
                <w:rFonts w:eastAsia="SimSun"/>
                <w:sz w:val="18"/>
                <w:szCs w:val="18"/>
                <w:lang w:eastAsia="zh-CN"/>
              </w:rPr>
              <w:t xml:space="preserve">assessments regarding </w:t>
            </w:r>
            <w:r w:rsidR="00B84516">
              <w:rPr>
                <w:rFonts w:eastAsia="SimSun"/>
                <w:sz w:val="18"/>
                <w:szCs w:val="18"/>
                <w:lang w:eastAsia="zh-CN"/>
              </w:rPr>
              <w:t xml:space="preserve">the </w:t>
            </w:r>
            <w:r w:rsidRPr="009F3D34">
              <w:rPr>
                <w:rFonts w:eastAsia="SimSun"/>
                <w:sz w:val="18"/>
                <w:szCs w:val="18"/>
                <w:lang w:eastAsia="zh-CN"/>
              </w:rPr>
              <w:t>selection and use of indicators, metrics and related data</w:t>
            </w:r>
          </w:p>
        </w:tc>
        <w:tc>
          <w:tcPr>
            <w:tcW w:w="993" w:type="dxa"/>
            <w:tcBorders>
              <w:top w:val="single" w:sz="12" w:space="0" w:color="auto"/>
            </w:tcBorders>
            <w:shd w:val="clear" w:color="auto" w:fill="D9D9D9" w:themeFill="background1" w:themeFillShade="D9"/>
            <w:vAlign w:val="center"/>
          </w:tcPr>
          <w:p w14:paraId="1705E3E8"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tcBorders>
              <w:top w:val="single" w:sz="12" w:space="0" w:color="auto"/>
            </w:tcBorders>
            <w:shd w:val="clear" w:color="auto" w:fill="D9D9D9" w:themeFill="background1" w:themeFillShade="D9"/>
            <w:vAlign w:val="center"/>
          </w:tcPr>
          <w:p w14:paraId="58050A41"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992" w:type="dxa"/>
            <w:tcBorders>
              <w:top w:val="single" w:sz="12" w:space="0" w:color="auto"/>
            </w:tcBorders>
            <w:shd w:val="clear" w:color="auto" w:fill="D9D9D9" w:themeFill="background1" w:themeFillShade="D9"/>
            <w:vAlign w:val="center"/>
          </w:tcPr>
          <w:p w14:paraId="54674AAF"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993" w:type="dxa"/>
            <w:tcBorders>
              <w:top w:val="single" w:sz="12" w:space="0" w:color="auto"/>
            </w:tcBorders>
            <w:shd w:val="clear" w:color="auto" w:fill="D9D9D9" w:themeFill="background1" w:themeFillShade="D9"/>
            <w:vAlign w:val="center"/>
          </w:tcPr>
          <w:p w14:paraId="19A90B12"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tcBorders>
              <w:top w:val="single" w:sz="12" w:space="0" w:color="auto"/>
            </w:tcBorders>
            <w:shd w:val="clear" w:color="auto" w:fill="D9D9D9" w:themeFill="background1" w:themeFillShade="D9"/>
            <w:vAlign w:val="center"/>
          </w:tcPr>
          <w:p w14:paraId="051A6FCF"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tcBorders>
              <w:top w:val="single" w:sz="12" w:space="0" w:color="auto"/>
            </w:tcBorders>
            <w:shd w:val="clear" w:color="auto" w:fill="D9D9D9" w:themeFill="background1" w:themeFillShade="D9"/>
            <w:vAlign w:val="center"/>
          </w:tcPr>
          <w:p w14:paraId="62400980"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tcBorders>
              <w:top w:val="single" w:sz="12" w:space="0" w:color="auto"/>
            </w:tcBorders>
            <w:shd w:val="clear" w:color="auto" w:fill="D9D9D9" w:themeFill="background1" w:themeFillShade="D9"/>
            <w:vAlign w:val="center"/>
          </w:tcPr>
          <w:p w14:paraId="4DB96145"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tcBorders>
              <w:top w:val="single" w:sz="12" w:space="0" w:color="auto"/>
            </w:tcBorders>
            <w:shd w:val="clear" w:color="auto" w:fill="D9D9D9" w:themeFill="background1" w:themeFillShade="D9"/>
            <w:vAlign w:val="center"/>
          </w:tcPr>
          <w:p w14:paraId="5BD571E0"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r>
      <w:tr w:rsidR="00482357" w:rsidRPr="009F3D34" w14:paraId="193D8035" w14:textId="77777777" w:rsidTr="00EC7F01">
        <w:tc>
          <w:tcPr>
            <w:tcW w:w="2268" w:type="dxa"/>
            <w:vAlign w:val="center"/>
          </w:tcPr>
          <w:p w14:paraId="5F380C3C" w14:textId="77777777" w:rsidR="009441A9" w:rsidRPr="009F3D34" w:rsidRDefault="009441A9" w:rsidP="00EC7F01">
            <w:pPr>
              <w:pStyle w:val="Normal-pool"/>
              <w:spacing w:before="40" w:after="40"/>
              <w:rPr>
                <w:rFonts w:eastAsia="SimSun"/>
                <w:sz w:val="18"/>
                <w:szCs w:val="18"/>
                <w:lang w:eastAsia="zh-CN"/>
              </w:rPr>
            </w:pPr>
            <w:r w:rsidRPr="009F3D34">
              <w:rPr>
                <w:rFonts w:eastAsia="SimSun"/>
                <w:sz w:val="18"/>
                <w:szCs w:val="18"/>
                <w:lang w:eastAsia="zh-CN"/>
              </w:rPr>
              <w:t>Survey regarding the utility of the web-based infrastructure and its further refinement</w:t>
            </w:r>
          </w:p>
        </w:tc>
        <w:tc>
          <w:tcPr>
            <w:tcW w:w="993" w:type="dxa"/>
            <w:shd w:val="clear" w:color="auto" w:fill="D9D9D9" w:themeFill="background1" w:themeFillShade="D9"/>
            <w:vAlign w:val="center"/>
          </w:tcPr>
          <w:p w14:paraId="043A3BE2"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D9D9D9" w:themeFill="background1" w:themeFillShade="D9"/>
            <w:vAlign w:val="center"/>
          </w:tcPr>
          <w:p w14:paraId="4917F7A9" w14:textId="77777777" w:rsidR="009441A9" w:rsidRPr="009F3D34" w:rsidRDefault="009441A9" w:rsidP="00EC7F01">
            <w:pPr>
              <w:pStyle w:val="Normal-pool"/>
              <w:spacing w:before="40" w:after="40"/>
              <w:jc w:val="center"/>
              <w:rPr>
                <w:rFonts w:eastAsia="SimSun"/>
                <w:sz w:val="18"/>
                <w:szCs w:val="18"/>
                <w:lang w:eastAsia="zh-CN"/>
              </w:rPr>
            </w:pPr>
            <w:r w:rsidRPr="009F3D34">
              <w:rPr>
                <w:rFonts w:eastAsia="SimSun"/>
                <w:sz w:val="18"/>
                <w:szCs w:val="18"/>
                <w:lang w:eastAsia="zh-CN"/>
              </w:rPr>
              <w:t>x</w:t>
            </w:r>
          </w:p>
        </w:tc>
        <w:tc>
          <w:tcPr>
            <w:tcW w:w="992" w:type="dxa"/>
            <w:shd w:val="clear" w:color="auto" w:fill="D9D9D9" w:themeFill="background1" w:themeFillShade="D9"/>
            <w:vAlign w:val="center"/>
          </w:tcPr>
          <w:p w14:paraId="3784EED4"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993" w:type="dxa"/>
          </w:tcPr>
          <w:p w14:paraId="01CB0C18"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0" w:type="dxa"/>
          </w:tcPr>
          <w:p w14:paraId="659B965C"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1" w:type="dxa"/>
          </w:tcPr>
          <w:p w14:paraId="1CE4369F"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0" w:type="dxa"/>
          </w:tcPr>
          <w:p w14:paraId="7A102B27"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1" w:type="dxa"/>
          </w:tcPr>
          <w:p w14:paraId="59547C9D"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r>
      <w:tr w:rsidR="00EC7F01" w:rsidRPr="009F3D34" w14:paraId="4BED464C" w14:textId="77777777" w:rsidTr="00EC7F01">
        <w:tc>
          <w:tcPr>
            <w:tcW w:w="2268" w:type="dxa"/>
            <w:vAlign w:val="center"/>
          </w:tcPr>
          <w:p w14:paraId="676C3DAE" w14:textId="77777777" w:rsidR="009441A9" w:rsidRPr="009F3D34" w:rsidRDefault="009441A9" w:rsidP="00EC7F01">
            <w:pPr>
              <w:pStyle w:val="Normal-pool"/>
              <w:spacing w:before="40" w:after="40"/>
              <w:rPr>
                <w:rFonts w:eastAsia="SimSun"/>
                <w:sz w:val="18"/>
                <w:szCs w:val="18"/>
                <w:lang w:eastAsia="zh-CN"/>
              </w:rPr>
            </w:pPr>
            <w:r w:rsidRPr="009F3D34">
              <w:rPr>
                <w:rFonts w:eastAsia="SimSun"/>
                <w:sz w:val="18"/>
                <w:szCs w:val="18"/>
                <w:lang w:eastAsia="zh-CN"/>
              </w:rPr>
              <w:t>Update of the web-based infrastructure with finalized IPBES products</w:t>
            </w:r>
          </w:p>
        </w:tc>
        <w:tc>
          <w:tcPr>
            <w:tcW w:w="993" w:type="dxa"/>
            <w:shd w:val="clear" w:color="auto" w:fill="D9D9D9" w:themeFill="background1" w:themeFillShade="D9"/>
            <w:vAlign w:val="center"/>
          </w:tcPr>
          <w:p w14:paraId="3E87208A"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D9D9D9" w:themeFill="background1" w:themeFillShade="D9"/>
            <w:vAlign w:val="center"/>
          </w:tcPr>
          <w:p w14:paraId="60F8304A" w14:textId="77777777" w:rsidR="009441A9" w:rsidRPr="009F3D34" w:rsidRDefault="009441A9" w:rsidP="00EC7F01">
            <w:pPr>
              <w:pStyle w:val="Normal-pool"/>
              <w:spacing w:before="40" w:after="40"/>
              <w:jc w:val="center"/>
              <w:rPr>
                <w:rFonts w:eastAsia="SimSun"/>
                <w:sz w:val="18"/>
                <w:szCs w:val="18"/>
                <w:lang w:eastAsia="zh-CN"/>
              </w:rPr>
            </w:pPr>
            <w:r w:rsidRPr="009F3D34">
              <w:rPr>
                <w:rFonts w:eastAsia="SimSun"/>
                <w:sz w:val="18"/>
                <w:szCs w:val="18"/>
                <w:lang w:eastAsia="zh-CN"/>
              </w:rPr>
              <w:t>x</w:t>
            </w:r>
          </w:p>
        </w:tc>
        <w:tc>
          <w:tcPr>
            <w:tcW w:w="992" w:type="dxa"/>
            <w:shd w:val="clear" w:color="auto" w:fill="D9D9D9" w:themeFill="background1" w:themeFillShade="D9"/>
            <w:vAlign w:val="center"/>
          </w:tcPr>
          <w:p w14:paraId="2C615EC6"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993" w:type="dxa"/>
            <w:shd w:val="clear" w:color="auto" w:fill="D9D9D9" w:themeFill="background1" w:themeFillShade="D9"/>
            <w:vAlign w:val="center"/>
          </w:tcPr>
          <w:p w14:paraId="2E7DAE3E"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D9D9D9" w:themeFill="background1" w:themeFillShade="D9"/>
            <w:vAlign w:val="center"/>
          </w:tcPr>
          <w:p w14:paraId="269251F9" w14:textId="02FD7A02"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shd w:val="clear" w:color="auto" w:fill="D9D9D9" w:themeFill="background1" w:themeFillShade="D9"/>
            <w:vAlign w:val="center"/>
          </w:tcPr>
          <w:p w14:paraId="565F81F1"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D9D9D9" w:themeFill="background1" w:themeFillShade="D9"/>
            <w:vAlign w:val="center"/>
          </w:tcPr>
          <w:p w14:paraId="2908D524"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shd w:val="clear" w:color="auto" w:fill="D9D9D9" w:themeFill="background1" w:themeFillShade="D9"/>
            <w:vAlign w:val="center"/>
          </w:tcPr>
          <w:p w14:paraId="52E590B5"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r>
      <w:tr w:rsidR="00EC7F01" w:rsidRPr="009F3D34" w14:paraId="5B3E75E9" w14:textId="77777777" w:rsidTr="00EC7F01">
        <w:tc>
          <w:tcPr>
            <w:tcW w:w="2268" w:type="dxa"/>
            <w:vAlign w:val="center"/>
          </w:tcPr>
          <w:p w14:paraId="68AEA394" w14:textId="7C559ADF" w:rsidR="009441A9" w:rsidRPr="009F3D34" w:rsidRDefault="009441A9" w:rsidP="00EC7F01">
            <w:pPr>
              <w:pStyle w:val="Normal-pool"/>
              <w:spacing w:before="40" w:after="40"/>
              <w:rPr>
                <w:rFonts w:eastAsia="SimSun"/>
                <w:sz w:val="18"/>
                <w:szCs w:val="18"/>
                <w:lang w:eastAsia="zh-CN"/>
              </w:rPr>
            </w:pPr>
            <w:r w:rsidRPr="009F3D34">
              <w:rPr>
                <w:rFonts w:eastAsia="SimSun"/>
                <w:sz w:val="18"/>
                <w:szCs w:val="18"/>
                <w:lang w:eastAsia="zh-CN"/>
              </w:rPr>
              <w:t xml:space="preserve">Development of the web-based infrastructure into a repository of key resources </w:t>
            </w:r>
            <w:r w:rsidR="00B84516">
              <w:rPr>
                <w:rFonts w:eastAsia="SimSun"/>
                <w:sz w:val="18"/>
                <w:szCs w:val="18"/>
                <w:lang w:eastAsia="zh-CN"/>
              </w:rPr>
              <w:t>pertaining</w:t>
            </w:r>
            <w:r w:rsidR="00B84516" w:rsidRPr="009F3D34">
              <w:rPr>
                <w:rFonts w:eastAsia="SimSun"/>
                <w:sz w:val="18"/>
                <w:szCs w:val="18"/>
                <w:lang w:eastAsia="zh-CN"/>
              </w:rPr>
              <w:t xml:space="preserve"> </w:t>
            </w:r>
            <w:r w:rsidRPr="009F3D34">
              <w:rPr>
                <w:rFonts w:eastAsia="SimSun"/>
                <w:sz w:val="18"/>
                <w:szCs w:val="18"/>
                <w:lang w:eastAsia="zh-CN"/>
              </w:rPr>
              <w:t>to IPBES deliverables</w:t>
            </w:r>
          </w:p>
        </w:tc>
        <w:tc>
          <w:tcPr>
            <w:tcW w:w="993" w:type="dxa"/>
          </w:tcPr>
          <w:p w14:paraId="0EC65A08"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0" w:type="dxa"/>
            <w:shd w:val="clear" w:color="auto" w:fill="D9D9D9" w:themeFill="background1" w:themeFillShade="D9"/>
            <w:vAlign w:val="center"/>
          </w:tcPr>
          <w:p w14:paraId="6A78A2A5" w14:textId="77777777" w:rsidR="009441A9" w:rsidRPr="009F3D34" w:rsidRDefault="009441A9" w:rsidP="00EC7F01">
            <w:pPr>
              <w:pStyle w:val="Normal-pool"/>
              <w:spacing w:before="40" w:after="40"/>
              <w:jc w:val="center"/>
              <w:rPr>
                <w:rFonts w:eastAsia="SimSun"/>
                <w:sz w:val="18"/>
                <w:szCs w:val="18"/>
                <w:lang w:eastAsia="zh-CN"/>
              </w:rPr>
            </w:pPr>
            <w:r w:rsidRPr="009F3D34">
              <w:rPr>
                <w:rFonts w:eastAsia="SimSun"/>
                <w:sz w:val="18"/>
                <w:szCs w:val="18"/>
                <w:lang w:eastAsia="zh-CN"/>
              </w:rPr>
              <w:t>x</w:t>
            </w:r>
          </w:p>
        </w:tc>
        <w:tc>
          <w:tcPr>
            <w:tcW w:w="992" w:type="dxa"/>
            <w:shd w:val="clear" w:color="auto" w:fill="D9D9D9" w:themeFill="background1" w:themeFillShade="D9"/>
            <w:vAlign w:val="center"/>
          </w:tcPr>
          <w:p w14:paraId="3104878F"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993" w:type="dxa"/>
            <w:shd w:val="clear" w:color="auto" w:fill="D9D9D9" w:themeFill="background1" w:themeFillShade="D9"/>
            <w:vAlign w:val="center"/>
          </w:tcPr>
          <w:p w14:paraId="15D136D8"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D9D9D9" w:themeFill="background1" w:themeFillShade="D9"/>
            <w:vAlign w:val="center"/>
          </w:tcPr>
          <w:p w14:paraId="1631B14C"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shd w:val="clear" w:color="auto" w:fill="D9D9D9" w:themeFill="background1" w:themeFillShade="D9"/>
            <w:vAlign w:val="center"/>
          </w:tcPr>
          <w:p w14:paraId="0B6B6643"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D9D9D9" w:themeFill="background1" w:themeFillShade="D9"/>
            <w:vAlign w:val="center"/>
          </w:tcPr>
          <w:p w14:paraId="323ECDEA"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shd w:val="clear" w:color="auto" w:fill="D9D9D9" w:themeFill="background1" w:themeFillShade="D9"/>
            <w:vAlign w:val="center"/>
          </w:tcPr>
          <w:p w14:paraId="2E6E5EFA"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r>
      <w:tr w:rsidR="00482357" w:rsidRPr="009F3D34" w14:paraId="5287374B" w14:textId="77777777" w:rsidTr="00EC7F01">
        <w:tc>
          <w:tcPr>
            <w:tcW w:w="2268" w:type="dxa"/>
            <w:vAlign w:val="center"/>
          </w:tcPr>
          <w:p w14:paraId="063E445D" w14:textId="77777777" w:rsidR="009441A9" w:rsidRPr="009F3D34" w:rsidRDefault="009441A9" w:rsidP="00EC7F01">
            <w:pPr>
              <w:pStyle w:val="Normal-pool"/>
              <w:spacing w:before="40" w:after="40"/>
              <w:rPr>
                <w:rFonts w:eastAsia="SimSun"/>
                <w:sz w:val="18"/>
                <w:szCs w:val="18"/>
                <w:lang w:eastAsia="zh-CN"/>
              </w:rPr>
            </w:pPr>
            <w:r w:rsidRPr="009F3D34">
              <w:rPr>
                <w:rFonts w:eastAsia="SimSun"/>
                <w:sz w:val="18"/>
                <w:szCs w:val="18"/>
                <w:lang w:eastAsia="zh-CN"/>
              </w:rPr>
              <w:t>Identification of research gaps emerging in the context of ongoing and completed assessments</w:t>
            </w:r>
          </w:p>
        </w:tc>
        <w:tc>
          <w:tcPr>
            <w:tcW w:w="993" w:type="dxa"/>
            <w:shd w:val="clear" w:color="auto" w:fill="D9D9D9" w:themeFill="background1" w:themeFillShade="D9"/>
            <w:vAlign w:val="center"/>
          </w:tcPr>
          <w:p w14:paraId="1DD159A9"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auto"/>
            <w:vAlign w:val="center"/>
          </w:tcPr>
          <w:p w14:paraId="036972E1" w14:textId="77777777" w:rsidR="009441A9" w:rsidRPr="009F3D34" w:rsidRDefault="009441A9" w:rsidP="00EC7F01">
            <w:pPr>
              <w:pStyle w:val="Normal-pool"/>
              <w:spacing w:before="40" w:after="40"/>
              <w:jc w:val="center"/>
              <w:rPr>
                <w:rFonts w:eastAsia="SimSun"/>
                <w:sz w:val="18"/>
                <w:szCs w:val="18"/>
                <w:lang w:eastAsia="zh-CN"/>
              </w:rPr>
            </w:pPr>
          </w:p>
        </w:tc>
        <w:tc>
          <w:tcPr>
            <w:tcW w:w="992" w:type="dxa"/>
            <w:shd w:val="clear" w:color="auto" w:fill="auto"/>
            <w:vAlign w:val="center"/>
          </w:tcPr>
          <w:p w14:paraId="7F68C3FA"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993" w:type="dxa"/>
            <w:shd w:val="clear" w:color="auto" w:fill="auto"/>
            <w:vAlign w:val="center"/>
          </w:tcPr>
          <w:p w14:paraId="71334E65"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0" w:type="dxa"/>
            <w:shd w:val="clear" w:color="auto" w:fill="D9D9D9" w:themeFill="background1" w:themeFillShade="D9"/>
            <w:vAlign w:val="center"/>
          </w:tcPr>
          <w:p w14:paraId="58536D34"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shd w:val="clear" w:color="auto" w:fill="auto"/>
            <w:vAlign w:val="center"/>
          </w:tcPr>
          <w:p w14:paraId="13914F1E"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0" w:type="dxa"/>
            <w:shd w:val="clear" w:color="auto" w:fill="auto"/>
            <w:vAlign w:val="center"/>
          </w:tcPr>
          <w:p w14:paraId="4894E29A"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1" w:type="dxa"/>
            <w:shd w:val="clear" w:color="auto" w:fill="auto"/>
            <w:vAlign w:val="center"/>
          </w:tcPr>
          <w:p w14:paraId="12C60A56"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r>
      <w:tr w:rsidR="00482357" w:rsidRPr="009F3D34" w14:paraId="63F93B98" w14:textId="77777777" w:rsidTr="00EC7F01">
        <w:tc>
          <w:tcPr>
            <w:tcW w:w="2268" w:type="dxa"/>
            <w:vAlign w:val="center"/>
          </w:tcPr>
          <w:p w14:paraId="28611EF9" w14:textId="77777777" w:rsidR="009441A9" w:rsidRPr="009F3D34" w:rsidRDefault="009441A9" w:rsidP="00EC7F01">
            <w:pPr>
              <w:pStyle w:val="Normal-pool"/>
              <w:spacing w:before="40" w:after="40"/>
              <w:rPr>
                <w:rFonts w:eastAsia="SimSun"/>
                <w:sz w:val="18"/>
                <w:szCs w:val="18"/>
                <w:lang w:eastAsia="zh-CN"/>
              </w:rPr>
            </w:pPr>
            <w:r w:rsidRPr="009F3D34">
              <w:rPr>
                <w:rFonts w:eastAsia="SimSun"/>
                <w:sz w:val="18"/>
                <w:szCs w:val="18"/>
                <w:lang w:eastAsia="zh-CN"/>
              </w:rPr>
              <w:t xml:space="preserve">Consultation on suggested priority areas for knowledge generation </w:t>
            </w:r>
          </w:p>
        </w:tc>
        <w:tc>
          <w:tcPr>
            <w:tcW w:w="993" w:type="dxa"/>
            <w:shd w:val="clear" w:color="auto" w:fill="auto"/>
            <w:vAlign w:val="center"/>
          </w:tcPr>
          <w:p w14:paraId="30EE116C"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shd w:val="clear" w:color="auto" w:fill="D9D9D9" w:themeFill="background1" w:themeFillShade="D9"/>
            <w:vAlign w:val="center"/>
          </w:tcPr>
          <w:p w14:paraId="381F2358" w14:textId="77777777" w:rsidR="009441A9" w:rsidRPr="009F3D34" w:rsidRDefault="009441A9" w:rsidP="00EC7F01">
            <w:pPr>
              <w:pStyle w:val="Normal-pool"/>
              <w:spacing w:before="40" w:after="40"/>
              <w:jc w:val="center"/>
              <w:rPr>
                <w:rFonts w:eastAsia="SimSun"/>
                <w:sz w:val="18"/>
                <w:szCs w:val="18"/>
                <w:lang w:eastAsia="zh-CN"/>
              </w:rPr>
            </w:pPr>
            <w:r w:rsidRPr="009F3D34">
              <w:rPr>
                <w:rFonts w:eastAsia="SimSun"/>
                <w:sz w:val="18"/>
                <w:szCs w:val="18"/>
                <w:lang w:eastAsia="zh-CN"/>
              </w:rPr>
              <w:t>x</w:t>
            </w:r>
          </w:p>
        </w:tc>
        <w:tc>
          <w:tcPr>
            <w:tcW w:w="992" w:type="dxa"/>
          </w:tcPr>
          <w:p w14:paraId="1D9BA8E8"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993" w:type="dxa"/>
          </w:tcPr>
          <w:p w14:paraId="77ABA01F"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0" w:type="dxa"/>
          </w:tcPr>
          <w:p w14:paraId="0E2ACF48"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1" w:type="dxa"/>
            <w:shd w:val="clear" w:color="auto" w:fill="D9D9D9" w:themeFill="background1" w:themeFillShade="D9"/>
            <w:vAlign w:val="center"/>
          </w:tcPr>
          <w:p w14:paraId="1B5EC71D"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vAlign w:val="center"/>
          </w:tcPr>
          <w:p w14:paraId="1E0961BA"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1" w:type="dxa"/>
            <w:vAlign w:val="center"/>
          </w:tcPr>
          <w:p w14:paraId="68F6ED44"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r>
      <w:tr w:rsidR="00EC7F01" w:rsidRPr="009F3D34" w14:paraId="7DE02E8E" w14:textId="77777777" w:rsidTr="00EC7F01">
        <w:tc>
          <w:tcPr>
            <w:tcW w:w="2268" w:type="dxa"/>
          </w:tcPr>
          <w:p w14:paraId="6B7013A7" w14:textId="190667C6" w:rsidR="009441A9" w:rsidRPr="009F3D34" w:rsidRDefault="009441A9" w:rsidP="00EC7F01">
            <w:pPr>
              <w:pStyle w:val="Normal-pool"/>
              <w:spacing w:before="40" w:after="40"/>
              <w:rPr>
                <w:rFonts w:eastAsia="SimSun"/>
                <w:sz w:val="18"/>
                <w:szCs w:val="18"/>
                <w:lang w:eastAsia="zh-CN"/>
              </w:rPr>
            </w:pPr>
            <w:r w:rsidRPr="009F3D34">
              <w:rPr>
                <w:rFonts w:eastAsia="SimSun"/>
                <w:sz w:val="18"/>
                <w:szCs w:val="18"/>
                <w:lang w:eastAsia="zh-CN"/>
              </w:rPr>
              <w:t>Engagement with potential research funding organizations on priority areas for knowledge generation</w:t>
            </w:r>
          </w:p>
        </w:tc>
        <w:tc>
          <w:tcPr>
            <w:tcW w:w="993" w:type="dxa"/>
          </w:tcPr>
          <w:p w14:paraId="45AEDAEA" w14:textId="314E9A02" w:rsidR="009441A9" w:rsidRPr="009F3D34" w:rsidRDefault="009441A9" w:rsidP="00EC7F01">
            <w:pPr>
              <w:pStyle w:val="Normal-pool"/>
              <w:spacing w:before="40" w:after="40"/>
              <w:jc w:val="center"/>
              <w:rPr>
                <w:rFonts w:eastAsia="SimSun"/>
                <w:sz w:val="18"/>
                <w:szCs w:val="18"/>
                <w:lang w:eastAsia="zh-CN"/>
              </w:rPr>
            </w:pPr>
          </w:p>
        </w:tc>
        <w:tc>
          <w:tcPr>
            <w:tcW w:w="850" w:type="dxa"/>
            <w:shd w:val="clear" w:color="auto" w:fill="FFFFFF" w:themeFill="background1"/>
            <w:vAlign w:val="center"/>
          </w:tcPr>
          <w:p w14:paraId="6011168D" w14:textId="77777777" w:rsidR="009441A9" w:rsidRPr="009F3D34" w:rsidRDefault="009441A9" w:rsidP="00EC7F01">
            <w:pPr>
              <w:pStyle w:val="Normal-pool"/>
              <w:spacing w:before="40" w:after="40"/>
              <w:jc w:val="center"/>
              <w:rPr>
                <w:rFonts w:eastAsia="SimSun"/>
                <w:b/>
                <w:i/>
                <w:sz w:val="18"/>
                <w:szCs w:val="18"/>
                <w:lang w:eastAsia="zh-CN"/>
              </w:rPr>
            </w:pPr>
          </w:p>
        </w:tc>
        <w:tc>
          <w:tcPr>
            <w:tcW w:w="992" w:type="dxa"/>
            <w:shd w:val="clear" w:color="auto" w:fill="D9D9D9" w:themeFill="background1" w:themeFillShade="D9"/>
            <w:vAlign w:val="center"/>
          </w:tcPr>
          <w:p w14:paraId="0A9B0D5F" w14:textId="0B9D5CA9" w:rsidR="009441A9" w:rsidRPr="009F3D34" w:rsidRDefault="009441A9" w:rsidP="00EC7F01">
            <w:pPr>
              <w:pStyle w:val="Normal-pool"/>
              <w:spacing w:before="40" w:after="40"/>
              <w:jc w:val="center"/>
              <w:rPr>
                <w:rFonts w:eastAsia="SimSun"/>
                <w:sz w:val="18"/>
                <w:szCs w:val="18"/>
                <w:lang w:eastAsia="zh-CN"/>
              </w:rPr>
            </w:pPr>
            <w:r w:rsidRPr="009F3D34">
              <w:rPr>
                <w:rFonts w:eastAsia="SimSun"/>
                <w:sz w:val="18"/>
                <w:szCs w:val="18"/>
                <w:lang w:eastAsia="zh-CN"/>
              </w:rPr>
              <w:t>x</w:t>
            </w:r>
          </w:p>
        </w:tc>
        <w:tc>
          <w:tcPr>
            <w:tcW w:w="993" w:type="dxa"/>
            <w:shd w:val="clear" w:color="auto" w:fill="D9D9D9" w:themeFill="background1" w:themeFillShade="D9"/>
            <w:vAlign w:val="center"/>
          </w:tcPr>
          <w:p w14:paraId="795CA96F" w14:textId="1059A424"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z w:val="18"/>
                <w:szCs w:val="18"/>
                <w:lang w:eastAsia="zh-CN"/>
              </w:rPr>
              <w:t>x</w:t>
            </w:r>
          </w:p>
        </w:tc>
        <w:tc>
          <w:tcPr>
            <w:tcW w:w="850" w:type="dxa"/>
          </w:tcPr>
          <w:p w14:paraId="72DD02CE"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1" w:type="dxa"/>
            <w:vAlign w:val="center"/>
          </w:tcPr>
          <w:p w14:paraId="23C17FDD"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p>
        </w:tc>
        <w:tc>
          <w:tcPr>
            <w:tcW w:w="850" w:type="dxa"/>
            <w:shd w:val="clear" w:color="auto" w:fill="D9D9D9" w:themeFill="background1" w:themeFillShade="D9"/>
            <w:vAlign w:val="center"/>
          </w:tcPr>
          <w:p w14:paraId="515311D5"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shd w:val="clear" w:color="auto" w:fill="D9D9D9" w:themeFill="background1" w:themeFillShade="D9"/>
            <w:vAlign w:val="center"/>
          </w:tcPr>
          <w:p w14:paraId="7ADFFC54"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r>
      <w:tr w:rsidR="00EC7F01" w:rsidRPr="009F3D34" w:rsidDel="001E184E" w14:paraId="552249D8" w14:textId="77777777" w:rsidTr="00EC7F01">
        <w:trPr>
          <w:trHeight w:val="560"/>
        </w:trPr>
        <w:tc>
          <w:tcPr>
            <w:tcW w:w="2268" w:type="dxa"/>
            <w:tcBorders>
              <w:bottom w:val="single" w:sz="12" w:space="0" w:color="auto"/>
            </w:tcBorders>
            <w:vAlign w:val="center"/>
          </w:tcPr>
          <w:p w14:paraId="1C66EA29" w14:textId="77777777" w:rsidR="009441A9" w:rsidRPr="009F3D34" w:rsidRDefault="009441A9" w:rsidP="00EC7F01">
            <w:pPr>
              <w:pStyle w:val="Normal-pool"/>
              <w:spacing w:before="40" w:after="40"/>
              <w:rPr>
                <w:rFonts w:eastAsia="SimSun"/>
                <w:spacing w:val="4"/>
                <w:w w:val="103"/>
                <w:kern w:val="14"/>
                <w:sz w:val="18"/>
                <w:szCs w:val="18"/>
                <w:lang w:eastAsia="zh-CN"/>
              </w:rPr>
            </w:pPr>
            <w:r w:rsidRPr="009F3D34">
              <w:rPr>
                <w:rFonts w:eastAsia="SimSun"/>
                <w:sz w:val="18"/>
                <w:szCs w:val="18"/>
                <w:lang w:eastAsia="zh-CN"/>
              </w:rPr>
              <w:t>Other activities related to knowledge and data in support of IPBES assessment experts</w:t>
            </w:r>
          </w:p>
        </w:tc>
        <w:tc>
          <w:tcPr>
            <w:tcW w:w="993" w:type="dxa"/>
            <w:tcBorders>
              <w:bottom w:val="single" w:sz="12" w:space="0" w:color="auto"/>
            </w:tcBorders>
            <w:shd w:val="clear" w:color="auto" w:fill="D9D9D9" w:themeFill="background1" w:themeFillShade="D9"/>
            <w:vAlign w:val="center"/>
          </w:tcPr>
          <w:p w14:paraId="3331E204"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tcBorders>
              <w:bottom w:val="single" w:sz="12" w:space="0" w:color="auto"/>
            </w:tcBorders>
            <w:shd w:val="clear" w:color="auto" w:fill="D9D9D9" w:themeFill="background1" w:themeFillShade="D9"/>
            <w:vAlign w:val="center"/>
          </w:tcPr>
          <w:p w14:paraId="1BB872FF"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992" w:type="dxa"/>
            <w:tcBorders>
              <w:bottom w:val="single" w:sz="12" w:space="0" w:color="auto"/>
            </w:tcBorders>
            <w:shd w:val="clear" w:color="auto" w:fill="D9D9D9" w:themeFill="background1" w:themeFillShade="D9"/>
            <w:vAlign w:val="center"/>
          </w:tcPr>
          <w:p w14:paraId="0E205551" w14:textId="377D944C"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993" w:type="dxa"/>
            <w:tcBorders>
              <w:bottom w:val="single" w:sz="12" w:space="0" w:color="auto"/>
            </w:tcBorders>
            <w:shd w:val="clear" w:color="auto" w:fill="D9D9D9" w:themeFill="background1" w:themeFillShade="D9"/>
            <w:vAlign w:val="center"/>
          </w:tcPr>
          <w:p w14:paraId="0975AC24"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tcBorders>
              <w:bottom w:val="single" w:sz="12" w:space="0" w:color="auto"/>
            </w:tcBorders>
            <w:shd w:val="clear" w:color="auto" w:fill="D9D9D9" w:themeFill="background1" w:themeFillShade="D9"/>
            <w:vAlign w:val="center"/>
          </w:tcPr>
          <w:p w14:paraId="02599EE6"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tcBorders>
              <w:bottom w:val="single" w:sz="12" w:space="0" w:color="auto"/>
            </w:tcBorders>
            <w:shd w:val="clear" w:color="auto" w:fill="D9D9D9" w:themeFill="background1" w:themeFillShade="D9"/>
            <w:vAlign w:val="center"/>
          </w:tcPr>
          <w:p w14:paraId="43318B69"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0" w:type="dxa"/>
            <w:tcBorders>
              <w:bottom w:val="single" w:sz="12" w:space="0" w:color="auto"/>
            </w:tcBorders>
            <w:shd w:val="clear" w:color="auto" w:fill="D9D9D9" w:themeFill="background1" w:themeFillShade="D9"/>
            <w:vAlign w:val="center"/>
          </w:tcPr>
          <w:p w14:paraId="5EBE1B47" w14:textId="6187A6B5"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c>
          <w:tcPr>
            <w:tcW w:w="851" w:type="dxa"/>
            <w:tcBorders>
              <w:bottom w:val="single" w:sz="12" w:space="0" w:color="auto"/>
            </w:tcBorders>
            <w:shd w:val="clear" w:color="auto" w:fill="D9D9D9" w:themeFill="background1" w:themeFillShade="D9"/>
            <w:vAlign w:val="center"/>
          </w:tcPr>
          <w:p w14:paraId="3E29655C" w14:textId="77777777" w:rsidR="009441A9" w:rsidRPr="009F3D34" w:rsidRDefault="009441A9" w:rsidP="00EC7F01">
            <w:pPr>
              <w:pStyle w:val="Normal-pool"/>
              <w:spacing w:before="40" w:after="40"/>
              <w:jc w:val="center"/>
              <w:rPr>
                <w:rFonts w:eastAsia="SimSun"/>
                <w:spacing w:val="4"/>
                <w:w w:val="103"/>
                <w:kern w:val="14"/>
                <w:sz w:val="18"/>
                <w:szCs w:val="18"/>
                <w:lang w:eastAsia="zh-CN"/>
              </w:rPr>
            </w:pPr>
            <w:r w:rsidRPr="009F3D34">
              <w:rPr>
                <w:rFonts w:eastAsia="SimSun"/>
                <w:spacing w:val="4"/>
                <w:w w:val="103"/>
                <w:kern w:val="14"/>
                <w:sz w:val="18"/>
                <w:szCs w:val="18"/>
                <w:lang w:eastAsia="zh-CN"/>
              </w:rPr>
              <w:t>x</w:t>
            </w:r>
          </w:p>
        </w:tc>
      </w:tr>
    </w:tbl>
    <w:p w14:paraId="1F77D1FE" w14:textId="4C7A4A11" w:rsidR="009F3D34" w:rsidRDefault="009F3D34" w:rsidP="009F3D34">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EC7F01" w14:paraId="35C297A8" w14:textId="77777777" w:rsidTr="00EC7F01">
        <w:tc>
          <w:tcPr>
            <w:tcW w:w="1959" w:type="dxa"/>
          </w:tcPr>
          <w:p w14:paraId="2DD48553" w14:textId="77777777" w:rsidR="00EC7F01" w:rsidRDefault="00EC7F01" w:rsidP="00EC7F01">
            <w:pPr>
              <w:pStyle w:val="Normal-pool"/>
              <w:spacing w:before="520"/>
            </w:pPr>
          </w:p>
        </w:tc>
        <w:tc>
          <w:tcPr>
            <w:tcW w:w="1959" w:type="dxa"/>
          </w:tcPr>
          <w:p w14:paraId="4D0B8EED" w14:textId="77777777" w:rsidR="00EC7F01" w:rsidRDefault="00EC7F01" w:rsidP="00EC7F01">
            <w:pPr>
              <w:pStyle w:val="Normal-pool"/>
              <w:spacing w:before="520"/>
            </w:pPr>
          </w:p>
        </w:tc>
        <w:tc>
          <w:tcPr>
            <w:tcW w:w="1959" w:type="dxa"/>
            <w:tcBorders>
              <w:bottom w:val="single" w:sz="4" w:space="0" w:color="auto"/>
            </w:tcBorders>
          </w:tcPr>
          <w:p w14:paraId="4F7708C4" w14:textId="77777777" w:rsidR="00EC7F01" w:rsidRDefault="00EC7F01" w:rsidP="00EC7F01">
            <w:pPr>
              <w:pStyle w:val="Normal-pool"/>
              <w:spacing w:before="520"/>
            </w:pPr>
          </w:p>
        </w:tc>
        <w:tc>
          <w:tcPr>
            <w:tcW w:w="1960" w:type="dxa"/>
          </w:tcPr>
          <w:p w14:paraId="24982BE9" w14:textId="77777777" w:rsidR="00EC7F01" w:rsidRDefault="00EC7F01" w:rsidP="00EC7F01">
            <w:pPr>
              <w:pStyle w:val="Normal-pool"/>
              <w:spacing w:before="520"/>
            </w:pPr>
          </w:p>
        </w:tc>
        <w:tc>
          <w:tcPr>
            <w:tcW w:w="1960" w:type="dxa"/>
          </w:tcPr>
          <w:p w14:paraId="7CD941EA" w14:textId="77777777" w:rsidR="00EC7F01" w:rsidRDefault="00EC7F01" w:rsidP="00EC7F01">
            <w:pPr>
              <w:pStyle w:val="Normal-pool"/>
              <w:spacing w:before="520"/>
            </w:pPr>
          </w:p>
        </w:tc>
      </w:tr>
    </w:tbl>
    <w:p w14:paraId="4D99FA60" w14:textId="69153177" w:rsidR="001D0DE6" w:rsidRPr="00EC7F01" w:rsidRDefault="001D0DE6" w:rsidP="00EC7F01">
      <w:pPr>
        <w:pStyle w:val="Normal-pool"/>
      </w:pPr>
    </w:p>
    <w:sectPr w:rsidR="001D0DE6" w:rsidRPr="00EC7F01" w:rsidSect="006A6895">
      <w:headerReference w:type="even" r:id="rId14"/>
      <w:headerReference w:type="default" r:id="rId15"/>
      <w:footerReference w:type="even" r:id="rId16"/>
      <w:footerReference w:type="default" r:id="rId17"/>
      <w:footerReference w:type="first" r:id="rId18"/>
      <w:footnotePr>
        <w:numFmt w:val="chicago"/>
        <w:numRestart w:val="eachPage"/>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9B16" w14:textId="77777777" w:rsidR="00BA151D" w:rsidRDefault="00BA151D">
      <w:r>
        <w:separator/>
      </w:r>
    </w:p>
  </w:endnote>
  <w:endnote w:type="continuationSeparator" w:id="0">
    <w:p w14:paraId="5268A6F1" w14:textId="77777777" w:rsidR="00BA151D" w:rsidRDefault="00BA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52E9" w14:textId="6870A8E4" w:rsidR="0070220C" w:rsidRDefault="0070220C">
    <w:pPr>
      <w:pStyle w:val="Footer"/>
    </w:pPr>
    <w:r>
      <w:rPr>
        <w:rStyle w:val="PageNumber"/>
      </w:rPr>
      <w:fldChar w:fldCharType="begin"/>
    </w:r>
    <w:r>
      <w:rPr>
        <w:rStyle w:val="PageNumber"/>
      </w:rPr>
      <w:instrText xml:space="preserve"> PAGE </w:instrText>
    </w:r>
    <w:r>
      <w:rPr>
        <w:rStyle w:val="PageNumber"/>
      </w:rPr>
      <w:fldChar w:fldCharType="separate"/>
    </w:r>
    <w:r w:rsidR="00C95AC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5095" w14:textId="75C669B7" w:rsidR="0070220C" w:rsidRDefault="0070220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95AC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490745"/>
      <w:docPartObj>
        <w:docPartGallery w:val="Page Numbers (Bottom of Page)"/>
        <w:docPartUnique/>
      </w:docPartObj>
    </w:sdtPr>
    <w:sdtEndPr>
      <w:rPr>
        <w:b/>
        <w:noProof/>
      </w:rPr>
    </w:sdtEndPr>
    <w:sdtContent>
      <w:p w14:paraId="39BF2078" w14:textId="2A8B02E0" w:rsidR="0070220C" w:rsidRPr="009F3D34" w:rsidRDefault="00EC7F01" w:rsidP="009F3D34">
        <w:pPr>
          <w:pStyle w:val="Normal-pool"/>
          <w:rPr>
            <w:b/>
          </w:rPr>
        </w:pPr>
        <w:r>
          <w:t>K1612131</w:t>
        </w:r>
        <w:r>
          <w:tab/>
          <w:t>190117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3ED3" w14:textId="77777777" w:rsidR="00BA151D" w:rsidRPr="004063D7" w:rsidRDefault="00BA151D" w:rsidP="006A6895">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4063D7">
        <w:rPr>
          <w:sz w:val="18"/>
          <w:szCs w:val="18"/>
        </w:rPr>
        <w:separator/>
      </w:r>
    </w:p>
  </w:footnote>
  <w:footnote w:type="continuationSeparator" w:id="0">
    <w:p w14:paraId="28603DCA" w14:textId="77777777" w:rsidR="00BA151D" w:rsidRDefault="00BA151D">
      <w:r>
        <w:continuationSeparator/>
      </w:r>
    </w:p>
  </w:footnote>
  <w:footnote w:id="1">
    <w:p w14:paraId="53B6966F" w14:textId="77777777" w:rsidR="006A6895" w:rsidRPr="009441A9" w:rsidRDefault="006A6895" w:rsidP="006A6895">
      <w:pPr>
        <w:pStyle w:val="FootnoteText"/>
        <w:tabs>
          <w:tab w:val="clear" w:pos="1247"/>
          <w:tab w:val="clear" w:pos="1814"/>
          <w:tab w:val="clear" w:pos="2381"/>
          <w:tab w:val="clear" w:pos="2948"/>
          <w:tab w:val="clear" w:pos="3515"/>
          <w:tab w:val="clear" w:pos="4082"/>
        </w:tabs>
        <w:rPr>
          <w:szCs w:val="18"/>
          <w:lang w:val="en-US"/>
        </w:rPr>
      </w:pPr>
      <w:r w:rsidRPr="009441A9">
        <w:rPr>
          <w:rStyle w:val="FootnoteReference"/>
          <w:sz w:val="18"/>
          <w:vertAlign w:val="baseline"/>
        </w:rPr>
        <w:footnoteRef/>
      </w:r>
      <w:r w:rsidRPr="009441A9">
        <w:rPr>
          <w:szCs w:val="18"/>
        </w:rPr>
        <w:t xml:space="preserve"> </w:t>
      </w:r>
      <w:r w:rsidRPr="009441A9">
        <w:rPr>
          <w:szCs w:val="18"/>
          <w:lang w:val="en-US"/>
        </w:rPr>
        <w:t>IPBES/5/1</w:t>
      </w:r>
      <w:r>
        <w:rPr>
          <w:szCs w:val="18"/>
          <w:lang w:val="en-US"/>
        </w:rPr>
        <w:t>/Rev</w:t>
      </w:r>
      <w:r w:rsidRPr="00BF2A88">
        <w:rPr>
          <w:szCs w:val="18"/>
          <w:lang w:val="en-U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8D25" w14:textId="73CBF535" w:rsidR="0070220C" w:rsidRPr="007F3540" w:rsidRDefault="001D29AF" w:rsidP="007F3540">
    <w:pPr>
      <w:pStyle w:val="Header"/>
      <w:rPr>
        <w:szCs w:val="18"/>
      </w:rPr>
    </w:pPr>
    <w:r>
      <w:rPr>
        <w:rFonts w:ascii="Times New Roman" w:hAnsi="Times New Roman"/>
        <w:szCs w:val="18"/>
        <w:lang w:val="en-GB"/>
      </w:rPr>
      <w:t>IPBES/5/5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F6A2" w14:textId="6C1BEDCA" w:rsidR="0070220C" w:rsidRPr="00EC7F01" w:rsidRDefault="00EC7F01" w:rsidP="001D29AF">
    <w:pPr>
      <w:pStyle w:val="Header"/>
      <w:jc w:val="right"/>
      <w:rPr>
        <w:szCs w:val="18"/>
      </w:rPr>
    </w:pPr>
    <w:r w:rsidRPr="007F3540">
      <w:rPr>
        <w:rFonts w:ascii="Times New Roman" w:hAnsi="Times New Roman"/>
        <w:szCs w:val="18"/>
        <w:lang w:val="en-GB"/>
      </w:rPr>
      <w:t>IPBES/5/</w:t>
    </w:r>
    <w:r w:rsidR="00D954A1">
      <w:rPr>
        <w:rFonts w:ascii="Times New Roman" w:hAnsi="Times New Roman"/>
        <w:szCs w:val="18"/>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49E6"/>
    <w:rsid w:val="000247B0"/>
    <w:rsid w:val="00026997"/>
    <w:rsid w:val="00031A78"/>
    <w:rsid w:val="00033C5F"/>
    <w:rsid w:val="00033E0B"/>
    <w:rsid w:val="00035EDE"/>
    <w:rsid w:val="000423C6"/>
    <w:rsid w:val="0004540A"/>
    <w:rsid w:val="000475A6"/>
    <w:rsid w:val="000509B4"/>
    <w:rsid w:val="0006035B"/>
    <w:rsid w:val="00061444"/>
    <w:rsid w:val="0006430A"/>
    <w:rsid w:val="00071886"/>
    <w:rsid w:val="000742BC"/>
    <w:rsid w:val="00082A0C"/>
    <w:rsid w:val="00083504"/>
    <w:rsid w:val="000904EF"/>
    <w:rsid w:val="0009640C"/>
    <w:rsid w:val="000B1598"/>
    <w:rsid w:val="000B22A2"/>
    <w:rsid w:val="000C2A52"/>
    <w:rsid w:val="000C6DA0"/>
    <w:rsid w:val="000D33C0"/>
    <w:rsid w:val="000D6941"/>
    <w:rsid w:val="000F25B2"/>
    <w:rsid w:val="000F6B5C"/>
    <w:rsid w:val="001202E3"/>
    <w:rsid w:val="001220A3"/>
    <w:rsid w:val="00123699"/>
    <w:rsid w:val="0013059D"/>
    <w:rsid w:val="0014082A"/>
    <w:rsid w:val="001408E2"/>
    <w:rsid w:val="00141A55"/>
    <w:rsid w:val="001446A3"/>
    <w:rsid w:val="00147B7F"/>
    <w:rsid w:val="00155395"/>
    <w:rsid w:val="00160D74"/>
    <w:rsid w:val="00167D02"/>
    <w:rsid w:val="00181EC8"/>
    <w:rsid w:val="00184349"/>
    <w:rsid w:val="00195F33"/>
    <w:rsid w:val="001A3283"/>
    <w:rsid w:val="001A4DAE"/>
    <w:rsid w:val="001B1617"/>
    <w:rsid w:val="001B504B"/>
    <w:rsid w:val="001C7526"/>
    <w:rsid w:val="001D0DE6"/>
    <w:rsid w:val="001D29AF"/>
    <w:rsid w:val="001D3874"/>
    <w:rsid w:val="001D38EC"/>
    <w:rsid w:val="001D7E75"/>
    <w:rsid w:val="001E56D2"/>
    <w:rsid w:val="001E7D56"/>
    <w:rsid w:val="001F75DE"/>
    <w:rsid w:val="00200D58"/>
    <w:rsid w:val="002013BE"/>
    <w:rsid w:val="002063A4"/>
    <w:rsid w:val="0021145B"/>
    <w:rsid w:val="00243D36"/>
    <w:rsid w:val="00247707"/>
    <w:rsid w:val="0026018E"/>
    <w:rsid w:val="00285344"/>
    <w:rsid w:val="00286740"/>
    <w:rsid w:val="002929D8"/>
    <w:rsid w:val="002A237D"/>
    <w:rsid w:val="002A4C53"/>
    <w:rsid w:val="002A62EA"/>
    <w:rsid w:val="002B02FE"/>
    <w:rsid w:val="002B0672"/>
    <w:rsid w:val="002B247F"/>
    <w:rsid w:val="002B6F40"/>
    <w:rsid w:val="002C145D"/>
    <w:rsid w:val="002C2C3E"/>
    <w:rsid w:val="002C533E"/>
    <w:rsid w:val="002D027F"/>
    <w:rsid w:val="002D7A85"/>
    <w:rsid w:val="002D7B60"/>
    <w:rsid w:val="002E2C2B"/>
    <w:rsid w:val="002F4761"/>
    <w:rsid w:val="002F5C79"/>
    <w:rsid w:val="003019E2"/>
    <w:rsid w:val="0031413F"/>
    <w:rsid w:val="003148BB"/>
    <w:rsid w:val="00317976"/>
    <w:rsid w:val="00355EA9"/>
    <w:rsid w:val="003578DE"/>
    <w:rsid w:val="003868D9"/>
    <w:rsid w:val="00396257"/>
    <w:rsid w:val="00397EB8"/>
    <w:rsid w:val="003A4FD0"/>
    <w:rsid w:val="003A69D1"/>
    <w:rsid w:val="003A7705"/>
    <w:rsid w:val="003A77F1"/>
    <w:rsid w:val="003B1545"/>
    <w:rsid w:val="003C409D"/>
    <w:rsid w:val="003C5BA6"/>
    <w:rsid w:val="003D50CB"/>
    <w:rsid w:val="003E1A32"/>
    <w:rsid w:val="003F0E85"/>
    <w:rsid w:val="003F1D30"/>
    <w:rsid w:val="003F7440"/>
    <w:rsid w:val="004063D7"/>
    <w:rsid w:val="0041081A"/>
    <w:rsid w:val="00410C55"/>
    <w:rsid w:val="00414049"/>
    <w:rsid w:val="00416854"/>
    <w:rsid w:val="00417725"/>
    <w:rsid w:val="00437F26"/>
    <w:rsid w:val="00440ED3"/>
    <w:rsid w:val="00444097"/>
    <w:rsid w:val="00445487"/>
    <w:rsid w:val="00454769"/>
    <w:rsid w:val="00466991"/>
    <w:rsid w:val="0047064C"/>
    <w:rsid w:val="0048028B"/>
    <w:rsid w:val="00482357"/>
    <w:rsid w:val="00485CAD"/>
    <w:rsid w:val="004A42E1"/>
    <w:rsid w:val="004B162C"/>
    <w:rsid w:val="004C3DBE"/>
    <w:rsid w:val="004C5C96"/>
    <w:rsid w:val="004D06A4"/>
    <w:rsid w:val="004E006F"/>
    <w:rsid w:val="004F1A81"/>
    <w:rsid w:val="00517861"/>
    <w:rsid w:val="005218D9"/>
    <w:rsid w:val="00536186"/>
    <w:rsid w:val="00544CBB"/>
    <w:rsid w:val="0057315F"/>
    <w:rsid w:val="00576104"/>
    <w:rsid w:val="005C67C8"/>
    <w:rsid w:val="005D0249"/>
    <w:rsid w:val="005D6E8C"/>
    <w:rsid w:val="005E5607"/>
    <w:rsid w:val="005F100C"/>
    <w:rsid w:val="005F68DA"/>
    <w:rsid w:val="00606059"/>
    <w:rsid w:val="0060773B"/>
    <w:rsid w:val="00612769"/>
    <w:rsid w:val="006157B5"/>
    <w:rsid w:val="00626FC6"/>
    <w:rsid w:val="006303B4"/>
    <w:rsid w:val="00633D3D"/>
    <w:rsid w:val="0064005E"/>
    <w:rsid w:val="00641703"/>
    <w:rsid w:val="006431A6"/>
    <w:rsid w:val="006459F6"/>
    <w:rsid w:val="006501AD"/>
    <w:rsid w:val="00651BFA"/>
    <w:rsid w:val="00654475"/>
    <w:rsid w:val="006600AD"/>
    <w:rsid w:val="00665A4B"/>
    <w:rsid w:val="00692E2A"/>
    <w:rsid w:val="006A6895"/>
    <w:rsid w:val="006A76F2"/>
    <w:rsid w:val="006B5C02"/>
    <w:rsid w:val="006D7EFB"/>
    <w:rsid w:val="006E6672"/>
    <w:rsid w:val="006E6722"/>
    <w:rsid w:val="0070220C"/>
    <w:rsid w:val="007027B9"/>
    <w:rsid w:val="00714E08"/>
    <w:rsid w:val="00715E88"/>
    <w:rsid w:val="00734CAA"/>
    <w:rsid w:val="0075533C"/>
    <w:rsid w:val="00757581"/>
    <w:rsid w:val="007611A0"/>
    <w:rsid w:val="0076341E"/>
    <w:rsid w:val="00796D3F"/>
    <w:rsid w:val="007A1683"/>
    <w:rsid w:val="007A5C12"/>
    <w:rsid w:val="007A7CB0"/>
    <w:rsid w:val="007B68A3"/>
    <w:rsid w:val="007C2541"/>
    <w:rsid w:val="007D66A8"/>
    <w:rsid w:val="007E003F"/>
    <w:rsid w:val="007F3540"/>
    <w:rsid w:val="007F6126"/>
    <w:rsid w:val="0080159A"/>
    <w:rsid w:val="008034CE"/>
    <w:rsid w:val="008164F2"/>
    <w:rsid w:val="00821395"/>
    <w:rsid w:val="00830E26"/>
    <w:rsid w:val="00843576"/>
    <w:rsid w:val="00843B64"/>
    <w:rsid w:val="00846005"/>
    <w:rsid w:val="008478FC"/>
    <w:rsid w:val="00867BFF"/>
    <w:rsid w:val="008829D3"/>
    <w:rsid w:val="0088480A"/>
    <w:rsid w:val="0088757A"/>
    <w:rsid w:val="008957DD"/>
    <w:rsid w:val="00897AC0"/>
    <w:rsid w:val="00897D98"/>
    <w:rsid w:val="008A6DF2"/>
    <w:rsid w:val="008A7807"/>
    <w:rsid w:val="008B4CC9"/>
    <w:rsid w:val="008C4DCE"/>
    <w:rsid w:val="008C722B"/>
    <w:rsid w:val="008D7C99"/>
    <w:rsid w:val="008E0FCB"/>
    <w:rsid w:val="0092178C"/>
    <w:rsid w:val="00930B88"/>
    <w:rsid w:val="00940DCC"/>
    <w:rsid w:val="009411D8"/>
    <w:rsid w:val="0094179A"/>
    <w:rsid w:val="009441A9"/>
    <w:rsid w:val="0094459E"/>
    <w:rsid w:val="00944DBC"/>
    <w:rsid w:val="0094617E"/>
    <w:rsid w:val="00950977"/>
    <w:rsid w:val="00951A7B"/>
    <w:rsid w:val="009527C6"/>
    <w:rsid w:val="009564A6"/>
    <w:rsid w:val="00967621"/>
    <w:rsid w:val="00967E6A"/>
    <w:rsid w:val="00984862"/>
    <w:rsid w:val="00984A20"/>
    <w:rsid w:val="00985ADF"/>
    <w:rsid w:val="009B4A0F"/>
    <w:rsid w:val="009C11D2"/>
    <w:rsid w:val="009C6C70"/>
    <w:rsid w:val="009C721A"/>
    <w:rsid w:val="009D0B63"/>
    <w:rsid w:val="009E307E"/>
    <w:rsid w:val="009E78C3"/>
    <w:rsid w:val="009F25B5"/>
    <w:rsid w:val="009F3D34"/>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A0C30"/>
    <w:rsid w:val="00AB5340"/>
    <w:rsid w:val="00AC0A89"/>
    <w:rsid w:val="00AC7C96"/>
    <w:rsid w:val="00AE237D"/>
    <w:rsid w:val="00AE2F6E"/>
    <w:rsid w:val="00AE502A"/>
    <w:rsid w:val="00AE5F88"/>
    <w:rsid w:val="00AF7C07"/>
    <w:rsid w:val="00B06696"/>
    <w:rsid w:val="00B22C93"/>
    <w:rsid w:val="00B26925"/>
    <w:rsid w:val="00B27589"/>
    <w:rsid w:val="00B405B7"/>
    <w:rsid w:val="00B52222"/>
    <w:rsid w:val="00B54FE7"/>
    <w:rsid w:val="00B66901"/>
    <w:rsid w:val="00B71E6D"/>
    <w:rsid w:val="00B72070"/>
    <w:rsid w:val="00B779E1"/>
    <w:rsid w:val="00B84516"/>
    <w:rsid w:val="00B90ADD"/>
    <w:rsid w:val="00B91EE1"/>
    <w:rsid w:val="00B93447"/>
    <w:rsid w:val="00BA0090"/>
    <w:rsid w:val="00BA151D"/>
    <w:rsid w:val="00BA1A67"/>
    <w:rsid w:val="00BA7FE4"/>
    <w:rsid w:val="00BD24FF"/>
    <w:rsid w:val="00BE57F9"/>
    <w:rsid w:val="00BE5B5F"/>
    <w:rsid w:val="00BF2A88"/>
    <w:rsid w:val="00C16505"/>
    <w:rsid w:val="00C26F55"/>
    <w:rsid w:val="00C30C63"/>
    <w:rsid w:val="00C36B8B"/>
    <w:rsid w:val="00C415C1"/>
    <w:rsid w:val="00C47795"/>
    <w:rsid w:val="00C47DBF"/>
    <w:rsid w:val="00C552FF"/>
    <w:rsid w:val="00C558DA"/>
    <w:rsid w:val="00C55AF3"/>
    <w:rsid w:val="00C70845"/>
    <w:rsid w:val="00C84759"/>
    <w:rsid w:val="00C95ACD"/>
    <w:rsid w:val="00CA6C7F"/>
    <w:rsid w:val="00CC10A6"/>
    <w:rsid w:val="00CD30A2"/>
    <w:rsid w:val="00CD5EB8"/>
    <w:rsid w:val="00CD7044"/>
    <w:rsid w:val="00CE08B9"/>
    <w:rsid w:val="00CE524C"/>
    <w:rsid w:val="00CF141F"/>
    <w:rsid w:val="00CF4777"/>
    <w:rsid w:val="00D067BB"/>
    <w:rsid w:val="00D1352A"/>
    <w:rsid w:val="00D169AF"/>
    <w:rsid w:val="00D25249"/>
    <w:rsid w:val="00D26ED8"/>
    <w:rsid w:val="00D44172"/>
    <w:rsid w:val="00D62DAC"/>
    <w:rsid w:val="00D63B8C"/>
    <w:rsid w:val="00D64770"/>
    <w:rsid w:val="00D739CC"/>
    <w:rsid w:val="00D806AF"/>
    <w:rsid w:val="00D8093D"/>
    <w:rsid w:val="00D8108C"/>
    <w:rsid w:val="00D842AE"/>
    <w:rsid w:val="00D85E41"/>
    <w:rsid w:val="00D87566"/>
    <w:rsid w:val="00D9211C"/>
    <w:rsid w:val="00D92DE0"/>
    <w:rsid w:val="00D92FEF"/>
    <w:rsid w:val="00D93A0F"/>
    <w:rsid w:val="00D954A1"/>
    <w:rsid w:val="00DA1BCA"/>
    <w:rsid w:val="00DC45C7"/>
    <w:rsid w:val="00DC46FF"/>
    <w:rsid w:val="00DC5254"/>
    <w:rsid w:val="00DD0B9F"/>
    <w:rsid w:val="00DD1A4F"/>
    <w:rsid w:val="00DD2838"/>
    <w:rsid w:val="00DD3107"/>
    <w:rsid w:val="00DD7C2C"/>
    <w:rsid w:val="00DF05AB"/>
    <w:rsid w:val="00E06797"/>
    <w:rsid w:val="00E1265B"/>
    <w:rsid w:val="00E13B48"/>
    <w:rsid w:val="00E1404F"/>
    <w:rsid w:val="00E21C83"/>
    <w:rsid w:val="00E24ADA"/>
    <w:rsid w:val="00E32F59"/>
    <w:rsid w:val="00E44A5A"/>
    <w:rsid w:val="00E46D9A"/>
    <w:rsid w:val="00E565FF"/>
    <w:rsid w:val="00E65388"/>
    <w:rsid w:val="00E85B7D"/>
    <w:rsid w:val="00E9121B"/>
    <w:rsid w:val="00EA0AE2"/>
    <w:rsid w:val="00EA39E5"/>
    <w:rsid w:val="00EA5E72"/>
    <w:rsid w:val="00EC5A46"/>
    <w:rsid w:val="00EC63E2"/>
    <w:rsid w:val="00EC7F01"/>
    <w:rsid w:val="00EF22B3"/>
    <w:rsid w:val="00F03B69"/>
    <w:rsid w:val="00F07A50"/>
    <w:rsid w:val="00F113DA"/>
    <w:rsid w:val="00F24AB6"/>
    <w:rsid w:val="00F301E5"/>
    <w:rsid w:val="00F37DC8"/>
    <w:rsid w:val="00F439B3"/>
    <w:rsid w:val="00F650C3"/>
    <w:rsid w:val="00F65D85"/>
    <w:rsid w:val="00F8091E"/>
    <w:rsid w:val="00F8615C"/>
    <w:rsid w:val="00F94214"/>
    <w:rsid w:val="00F969E5"/>
    <w:rsid w:val="00FA3208"/>
    <w:rsid w:val="00FA5BA4"/>
    <w:rsid w:val="00FA6BB0"/>
    <w:rsid w:val="00FC61B6"/>
    <w:rsid w:val="00FD5860"/>
    <w:rsid w:val="00FE20A7"/>
    <w:rsid w:val="00FE352D"/>
    <w:rsid w:val="00FE40EB"/>
    <w:rsid w:val="00FE4D02"/>
    <w:rsid w:val="00FE7D62"/>
    <w:rsid w:val="00FF3819"/>
    <w:rsid w:val="00FF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30F90"/>
  <w15:docId w15:val="{FF9AE291-3205-48FA-B630-31D64BCC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408E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1408E2"/>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character" w:styleId="CommentReference">
    <w:name w:val="annotation reference"/>
    <w:basedOn w:val="DefaultParagraphFont"/>
    <w:semiHidden/>
    <w:unhideWhenUsed/>
    <w:rsid w:val="000B1598"/>
    <w:rPr>
      <w:sz w:val="16"/>
      <w:szCs w:val="16"/>
    </w:rPr>
  </w:style>
  <w:style w:type="paragraph" w:styleId="CommentText">
    <w:name w:val="annotation text"/>
    <w:basedOn w:val="Normal"/>
    <w:link w:val="CommentTextChar"/>
    <w:semiHidden/>
    <w:unhideWhenUsed/>
    <w:rsid w:val="000B1598"/>
    <w:pPr>
      <w:spacing w:line="240" w:lineRule="auto"/>
    </w:pPr>
    <w:rPr>
      <w:sz w:val="20"/>
      <w:szCs w:val="20"/>
    </w:rPr>
  </w:style>
  <w:style w:type="character" w:customStyle="1" w:styleId="CommentTextChar">
    <w:name w:val="Comment Text Char"/>
    <w:basedOn w:val="DefaultParagraphFont"/>
    <w:link w:val="CommentText"/>
    <w:semiHidden/>
    <w:rsid w:val="000B1598"/>
    <w:rPr>
      <w:rFonts w:ascii="Calibri" w:eastAsia="MS Mincho" w:hAnsi="Calibri"/>
    </w:rPr>
  </w:style>
  <w:style w:type="paragraph" w:styleId="CommentSubject">
    <w:name w:val="annotation subject"/>
    <w:basedOn w:val="CommentText"/>
    <w:next w:val="CommentText"/>
    <w:link w:val="CommentSubjectChar"/>
    <w:semiHidden/>
    <w:unhideWhenUsed/>
    <w:rsid w:val="000B1598"/>
    <w:rPr>
      <w:b/>
      <w:bCs/>
    </w:rPr>
  </w:style>
  <w:style w:type="character" w:customStyle="1" w:styleId="CommentSubjectChar">
    <w:name w:val="Comment Subject Char"/>
    <w:basedOn w:val="CommentTextChar"/>
    <w:link w:val="CommentSubject"/>
    <w:semiHidden/>
    <w:rsid w:val="000B1598"/>
    <w:rPr>
      <w:rFonts w:ascii="Calibri" w:eastAsia="MS Mincho" w:hAnsi="Calibri"/>
      <w:b/>
      <w:bCs/>
    </w:rPr>
  </w:style>
  <w:style w:type="table" w:styleId="TableGrid">
    <w:name w:val="Table Grid"/>
    <w:basedOn w:val="TableNormal"/>
    <w:rsid w:val="00EC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1A47-9517-4DF6-8A37-E805D87E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2016-12-29T08:39:00Z</cp:lastPrinted>
  <dcterms:created xsi:type="dcterms:W3CDTF">2017-01-23T09:30:00Z</dcterms:created>
  <dcterms:modified xsi:type="dcterms:W3CDTF">2017-01-23T09:30:00Z</dcterms:modified>
</cp:coreProperties>
</file>