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470A92" w:rsidRPr="00104B2F" w:rsidTr="00716334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03CE1D" wp14:editId="1406E4C9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83B9F9" wp14:editId="4382862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0162952A" wp14:editId="3E0128CD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4D871152" wp14:editId="51B05BB7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A13843" w:rsidRDefault="00F32068" w:rsidP="001471A9">
            <w:pPr>
              <w:spacing w:before="120"/>
              <w:ind w:left="214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ED56D5">
              <w:t>5</w:t>
            </w:r>
            <w:r w:rsidRPr="00A13843">
              <w:t>/</w:t>
            </w:r>
            <w:r w:rsidR="002D261F">
              <w:t>2</w:t>
            </w:r>
          </w:p>
        </w:tc>
      </w:tr>
      <w:tr w:rsidR="00F32068" w:rsidRPr="00F62DAF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20A8C3" wp14:editId="4AF72E9C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794CC0" w:rsidRDefault="00F32068" w:rsidP="00965565">
            <w:pPr>
              <w:spacing w:before="120"/>
              <w:ind w:left="214"/>
              <w:rPr>
                <w:lang w:val="en-US"/>
              </w:rPr>
            </w:pPr>
            <w:proofErr w:type="spellStart"/>
            <w:r w:rsidRPr="00A13843">
              <w:t>Distr</w:t>
            </w:r>
            <w:proofErr w:type="spellEnd"/>
            <w:r w:rsidRPr="00794CC0">
              <w:rPr>
                <w:lang w:val="en-US"/>
              </w:rPr>
              <w:t xml:space="preserve">.: </w:t>
            </w:r>
            <w:r w:rsidRPr="00A13843">
              <w:t>General</w:t>
            </w:r>
            <w:r w:rsidRPr="00794CC0">
              <w:rPr>
                <w:lang w:val="en-US"/>
              </w:rPr>
              <w:br/>
            </w:r>
            <w:r w:rsidR="00F62DAF" w:rsidRPr="00794CC0">
              <w:rPr>
                <w:lang w:val="en-US"/>
              </w:rPr>
              <w:t>1</w:t>
            </w:r>
            <w:r w:rsidR="00097B16" w:rsidRPr="00794CC0">
              <w:rPr>
                <w:lang w:val="en-US"/>
              </w:rPr>
              <w:t xml:space="preserve"> </w:t>
            </w:r>
            <w:r w:rsidR="00097B16">
              <w:rPr>
                <w:lang w:val="en-US"/>
              </w:rPr>
              <w:t>December</w:t>
            </w:r>
            <w:r w:rsidR="0090127D" w:rsidRPr="00794CC0">
              <w:rPr>
                <w:lang w:val="en-US"/>
              </w:rPr>
              <w:t xml:space="preserve"> </w:t>
            </w:r>
            <w:r w:rsidR="0098289C" w:rsidRPr="00794CC0">
              <w:rPr>
                <w:lang w:val="en-US"/>
              </w:rPr>
              <w:t>2016</w:t>
            </w:r>
          </w:p>
          <w:p w:rsidR="00AA7984" w:rsidRPr="00794CC0" w:rsidRDefault="00AA7984" w:rsidP="0096556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F32068" w:rsidRPr="00794CC0" w:rsidRDefault="00F32068" w:rsidP="0096556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794CC0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Pr="00980A81">
        <w:rPr>
          <w:szCs w:val="22"/>
          <w:lang w:val="ru-RU"/>
        </w:rPr>
        <w:t>–10 марта 2017 года</w:t>
      </w:r>
    </w:p>
    <w:p w:rsidR="00097B16" w:rsidRPr="00097B16" w:rsidRDefault="00097B16" w:rsidP="009735D5">
      <w:pPr>
        <w:spacing w:after="60"/>
        <w:rPr>
          <w:szCs w:val="22"/>
          <w:lang w:val="ru-RU"/>
        </w:rPr>
      </w:pPr>
      <w:r w:rsidRPr="004748FD">
        <w:rPr>
          <w:lang w:val="ru-RU"/>
        </w:rPr>
        <w:t xml:space="preserve">Пункт </w:t>
      </w:r>
      <w:r w:rsidR="009C0977">
        <w:rPr>
          <w:lang w:val="ru-RU"/>
        </w:rPr>
        <w:t>5</w:t>
      </w:r>
      <w:r w:rsidRPr="004748FD">
        <w:rPr>
          <w:lang w:val="ru-RU"/>
        </w:rPr>
        <w:t xml:space="preserve"> предварительной повестки дня</w:t>
      </w:r>
      <w:r w:rsidR="00EF7927" w:rsidRPr="008D1DE8">
        <w:rPr>
          <w:lang w:val="ru-RU"/>
        </w:rPr>
        <w:t>*</w:t>
      </w:r>
    </w:p>
    <w:p w:rsidR="009C0977" w:rsidRPr="00EE7A2D" w:rsidRDefault="009C0977" w:rsidP="009C0977">
      <w:pPr>
        <w:spacing w:after="120"/>
        <w:ind w:right="1701"/>
        <w:rPr>
          <w:rFonts w:eastAsia="Times New Roman"/>
          <w:b/>
          <w:lang w:val="ru-RU" w:eastAsia="ru-RU" w:bidi="ru-RU"/>
        </w:rPr>
      </w:pPr>
      <w:r w:rsidRPr="00EE7A2D">
        <w:rPr>
          <w:rFonts w:eastAsia="Times New Roman"/>
          <w:b/>
          <w:lang w:val="ru-RU" w:eastAsia="ru-RU" w:bidi="ru-RU"/>
        </w:rPr>
        <w:t xml:space="preserve">Доклад Исполнительного секретаря об осуществлении </w:t>
      </w:r>
      <w:r>
        <w:rPr>
          <w:rFonts w:eastAsia="Times New Roman"/>
          <w:b/>
          <w:lang w:val="ru-RU" w:eastAsia="ru-RU" w:bidi="ru-RU"/>
        </w:rPr>
        <w:br/>
      </w:r>
      <w:r w:rsidRPr="00EE7A2D">
        <w:rPr>
          <w:rFonts w:eastAsia="Times New Roman"/>
          <w:b/>
          <w:lang w:val="ru-RU" w:eastAsia="ru-RU" w:bidi="ru-RU"/>
        </w:rPr>
        <w:t xml:space="preserve">программы работы на </w:t>
      </w:r>
      <w:r w:rsidRPr="005412BF">
        <w:rPr>
          <w:rFonts w:eastAsia="Times New Roman"/>
          <w:b/>
          <w:lang w:val="ru-RU" w:eastAsia="ru-RU" w:bidi="ru-RU"/>
        </w:rPr>
        <w:t xml:space="preserve">период </w:t>
      </w:r>
      <w:r w:rsidRPr="00EE7A2D">
        <w:rPr>
          <w:rFonts w:eastAsia="Times New Roman"/>
          <w:b/>
          <w:lang w:val="ru-RU" w:eastAsia="ru-RU" w:bidi="ru-RU"/>
        </w:rPr>
        <w:t>2014–2018 год</w:t>
      </w:r>
      <w:r w:rsidRPr="005412BF">
        <w:rPr>
          <w:rFonts w:eastAsia="Times New Roman"/>
          <w:b/>
          <w:lang w:val="ru-RU" w:eastAsia="ru-RU" w:bidi="ru-RU"/>
        </w:rPr>
        <w:t>ов</w:t>
      </w:r>
    </w:p>
    <w:p w:rsidR="009C0977" w:rsidRPr="00EE7A2D" w:rsidRDefault="009C0977" w:rsidP="009C0977">
      <w:pPr>
        <w:spacing w:before="360" w:after="240"/>
        <w:ind w:left="1247" w:right="567"/>
        <w:rPr>
          <w:rFonts w:eastAsia="Times New Roman"/>
          <w:b/>
          <w:sz w:val="28"/>
          <w:lang w:val="ru-RU" w:eastAsia="ru-RU" w:bidi="ru-RU"/>
        </w:rPr>
      </w:pPr>
      <w:r w:rsidRPr="00EE7A2D">
        <w:rPr>
          <w:rFonts w:eastAsia="Times New Roman"/>
          <w:b/>
          <w:sz w:val="28"/>
          <w:lang w:val="ru-RU" w:eastAsia="ru-RU" w:bidi="ru-RU"/>
        </w:rPr>
        <w:t>Осуществление первой программы работы Межправительственной научно-политической платформы по биоразнообразию и экосистемным услугам</w:t>
      </w:r>
    </w:p>
    <w:p w:rsidR="009C0977" w:rsidRPr="00CD0476" w:rsidRDefault="009C0977" w:rsidP="00CD0476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6352"/>
        </w:tabs>
        <w:spacing w:after="120"/>
        <w:ind w:left="1247"/>
        <w:rPr>
          <w:rFonts w:eastAsia="Times New Roman"/>
          <w:b/>
          <w:lang w:val="en-US" w:eastAsia="ru-RU" w:bidi="ru-RU"/>
        </w:rPr>
      </w:pP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b/>
          <w:sz w:val="24"/>
          <w:lang w:val="ru-RU" w:eastAsia="ru-RU" w:bidi="ru-RU"/>
        </w:rPr>
        <w:t xml:space="preserve">Доклад Исполнительного секретаря </w:t>
      </w:r>
      <w:bookmarkStart w:id="0" w:name="_GoBack"/>
      <w:bookmarkEnd w:id="0"/>
    </w:p>
    <w:p w:rsidR="009C0977" w:rsidRPr="00EE7A2D" w:rsidRDefault="009C0977" w:rsidP="009C0977">
      <w:pPr>
        <w:spacing w:after="120"/>
        <w:ind w:left="1247"/>
        <w:rPr>
          <w:rFonts w:eastAsia="Times New Roman"/>
          <w:b/>
          <w:lang w:val="ru-RU" w:eastAsia="ru-RU" w:bidi="ru-RU"/>
        </w:rPr>
      </w:pP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b/>
          <w:sz w:val="28"/>
          <w:lang w:val="ru-RU" w:eastAsia="ru-RU" w:bidi="ru-RU"/>
        </w:rPr>
        <w:t>Введение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>
        <w:rPr>
          <w:rFonts w:eastAsia="Times New Roman"/>
          <w:lang w:val="ru-RU" w:eastAsia="ru-RU" w:bidi="ru-RU"/>
        </w:rPr>
        <w:t>1.</w:t>
      </w: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На своей второй сессии Пленум Межправительственной научно-политической платформы по биоразнообразию и экосистемным</w:t>
      </w:r>
      <w:r w:rsidR="00030D4E">
        <w:rPr>
          <w:rFonts w:eastAsia="Times New Roman"/>
          <w:lang w:val="ru-RU" w:eastAsia="ru-RU" w:bidi="ru-RU"/>
        </w:rPr>
        <w:t xml:space="preserve"> услугам (МПБЭУ) принял решение </w:t>
      </w:r>
      <w:r w:rsidRPr="00EE7A2D">
        <w:rPr>
          <w:rFonts w:eastAsia="Times New Roman"/>
          <w:lang w:val="ru-RU" w:eastAsia="ru-RU" w:bidi="ru-RU"/>
        </w:rPr>
        <w:t>МПБЭУ</w:t>
      </w:r>
      <w:r>
        <w:rPr>
          <w:rFonts w:eastAsia="Times New Roman"/>
          <w:lang w:val="ru-RU" w:eastAsia="ru-RU" w:bidi="ru-RU"/>
        </w:rPr>
        <w:noBreakHyphen/>
      </w:r>
      <w:r w:rsidRPr="00EE7A2D">
        <w:rPr>
          <w:rFonts w:eastAsia="Times New Roman"/>
          <w:lang w:val="ru-RU" w:eastAsia="ru-RU" w:bidi="ru-RU"/>
        </w:rPr>
        <w:t xml:space="preserve">2/5, в котором он утвердил масштабную первую программу работы с последовательно реализуемыми результатами на период 2014-2018 годов. Программа работы была утверждена при том понимании, что работа по достижению конкретных результатов будет начата после принятия Пленумом </w:t>
      </w:r>
      <w:r w:rsidR="00030D4E">
        <w:rPr>
          <w:rFonts w:eastAsia="Times New Roman"/>
          <w:lang w:val="ru-RU" w:eastAsia="ru-RU" w:bidi="ru-RU"/>
        </w:rPr>
        <w:t>эффективных</w:t>
      </w:r>
      <w:r w:rsidRPr="00EE7A2D">
        <w:rPr>
          <w:rFonts w:eastAsia="Times New Roman"/>
          <w:lang w:val="ru-RU" w:eastAsia="ru-RU" w:bidi="ru-RU"/>
        </w:rPr>
        <w:t xml:space="preserve"> решений в соответствии с процедурами для подготовки итоговых материалов МПБЭУ (решение МПБЭУ-3/3, приложение I). В решении </w:t>
      </w:r>
      <w:r w:rsidR="00030D4E">
        <w:rPr>
          <w:rFonts w:eastAsia="Times New Roman"/>
          <w:lang w:val="ru-RU" w:eastAsia="ru-RU" w:bidi="ru-RU"/>
        </w:rPr>
        <w:t>МПБЭУ</w:t>
      </w:r>
      <w:r w:rsidRPr="00EE7A2D">
        <w:rPr>
          <w:rFonts w:eastAsia="Times New Roman"/>
          <w:lang w:val="ru-RU" w:eastAsia="ru-RU" w:bidi="ru-RU"/>
        </w:rPr>
        <w:t>-2/5 Пленум также инициировал мероприятия по всем, кроме одного, результатам программы (результат 4 e), обзор эффективности МПБЭУ), обеспечил соответствующее руководство и выразил намерение вернуться к этому вопросу на своей третьей сессии.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>
        <w:rPr>
          <w:rFonts w:eastAsia="Times New Roman"/>
          <w:lang w:val="ru-RU" w:eastAsia="ru-RU" w:bidi="ru-RU"/>
        </w:rPr>
        <w:t>2.</w:t>
      </w: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На своих третьей и четвертой сессиях Пленум принял решения МПБЭУ-3/1 и МПБЭУ</w:t>
      </w:r>
      <w:r>
        <w:rPr>
          <w:rFonts w:eastAsia="Times New Roman"/>
          <w:lang w:val="ru-RU" w:eastAsia="ru-RU" w:bidi="ru-RU"/>
        </w:rPr>
        <w:noBreakHyphen/>
      </w:r>
      <w:r w:rsidRPr="00EE7A2D">
        <w:rPr>
          <w:rFonts w:eastAsia="Times New Roman"/>
          <w:lang w:val="ru-RU" w:eastAsia="ru-RU" w:bidi="ru-RU"/>
        </w:rPr>
        <w:t xml:space="preserve">4/1, соответственно, в которых он обеспечил дальнейшее руководство реализацией всех результатов программы работы. В решении МПБЭУ-4/1 Пленум одобрил проведение глобальной оценки биоразнообразия и экосистемных услуг в период с 2016 года до середины 2019 года, таким </w:t>
      </w:r>
      <w:proofErr w:type="gramStart"/>
      <w:r w:rsidRPr="00EE7A2D">
        <w:rPr>
          <w:rFonts w:eastAsia="Times New Roman"/>
          <w:lang w:val="ru-RU" w:eastAsia="ru-RU" w:bidi="ru-RU"/>
        </w:rPr>
        <w:t>образом</w:t>
      </w:r>
      <w:proofErr w:type="gramEnd"/>
      <w:r w:rsidRPr="00EE7A2D">
        <w:rPr>
          <w:rFonts w:eastAsia="Times New Roman"/>
          <w:lang w:val="ru-RU" w:eastAsia="ru-RU" w:bidi="ru-RU"/>
        </w:rPr>
        <w:t xml:space="preserve"> продлив некоторые из мероприятий первой программы работы на период после 2018 года до середины 2019 года.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>
        <w:rPr>
          <w:rFonts w:eastAsia="Times New Roman"/>
          <w:lang w:val="ru-RU" w:eastAsia="ru-RU" w:bidi="ru-RU"/>
        </w:rPr>
        <w:t>3.</w:t>
      </w: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Настоящий доклад был подготовлен Исполнительным секретарем в консультации с Бюро и Многодисциплинарной группой экспертов, чтобы содействовать Пленуму в рассмотрении прогресса, достигнутого в осуществлении программы работы. В качестве основы для рассмотрения в настоящей записке представляется информация по следующим вопросам: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a</w:t>
      </w:r>
      <w:r w:rsidRPr="00B959C2">
        <w:rPr>
          <w:rFonts w:eastAsia="Times New Roman"/>
          <w:lang w:val="ru-RU" w:eastAsia="ru-RU" w:bidi="ru-RU"/>
        </w:rPr>
        <w:t>)</w:t>
      </w:r>
      <w:r w:rsidRPr="00B959C2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прогресс, достигнутый в 2016 году в реализации результатов, указанных в программе работы на 2014-2018 годы, осуществление которой было иниции</w:t>
      </w:r>
      <w:r w:rsidR="006C3707">
        <w:rPr>
          <w:rFonts w:eastAsia="Times New Roman"/>
          <w:lang w:val="ru-RU" w:eastAsia="ru-RU" w:bidi="ru-RU"/>
        </w:rPr>
        <w:t>ровано решениями</w:t>
      </w:r>
      <w:r w:rsidR="006C3707">
        <w:rPr>
          <w:rFonts w:eastAsia="Times New Roman"/>
          <w:lang w:val="en-US" w:eastAsia="ru-RU" w:bidi="ru-RU"/>
        </w:rPr>
        <w:t> </w:t>
      </w:r>
      <w:r w:rsidRPr="00EE7A2D">
        <w:rPr>
          <w:rFonts w:eastAsia="Times New Roman"/>
          <w:lang w:val="ru-RU" w:eastAsia="ru-RU" w:bidi="ru-RU"/>
        </w:rPr>
        <w:t>МПБЭУ</w:t>
      </w:r>
      <w:r w:rsidRPr="00B959C2">
        <w:rPr>
          <w:rFonts w:eastAsia="Times New Roman"/>
          <w:lang w:val="ru-RU" w:eastAsia="ru-RU" w:bidi="ru-RU"/>
        </w:rPr>
        <w:noBreakHyphen/>
      </w:r>
      <w:r w:rsidRPr="00EE7A2D">
        <w:rPr>
          <w:rFonts w:eastAsia="Times New Roman"/>
          <w:lang w:val="ru-RU" w:eastAsia="ru-RU" w:bidi="ru-RU"/>
        </w:rPr>
        <w:t>2/5, МПБЭУ-3/1 и МПБЭУ-4/1;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b</w:t>
      </w:r>
      <w:r w:rsidRPr="00B959C2">
        <w:rPr>
          <w:rFonts w:eastAsia="Times New Roman"/>
          <w:lang w:val="ru-RU" w:eastAsia="ru-RU" w:bidi="ru-RU"/>
        </w:rPr>
        <w:t>)</w:t>
      </w:r>
      <w:r w:rsidRPr="00B959C2">
        <w:rPr>
          <w:rFonts w:eastAsia="Times New Roman"/>
          <w:lang w:val="ru-RU" w:eastAsia="ru-RU" w:bidi="ru-RU"/>
        </w:rPr>
        <w:tab/>
      </w:r>
      <w:proofErr w:type="gramStart"/>
      <w:r w:rsidRPr="00EE7A2D">
        <w:rPr>
          <w:rFonts w:eastAsia="Times New Roman"/>
          <w:lang w:val="ru-RU" w:eastAsia="ru-RU" w:bidi="ru-RU"/>
        </w:rPr>
        <w:t>дальнейшие</w:t>
      </w:r>
      <w:proofErr w:type="gramEnd"/>
      <w:r w:rsidRPr="00EE7A2D">
        <w:rPr>
          <w:rFonts w:eastAsia="Times New Roman"/>
          <w:lang w:val="ru-RU" w:eastAsia="ru-RU" w:bidi="ru-RU"/>
        </w:rPr>
        <w:t xml:space="preserve"> уроки, извлеченные Бюро, Многодисциплинарной группой экспертов и секретариатом в 2016 году – третьем году осуществления программы работы н</w:t>
      </w:r>
      <w:r>
        <w:rPr>
          <w:rFonts w:eastAsia="Times New Roman"/>
          <w:lang w:val="ru-RU" w:eastAsia="ru-RU" w:bidi="ru-RU"/>
        </w:rPr>
        <w:t>а основе уроков, извлеченных в</w:t>
      </w:r>
      <w:r w:rsidRPr="00EE7A2D">
        <w:rPr>
          <w:rFonts w:eastAsia="Times New Roman"/>
          <w:lang w:val="ru-RU" w:eastAsia="ru-RU" w:bidi="ru-RU"/>
        </w:rPr>
        <w:t xml:space="preserve"> предыдущие годы.</w:t>
      </w:r>
    </w:p>
    <w:p w:rsidR="009C0977" w:rsidRPr="00EE7A2D" w:rsidRDefault="009C0977" w:rsidP="009C0977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lang w:val="ru-RU" w:eastAsia="ru-RU" w:bidi="ru-RU"/>
        </w:rPr>
      </w:pPr>
      <w:r w:rsidRPr="00EE7A2D">
        <w:rPr>
          <w:rFonts w:eastAsia="Times New Roman"/>
          <w:lang w:val="ru-RU" w:eastAsia="ru-RU" w:bidi="ru-RU"/>
        </w:rPr>
        <w:lastRenderedPageBreak/>
        <w:tab/>
      </w:r>
      <w:r w:rsidRPr="00EE7A2D">
        <w:rPr>
          <w:rFonts w:eastAsia="Times New Roman"/>
          <w:b/>
          <w:sz w:val="28"/>
          <w:lang w:val="ru-RU" w:eastAsia="ru-RU" w:bidi="ru-RU"/>
        </w:rPr>
        <w:t>I.</w:t>
      </w:r>
      <w:r w:rsidRPr="00EE7A2D">
        <w:rPr>
          <w:rFonts w:eastAsia="Times New Roman"/>
          <w:b/>
          <w:sz w:val="28"/>
          <w:lang w:val="ru-RU" w:eastAsia="ru-RU" w:bidi="ru-RU"/>
        </w:rPr>
        <w:tab/>
        <w:t xml:space="preserve">Прогресс в осуществлении решений МПБЭУ-2/5, МПБЭУ-3/1 и МПБЭУ-4/1, касающихся первой программы работы 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>
        <w:rPr>
          <w:rFonts w:eastAsia="Times New Roman"/>
          <w:lang w:val="ru-RU" w:eastAsia="ru-RU" w:bidi="ru-RU"/>
        </w:rPr>
        <w:t>4</w:t>
      </w:r>
      <w:r w:rsidRPr="007819E9">
        <w:rPr>
          <w:rFonts w:eastAsia="Times New Roman"/>
          <w:lang w:val="ru-RU" w:eastAsia="ru-RU" w:bidi="ru-RU"/>
        </w:rPr>
        <w:t>.</w:t>
      </w:r>
      <w:r w:rsidRPr="007819E9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 xml:space="preserve">В 2016 году были созданы одна группа авторов оценки (глобальная оценка), одна группа по аналитическому исследованию (устойчивое использование биоразнообразия) и две небольшие группы экспертов (ценности и сценарии), при этом две группы авторов оценки (опыление и сценарии) и одна большая группа экспертов (ценности) были расформированы. </w:t>
      </w:r>
      <w:proofErr w:type="gramStart"/>
      <w:r w:rsidRPr="00EE7A2D">
        <w:rPr>
          <w:rFonts w:eastAsia="Times New Roman"/>
          <w:lang w:val="ru-RU" w:eastAsia="ru-RU" w:bidi="ru-RU"/>
        </w:rPr>
        <w:t>Пять групп авторов оценки (региональные оценки, оценка деградации и восстановления земель), созданные в 2015 году, три целевые группы (по созданию потенциала, знаниям и данным и знаниям коренного и местного населения), а также две группы экспертов (по поддержке политики и руковод</w:t>
      </w:r>
      <w:r w:rsidR="006C3707">
        <w:rPr>
          <w:rFonts w:eastAsia="Times New Roman"/>
          <w:lang w:val="ru-RU" w:eastAsia="ru-RU" w:bidi="ru-RU"/>
        </w:rPr>
        <w:t xml:space="preserve">ству </w:t>
      </w:r>
      <w:r w:rsidRPr="00EE7A2D">
        <w:rPr>
          <w:rFonts w:eastAsia="Times New Roman"/>
          <w:lang w:val="ru-RU" w:eastAsia="ru-RU" w:bidi="ru-RU"/>
        </w:rPr>
        <w:t>по оцен</w:t>
      </w:r>
      <w:r w:rsidR="006C3707">
        <w:rPr>
          <w:rFonts w:eastAsia="Times New Roman"/>
          <w:lang w:val="ru-RU" w:eastAsia="ru-RU" w:bidi="ru-RU"/>
        </w:rPr>
        <w:t>кам</w:t>
      </w:r>
      <w:r w:rsidRPr="00EE7A2D">
        <w:rPr>
          <w:rFonts w:eastAsia="Times New Roman"/>
          <w:lang w:val="ru-RU" w:eastAsia="ru-RU" w:bidi="ru-RU"/>
        </w:rPr>
        <w:t>), которые были учреждены в 2014 году, продолжили свою работу в 2016 году.</w:t>
      </w:r>
      <w:proofErr w:type="gramEnd"/>
      <w:r w:rsidRPr="00EE7A2D">
        <w:rPr>
          <w:rFonts w:eastAsia="Times New Roman"/>
          <w:lang w:val="ru-RU" w:eastAsia="ru-RU" w:bidi="ru-RU"/>
        </w:rPr>
        <w:t xml:space="preserve"> Всего в работе</w:t>
      </w:r>
      <w:r w:rsidR="00153C58">
        <w:rPr>
          <w:rFonts w:eastAsia="Times New Roman"/>
          <w:lang w:val="ru-RU" w:eastAsia="ru-RU" w:bidi="ru-RU"/>
        </w:rPr>
        <w:t xml:space="preserve"> этих групп участвуют около 900 </w:t>
      </w:r>
      <w:r w:rsidRPr="00EE7A2D">
        <w:rPr>
          <w:rFonts w:eastAsia="Times New Roman"/>
          <w:lang w:val="ru-RU" w:eastAsia="ru-RU" w:bidi="ru-RU"/>
        </w:rPr>
        <w:t>экспертов, и общее число экспертов, участвующих в МПБЭУ с начала осуществления первой программы работы, достигло 1300. В этот же период было проведено в общей сложности 23 совещания</w:t>
      </w:r>
      <w:r w:rsidRPr="00EE7A2D">
        <w:rPr>
          <w:rFonts w:eastAsia="Times New Roman"/>
          <w:vertAlign w:val="superscript"/>
          <w:lang w:val="ru-RU" w:eastAsia="ru-RU" w:bidi="ru-RU"/>
        </w:rPr>
        <w:footnoteReference w:id="1"/>
      </w:r>
      <w:r w:rsidRPr="00EE7A2D">
        <w:rPr>
          <w:rFonts w:eastAsia="Times New Roman"/>
          <w:lang w:val="ru-RU" w:eastAsia="ru-RU" w:bidi="ru-RU"/>
        </w:rPr>
        <w:t xml:space="preserve">. Благодаря поддержке в натуральной форме, полученной от правительств и организаций, были созданы четыре группы технической поддержки, и две группы технической поддержки завершили свою работу, в результате чего общее число групп технической поддержки составило 12. Более подробная информация об организационных мерах приводится в документе (IPBES/5/INF/17). 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 w:rsidRPr="007819E9">
        <w:rPr>
          <w:rFonts w:eastAsia="Times New Roman"/>
          <w:lang w:val="ru-RU" w:eastAsia="ru-RU" w:bidi="ru-RU"/>
        </w:rPr>
        <w:t>5.</w:t>
      </w:r>
      <w:r w:rsidRPr="007819E9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 xml:space="preserve">В нижеследующих пунктах изложены сведения о прогрессе, достигнутом в рамках каждой цели первой программы работы МПБЭУ. 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b/>
          <w:lang w:val="ru-RU" w:eastAsia="ru-RU" w:bidi="ru-RU"/>
        </w:rPr>
      </w:pP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b/>
          <w:lang w:val="ru-RU" w:eastAsia="ru-RU" w:bidi="ru-RU"/>
        </w:rPr>
        <w:t>Цель 1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b/>
          <w:lang w:val="ru-RU" w:eastAsia="ru-RU" w:bidi="ru-RU"/>
        </w:rPr>
      </w:pPr>
      <w:r w:rsidRPr="007819E9">
        <w:rPr>
          <w:rFonts w:eastAsia="Times New Roman"/>
          <w:b/>
          <w:lang w:val="ru-RU" w:eastAsia="ru-RU" w:bidi="ru-RU"/>
        </w:rPr>
        <w:tab/>
      </w:r>
      <w:r w:rsidRPr="00EE7A2D">
        <w:rPr>
          <w:rFonts w:eastAsia="Times New Roman"/>
          <w:b/>
          <w:lang w:val="ru-RU" w:eastAsia="ru-RU" w:bidi="ru-RU"/>
        </w:rPr>
        <w:t>Укрепление потенциала и базы знаний для научно-политического взаимодействия в целях выполнения основных функций Платформы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 w:rsidRPr="007819E9">
        <w:rPr>
          <w:rFonts w:eastAsia="Times New Roman"/>
          <w:lang w:val="ru-RU" w:eastAsia="ru-RU" w:bidi="ru-RU"/>
        </w:rPr>
        <w:t>6.</w:t>
      </w:r>
      <w:r w:rsidRPr="007819E9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 xml:space="preserve">В 2014 году были учреждены три целевые группы с подразделениями технической поддержки на период осуществления первой программы работы. В 2016 году </w:t>
      </w:r>
      <w:proofErr w:type="gramStart"/>
      <w:r w:rsidRPr="00EE7A2D">
        <w:rPr>
          <w:rFonts w:eastAsia="Times New Roman"/>
          <w:lang w:val="ru-RU" w:eastAsia="ru-RU" w:bidi="ru-RU"/>
        </w:rPr>
        <w:t>был</w:t>
      </w:r>
      <w:proofErr w:type="gramEnd"/>
      <w:r w:rsidRPr="00EE7A2D">
        <w:rPr>
          <w:rFonts w:eastAsia="Times New Roman"/>
          <w:lang w:val="ru-RU" w:eastAsia="ru-RU" w:bidi="ru-RU"/>
        </w:rPr>
        <w:t xml:space="preserve"> достигнут следующий прогресс: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a</w:t>
      </w:r>
      <w:r w:rsidRPr="007819E9">
        <w:rPr>
          <w:rFonts w:eastAsia="Times New Roman"/>
          <w:lang w:val="ru-RU" w:eastAsia="ru-RU" w:bidi="ru-RU"/>
        </w:rPr>
        <w:t>)</w:t>
      </w:r>
      <w:r w:rsidRPr="007819E9">
        <w:rPr>
          <w:rFonts w:eastAsia="Times New Roman"/>
          <w:lang w:val="ru-RU" w:eastAsia="ru-RU" w:bidi="ru-RU"/>
        </w:rPr>
        <w:tab/>
      </w:r>
      <w:proofErr w:type="gramStart"/>
      <w:r w:rsidRPr="00EE7A2D">
        <w:rPr>
          <w:rFonts w:eastAsia="Times New Roman"/>
          <w:lang w:val="ru-RU" w:eastAsia="ru-RU" w:bidi="ru-RU"/>
        </w:rPr>
        <w:t>целевая</w:t>
      </w:r>
      <w:proofErr w:type="gramEnd"/>
      <w:r w:rsidRPr="00EE7A2D">
        <w:rPr>
          <w:rFonts w:eastAsia="Times New Roman"/>
          <w:lang w:val="ru-RU" w:eastAsia="ru-RU" w:bidi="ru-RU"/>
        </w:rPr>
        <w:t xml:space="preserve"> группа по созданию потенциала (результаты 1 a) и b)) занималась вопросами приоритетных потребностей в области создания </w:t>
      </w:r>
      <w:r w:rsidR="00153C58">
        <w:rPr>
          <w:rFonts w:eastAsia="Times New Roman"/>
          <w:lang w:val="ru-RU" w:eastAsia="ru-RU" w:bidi="ru-RU"/>
        </w:rPr>
        <w:t>потенциала, указанных в решении </w:t>
      </w:r>
      <w:r w:rsidRPr="00EE7A2D">
        <w:rPr>
          <w:rFonts w:eastAsia="Times New Roman"/>
          <w:lang w:val="ru-RU" w:eastAsia="ru-RU" w:bidi="ru-RU"/>
        </w:rPr>
        <w:t xml:space="preserve">МПБЭУ-4/1, </w:t>
      </w:r>
      <w:r w:rsidR="00153C58">
        <w:rPr>
          <w:rFonts w:eastAsia="Times New Roman"/>
          <w:lang w:val="ru-RU" w:eastAsia="ru-RU" w:bidi="ru-RU"/>
        </w:rPr>
        <w:t xml:space="preserve">в </w:t>
      </w:r>
      <w:r w:rsidRPr="00EE7A2D">
        <w:rPr>
          <w:rFonts w:eastAsia="Times New Roman"/>
          <w:lang w:val="ru-RU" w:eastAsia="ru-RU" w:bidi="ru-RU"/>
        </w:rPr>
        <w:t xml:space="preserve">том числе путем осуществления экспериментального проекта программы стипендий, обмена и обучения в соответствии с этим решением. Экспериментальное осуществление </w:t>
      </w:r>
      <w:r w:rsidR="00153C58">
        <w:rPr>
          <w:rFonts w:eastAsia="Times New Roman"/>
          <w:lang w:val="ru-RU" w:eastAsia="ru-RU" w:bidi="ru-RU"/>
        </w:rPr>
        <w:t xml:space="preserve">проекта </w:t>
      </w:r>
      <w:r w:rsidRPr="00EE7A2D">
        <w:rPr>
          <w:rFonts w:eastAsia="Times New Roman"/>
          <w:lang w:val="ru-RU" w:eastAsia="ru-RU" w:bidi="ru-RU"/>
        </w:rPr>
        <w:t>программы стипендий, начатое в 2015 году, был</w:t>
      </w:r>
      <w:r w:rsidR="00153C58">
        <w:rPr>
          <w:rFonts w:eastAsia="Times New Roman"/>
          <w:lang w:val="ru-RU" w:eastAsia="ru-RU" w:bidi="ru-RU"/>
        </w:rPr>
        <w:t>о</w:t>
      </w:r>
      <w:r w:rsidRPr="00EE7A2D">
        <w:rPr>
          <w:rFonts w:eastAsia="Times New Roman"/>
          <w:lang w:val="ru-RU" w:eastAsia="ru-RU" w:bidi="ru-RU"/>
        </w:rPr>
        <w:t xml:space="preserve"> расширено до уровня глобальной оценки, и из 182 кандидатов, подавших заявки, было выбрано 16 начинающих свою карьеру стипендиатов. Программа стипендий в настоящее время включает 49 стипендиатов из 37 стран и обеспечивает возможности наставничества и профессиональной подготовки. В рамках учебного компонента программы была проведена серия веб-семинаров с участием экспертов МПБЭУ. В ходе серии веб-семинаров были сделаны сообщения по процессу оценки, концептуальным рамкам, докладу по опылению и предварительному руководству по концептуализации ценностей биоразнообразия и природных благ, получаемых людьми. Целевая группа по созданию потенциала оказала помощь Бюро и секретариату в созыве и содействии работе второго форума МПБЭУ по созданию потенциала с участием представителей традиционных доноров и потенциальных новых источников финансирования. Доклад об итогах этого форума представлен в документе IPBES/5/3 в соответствии с решением МПБЭУ-4/1. </w:t>
      </w:r>
      <w:proofErr w:type="gramStart"/>
      <w:r w:rsidRPr="00EE7A2D">
        <w:rPr>
          <w:rFonts w:eastAsia="Times New Roman"/>
          <w:lang w:val="ru-RU" w:eastAsia="ru-RU" w:bidi="ru-RU"/>
        </w:rPr>
        <w:t>В механизме поиска партнеров, позволяющем сводить вместе тех, кто испытывает потребности в развитии потенциала, с теми, кто способен содействовать удовлетворению этих потребностей</w:t>
      </w:r>
      <w:r w:rsidR="00217654">
        <w:rPr>
          <w:rFonts w:eastAsia="Times New Roman"/>
          <w:lang w:val="ru-RU" w:eastAsia="ru-RU" w:bidi="ru-RU"/>
        </w:rPr>
        <w:t>,</w:t>
      </w:r>
      <w:r w:rsidRPr="00EE7A2D">
        <w:rPr>
          <w:rFonts w:eastAsia="Times New Roman"/>
          <w:lang w:val="ru-RU" w:eastAsia="ru-RU" w:bidi="ru-RU"/>
        </w:rPr>
        <w:t xml:space="preserve"> – как технических, так и финансовых, происходит постепенный переход от усилий по разработке прототипа онлайнового механизма поиска партнеров к последовательному развитию функций поиска партнеров на основе веб-структур поддержки, размещенных на веб-сайте МПБЭУ.</w:t>
      </w:r>
      <w:proofErr w:type="gramEnd"/>
      <w:r w:rsidRPr="00EE7A2D">
        <w:rPr>
          <w:rFonts w:eastAsia="Times New Roman"/>
          <w:lang w:val="ru-RU" w:eastAsia="ru-RU" w:bidi="ru-RU"/>
        </w:rPr>
        <w:t xml:space="preserve"> Эта небольшая переориентация обусловлена накопленным к настоящему времени опытом и полученными отзывами, в том числе от участнико</w:t>
      </w:r>
      <w:r>
        <w:rPr>
          <w:rFonts w:eastAsia="Times New Roman"/>
          <w:lang w:val="ru-RU" w:eastAsia="ru-RU" w:bidi="ru-RU"/>
        </w:rPr>
        <w:t>в первого и второго форум</w:t>
      </w:r>
      <w:r w:rsidR="00217654">
        <w:rPr>
          <w:rFonts w:eastAsia="Times New Roman"/>
          <w:lang w:val="ru-RU" w:eastAsia="ru-RU" w:bidi="ru-RU"/>
        </w:rPr>
        <w:t>ов</w:t>
      </w:r>
      <w:r>
        <w:rPr>
          <w:rFonts w:eastAsia="Times New Roman"/>
          <w:lang w:val="ru-RU" w:eastAsia="ru-RU" w:bidi="ru-RU"/>
        </w:rPr>
        <w:t xml:space="preserve"> по</w:t>
      </w:r>
      <w:r w:rsidRPr="00EE7A2D">
        <w:rPr>
          <w:rFonts w:eastAsia="Times New Roman"/>
          <w:lang w:val="ru-RU" w:eastAsia="ru-RU" w:bidi="ru-RU"/>
        </w:rPr>
        <w:t xml:space="preserve"> созданию потенциала. Во исполнение поручения Пленума в отношении дальнейшего определения приоритетности, программирования, поиска партнеров и партнерства целевая группа разработала переходящий план по созданию потенциала. План основан на опыте, накопленном в экспериментальном осуществлении проекта программы стипендий, обмене и обучении и в процессе реализации усилий по разработке прототипа механизма поиска партнеров. Рекомендации в отношении последующих мер излагаются в документе IPBES/5/3, их подкрепляет дополнительная </w:t>
      </w:r>
      <w:r w:rsidRPr="00EE7A2D">
        <w:rPr>
          <w:rFonts w:eastAsia="Times New Roman"/>
          <w:lang w:val="ru-RU" w:eastAsia="ru-RU" w:bidi="ru-RU"/>
        </w:rPr>
        <w:lastRenderedPageBreak/>
        <w:t>информация, такая как доклад второго форума по созданию потенциала (см. документ IPBES/5/INF/3);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b</w:t>
      </w:r>
      <w:r w:rsidRPr="00DD7BC4">
        <w:rPr>
          <w:rFonts w:eastAsia="Times New Roman"/>
          <w:lang w:val="ru-RU" w:eastAsia="ru-RU" w:bidi="ru-RU"/>
        </w:rPr>
        <w:t>)</w:t>
      </w:r>
      <w:r w:rsidRPr="00DD7BC4">
        <w:rPr>
          <w:rFonts w:eastAsia="Times New Roman"/>
          <w:lang w:val="ru-RU" w:eastAsia="ru-RU" w:bidi="ru-RU"/>
        </w:rPr>
        <w:tab/>
      </w:r>
      <w:proofErr w:type="gramStart"/>
      <w:r w:rsidRPr="00EE7A2D">
        <w:rPr>
          <w:rFonts w:eastAsia="Times New Roman"/>
          <w:lang w:val="ru-RU" w:eastAsia="ru-RU" w:bidi="ru-RU"/>
        </w:rPr>
        <w:t>целевая</w:t>
      </w:r>
      <w:proofErr w:type="gramEnd"/>
      <w:r w:rsidRPr="00EE7A2D">
        <w:rPr>
          <w:rFonts w:eastAsia="Times New Roman"/>
          <w:lang w:val="ru-RU" w:eastAsia="ru-RU" w:bidi="ru-RU"/>
        </w:rPr>
        <w:t xml:space="preserve"> группа по системам знаний коренного и ме</w:t>
      </w:r>
      <w:r>
        <w:rPr>
          <w:rFonts w:eastAsia="Times New Roman"/>
          <w:lang w:val="ru-RU" w:eastAsia="ru-RU" w:bidi="ru-RU"/>
        </w:rPr>
        <w:t>стного населения (результат </w:t>
      </w:r>
      <w:r w:rsidRPr="000B5940">
        <w:rPr>
          <w:lang w:val="ru-RU"/>
        </w:rPr>
        <w:t>1</w:t>
      </w:r>
      <w:r w:rsidRPr="000B5940">
        <w:rPr>
          <w:lang w:val="ru-RU" w:eastAsia="ru-RU" w:bidi="ru-RU"/>
        </w:rPr>
        <w:t>с</w:t>
      </w:r>
      <w:r w:rsidRPr="00EE7A2D">
        <w:rPr>
          <w:rFonts w:eastAsia="Times New Roman"/>
          <w:lang w:val="ru-RU" w:eastAsia="ru-RU" w:bidi="ru-RU"/>
        </w:rPr>
        <w:t xml:space="preserve">)) продолжила проведение в экспериментальном режиме дискуссионных семинаров-практикумов по знаниям коренного и местного населения путем организации семинаров-практикумов для региональных оценок для Азиатско-Тихоокеанского региона и Северной и Южной Америки и выполнила оценку этого опыта. </w:t>
      </w:r>
      <w:proofErr w:type="gramStart"/>
      <w:r w:rsidRPr="00EE7A2D">
        <w:rPr>
          <w:rFonts w:eastAsia="Times New Roman"/>
          <w:lang w:val="ru-RU" w:eastAsia="ru-RU" w:bidi="ru-RU"/>
        </w:rPr>
        <w:t>Эта оценка, которая включает в себя рассмотрение вопроса о том, как можно лучше всего учитывать знания коренного и местного населения в глобальной оценке биоразнообразия и экосистемных услуг, позволила разработать подход к работе со знаниями коренного и местного населения в рамках Платформы, представленный в документе IPBES/5/4 с дополнительной информацией, содержащейся в документе IPBES/5/INF/4, для рассмотрения Пленумом</w:t>
      </w:r>
      <w:proofErr w:type="gramEnd"/>
      <w:r w:rsidRPr="00EE7A2D">
        <w:rPr>
          <w:rFonts w:eastAsia="Times New Roman"/>
          <w:lang w:val="ru-RU" w:eastAsia="ru-RU" w:bidi="ru-RU"/>
        </w:rPr>
        <w:t xml:space="preserve">. Указанный подход включает дальнейшее формирование реестра экспертов и механизма участия для работы с различными системами знаний, как это предусмотрено в решении МПБЭУ-2/5; 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c</w:t>
      </w:r>
      <w:r w:rsidRPr="00DD7BC4">
        <w:rPr>
          <w:rFonts w:eastAsia="Times New Roman"/>
          <w:lang w:val="ru-RU" w:eastAsia="ru-RU" w:bidi="ru-RU"/>
        </w:rPr>
        <w:t>)</w:t>
      </w:r>
      <w:r w:rsidRPr="00DD7BC4">
        <w:rPr>
          <w:rFonts w:eastAsia="Times New Roman"/>
          <w:lang w:val="ru-RU" w:eastAsia="ru-RU" w:bidi="ru-RU"/>
        </w:rPr>
        <w:tab/>
      </w:r>
      <w:proofErr w:type="gramStart"/>
      <w:r w:rsidRPr="00EE7A2D">
        <w:rPr>
          <w:rFonts w:eastAsia="Times New Roman"/>
          <w:lang w:val="ru-RU" w:eastAsia="ru-RU" w:bidi="ru-RU"/>
        </w:rPr>
        <w:t>целевая</w:t>
      </w:r>
      <w:proofErr w:type="gramEnd"/>
      <w:r w:rsidRPr="00EE7A2D">
        <w:rPr>
          <w:rFonts w:eastAsia="Times New Roman"/>
          <w:lang w:val="ru-RU" w:eastAsia="ru-RU" w:bidi="ru-RU"/>
        </w:rPr>
        <w:t xml:space="preserve"> группа по знаниям и данным (результаты 1 d) и 4 b)) продолжала предоставлять консультации по текущим оценкам согласно плану по управлению данны</w:t>
      </w:r>
      <w:r w:rsidR="000536EB">
        <w:rPr>
          <w:rFonts w:eastAsia="Times New Roman"/>
          <w:lang w:val="ru-RU" w:eastAsia="ru-RU" w:bidi="ru-RU"/>
        </w:rPr>
        <w:t>ми</w:t>
      </w:r>
      <w:r w:rsidRPr="00EE7A2D">
        <w:rPr>
          <w:rFonts w:eastAsia="Times New Roman"/>
          <w:lang w:val="ru-RU" w:eastAsia="ru-RU" w:bidi="ru-RU"/>
        </w:rPr>
        <w:t xml:space="preserve"> и информацией на 2016 год. Основные успехи, достигнутые в осуществлении, включают предоставление руководящих указаний относительно базового набора показателей и оказания поддержки экспертам для их использования при проведении оценок МПБЭУ; создание веб-инфраструктуры, обеспечивающей ресурсы для экспертов, которые проводят оценки; и разработку процесса выявления пробелов в знаниях и стимулирования выработки новых знаний. План работы целевой группы по знаниям и данным до завершения первой программы работы приводится в документе IPBES/5/5 для утверждения Пленумом. Полный доклад о ходе осуществления приводится в документе (IPBES/5/INF/5).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b/>
          <w:lang w:val="ru-RU" w:eastAsia="ru-RU" w:bidi="ru-RU"/>
        </w:rPr>
      </w:pP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b/>
          <w:lang w:val="ru-RU" w:eastAsia="ru-RU" w:bidi="ru-RU"/>
        </w:rPr>
        <w:t>Цель 2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b/>
          <w:lang w:val="ru-RU" w:eastAsia="ru-RU" w:bidi="ru-RU"/>
        </w:rPr>
      </w:pPr>
      <w:r w:rsidRPr="00BB2D30">
        <w:rPr>
          <w:rFonts w:eastAsia="Times New Roman"/>
          <w:b/>
          <w:lang w:val="ru-RU" w:eastAsia="ru-RU" w:bidi="ru-RU"/>
        </w:rPr>
        <w:tab/>
      </w:r>
      <w:r w:rsidRPr="00EE7A2D">
        <w:rPr>
          <w:rFonts w:eastAsia="Times New Roman"/>
          <w:b/>
          <w:lang w:val="ru-RU" w:eastAsia="ru-RU" w:bidi="ru-RU"/>
        </w:rPr>
        <w:t>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>
        <w:rPr>
          <w:rFonts w:eastAsia="Times New Roman"/>
          <w:lang w:val="ru-RU" w:eastAsia="ru-RU" w:bidi="ru-RU"/>
        </w:rPr>
        <w:t>7</w:t>
      </w:r>
      <w:r w:rsidRPr="00BB2D30">
        <w:rPr>
          <w:rFonts w:eastAsia="Times New Roman"/>
          <w:lang w:val="ru-RU" w:eastAsia="ru-RU" w:bidi="ru-RU"/>
        </w:rPr>
        <w:t>.</w:t>
      </w:r>
      <w:r w:rsidRPr="00BB2D30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Прогресс, достигнутый в рамках цели 2, включает следующие результаты: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proofErr w:type="gramStart"/>
      <w:r>
        <w:rPr>
          <w:rFonts w:eastAsia="Times New Roman"/>
          <w:lang w:val="en-US" w:eastAsia="ru-RU" w:bidi="ru-RU"/>
        </w:rPr>
        <w:t>a</w:t>
      </w:r>
      <w:proofErr w:type="gramEnd"/>
      <w:r w:rsidRPr="00BB2D30">
        <w:rPr>
          <w:rFonts w:eastAsia="Times New Roman"/>
          <w:lang w:val="ru-RU" w:eastAsia="ru-RU" w:bidi="ru-RU"/>
        </w:rPr>
        <w:t>)</w:t>
      </w:r>
      <w:r w:rsidRPr="00BB2D30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пересмотренный вариант руководства по подготовке оценок, разработанный Междисциплинарной группой экспертов в консультации с Бюро при поддержке формируемой на определенный срок и для выполнения конкретных задач группы экспертов (результат 2 а)). Пересмотренное руководство было подготовлено после консультаций с группами экспертов по оценке; оно доступно на веб-сайте МПБЭУ в виде серии модулей. В 2016 году это руководство использовал</w:t>
      </w:r>
      <w:r w:rsidR="00C92E9A">
        <w:rPr>
          <w:rFonts w:eastAsia="Times New Roman"/>
          <w:lang w:val="ru-RU" w:eastAsia="ru-RU" w:bidi="ru-RU"/>
        </w:rPr>
        <w:t>о</w:t>
      </w:r>
      <w:r w:rsidRPr="00EE7A2D">
        <w:rPr>
          <w:rFonts w:eastAsia="Times New Roman"/>
          <w:lang w:val="ru-RU" w:eastAsia="ru-RU" w:bidi="ru-RU"/>
        </w:rPr>
        <w:t>сь в качестве основы для первых и вторых совещаний с авторами оценки для шести текущих оценок. Руководство представляет собой постоянно обновляемый документ, к которому будут добавляться новые модули (IPBES/5/INF/6);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b</w:t>
      </w:r>
      <w:r w:rsidRPr="00BB2D30">
        <w:rPr>
          <w:rFonts w:eastAsia="Times New Roman"/>
          <w:lang w:val="ru-RU" w:eastAsia="ru-RU" w:bidi="ru-RU"/>
        </w:rPr>
        <w:t>)</w:t>
      </w:r>
      <w:r w:rsidRPr="00BB2D30">
        <w:rPr>
          <w:rFonts w:eastAsia="Times New Roman"/>
          <w:lang w:val="ru-RU" w:eastAsia="ru-RU" w:bidi="ru-RU"/>
        </w:rPr>
        <w:tab/>
      </w:r>
      <w:proofErr w:type="gramStart"/>
      <w:r w:rsidRPr="00EE7A2D">
        <w:rPr>
          <w:rFonts w:eastAsia="Times New Roman"/>
          <w:lang w:val="ru-RU" w:eastAsia="ru-RU" w:bidi="ru-RU"/>
        </w:rPr>
        <w:t>первые</w:t>
      </w:r>
      <w:proofErr w:type="gramEnd"/>
      <w:r w:rsidRPr="00EE7A2D">
        <w:rPr>
          <w:rFonts w:eastAsia="Times New Roman"/>
          <w:lang w:val="ru-RU" w:eastAsia="ru-RU" w:bidi="ru-RU"/>
        </w:rPr>
        <w:t xml:space="preserve"> проекты четырех региональных и субрегиональных оценок, подготовленные группами авторов оценки и размещенные в онлайновом режиме в сети для внешнего коллегиального обзора в середине 2016 года (результат 2 b)); и созыв совместного второго совещания авторов для этих четырех оценок, а также для оценки деградации и восстановления земель. </w:t>
      </w:r>
      <w:proofErr w:type="gramStart"/>
      <w:r w:rsidRPr="00EE7A2D">
        <w:rPr>
          <w:rFonts w:eastAsia="Times New Roman"/>
          <w:lang w:val="ru-RU" w:eastAsia="ru-RU" w:bidi="ru-RU"/>
        </w:rPr>
        <w:t>В дополнение к совместному второму совещанию авторов в рамках оценки для Европы и Центральной Азии были проведены два самофинансируемых совещания, включая второе совещание авторов в полном составе, на которое были приглашены все ведущие авторы, в Задаре, Хорватия, в сентябре 2016 года, а также семинар-практикум по разработке проекта резюме такой</w:t>
      </w:r>
      <w:r w:rsidR="00C92E9A">
        <w:rPr>
          <w:rFonts w:eastAsia="Times New Roman"/>
          <w:lang w:val="ru-RU" w:eastAsia="ru-RU" w:bidi="ru-RU"/>
        </w:rPr>
        <w:t xml:space="preserve"> оценки для директивных органов</w:t>
      </w:r>
      <w:r w:rsidRPr="00EE7A2D">
        <w:rPr>
          <w:rFonts w:eastAsia="Times New Roman"/>
          <w:lang w:val="ru-RU" w:eastAsia="ru-RU" w:bidi="ru-RU"/>
        </w:rPr>
        <w:t xml:space="preserve"> в Бер</w:t>
      </w:r>
      <w:r w:rsidR="00C92E9A">
        <w:rPr>
          <w:rFonts w:eastAsia="Times New Roman"/>
          <w:lang w:val="ru-RU" w:eastAsia="ru-RU" w:bidi="ru-RU"/>
        </w:rPr>
        <w:t>не</w:t>
      </w:r>
      <w:r w:rsidRPr="00EE7A2D">
        <w:rPr>
          <w:rFonts w:eastAsia="Times New Roman"/>
          <w:lang w:val="ru-RU" w:eastAsia="ru-RU" w:bidi="ru-RU"/>
        </w:rPr>
        <w:t xml:space="preserve"> в январе 2017 года.</w:t>
      </w:r>
      <w:proofErr w:type="gramEnd"/>
      <w:r w:rsidRPr="00EE7A2D">
        <w:rPr>
          <w:rFonts w:eastAsia="Times New Roman"/>
          <w:lang w:val="ru-RU" w:eastAsia="ru-RU" w:bidi="ru-RU"/>
        </w:rPr>
        <w:t xml:space="preserve"> </w:t>
      </w:r>
      <w:proofErr w:type="gramStart"/>
      <w:r w:rsidRPr="00EE7A2D">
        <w:rPr>
          <w:rFonts w:eastAsia="Times New Roman"/>
          <w:lang w:val="ru-RU" w:eastAsia="ru-RU" w:bidi="ru-RU"/>
        </w:rPr>
        <w:t>В начале 2017 года, благодаря финансированию работ по наращиванию потенциала из средств целевого фонда МПБЭУ, будут проведены два семинара-практикума по созданию потенциала, предназначенные для подготовки глав соответствующих оценок – в Южной Африке в связи с оценкой для Африки и в Турции для Восточной Европы, Центральной Европы и Центральной Азии в связи с оценкой для Европы и Центральной Азии.</w:t>
      </w:r>
      <w:proofErr w:type="gramEnd"/>
      <w:r w:rsidRPr="00EE7A2D">
        <w:rPr>
          <w:rFonts w:eastAsia="Times New Roman"/>
          <w:lang w:val="ru-RU" w:eastAsia="ru-RU" w:bidi="ru-RU"/>
        </w:rPr>
        <w:t xml:space="preserve"> Доклад о ходе региональных</w:t>
      </w:r>
      <w:r w:rsidR="00C92E9A">
        <w:rPr>
          <w:rFonts w:eastAsia="Times New Roman"/>
          <w:lang w:val="ru-RU" w:eastAsia="ru-RU" w:bidi="ru-RU"/>
        </w:rPr>
        <w:t xml:space="preserve"> оценок приводится в документе IPBES/5/INF/7</w:t>
      </w:r>
      <w:r w:rsidRPr="00EE7A2D">
        <w:rPr>
          <w:rFonts w:eastAsia="Times New Roman"/>
          <w:lang w:val="ru-RU" w:eastAsia="ru-RU" w:bidi="ru-RU"/>
        </w:rPr>
        <w:t>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c</w:t>
      </w:r>
      <w:r w:rsidRPr="00BB2D30">
        <w:rPr>
          <w:rFonts w:eastAsia="Times New Roman"/>
          <w:lang w:val="ru-RU" w:eastAsia="ru-RU" w:bidi="ru-RU"/>
        </w:rPr>
        <w:t>)</w:t>
      </w:r>
      <w:r w:rsidRPr="00BB2D30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отбор экспертов для группы экспертов по глобальной оценке биоразнообразия и экосистемных услуг, который должен быть завершен к маю 2019</w:t>
      </w:r>
      <w:r w:rsidR="00C92E9A">
        <w:rPr>
          <w:rFonts w:eastAsia="Times New Roman"/>
          <w:lang w:val="ru-RU" w:eastAsia="ru-RU" w:bidi="ru-RU"/>
        </w:rPr>
        <w:t xml:space="preserve"> года</w:t>
      </w:r>
      <w:r w:rsidRPr="00EE7A2D">
        <w:rPr>
          <w:rFonts w:eastAsia="Times New Roman"/>
          <w:lang w:val="ru-RU" w:eastAsia="ru-RU" w:bidi="ru-RU"/>
        </w:rPr>
        <w:t xml:space="preserve"> (результат 2 c)); созыв первого совещания авторов и создание для него группы технической поддержки в секретариате МПБЭУ в Бонне при поддержке со стороны Германии, Нидерландов и Соединенных Штатов Америки. Доклад о ходе работы по данному </w:t>
      </w:r>
      <w:r w:rsidR="00C92E9A">
        <w:rPr>
          <w:rFonts w:eastAsia="Times New Roman"/>
          <w:lang w:val="ru-RU" w:eastAsia="ru-RU" w:bidi="ru-RU"/>
        </w:rPr>
        <w:t>вопросу приводится в документе IPBES/5/INF/8</w:t>
      </w:r>
      <w:r w:rsidRPr="00EE7A2D">
        <w:rPr>
          <w:rFonts w:eastAsia="Times New Roman"/>
          <w:lang w:val="ru-RU" w:eastAsia="ru-RU" w:bidi="ru-RU"/>
        </w:rPr>
        <w:t>.</w:t>
      </w:r>
    </w:p>
    <w:p w:rsidR="009C0977" w:rsidRPr="00EE7A2D" w:rsidRDefault="009C0977" w:rsidP="009C0977">
      <w:pPr>
        <w:keepNext/>
        <w:spacing w:after="120"/>
        <w:ind w:left="1247"/>
        <w:rPr>
          <w:rFonts w:eastAsia="Times New Roman"/>
          <w:b/>
          <w:lang w:val="ru-RU" w:eastAsia="ru-RU" w:bidi="ru-RU"/>
        </w:rPr>
      </w:pP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b/>
          <w:lang w:val="ru-RU" w:eastAsia="ru-RU" w:bidi="ru-RU"/>
        </w:rPr>
        <w:t>Цель 3</w:t>
      </w:r>
    </w:p>
    <w:p w:rsidR="009C0977" w:rsidRPr="00EE7A2D" w:rsidRDefault="009C0977" w:rsidP="009C0977">
      <w:pPr>
        <w:keepNext/>
        <w:spacing w:after="120"/>
        <w:ind w:left="1247" w:right="567"/>
        <w:rPr>
          <w:rFonts w:eastAsia="Times New Roman"/>
          <w:b/>
          <w:lang w:val="ru-RU" w:eastAsia="ru-RU" w:bidi="ru-RU"/>
        </w:rPr>
      </w:pPr>
      <w:r>
        <w:rPr>
          <w:rFonts w:eastAsia="Times New Roman"/>
          <w:b/>
          <w:lang w:val="ru-RU" w:eastAsia="ru-RU" w:bidi="ru-RU"/>
        </w:rPr>
        <w:tab/>
      </w:r>
      <w:r w:rsidRPr="00EE7A2D">
        <w:rPr>
          <w:rFonts w:eastAsia="Times New Roman"/>
          <w:b/>
          <w:lang w:val="ru-RU" w:eastAsia="ru-RU" w:bidi="ru-RU"/>
        </w:rPr>
        <w:t>Укрепление научно-политического взаимодействия по вопросам биоразнообразия и экосистемных услуг с учетом тематических и методологических вопросов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 w:rsidRPr="00BB2D30">
        <w:rPr>
          <w:rFonts w:eastAsia="Times New Roman"/>
          <w:lang w:val="ru-RU" w:eastAsia="ru-RU" w:bidi="ru-RU"/>
        </w:rPr>
        <w:t>8.</w:t>
      </w:r>
      <w:r w:rsidRPr="00BB2D30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Прогресс, достигнутый в рамках цели 3, включает следующие результаты: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a</w:t>
      </w:r>
      <w:r w:rsidRPr="00BB2D30">
        <w:rPr>
          <w:rFonts w:eastAsia="Times New Roman"/>
          <w:lang w:val="ru-RU" w:eastAsia="ru-RU" w:bidi="ru-RU"/>
        </w:rPr>
        <w:t>)</w:t>
      </w:r>
      <w:r w:rsidRPr="00BB2D30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пересмотренные варианты глав доклада о тематической оценке опылителей, опыления и производства продовольствия (результат 3 a)), отражающие изменения, внесенные в резюме для директивных органов Пленумом на его четвертой сессии (IPBES/4/INF/1/Rev.1); завершение подготовки макета и издание полного доклада об оценке и резюме для директивных органов; и дальнейшая работа по распространению этой оценки согласно документу IPBES/5/INF/1;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b</w:t>
      </w:r>
      <w:r w:rsidRPr="00BB2D30">
        <w:rPr>
          <w:rFonts w:eastAsia="Times New Roman"/>
          <w:lang w:val="ru-RU" w:eastAsia="ru-RU" w:bidi="ru-RU"/>
        </w:rPr>
        <w:t>)</w:t>
      </w:r>
      <w:r w:rsidRPr="00BB2D30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первый проект оценки деградации и восста</w:t>
      </w:r>
      <w:r>
        <w:rPr>
          <w:rFonts w:eastAsia="Times New Roman"/>
          <w:lang w:val="ru-RU" w:eastAsia="ru-RU" w:bidi="ru-RU"/>
        </w:rPr>
        <w:t>новления земель (результат</w:t>
      </w:r>
      <w:r>
        <w:rPr>
          <w:rFonts w:eastAsia="Times New Roman"/>
          <w:lang w:val="en-US" w:eastAsia="ru-RU" w:bidi="ru-RU"/>
        </w:rPr>
        <w:t> </w:t>
      </w:r>
      <w:r>
        <w:rPr>
          <w:rFonts w:eastAsia="Times New Roman"/>
          <w:lang w:val="ru-RU" w:eastAsia="ru-RU" w:bidi="ru-RU"/>
        </w:rPr>
        <w:t>3</w:t>
      </w:r>
      <w:r>
        <w:rPr>
          <w:rFonts w:eastAsia="Times New Roman"/>
          <w:lang w:val="en-US" w:eastAsia="ru-RU" w:bidi="ru-RU"/>
        </w:rPr>
        <w:t> </w:t>
      </w:r>
      <w:r>
        <w:rPr>
          <w:rFonts w:eastAsia="Times New Roman"/>
          <w:lang w:val="ru-RU" w:eastAsia="ru-RU" w:bidi="ru-RU"/>
        </w:rPr>
        <w:t>b)</w:t>
      </w:r>
      <w:r>
        <w:rPr>
          <w:rFonts w:eastAsia="Times New Roman"/>
          <w:lang w:val="en-US" w:eastAsia="ru-RU" w:bidi="ru-RU"/>
        </w:rPr>
        <w:t> </w:t>
      </w:r>
      <w:r w:rsidRPr="00EE7A2D">
        <w:rPr>
          <w:rFonts w:eastAsia="Times New Roman"/>
          <w:lang w:val="ru-RU" w:eastAsia="ru-RU" w:bidi="ru-RU"/>
        </w:rPr>
        <w:t xml:space="preserve">i)), подготовленный группой авторов оценки и размещенный в онлайновом режиме в сети для внешнего коллегиального обзора в середине 2016 года и созыв совместного второго совещания авторов для этой оценки, а также для четырех региональных оценок. Доклад о ходе работы по данному </w:t>
      </w:r>
      <w:r w:rsidR="004D55D5">
        <w:rPr>
          <w:rFonts w:eastAsia="Times New Roman"/>
          <w:lang w:val="ru-RU" w:eastAsia="ru-RU" w:bidi="ru-RU"/>
        </w:rPr>
        <w:t>вопросу приводится в документе IPBES/5/INF/9</w:t>
      </w:r>
      <w:r w:rsidRPr="00EE7A2D">
        <w:rPr>
          <w:rFonts w:eastAsia="Times New Roman"/>
          <w:lang w:val="ru-RU" w:eastAsia="ru-RU" w:bidi="ru-RU"/>
        </w:rPr>
        <w:t>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c</w:t>
      </w:r>
      <w:r w:rsidRPr="00BB2D30">
        <w:rPr>
          <w:rFonts w:eastAsia="Times New Roman"/>
          <w:lang w:val="ru-RU" w:eastAsia="ru-RU" w:bidi="ru-RU"/>
        </w:rPr>
        <w:t>)</w:t>
      </w:r>
      <w:r w:rsidRPr="00BB2D30">
        <w:rPr>
          <w:rFonts w:eastAsia="Times New Roman"/>
          <w:lang w:val="ru-RU" w:eastAsia="ru-RU" w:bidi="ru-RU"/>
        </w:rPr>
        <w:tab/>
      </w:r>
      <w:proofErr w:type="gramStart"/>
      <w:r w:rsidRPr="00EE7A2D">
        <w:rPr>
          <w:rFonts w:eastAsia="Times New Roman"/>
          <w:lang w:val="ru-RU" w:eastAsia="ru-RU" w:bidi="ru-RU"/>
        </w:rPr>
        <w:t>пересмотренный</w:t>
      </w:r>
      <w:proofErr w:type="gramEnd"/>
      <w:r w:rsidRPr="00EE7A2D">
        <w:rPr>
          <w:rFonts w:eastAsia="Times New Roman"/>
          <w:lang w:val="ru-RU" w:eastAsia="ru-RU" w:bidi="ru-RU"/>
        </w:rPr>
        <w:t xml:space="preserve"> доклад об аналитическом исследовании для тематической оценки устойчиво</w:t>
      </w:r>
      <w:r w:rsidR="004D55D5">
        <w:rPr>
          <w:rFonts w:eastAsia="Times New Roman"/>
          <w:lang w:val="ru-RU" w:eastAsia="ru-RU" w:bidi="ru-RU"/>
        </w:rPr>
        <w:t>го</w:t>
      </w:r>
      <w:r w:rsidRPr="00EE7A2D">
        <w:rPr>
          <w:rFonts w:eastAsia="Times New Roman"/>
          <w:lang w:val="ru-RU" w:eastAsia="ru-RU" w:bidi="ru-RU"/>
        </w:rPr>
        <w:t xml:space="preserve"> использовани</w:t>
      </w:r>
      <w:r w:rsidR="004D55D5">
        <w:rPr>
          <w:rFonts w:eastAsia="Times New Roman"/>
          <w:lang w:val="ru-RU" w:eastAsia="ru-RU" w:bidi="ru-RU"/>
        </w:rPr>
        <w:t>я</w:t>
      </w:r>
      <w:r w:rsidRPr="00EE7A2D">
        <w:rPr>
          <w:rFonts w:eastAsia="Times New Roman"/>
          <w:lang w:val="ru-RU" w:eastAsia="ru-RU" w:bidi="ru-RU"/>
        </w:rPr>
        <w:t xml:space="preserve"> биоразнообразия (результат 3 b) iii)), подготовленный группой экспертов по аналитическому исследованию с организацией очного семинара</w:t>
      </w:r>
      <w:r>
        <w:rPr>
          <w:rFonts w:eastAsia="Times New Roman"/>
          <w:lang w:val="ru-RU" w:eastAsia="ru-RU" w:bidi="ru-RU"/>
        </w:rPr>
        <w:noBreakHyphen/>
      </w:r>
      <w:r w:rsidRPr="00EE7A2D">
        <w:rPr>
          <w:rFonts w:eastAsia="Times New Roman"/>
          <w:lang w:val="ru-RU" w:eastAsia="ru-RU" w:bidi="ru-RU"/>
        </w:rPr>
        <w:t>практикума по вопросам аналитического исследования и проведением открытого обзора правительствами и заинтересованными сторонами, который был представлен Пленуму в документе IPBES/5/7 для одобрения. Информация о процессе аналитического исследования приводится в документе IPBES/5/INF/11;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d</w:t>
      </w:r>
      <w:r w:rsidRPr="008B43B6">
        <w:rPr>
          <w:rFonts w:eastAsia="Times New Roman"/>
          <w:lang w:val="ru-RU" w:eastAsia="ru-RU" w:bidi="ru-RU"/>
        </w:rPr>
        <w:t>)</w:t>
      </w:r>
      <w:r w:rsidRPr="008B43B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 xml:space="preserve">пересмотренный вариант глав доклада о методологической оценке сценариев и моделей биоразнообразия и экосистемных услуг (результат 3 c)), отражающий изменения, внесенные в резюме для директивных органов Пленумом на его четвертой сессии (IPBES/4/INF/3/Rev.1); завершение подготовки макета и издание полного доклада об оценке и резюме для директивных органов; дальнейшая работа по распространению оценки; работа по отбору экспертов Междисциплинарной группой экспертов </w:t>
      </w:r>
      <w:r w:rsidR="00D11412">
        <w:rPr>
          <w:rFonts w:eastAsia="Times New Roman"/>
          <w:lang w:val="ru-RU" w:eastAsia="ru-RU" w:bidi="ru-RU"/>
        </w:rPr>
        <w:t>в состав</w:t>
      </w:r>
      <w:r w:rsidRPr="00EE7A2D">
        <w:rPr>
          <w:rFonts w:eastAsia="Times New Roman"/>
          <w:lang w:val="ru-RU" w:eastAsia="ru-RU" w:bidi="ru-RU"/>
        </w:rPr>
        <w:t xml:space="preserve"> группы экспертов с целью оказания поддержки работе по сценариям и моделям при проведении текущих оценок и активизации дальнейшей разработки моделей и сценариев, как описано в приложении V к решению МПБЭУ-4/1; и продолжение работы группы технической поддержки при Нидерландском агентстве по оценке окружающей среды PBL благодаря поддержке в натуральной форме, оказываемой Нидерландами. Доклад о ходе работы приводится в документе IPBES/5/INF/2; 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e</w:t>
      </w:r>
      <w:r w:rsidRPr="008B43B6">
        <w:rPr>
          <w:rFonts w:eastAsia="Times New Roman"/>
          <w:lang w:val="ru-RU" w:eastAsia="ru-RU" w:bidi="ru-RU"/>
        </w:rPr>
        <w:t>)</w:t>
      </w:r>
      <w:r w:rsidRPr="008B43B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 xml:space="preserve">отбор экспертов Междисциплинарной группой экспертов для формируемой на определенный срок группы экспертов по ценностям (результат 3 d)); оказание поддержки рассмотрению ценностей при проведении текущих оценок и подготовке других результатов МПБЭУ, в частности касающихся знаний коренного и местного населения и сценариев и моделей; начало разработки предварительного руководства по ценностям в виде онлайнового ресурса; и создание группы технической поддержки в Институте исследований по экосистемам и устойчивости Национального автономного университета Мексики благодаря поддержке в натуральной форме от Национальной комиссии по знаниям и использованию биоразнообразия и Немецкой корпорации международного сотрудничества. Вопрос </w:t>
      </w:r>
      <w:proofErr w:type="gramStart"/>
      <w:r w:rsidRPr="00EE7A2D">
        <w:rPr>
          <w:rFonts w:eastAsia="Times New Roman"/>
          <w:lang w:val="ru-RU" w:eastAsia="ru-RU" w:bidi="ru-RU"/>
        </w:rPr>
        <w:t>о начале методологической оценки по вопросам ценностей на основе доклада об аналитическом исследовании по вопросам</w:t>
      </w:r>
      <w:proofErr w:type="gramEnd"/>
      <w:r w:rsidRPr="00EE7A2D">
        <w:rPr>
          <w:rFonts w:eastAsia="Times New Roman"/>
          <w:lang w:val="ru-RU" w:eastAsia="ru-RU" w:bidi="ru-RU"/>
        </w:rPr>
        <w:t xml:space="preserve"> ценностей, одобренного Пленумом на его четвертой сессии, будет рассмотрен Пленумом на его пятой сессии (IPBES/5/6 и IPBES/5/INF/12). Доклад о ходе работы по данному вопросу приводится в документе IPBES/5/INF/13.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b/>
          <w:lang w:val="ru-RU" w:eastAsia="ru-RU" w:bidi="ru-RU"/>
        </w:rPr>
      </w:pPr>
      <w:r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b/>
          <w:lang w:val="ru-RU" w:eastAsia="ru-RU" w:bidi="ru-RU"/>
        </w:rPr>
        <w:t>Цель 4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 w:rsidRPr="008B43B6">
        <w:rPr>
          <w:rFonts w:eastAsia="Times New Roman"/>
          <w:b/>
          <w:lang w:val="ru-RU" w:eastAsia="ru-RU" w:bidi="ru-RU"/>
        </w:rPr>
        <w:tab/>
      </w:r>
      <w:r w:rsidRPr="00EE7A2D">
        <w:rPr>
          <w:rFonts w:eastAsia="Times New Roman"/>
          <w:b/>
          <w:lang w:val="ru-RU" w:eastAsia="ru-RU" w:bidi="ru-RU"/>
        </w:rPr>
        <w:t>Распространение информации о деятельности, результатах и выводах Платформы и их оценка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 w:rsidRPr="008B43B6">
        <w:rPr>
          <w:rFonts w:eastAsia="Times New Roman"/>
          <w:lang w:val="ru-RU" w:eastAsia="ru-RU" w:bidi="ru-RU"/>
        </w:rPr>
        <w:t>9.</w:t>
      </w:r>
      <w:r w:rsidRPr="008B43B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Прогресс, достигнутый в рамках цели 4, включает следующие результаты: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a</w:t>
      </w:r>
      <w:r w:rsidRPr="008B43B6">
        <w:rPr>
          <w:rFonts w:eastAsia="Times New Roman"/>
          <w:lang w:val="ru-RU" w:eastAsia="ru-RU" w:bidi="ru-RU"/>
        </w:rPr>
        <w:t>)</w:t>
      </w:r>
      <w:r w:rsidRPr="008B43B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 xml:space="preserve">обновление и пересмотр каталога оценок и интеграция в новую веб-архитектуру каталога инструментов и методологий поддержки политики (результат 4 a)), как указано в документе IPBES/5/INF/14; 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b</w:t>
      </w:r>
      <w:r w:rsidRPr="008B43B6">
        <w:rPr>
          <w:rFonts w:eastAsia="Times New Roman"/>
          <w:lang w:val="ru-RU" w:eastAsia="ru-RU" w:bidi="ru-RU"/>
        </w:rPr>
        <w:t>)</w:t>
      </w:r>
      <w:r w:rsidRPr="008B43B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дальнейшая разработка группой экспертов по инструментам и методологиям поддержки политики онлайнового каталога инструментов и методологий поддержки политики (результат 4 c)) и обеспечение доступа к прототипу правительствам и заинтересованным сторонам для тестирования и обзора применения каталога до проведения пятой сессии Пленума, а также дальнейшая раз</w:t>
      </w:r>
      <w:r w:rsidR="0008453E">
        <w:rPr>
          <w:rFonts w:eastAsia="Times New Roman"/>
          <w:lang w:val="ru-RU" w:eastAsia="ru-RU" w:bidi="ru-RU"/>
        </w:rPr>
        <w:t>работка вариантов руководства</w:t>
      </w:r>
      <w:r w:rsidRPr="00EE7A2D">
        <w:rPr>
          <w:rFonts w:eastAsia="Times New Roman"/>
          <w:lang w:val="ru-RU" w:eastAsia="ru-RU" w:bidi="ru-RU"/>
        </w:rPr>
        <w:t xml:space="preserve"> каталог</w:t>
      </w:r>
      <w:r w:rsidR="0008453E">
        <w:rPr>
          <w:rFonts w:eastAsia="Times New Roman"/>
          <w:lang w:val="ru-RU" w:eastAsia="ru-RU" w:bidi="ru-RU"/>
        </w:rPr>
        <w:t>ом</w:t>
      </w:r>
      <w:r w:rsidRPr="00EE7A2D">
        <w:rPr>
          <w:rFonts w:eastAsia="Times New Roman"/>
          <w:lang w:val="ru-RU" w:eastAsia="ru-RU" w:bidi="ru-RU"/>
        </w:rPr>
        <w:t xml:space="preserve"> (IPBES/5/8); дальнейшая разработка руководства по вопросу о том, как интегрировать работу по инструментам и методологиям поддержки политики во все соответствующие конечные результат</w:t>
      </w:r>
      <w:r w:rsidR="0008453E">
        <w:rPr>
          <w:rFonts w:eastAsia="Times New Roman"/>
          <w:lang w:val="ru-RU" w:eastAsia="ru-RU" w:bidi="ru-RU"/>
        </w:rPr>
        <w:t>ы</w:t>
      </w:r>
      <w:r w:rsidRPr="00EE7A2D">
        <w:rPr>
          <w:rFonts w:eastAsia="Times New Roman"/>
          <w:lang w:val="ru-RU" w:eastAsia="ru-RU" w:bidi="ru-RU"/>
        </w:rPr>
        <w:t>, в частности в оценки МПБЭУ; и создание группы технической поддержки во Всемирном центре мониторинга охраны природы Программы Организации Объединенных Наций по окружающей среде (ЮНЕП-ВЦМП) благодаря поддержке в натуральной форме от ЮНЕП-ВЦМП. Доклад о ходе работы по данному вопросу приводится в документе IPBES/5/INF/14;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c</w:t>
      </w:r>
      <w:r w:rsidRPr="008B43B6">
        <w:rPr>
          <w:rFonts w:eastAsia="Times New Roman"/>
          <w:lang w:val="ru-RU" w:eastAsia="ru-RU" w:bidi="ru-RU"/>
        </w:rPr>
        <w:t>)</w:t>
      </w:r>
      <w:r w:rsidRPr="008B43B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 xml:space="preserve">мероприятия в контексте коммуникационной и информационно-пропагандистской стратегии и сотрудничества с сетями заинтересованных сторон открытого состава в отношении осуществления стратегии привлечения заинтересованных сторон в соответствии с решением МПБЭУ-4/4 (результат 4 d)) (IPBES/5/9, IPBES/5/INF/15, IPBES/5/INF/16); создание организационных механизмов для практической реализации технической поддержки для ряда результатов; разработка проектов меморандумов о сотрудничестве с секретариатами отдельных многосторонних природоохранных соглашений в области биоразнообразия и экосистемных услуг в соответствии с решением МПБЭУ-4/4; и шаги, предпринятые для заключения других стратегических партнерств, которые должны быть рассмотрены Пленумом (IPBES/5/9 и IPBES/5/INF/17); </w:t>
      </w:r>
    </w:p>
    <w:p w:rsidR="009C0977" w:rsidRPr="00EE7A2D" w:rsidRDefault="009C0977" w:rsidP="009C0977">
      <w:pPr>
        <w:spacing w:after="24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d</w:t>
      </w:r>
      <w:r w:rsidRPr="008B43B6">
        <w:rPr>
          <w:rFonts w:eastAsia="Times New Roman"/>
          <w:lang w:val="ru-RU" w:eastAsia="ru-RU" w:bidi="ru-RU"/>
        </w:rPr>
        <w:t>)</w:t>
      </w:r>
      <w:r w:rsidRPr="008B43B6">
        <w:rPr>
          <w:rFonts w:eastAsia="Times New Roman"/>
          <w:lang w:val="ru-RU" w:eastAsia="ru-RU" w:bidi="ru-RU"/>
        </w:rPr>
        <w:tab/>
      </w:r>
      <w:proofErr w:type="gramStart"/>
      <w:r w:rsidRPr="00EE7A2D">
        <w:rPr>
          <w:rFonts w:eastAsia="Times New Roman"/>
          <w:lang w:val="ru-RU" w:eastAsia="ru-RU" w:bidi="ru-RU"/>
        </w:rPr>
        <w:t>уточнение</w:t>
      </w:r>
      <w:proofErr w:type="gramEnd"/>
      <w:r w:rsidRPr="00EE7A2D">
        <w:rPr>
          <w:rFonts w:eastAsia="Times New Roman"/>
          <w:lang w:val="ru-RU" w:eastAsia="ru-RU" w:bidi="ru-RU"/>
        </w:rPr>
        <w:t xml:space="preserve"> сферы охвата и круга ведения обзора эффективности Платформы, проводимого по окончании программы работы (результат 4 e)) Многодисциплинарной группой экспертов в консультации с Бюро, интеграция внутренних и внешних элементов на основе материалов, полученных от правительств и заинтересованных сторон, для рассмотрения Пленумом на его пятой сессии (IPBES/5/11).</w:t>
      </w:r>
    </w:p>
    <w:p w:rsidR="009C0977" w:rsidRPr="00EE7A2D" w:rsidRDefault="009C0977" w:rsidP="009C0977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lang w:val="ru-RU" w:eastAsia="ru-RU" w:bidi="ru-RU"/>
        </w:rPr>
      </w:pPr>
      <w:r w:rsidRPr="00EE7A2D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b/>
          <w:sz w:val="28"/>
          <w:lang w:val="ru-RU" w:eastAsia="ru-RU" w:bidi="ru-RU"/>
        </w:rPr>
        <w:t>II.</w:t>
      </w:r>
      <w:r w:rsidRPr="00EE7A2D">
        <w:rPr>
          <w:rFonts w:eastAsia="Times New Roman"/>
          <w:b/>
          <w:sz w:val="28"/>
          <w:lang w:val="ru-RU" w:eastAsia="ru-RU" w:bidi="ru-RU"/>
        </w:rPr>
        <w:tab/>
        <w:t>Извлеченные уроки и трудности в течен</w:t>
      </w:r>
      <w:r w:rsidR="0008453E">
        <w:rPr>
          <w:rFonts w:eastAsia="Times New Roman"/>
          <w:b/>
          <w:sz w:val="28"/>
          <w:lang w:val="ru-RU" w:eastAsia="ru-RU" w:bidi="ru-RU"/>
        </w:rPr>
        <w:t>ие третьего года осуществления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 w:rsidRPr="00A22C56">
        <w:rPr>
          <w:rFonts w:eastAsia="Times New Roman"/>
          <w:lang w:val="ru-RU" w:eastAsia="ru-RU" w:bidi="ru-RU"/>
        </w:rPr>
        <w:t>10.</w:t>
      </w:r>
      <w:r w:rsidRPr="00A22C5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Уроки, извлеченные в ходе осуществления работы по достижению результатов, и трудности включают, в частности, следующее: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a</w:t>
      </w:r>
      <w:r w:rsidRPr="005506DD">
        <w:rPr>
          <w:rFonts w:eastAsia="Times New Roman"/>
          <w:lang w:val="ru-RU" w:eastAsia="ru-RU" w:bidi="ru-RU"/>
        </w:rPr>
        <w:t>)</w:t>
      </w:r>
      <w:r w:rsidRPr="005506DD">
        <w:rPr>
          <w:rFonts w:eastAsia="Times New Roman"/>
          <w:lang w:val="ru-RU" w:eastAsia="ru-RU" w:bidi="ru-RU"/>
        </w:rPr>
        <w:tab/>
      </w:r>
      <w:proofErr w:type="gramStart"/>
      <w:r w:rsidR="00E74D0E" w:rsidRPr="00EE7A2D">
        <w:rPr>
          <w:rFonts w:eastAsia="Times New Roman"/>
          <w:i/>
          <w:lang w:val="ru-RU" w:eastAsia="ru-RU" w:bidi="ru-RU"/>
        </w:rPr>
        <w:t>участие</w:t>
      </w:r>
      <w:proofErr w:type="gramEnd"/>
      <w:r w:rsidR="00E74D0E" w:rsidRPr="00EE7A2D">
        <w:rPr>
          <w:rFonts w:eastAsia="Times New Roman"/>
          <w:i/>
          <w:lang w:val="ru-RU" w:eastAsia="ru-RU" w:bidi="ru-RU"/>
        </w:rPr>
        <w:t xml:space="preserve"> </w:t>
      </w:r>
      <w:r w:rsidRPr="00EE7A2D">
        <w:rPr>
          <w:rFonts w:eastAsia="Times New Roman"/>
          <w:i/>
          <w:lang w:val="ru-RU" w:eastAsia="ru-RU" w:bidi="ru-RU"/>
        </w:rPr>
        <w:t>правительств</w:t>
      </w:r>
      <w:r w:rsidRPr="00EE7A2D">
        <w:rPr>
          <w:rFonts w:eastAsia="Times New Roman"/>
          <w:lang w:val="ru-RU" w:eastAsia="ru-RU" w:bidi="ru-RU"/>
        </w:rPr>
        <w:t xml:space="preserve">. Пленум неоднократно поручал секретариату запрашивать замечания у правительств, однако в целом секретариат получил очень ограниченное число материалов от них. </w:t>
      </w:r>
      <w:proofErr w:type="gramStart"/>
      <w:r w:rsidRPr="00EE7A2D">
        <w:rPr>
          <w:rFonts w:eastAsia="Times New Roman"/>
          <w:lang w:val="ru-RU" w:eastAsia="ru-RU" w:bidi="ru-RU"/>
        </w:rPr>
        <w:t>Например, только восемь и пять правительств</w:t>
      </w:r>
      <w:r w:rsidR="00E74D0E">
        <w:rPr>
          <w:rFonts w:eastAsia="Times New Roman"/>
          <w:lang w:val="ru-RU" w:eastAsia="ru-RU" w:bidi="ru-RU"/>
        </w:rPr>
        <w:t>,</w:t>
      </w:r>
      <w:r w:rsidRPr="00EE7A2D">
        <w:rPr>
          <w:rFonts w:eastAsia="Times New Roman"/>
          <w:lang w:val="ru-RU" w:eastAsia="ru-RU" w:bidi="ru-RU"/>
        </w:rPr>
        <w:t xml:space="preserve"> соответственно</w:t>
      </w:r>
      <w:r w:rsidR="00E74D0E">
        <w:rPr>
          <w:rFonts w:eastAsia="Times New Roman"/>
          <w:lang w:val="ru-RU" w:eastAsia="ru-RU" w:bidi="ru-RU"/>
        </w:rPr>
        <w:t>,</w:t>
      </w:r>
      <w:r w:rsidRPr="00EE7A2D">
        <w:rPr>
          <w:rFonts w:eastAsia="Times New Roman"/>
          <w:lang w:val="ru-RU" w:eastAsia="ru-RU" w:bidi="ru-RU"/>
        </w:rPr>
        <w:t xml:space="preserve"> направили письменные замечания по предназначенному для директивных органов резюме оценки опыления и оценки сценариев и моделей, и одно правительство от своего имени и второе правительство от имени Европейского союза и его государств-членов представили замечания в ответ на просьбу представить замечания по кругу ведения проводимого по окончании программы работы обзора МПБЭУ.</w:t>
      </w:r>
      <w:proofErr w:type="gramEnd"/>
      <w:r w:rsidRPr="00EE7A2D">
        <w:rPr>
          <w:rFonts w:eastAsia="Times New Roman"/>
          <w:lang w:val="ru-RU" w:eastAsia="ru-RU" w:bidi="ru-RU"/>
        </w:rPr>
        <w:t xml:space="preserve"> Бюро хотело бы подчеркнуть важность участия правительств в МПБЭУ </w:t>
      </w:r>
      <w:proofErr w:type="gramStart"/>
      <w:r w:rsidRPr="00EE7A2D">
        <w:rPr>
          <w:rFonts w:eastAsia="Times New Roman"/>
          <w:lang w:val="ru-RU" w:eastAsia="ru-RU" w:bidi="ru-RU"/>
        </w:rPr>
        <w:t>в период между сессиями Пленума в качестве предварительного условия для активного взаимодействия между наукой</w:t>
      </w:r>
      <w:proofErr w:type="gramEnd"/>
      <w:r w:rsidRPr="00EE7A2D">
        <w:rPr>
          <w:rFonts w:eastAsia="Times New Roman"/>
          <w:lang w:val="ru-RU" w:eastAsia="ru-RU" w:bidi="ru-RU"/>
        </w:rPr>
        <w:t xml:space="preserve"> и политикой, а также хотело бы настоятельно призвать правительства откликнуться на просьбы Пленума представлять замечания по оценкам и други</w:t>
      </w:r>
      <w:r w:rsidR="00E74D0E">
        <w:rPr>
          <w:rFonts w:eastAsia="Times New Roman"/>
          <w:lang w:val="ru-RU" w:eastAsia="ru-RU" w:bidi="ru-RU"/>
        </w:rPr>
        <w:t>м важным документам и процессам;</w:t>
      </w:r>
      <w:r w:rsidRPr="00EE7A2D">
        <w:rPr>
          <w:rFonts w:eastAsia="Times New Roman"/>
          <w:lang w:val="ru-RU" w:eastAsia="ru-RU" w:bidi="ru-RU"/>
        </w:rPr>
        <w:t xml:space="preserve"> 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b</w:t>
      </w:r>
      <w:r w:rsidRPr="00A22C56">
        <w:rPr>
          <w:rFonts w:eastAsia="Times New Roman"/>
          <w:lang w:val="ru-RU" w:eastAsia="ru-RU" w:bidi="ru-RU"/>
        </w:rPr>
        <w:t>)</w:t>
      </w:r>
      <w:r w:rsidRPr="00A22C56">
        <w:rPr>
          <w:rFonts w:eastAsia="Times New Roman"/>
          <w:lang w:val="ru-RU" w:eastAsia="ru-RU" w:bidi="ru-RU"/>
        </w:rPr>
        <w:tab/>
      </w:r>
      <w:proofErr w:type="gramStart"/>
      <w:r w:rsidR="00E74D0E">
        <w:rPr>
          <w:rFonts w:eastAsia="Times New Roman"/>
          <w:i/>
          <w:lang w:val="ru-RU" w:eastAsia="ru-RU" w:bidi="ru-RU"/>
        </w:rPr>
        <w:t>устранение</w:t>
      </w:r>
      <w:proofErr w:type="gramEnd"/>
      <w:r w:rsidRPr="00EE7A2D">
        <w:rPr>
          <w:rFonts w:eastAsia="Times New Roman"/>
          <w:i/>
          <w:lang w:val="ru-RU" w:eastAsia="ru-RU" w:bidi="ru-RU"/>
        </w:rPr>
        <w:t xml:space="preserve"> пробелов в экспертных знаниях</w:t>
      </w:r>
      <w:r w:rsidRPr="00EE7A2D">
        <w:rPr>
          <w:rFonts w:eastAsia="Times New Roman"/>
          <w:lang w:val="ru-RU" w:eastAsia="ru-RU" w:bidi="ru-RU"/>
        </w:rPr>
        <w:t xml:space="preserve">. Кандидатуры, представленные в 2016 году для работы в качестве экспертов по разработке глобальной оценки биоразнообразия и экосистемных услуг, продолжали характеризоваться пробелами, отмеченными в 2015 году в докладе Исполнительного секретаря об осуществлении первой программы работы (IPBES/4/2). Поэтому возникла необходимость в получении дополнительных кандидатур от правительств и заинтересованных сторон с использованием процедуры </w:t>
      </w:r>
      <w:r w:rsidR="00E74D0E">
        <w:rPr>
          <w:rFonts w:eastAsia="Times New Roman"/>
          <w:lang w:val="ru-RU" w:eastAsia="ru-RU" w:bidi="ru-RU"/>
        </w:rPr>
        <w:t>устранения</w:t>
      </w:r>
      <w:r w:rsidRPr="00EE7A2D">
        <w:rPr>
          <w:rFonts w:eastAsia="Times New Roman"/>
          <w:lang w:val="ru-RU" w:eastAsia="ru-RU" w:bidi="ru-RU"/>
        </w:rPr>
        <w:t xml:space="preserve"> пробелов, утвержденной Пленумом на его четвертой сессии, для 53 из 119 экспертов, с </w:t>
      </w:r>
      <w:proofErr w:type="gramStart"/>
      <w:r w:rsidRPr="00EE7A2D">
        <w:rPr>
          <w:rFonts w:eastAsia="Times New Roman"/>
          <w:lang w:val="ru-RU" w:eastAsia="ru-RU" w:bidi="ru-RU"/>
        </w:rPr>
        <w:t>тем</w:t>
      </w:r>
      <w:proofErr w:type="gramEnd"/>
      <w:r w:rsidRPr="00EE7A2D">
        <w:rPr>
          <w:rFonts w:eastAsia="Times New Roman"/>
          <w:lang w:val="ru-RU" w:eastAsia="ru-RU" w:bidi="ru-RU"/>
        </w:rPr>
        <w:t xml:space="preserve"> чтобы обеспечить надлежащий географический, тематический и гендерный баланс в коллективе экспертов</w:t>
      </w:r>
      <w:r w:rsidRPr="00EE7A2D">
        <w:rPr>
          <w:rFonts w:eastAsia="Times New Roman"/>
          <w:vertAlign w:val="superscript"/>
          <w:lang w:val="ru-RU" w:eastAsia="ru-RU" w:bidi="ru-RU"/>
        </w:rPr>
        <w:footnoteReference w:id="2"/>
      </w:r>
      <w:r w:rsidRPr="00EE7A2D">
        <w:rPr>
          <w:rFonts w:eastAsia="Times New Roman"/>
          <w:lang w:val="ru-RU" w:eastAsia="ru-RU" w:bidi="ru-RU"/>
        </w:rPr>
        <w:t>, особенно при отборе экспертов из Африки, Азиатско-Тихоокеанского региона и региона Восточной Европы, экспертов в области морских исследований и социальных наук (антропология и экономика), экспертов по вопросам знаний коренного и местного населения и носителей этих знаний и практических руководящих работников. Бюро хотело бы настоятельно призвать правительства и заинтересованные стороны устранить дисбаланс, упомянутый вы</w:t>
      </w:r>
      <w:r w:rsidR="00E74D0E">
        <w:rPr>
          <w:rFonts w:eastAsia="Times New Roman"/>
          <w:lang w:val="ru-RU" w:eastAsia="ru-RU" w:bidi="ru-RU"/>
        </w:rPr>
        <w:t>ше, в своих будущих назначениях;</w:t>
      </w:r>
    </w:p>
    <w:p w:rsidR="009C0977" w:rsidRPr="00EE7A2D" w:rsidRDefault="009C0977" w:rsidP="009C0977">
      <w:pPr>
        <w:spacing w:after="12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c</w:t>
      </w:r>
      <w:r w:rsidRPr="00BA5538">
        <w:rPr>
          <w:rFonts w:eastAsia="Times New Roman"/>
          <w:lang w:val="ru-RU" w:eastAsia="ru-RU" w:bidi="ru-RU"/>
        </w:rPr>
        <w:t>)</w:t>
      </w:r>
      <w:r w:rsidRPr="00BA5538">
        <w:rPr>
          <w:rFonts w:eastAsia="Times New Roman"/>
          <w:lang w:val="ru-RU" w:eastAsia="ru-RU" w:bidi="ru-RU"/>
        </w:rPr>
        <w:tab/>
      </w:r>
      <w:proofErr w:type="gramStart"/>
      <w:r w:rsidR="00E74D0E" w:rsidRPr="00E74D0E">
        <w:rPr>
          <w:rFonts w:eastAsia="Times New Roman"/>
          <w:i/>
          <w:lang w:val="ru-RU" w:eastAsia="ru-RU" w:bidi="ru-RU"/>
        </w:rPr>
        <w:t>поддержка</w:t>
      </w:r>
      <w:proofErr w:type="gramEnd"/>
      <w:r w:rsidR="00E74D0E">
        <w:rPr>
          <w:rFonts w:eastAsia="Times New Roman"/>
          <w:lang w:val="ru-RU" w:eastAsia="ru-RU" w:bidi="ru-RU"/>
        </w:rPr>
        <w:t xml:space="preserve"> </w:t>
      </w:r>
      <w:r w:rsidRPr="00EE7A2D">
        <w:rPr>
          <w:rFonts w:eastAsia="Times New Roman"/>
          <w:i/>
          <w:lang w:val="ru-RU" w:eastAsia="ru-RU" w:bidi="ru-RU"/>
        </w:rPr>
        <w:t>экспертов из развитых стран</w:t>
      </w:r>
      <w:r w:rsidRPr="00EE7A2D">
        <w:rPr>
          <w:rFonts w:eastAsia="Times New Roman"/>
          <w:lang w:val="ru-RU" w:eastAsia="ru-RU" w:bidi="ru-RU"/>
        </w:rPr>
        <w:t>. В 2016 году эксперты из развитых стран, в частности, эксперты из Северной Америки, Южной Европы и из тех стран Восточной Европы, которые не получают поддержки из целевого фонда, продолжали выражать оговорки по поводу выдвижения своих кандидатур для участия в работе МПБЭУ из-за отсутствия поддержки командировок для них. Бюро хотело бы обратить внимание Пленума на столь серьезную ситуацию и предложить Пленуму призвать развитые государства-члены к поддержке поездок экспертов из этих стран и все учреждения к поддержке экспертов, которые принимают участие в работе, ос</w:t>
      </w:r>
      <w:r w:rsidR="008C19F9">
        <w:rPr>
          <w:rFonts w:eastAsia="Times New Roman"/>
          <w:lang w:val="ru-RU" w:eastAsia="ru-RU" w:bidi="ru-RU"/>
        </w:rPr>
        <w:t>уществляемой в рамках Платформы;</w:t>
      </w:r>
    </w:p>
    <w:p w:rsidR="009C0977" w:rsidRPr="00EE7A2D" w:rsidRDefault="009C0977" w:rsidP="009C0977">
      <w:pPr>
        <w:spacing w:after="240"/>
        <w:ind w:left="1247" w:firstLine="624"/>
        <w:rPr>
          <w:rFonts w:eastAsia="Times New Roman"/>
          <w:lang w:val="ru-RU" w:eastAsia="ru-RU" w:bidi="ru-RU"/>
        </w:rPr>
      </w:pPr>
      <w:r>
        <w:rPr>
          <w:rFonts w:eastAsia="Times New Roman"/>
          <w:lang w:val="en-US" w:eastAsia="ru-RU" w:bidi="ru-RU"/>
        </w:rPr>
        <w:t>d</w:t>
      </w:r>
      <w:r w:rsidRPr="00BA5538">
        <w:rPr>
          <w:rFonts w:eastAsia="Times New Roman"/>
          <w:lang w:val="ru-RU" w:eastAsia="ru-RU" w:bidi="ru-RU"/>
        </w:rPr>
        <w:t>)</w:t>
      </w:r>
      <w:r w:rsidRPr="00BA5538">
        <w:rPr>
          <w:rFonts w:eastAsia="Times New Roman"/>
          <w:lang w:val="ru-RU" w:eastAsia="ru-RU" w:bidi="ru-RU"/>
        </w:rPr>
        <w:tab/>
      </w:r>
      <w:proofErr w:type="gramStart"/>
      <w:r w:rsidR="008C19F9" w:rsidRPr="00EE7A2D">
        <w:rPr>
          <w:rFonts w:eastAsia="Times New Roman"/>
          <w:i/>
          <w:lang w:val="ru-RU" w:eastAsia="ru-RU" w:bidi="ru-RU"/>
        </w:rPr>
        <w:t>поддержка</w:t>
      </w:r>
      <w:proofErr w:type="gramEnd"/>
      <w:r w:rsidR="008C19F9" w:rsidRPr="00EE7A2D">
        <w:rPr>
          <w:rFonts w:eastAsia="Times New Roman"/>
          <w:i/>
          <w:lang w:val="ru-RU" w:eastAsia="ru-RU" w:bidi="ru-RU"/>
        </w:rPr>
        <w:t xml:space="preserve"> </w:t>
      </w:r>
      <w:r w:rsidRPr="00EE7A2D">
        <w:rPr>
          <w:rFonts w:eastAsia="Times New Roman"/>
          <w:i/>
          <w:lang w:val="ru-RU" w:eastAsia="ru-RU" w:bidi="ru-RU"/>
        </w:rPr>
        <w:t>членов Многодисциплинарной группы экспертов из развитых стран</w:t>
      </w:r>
      <w:r w:rsidRPr="00EE7A2D">
        <w:rPr>
          <w:rFonts w:eastAsia="Times New Roman"/>
          <w:lang w:val="ru-RU" w:eastAsia="ru-RU" w:bidi="ru-RU"/>
        </w:rPr>
        <w:t xml:space="preserve">. Несколько членов Группы из развитых стран не смогли принять участие в двух ежегодных совещаниях Группы из-за отсутствия финансовой поддержки. Бюро при поддержке Группы хотело бы настоятельно призвать правительства развитых стран выбирать кандидатов, для которых они могут обеспечивать поддержку, или же </w:t>
      </w:r>
      <w:proofErr w:type="spellStart"/>
      <w:r w:rsidRPr="00EE7A2D">
        <w:rPr>
          <w:rFonts w:eastAsia="Times New Roman"/>
          <w:lang w:val="ru-RU" w:eastAsia="ru-RU" w:bidi="ru-RU"/>
        </w:rPr>
        <w:t>самообеспеченных</w:t>
      </w:r>
      <w:proofErr w:type="spellEnd"/>
      <w:r w:rsidRPr="00EE7A2D">
        <w:rPr>
          <w:rFonts w:eastAsia="Times New Roman"/>
          <w:lang w:val="ru-RU" w:eastAsia="ru-RU" w:bidi="ru-RU"/>
        </w:rPr>
        <w:t xml:space="preserve"> кандидатов. Кроме того, Бюро хотело бы просить Пленум рассмотреть вопрос об оказании поддержки членам Группы из развитых стран.</w:t>
      </w:r>
    </w:p>
    <w:p w:rsidR="009C0977" w:rsidRPr="00EE7A2D" w:rsidRDefault="009C0977" w:rsidP="009C0977">
      <w:pPr>
        <w:tabs>
          <w:tab w:val="right" w:pos="851"/>
        </w:tabs>
        <w:spacing w:after="120"/>
        <w:ind w:left="1247" w:right="284" w:hanging="1247"/>
        <w:rPr>
          <w:rFonts w:eastAsia="Times New Roman"/>
          <w:b/>
          <w:lang w:val="ru-RU" w:eastAsia="ru-RU" w:bidi="ru-RU"/>
        </w:rPr>
      </w:pPr>
      <w:r w:rsidRPr="00EE7A2D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b/>
          <w:sz w:val="28"/>
          <w:lang w:val="ru-RU" w:eastAsia="ru-RU" w:bidi="ru-RU"/>
        </w:rPr>
        <w:t>III.</w:t>
      </w:r>
      <w:r w:rsidRPr="00EE7A2D">
        <w:rPr>
          <w:rFonts w:eastAsia="Times New Roman"/>
          <w:b/>
          <w:sz w:val="28"/>
          <w:lang w:val="ru-RU" w:eastAsia="ru-RU" w:bidi="ru-RU"/>
        </w:rPr>
        <w:tab/>
        <w:t xml:space="preserve">Обновленные данные, касающиеся набора </w:t>
      </w:r>
      <w:r w:rsidR="00794CC0">
        <w:rPr>
          <w:rFonts w:eastAsia="Times New Roman"/>
          <w:b/>
          <w:sz w:val="28"/>
          <w:lang w:val="ru-RU" w:eastAsia="ru-RU" w:bidi="ru-RU"/>
        </w:rPr>
        <w:t xml:space="preserve">штатных </w:t>
      </w:r>
      <w:r w:rsidRPr="00EE7A2D">
        <w:rPr>
          <w:rFonts w:eastAsia="Times New Roman"/>
          <w:b/>
          <w:sz w:val="28"/>
          <w:lang w:val="ru-RU" w:eastAsia="ru-RU" w:bidi="ru-RU"/>
        </w:rPr>
        <w:t>сотрудников секретариата в 2016 году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 w:rsidRPr="00651756">
        <w:rPr>
          <w:rFonts w:eastAsia="Times New Roman"/>
          <w:lang w:val="ru-RU" w:eastAsia="ru-RU" w:bidi="ru-RU"/>
        </w:rPr>
        <w:t>11.</w:t>
      </w:r>
      <w:r w:rsidRPr="0065175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Набор сотрудников секретариата в Бонне продолжился в период</w:t>
      </w:r>
      <w:r>
        <w:rPr>
          <w:rFonts w:eastAsia="Times New Roman"/>
          <w:lang w:val="ru-RU" w:eastAsia="ru-RU" w:bidi="ru-RU"/>
        </w:rPr>
        <w:t xml:space="preserve"> с января по август 2016</w:t>
      </w:r>
      <w:r>
        <w:rPr>
          <w:rFonts w:eastAsia="Times New Roman"/>
          <w:lang w:val="en-US" w:eastAsia="ru-RU" w:bidi="ru-RU"/>
        </w:rPr>
        <w:t> </w:t>
      </w:r>
      <w:r w:rsidRPr="00EE7A2D">
        <w:rPr>
          <w:rFonts w:eastAsia="Times New Roman"/>
          <w:lang w:val="ru-RU" w:eastAsia="ru-RU" w:bidi="ru-RU"/>
        </w:rPr>
        <w:t xml:space="preserve">года. В августе 2016 года коллектив был укомплектован, и 12 должностей были заполнены, как показано в таблице ниже. В 2016 году было набрано семь сотрудников, при этом три из них заменили сотрудников, выходящих в отставку. Секретариат функционировал с весьма ограниченными возможностями в первом квартале 2016 года. 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  <w:r w:rsidRPr="00651756">
        <w:rPr>
          <w:rFonts w:eastAsia="Times New Roman"/>
          <w:lang w:val="ru-RU" w:eastAsia="ru-RU" w:bidi="ru-RU"/>
        </w:rPr>
        <w:t>12.</w:t>
      </w:r>
      <w:r w:rsidRPr="00651756">
        <w:rPr>
          <w:rFonts w:eastAsia="Times New Roman"/>
          <w:lang w:val="ru-RU" w:eastAsia="ru-RU" w:bidi="ru-RU"/>
        </w:rPr>
        <w:tab/>
      </w:r>
      <w:r w:rsidRPr="00EE7A2D">
        <w:rPr>
          <w:rFonts w:eastAsia="Times New Roman"/>
          <w:lang w:val="ru-RU" w:eastAsia="ru-RU" w:bidi="ru-RU"/>
        </w:rPr>
        <w:t>Бюро рекомендует, чтобы был нанят один консультант на уровне ОО-6 на условиях неполного рабочего дня в помощь младшему сотруднику по управлению знаниями (С-2) для выполнени</w:t>
      </w:r>
      <w:r>
        <w:rPr>
          <w:rFonts w:eastAsia="Times New Roman"/>
          <w:lang w:val="ru-RU" w:eastAsia="ru-RU" w:bidi="ru-RU"/>
        </w:rPr>
        <w:t>я</w:t>
      </w:r>
      <w:r w:rsidRPr="00EE7A2D">
        <w:rPr>
          <w:rFonts w:eastAsia="Times New Roman"/>
          <w:lang w:val="ru-RU" w:eastAsia="ru-RU" w:bidi="ru-RU"/>
        </w:rPr>
        <w:t xml:space="preserve"> </w:t>
      </w:r>
      <w:r w:rsidR="008C19F9">
        <w:rPr>
          <w:rFonts w:eastAsia="Times New Roman"/>
          <w:lang w:val="ru-RU" w:eastAsia="ru-RU" w:bidi="ru-RU"/>
        </w:rPr>
        <w:t>увеличивающегося</w:t>
      </w:r>
      <w:r w:rsidRPr="00EE7A2D">
        <w:rPr>
          <w:rFonts w:eastAsia="Times New Roman"/>
          <w:lang w:val="ru-RU" w:eastAsia="ru-RU" w:bidi="ru-RU"/>
        </w:rPr>
        <w:t xml:space="preserve"> объема работы, связанной с дальнейшим развитием и поддержанием системы управления данными, которая формирует основу эффективного и действенного осуществления программы работы. 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b/>
          <w:lang w:val="ru-RU" w:eastAsia="ru-RU" w:bidi="ru-RU"/>
        </w:rPr>
      </w:pPr>
      <w:r w:rsidRPr="00EE7A2D">
        <w:rPr>
          <w:rFonts w:eastAsia="Times New Roman"/>
          <w:b/>
          <w:lang w:val="ru-RU" w:eastAsia="ru-RU" w:bidi="ru-RU"/>
        </w:rPr>
        <w:t>Набор сотрудников секретариата Межправительственной научно-политической платформы по биоразнообразию и экосистемным услугам в 2016 году</w:t>
      </w:r>
    </w:p>
    <w:tbl>
      <w:tblPr>
        <w:tblW w:w="8335" w:type="dxa"/>
        <w:jc w:val="right"/>
        <w:tblLook w:val="04A0" w:firstRow="1" w:lastRow="0" w:firstColumn="1" w:lastColumn="0" w:noHBand="0" w:noVBand="1"/>
      </w:tblPr>
      <w:tblGrid>
        <w:gridCol w:w="5393"/>
        <w:gridCol w:w="2942"/>
      </w:tblGrid>
      <w:tr w:rsidR="009C0977" w:rsidRPr="00EE7A2D" w:rsidTr="0013027E">
        <w:trPr>
          <w:trHeight w:val="227"/>
          <w:jc w:val="right"/>
        </w:trPr>
        <w:tc>
          <w:tcPr>
            <w:tcW w:w="5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i/>
                <w:lang w:val="ru-RU" w:eastAsia="ru-RU" w:bidi="ru-RU"/>
              </w:rPr>
            </w:pPr>
            <w:r w:rsidRPr="00EE7A2D">
              <w:rPr>
                <w:rFonts w:eastAsia="Times New Roman"/>
                <w:i/>
                <w:lang w:val="ru-RU" w:eastAsia="ru-RU" w:bidi="ru-RU"/>
              </w:rPr>
              <w:t>Должность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i/>
                <w:lang w:val="ru-RU" w:eastAsia="ru-RU" w:bidi="ru-RU"/>
              </w:rPr>
            </w:pPr>
            <w:r w:rsidRPr="00EE7A2D">
              <w:rPr>
                <w:rFonts w:eastAsia="Times New Roman"/>
                <w:i/>
                <w:lang w:val="ru-RU" w:eastAsia="ru-RU" w:bidi="ru-RU"/>
              </w:rPr>
              <w:t>Срок</w:t>
            </w:r>
          </w:p>
        </w:tc>
      </w:tr>
      <w:tr w:rsidR="009C0977" w:rsidRPr="00EE7A2D" w:rsidTr="0013027E">
        <w:trPr>
          <w:trHeight w:val="227"/>
          <w:jc w:val="right"/>
        </w:trPr>
        <w:tc>
          <w:tcPr>
            <w:tcW w:w="5393" w:type="dxa"/>
            <w:tcBorders>
              <w:top w:val="single" w:sz="12" w:space="0" w:color="auto"/>
            </w:tcBorders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Руководитель секретариата (Д-1)</w:t>
            </w:r>
          </w:p>
        </w:tc>
        <w:tc>
          <w:tcPr>
            <w:tcW w:w="2942" w:type="dxa"/>
            <w:tcBorders>
              <w:top w:val="single" w:sz="12" w:space="0" w:color="auto"/>
            </w:tcBorders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февраля 2014 года</w:t>
            </w:r>
          </w:p>
        </w:tc>
      </w:tr>
      <w:tr w:rsidR="009C0977" w:rsidRPr="00EE7A2D" w:rsidTr="0013027E">
        <w:trPr>
          <w:trHeight w:val="227"/>
          <w:jc w:val="right"/>
        </w:trPr>
        <w:tc>
          <w:tcPr>
            <w:tcW w:w="5393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программам (С-4)</w:t>
            </w:r>
            <w:r w:rsidRPr="00EE7A2D">
              <w:rPr>
                <w:rFonts w:eastAsia="Times New Roman"/>
                <w:vertAlign w:val="superscript"/>
                <w:lang w:val="ru-RU" w:eastAsia="ru-RU" w:bidi="ru-RU"/>
              </w:rPr>
              <w:t>a</w:t>
            </w:r>
          </w:p>
        </w:tc>
        <w:tc>
          <w:tcPr>
            <w:tcW w:w="2942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марта 2015 года</w:t>
            </w:r>
          </w:p>
        </w:tc>
      </w:tr>
      <w:tr w:rsidR="009C0977" w:rsidRPr="00EE7A2D" w:rsidTr="0013027E">
        <w:trPr>
          <w:trHeight w:val="227"/>
          <w:jc w:val="right"/>
        </w:trPr>
        <w:tc>
          <w:tcPr>
            <w:tcW w:w="5393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информационному обеспечению (С-4)</w:t>
            </w:r>
          </w:p>
        </w:tc>
        <w:tc>
          <w:tcPr>
            <w:tcW w:w="2942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июля 2016 года</w:t>
            </w:r>
          </w:p>
        </w:tc>
      </w:tr>
      <w:tr w:rsidR="009C0977" w:rsidRPr="00EE7A2D" w:rsidTr="0013027E">
        <w:trPr>
          <w:trHeight w:val="227"/>
          <w:jc w:val="right"/>
        </w:trPr>
        <w:tc>
          <w:tcPr>
            <w:tcW w:w="5393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программам (С-3)</w:t>
            </w:r>
          </w:p>
        </w:tc>
        <w:tc>
          <w:tcPr>
            <w:tcW w:w="2942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апреля 2015 года</w:t>
            </w:r>
          </w:p>
        </w:tc>
      </w:tr>
      <w:tr w:rsidR="009C0977" w:rsidRPr="00EE7A2D" w:rsidTr="0013027E">
        <w:trPr>
          <w:trHeight w:val="227"/>
          <w:jc w:val="right"/>
        </w:trPr>
        <w:tc>
          <w:tcPr>
            <w:tcW w:w="5393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административным вопросам (С-3)</w:t>
            </w:r>
          </w:p>
        </w:tc>
        <w:tc>
          <w:tcPr>
            <w:tcW w:w="2942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января 2016 года</w:t>
            </w:r>
          </w:p>
        </w:tc>
      </w:tr>
      <w:tr w:rsidR="009C0977" w:rsidRPr="007D7D00" w:rsidTr="0013027E">
        <w:trPr>
          <w:trHeight w:val="227"/>
          <w:jc w:val="right"/>
        </w:trPr>
        <w:tc>
          <w:tcPr>
            <w:tcW w:w="5393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Младший сотрудник  по управлению знаниями (С-2)</w:t>
            </w:r>
          </w:p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Младший сотрудник по программам (С-2)</w:t>
            </w:r>
            <w:r w:rsidRPr="00EE7A2D">
              <w:rPr>
                <w:rFonts w:eastAsia="Times New Roman"/>
                <w:vertAlign w:val="superscript"/>
                <w:lang w:val="ru-RU" w:eastAsia="ru-RU" w:bidi="ru-RU"/>
              </w:rPr>
              <w:t>b</w:t>
            </w:r>
          </w:p>
        </w:tc>
        <w:tc>
          <w:tcPr>
            <w:tcW w:w="2942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мая 2016 года</w:t>
            </w:r>
          </w:p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февраля 2016 года</w:t>
            </w:r>
          </w:p>
        </w:tc>
      </w:tr>
      <w:tr w:rsidR="009C0977" w:rsidRPr="007D7D00" w:rsidTr="0013027E">
        <w:trPr>
          <w:trHeight w:val="227"/>
          <w:jc w:val="right"/>
        </w:trPr>
        <w:tc>
          <w:tcPr>
            <w:tcW w:w="5393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административному обслуживанию (ОО-6)</w:t>
            </w:r>
          </w:p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административному обслуживанию (ОО-6)</w:t>
            </w:r>
            <w:r w:rsidRPr="00EE7A2D">
              <w:rPr>
                <w:rFonts w:eastAsia="Times New Roman"/>
                <w:vertAlign w:val="superscript"/>
                <w:lang w:val="ru-RU" w:eastAsia="ru-RU" w:bidi="ru-RU"/>
              </w:rPr>
              <w:t>b</w:t>
            </w:r>
          </w:p>
        </w:tc>
        <w:tc>
          <w:tcPr>
            <w:tcW w:w="2942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мая 2016 года</w:t>
            </w:r>
          </w:p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августа 2016 года</w:t>
            </w:r>
          </w:p>
        </w:tc>
      </w:tr>
      <w:tr w:rsidR="009C0977" w:rsidRPr="00EE7A2D" w:rsidTr="0013027E">
        <w:trPr>
          <w:trHeight w:val="227"/>
          <w:jc w:val="right"/>
        </w:trPr>
        <w:tc>
          <w:tcPr>
            <w:tcW w:w="5393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административному обслуживанию (ОО-5)</w:t>
            </w:r>
          </w:p>
        </w:tc>
        <w:tc>
          <w:tcPr>
            <w:tcW w:w="2942" w:type="dxa"/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июля 2016 года</w:t>
            </w:r>
          </w:p>
        </w:tc>
      </w:tr>
      <w:tr w:rsidR="009C0977" w:rsidRPr="007D7D00" w:rsidTr="0013027E">
        <w:trPr>
          <w:trHeight w:val="227"/>
          <w:jc w:val="right"/>
        </w:trPr>
        <w:tc>
          <w:tcPr>
            <w:tcW w:w="5393" w:type="dxa"/>
            <w:tcBorders>
              <w:bottom w:val="single" w:sz="12" w:space="0" w:color="auto"/>
            </w:tcBorders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административному обслуживанию (ОО-5)</w:t>
            </w:r>
          </w:p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r w:rsidRPr="00EE7A2D">
              <w:rPr>
                <w:rFonts w:eastAsia="Times New Roman"/>
                <w:lang w:val="ru-RU" w:eastAsia="ru-RU" w:bidi="ru-RU"/>
              </w:rPr>
              <w:t>Сотрудник по административному обслуживанию (ОО-5)</w:t>
            </w:r>
            <w:r w:rsidRPr="00EE7A2D">
              <w:rPr>
                <w:rFonts w:eastAsia="Times New Roman"/>
                <w:vertAlign w:val="superscript"/>
                <w:lang w:val="ru-RU" w:eastAsia="ru-RU" w:bidi="ru-RU"/>
              </w:rPr>
              <w:t>b</w:t>
            </w:r>
          </w:p>
        </w:tc>
        <w:tc>
          <w:tcPr>
            <w:tcW w:w="2942" w:type="dxa"/>
            <w:tcBorders>
              <w:bottom w:val="single" w:sz="12" w:space="0" w:color="auto"/>
            </w:tcBorders>
            <w:shd w:val="clear" w:color="auto" w:fill="auto"/>
          </w:tcPr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июля 2013 года</w:t>
            </w:r>
          </w:p>
          <w:p w:rsidR="009C0977" w:rsidRPr="00EE7A2D" w:rsidRDefault="009C0977" w:rsidP="0013027E">
            <w:pPr>
              <w:spacing w:before="40" w:after="40"/>
              <w:rPr>
                <w:rFonts w:eastAsia="Times New Roman"/>
                <w:lang w:val="ru-RU" w:eastAsia="ru-RU" w:bidi="ru-RU"/>
              </w:rPr>
            </w:pPr>
            <w:proofErr w:type="gramStart"/>
            <w:r w:rsidRPr="00EE7A2D">
              <w:rPr>
                <w:rFonts w:eastAsia="Times New Roman"/>
                <w:lang w:val="ru-RU" w:eastAsia="ru-RU" w:bidi="ru-RU"/>
              </w:rPr>
              <w:t>Заполнена</w:t>
            </w:r>
            <w:proofErr w:type="gramEnd"/>
            <w:r w:rsidRPr="00EE7A2D">
              <w:rPr>
                <w:rFonts w:eastAsia="Times New Roman"/>
                <w:lang w:val="ru-RU" w:eastAsia="ru-RU" w:bidi="ru-RU"/>
              </w:rPr>
              <w:t xml:space="preserve"> с августа 2015 года</w:t>
            </w:r>
          </w:p>
        </w:tc>
      </w:tr>
    </w:tbl>
    <w:p w:rsidR="009C0977" w:rsidRPr="00EE7A2D" w:rsidRDefault="009C0977" w:rsidP="009C0977">
      <w:pPr>
        <w:spacing w:before="120" w:after="120"/>
        <w:ind w:left="1247"/>
        <w:rPr>
          <w:rFonts w:eastAsia="Times New Roman"/>
          <w:sz w:val="18"/>
          <w:lang w:val="ru-RU" w:eastAsia="ru-RU" w:bidi="ru-RU"/>
        </w:rPr>
      </w:pPr>
      <w:r w:rsidRPr="00EE7A2D">
        <w:rPr>
          <w:rFonts w:eastAsia="Times New Roman"/>
          <w:sz w:val="18"/>
          <w:lang w:val="ru-RU" w:eastAsia="ru-RU" w:bidi="ru-RU"/>
        </w:rPr>
        <w:t xml:space="preserve">a </w:t>
      </w:r>
      <w:r w:rsidRPr="00A349C8">
        <w:rPr>
          <w:rFonts w:eastAsia="Times New Roman"/>
          <w:sz w:val="18"/>
          <w:lang w:val="ru-RU" w:eastAsia="ru-RU" w:bidi="ru-RU"/>
        </w:rPr>
        <w:tab/>
      </w:r>
      <w:r w:rsidRPr="00EE7A2D">
        <w:rPr>
          <w:rFonts w:eastAsia="Times New Roman"/>
          <w:sz w:val="18"/>
          <w:lang w:val="ru-RU" w:eastAsia="ru-RU" w:bidi="ru-RU"/>
        </w:rPr>
        <w:t>Должность в натуральном выражении, полученная от ЮНЕП.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sz w:val="18"/>
          <w:lang w:val="ru-RU" w:eastAsia="ru-RU" w:bidi="ru-RU"/>
        </w:rPr>
      </w:pPr>
      <w:r w:rsidRPr="00EE7A2D">
        <w:rPr>
          <w:rFonts w:eastAsia="Times New Roman"/>
          <w:sz w:val="18"/>
          <w:lang w:val="ru-RU" w:eastAsia="ru-RU" w:bidi="ru-RU"/>
        </w:rPr>
        <w:t xml:space="preserve">b </w:t>
      </w:r>
      <w:r w:rsidRPr="00A349C8">
        <w:rPr>
          <w:rFonts w:eastAsia="Times New Roman"/>
          <w:sz w:val="18"/>
          <w:lang w:val="ru-RU" w:eastAsia="ru-RU" w:bidi="ru-RU"/>
        </w:rPr>
        <w:tab/>
      </w:r>
      <w:r w:rsidRPr="00EE7A2D">
        <w:rPr>
          <w:rFonts w:eastAsia="Times New Roman"/>
          <w:sz w:val="18"/>
          <w:lang w:val="ru-RU" w:eastAsia="ru-RU" w:bidi="ru-RU"/>
        </w:rPr>
        <w:t>Должности, утвержденные Пленумом на его третьей сессии.</w:t>
      </w:r>
    </w:p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9C0977" w:rsidRPr="00CD0476" w:rsidTr="0013027E">
        <w:tc>
          <w:tcPr>
            <w:tcW w:w="1942" w:type="dxa"/>
            <w:shd w:val="clear" w:color="auto" w:fill="auto"/>
          </w:tcPr>
          <w:p w:rsidR="009C0977" w:rsidRPr="00EE7A2D" w:rsidRDefault="009C0977" w:rsidP="0013027E">
            <w:pPr>
              <w:spacing w:after="120"/>
              <w:rPr>
                <w:rFonts w:eastAsia="Times New Roman"/>
                <w:lang w:val="ru-RU" w:eastAsia="ru-RU" w:bidi="ru-RU"/>
              </w:rPr>
            </w:pPr>
          </w:p>
        </w:tc>
        <w:tc>
          <w:tcPr>
            <w:tcW w:w="1942" w:type="dxa"/>
            <w:shd w:val="clear" w:color="auto" w:fill="auto"/>
          </w:tcPr>
          <w:p w:rsidR="009C0977" w:rsidRPr="00EE7A2D" w:rsidRDefault="009C0977" w:rsidP="0013027E">
            <w:pPr>
              <w:spacing w:after="120"/>
              <w:rPr>
                <w:rFonts w:eastAsia="Times New Roman"/>
                <w:lang w:val="ru-RU" w:eastAsia="ru-RU" w:bidi="ru-RU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9C0977" w:rsidRPr="00EE7A2D" w:rsidRDefault="009C0977" w:rsidP="0013027E">
            <w:pPr>
              <w:spacing w:after="120"/>
              <w:rPr>
                <w:rFonts w:eastAsia="Times New Roman"/>
                <w:lang w:val="ru-RU" w:eastAsia="ru-RU" w:bidi="ru-RU"/>
              </w:rPr>
            </w:pPr>
          </w:p>
        </w:tc>
        <w:tc>
          <w:tcPr>
            <w:tcW w:w="1943" w:type="dxa"/>
            <w:shd w:val="clear" w:color="auto" w:fill="auto"/>
          </w:tcPr>
          <w:p w:rsidR="009C0977" w:rsidRPr="00EE7A2D" w:rsidRDefault="009C0977" w:rsidP="0013027E">
            <w:pPr>
              <w:spacing w:after="120"/>
              <w:rPr>
                <w:rFonts w:eastAsia="Times New Roman"/>
                <w:lang w:val="ru-RU" w:eastAsia="ru-RU" w:bidi="ru-RU"/>
              </w:rPr>
            </w:pPr>
          </w:p>
        </w:tc>
        <w:tc>
          <w:tcPr>
            <w:tcW w:w="1943" w:type="dxa"/>
            <w:shd w:val="clear" w:color="auto" w:fill="auto"/>
          </w:tcPr>
          <w:p w:rsidR="009C0977" w:rsidRPr="00EE7A2D" w:rsidRDefault="009C0977" w:rsidP="0013027E">
            <w:pPr>
              <w:spacing w:after="120"/>
              <w:rPr>
                <w:rFonts w:eastAsia="Times New Roman"/>
                <w:lang w:val="ru-RU" w:eastAsia="ru-RU" w:bidi="ru-RU"/>
              </w:rPr>
            </w:pPr>
          </w:p>
        </w:tc>
      </w:tr>
    </w:tbl>
    <w:p w:rsidR="009C0977" w:rsidRPr="00EE7A2D" w:rsidRDefault="009C0977" w:rsidP="009C0977">
      <w:pPr>
        <w:spacing w:after="120"/>
        <w:ind w:left="1247"/>
        <w:rPr>
          <w:rFonts w:eastAsia="Times New Roman"/>
          <w:lang w:val="ru-RU" w:eastAsia="ru-RU" w:bidi="ru-RU"/>
        </w:rPr>
      </w:pPr>
    </w:p>
    <w:sectPr w:rsidR="009C0977" w:rsidRPr="00EE7A2D" w:rsidSect="007E29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60" w:rsidRDefault="009A6760">
      <w:r>
        <w:separator/>
      </w:r>
    </w:p>
  </w:endnote>
  <w:endnote w:type="continuationSeparator" w:id="0">
    <w:p w:rsidR="009A6760" w:rsidRDefault="009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CD0476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7D7D00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4E" w:rsidRDefault="00030D4E" w:rsidP="00030D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40"/>
      <w:ind w:left="624"/>
      <w:rPr>
        <w:sz w:val="20"/>
        <w:lang w:val="en-US"/>
      </w:rPr>
    </w:pPr>
    <w:r>
      <w:rPr>
        <w:sz w:val="20"/>
        <w:lang w:val="en-US"/>
      </w:rPr>
      <w:t>____________________</w:t>
    </w:r>
  </w:p>
  <w:p w:rsidR="00030D4E" w:rsidRPr="00030D4E" w:rsidRDefault="00030D4E" w:rsidP="00030D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 w:after="40"/>
      <w:ind w:left="1248"/>
      <w:rPr>
        <w:lang w:val="en-US"/>
      </w:rPr>
    </w:pPr>
    <w:r w:rsidRPr="00030D4E">
      <w:rPr>
        <w:lang w:val="en-US"/>
      </w:rPr>
      <w:t>*</w:t>
    </w:r>
    <w:r w:rsidRPr="00030D4E">
      <w:rPr>
        <w:lang w:val="en-US"/>
      </w:rPr>
      <w:tab/>
      <w:t>IPBES/5/1.Rev.1.</w:t>
    </w:r>
  </w:p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1471A9">
      <w:rPr>
        <w:sz w:val="20"/>
        <w:lang w:val="en-US"/>
      </w:rPr>
      <w:t>6</w:t>
    </w:r>
    <w:r w:rsidR="00936B64">
      <w:rPr>
        <w:sz w:val="20"/>
        <w:lang w:val="en-US"/>
      </w:rPr>
      <w:t>1</w:t>
    </w:r>
    <w:r w:rsidR="00F62DAF">
      <w:rPr>
        <w:sz w:val="20"/>
        <w:lang w:val="ru-RU"/>
      </w:rPr>
      <w:t>1551</w:t>
    </w:r>
    <w:r w:rsidR="00936B64">
      <w:rPr>
        <w:sz w:val="20"/>
        <w:lang w:val="en-US"/>
      </w:rPr>
      <w:t xml:space="preserve">      </w:t>
    </w:r>
    <w:r w:rsidR="007D7D00">
      <w:rPr>
        <w:sz w:val="20"/>
        <w:lang w:val="en-US"/>
      </w:rPr>
      <w:t>20</w:t>
    </w:r>
    <w:r w:rsidR="00190C83">
      <w:rPr>
        <w:sz w:val="20"/>
        <w:lang w:val="en-US"/>
      </w:rPr>
      <w:t>0117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60" w:rsidRDefault="009A6760" w:rsidP="00410C38">
      <w:pPr>
        <w:ind w:left="624"/>
      </w:pPr>
      <w:r>
        <w:separator/>
      </w:r>
    </w:p>
  </w:footnote>
  <w:footnote w:type="continuationSeparator" w:id="0">
    <w:p w:rsidR="009A6760" w:rsidRDefault="009A6760">
      <w:r>
        <w:continuationSeparator/>
      </w:r>
    </w:p>
  </w:footnote>
  <w:footnote w:id="1">
    <w:p w:rsidR="009C0977" w:rsidRPr="00EE7A2D" w:rsidRDefault="009C0977" w:rsidP="009C097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Cs w:val="18"/>
          <w:lang w:val="ru-RU"/>
        </w:rPr>
      </w:pPr>
      <w:r>
        <w:rPr>
          <w:rStyle w:val="FootnoteReference"/>
          <w:sz w:val="18"/>
        </w:rPr>
        <w:footnoteRef/>
      </w:r>
      <w:r w:rsidRPr="00EE7A2D">
        <w:rPr>
          <w:lang w:val="ru-RU"/>
        </w:rPr>
        <w:t xml:space="preserve"> </w:t>
      </w:r>
      <w:r w:rsidRPr="007819E9">
        <w:rPr>
          <w:lang w:val="ru-RU"/>
        </w:rPr>
        <w:tab/>
      </w:r>
      <w:r w:rsidRPr="00EE7A2D">
        <w:rPr>
          <w:lang w:val="ru-RU"/>
        </w:rPr>
        <w:t>Они включают седьмое и восьмое совещания Многодисциплинарной группы экспертов и совещания Бюро, но не включают четвертую и пятую сессии Пленума.</w:t>
      </w:r>
    </w:p>
  </w:footnote>
  <w:footnote w:id="2">
    <w:p w:rsidR="009C0977" w:rsidRPr="00EE7A2D" w:rsidRDefault="009C0977" w:rsidP="009C097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>
        <w:rPr>
          <w:rStyle w:val="FootnoteReference"/>
          <w:sz w:val="18"/>
        </w:rPr>
        <w:footnoteRef/>
      </w:r>
      <w:r w:rsidRPr="00EE7A2D">
        <w:rPr>
          <w:lang w:val="ru-RU"/>
        </w:rPr>
        <w:t xml:space="preserve"> </w:t>
      </w:r>
      <w:r w:rsidRPr="00A22C56">
        <w:rPr>
          <w:lang w:val="ru-RU"/>
        </w:rPr>
        <w:tab/>
      </w:r>
      <w:proofErr w:type="gramStart"/>
      <w:r w:rsidRPr="00EE7A2D">
        <w:rPr>
          <w:lang w:val="ru-RU"/>
        </w:rPr>
        <w:t>В общей сложности в ответ на направленные в 2014, 2015 и 2016 годах приглашения для работы в рамках Платформы было отобрано 1302 эксперта, и кандидатуры распределились следующим образом: африканские государства – 16 процентов; государства Азиатско-Тихоокеанского  региона – 20 процентов; государства Латинской Америки и Карибского бассейна – 17 процентов; государства Восточной Европы – 10 процентов;</w:t>
      </w:r>
      <w:proofErr w:type="gramEnd"/>
      <w:r w:rsidRPr="00EE7A2D">
        <w:rPr>
          <w:lang w:val="ru-RU"/>
        </w:rPr>
        <w:t xml:space="preserve"> и западноевропейские и другие государства – 36 процентов. Что касается гендерного баланса, то среди представленных правительствами кандидатов женщины составили 22 процента.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F62DAF">
      <w:rPr>
        <w:szCs w:val="18"/>
        <w:lang w:val="en-US" w:eastAsia="ja-JP"/>
      </w:rPr>
      <w:t>5</w:t>
    </w:r>
    <w:r w:rsidR="00F62DAF">
      <w:rPr>
        <w:szCs w:val="18"/>
        <w:lang w:val="ru-RU" w:eastAsia="ja-JP"/>
      </w:rPr>
      <w:t>/</w:t>
    </w:r>
    <w:r w:rsidR="002D261F">
      <w:rPr>
        <w:szCs w:val="18"/>
        <w:lang w:val="en-US" w:eastAsia="ja-JP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F62DAF">
      <w:rPr>
        <w:szCs w:val="18"/>
        <w:lang w:val="en-US" w:eastAsia="ja-JP"/>
      </w:rPr>
      <w:t>5/</w:t>
    </w:r>
    <w:r w:rsidR="002D261F">
      <w:rPr>
        <w:szCs w:val="18"/>
        <w:lang w:val="en-US" w:eastAsia="ja-JP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0D4E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38D5"/>
    <w:rsid w:val="000440BA"/>
    <w:rsid w:val="00044131"/>
    <w:rsid w:val="000458EE"/>
    <w:rsid w:val="0004779A"/>
    <w:rsid w:val="00047D27"/>
    <w:rsid w:val="000506A7"/>
    <w:rsid w:val="000509B4"/>
    <w:rsid w:val="00052F27"/>
    <w:rsid w:val="000536EB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453E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3C58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17654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D55D5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325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707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4CC0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D7D00"/>
    <w:rsid w:val="007E003F"/>
    <w:rsid w:val="007E0592"/>
    <w:rsid w:val="007E0FA4"/>
    <w:rsid w:val="007E29F9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103D"/>
    <w:rsid w:val="008C19F9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0977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4759"/>
    <w:rsid w:val="00C86094"/>
    <w:rsid w:val="00C865C7"/>
    <w:rsid w:val="00C92E9A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0476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1412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4D0E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30C0"/>
    <w:rsid w:val="00F5341A"/>
    <w:rsid w:val="00F5681B"/>
    <w:rsid w:val="00F62DAF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Accent5">
    <w:name w:val="Grid Table 1 Light Accent 5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Accent5">
    <w:name w:val="Grid Table 1 Light Accent 5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93A-4F81-4B71-88AE-7A705DD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22907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Natalia Cherutich</cp:lastModifiedBy>
  <cp:revision>5</cp:revision>
  <cp:lastPrinted>2017-01-05T10:03:00Z</cp:lastPrinted>
  <dcterms:created xsi:type="dcterms:W3CDTF">2017-01-19T08:47:00Z</dcterms:created>
  <dcterms:modified xsi:type="dcterms:W3CDTF">2017-01-20T07:03:00Z</dcterms:modified>
</cp:coreProperties>
</file>